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04B8CA" w14:textId="77777777" w:rsidR="00D82D44" w:rsidRPr="002F6665" w:rsidRDefault="00F576BF" w:rsidP="00D82D44">
      <w:pPr>
        <w:pStyle w:val="COMH1-non-numbered"/>
        <w:contextualSpacing/>
        <w:rPr>
          <w:sz w:val="36"/>
        </w:rPr>
      </w:pPr>
      <w:bookmarkStart w:id="0" w:name="_Toc111818919"/>
      <w:bookmarkStart w:id="1" w:name="_Toc107927616"/>
      <w:r w:rsidRPr="002F6665">
        <w:rPr>
          <w:sz w:val="36"/>
        </w:rPr>
        <w:t>7.06</w:t>
      </w:r>
      <w:r w:rsidR="00163F66" w:rsidRPr="002F6665">
        <w:rPr>
          <w:sz w:val="36"/>
        </w:rPr>
        <w:tab/>
      </w:r>
      <w:r w:rsidR="00D82D44" w:rsidRPr="002F6665">
        <w:rPr>
          <w:sz w:val="36"/>
        </w:rPr>
        <w:t>PATIROMER,</w:t>
      </w:r>
      <w:bookmarkEnd w:id="0"/>
    </w:p>
    <w:p w14:paraId="2806EF38" w14:textId="3151D270" w:rsidR="00756D26" w:rsidRPr="002F6665" w:rsidRDefault="00756D26" w:rsidP="00320A2B">
      <w:pPr>
        <w:pStyle w:val="COMH1-non-numbered"/>
        <w:ind w:firstLine="0"/>
        <w:outlineLvl w:val="9"/>
        <w:rPr>
          <w:sz w:val="36"/>
        </w:rPr>
      </w:pPr>
      <w:bookmarkStart w:id="2" w:name="_Toc111818920"/>
      <w:r w:rsidRPr="002F6665">
        <w:rPr>
          <w:sz w:val="36"/>
        </w:rPr>
        <w:t>Sachet, 8.4</w:t>
      </w:r>
      <w:r w:rsidR="00126C75" w:rsidRPr="002F6665">
        <w:rPr>
          <w:sz w:val="36"/>
        </w:rPr>
        <w:t> g</w:t>
      </w:r>
      <w:r w:rsidRPr="002F6665">
        <w:rPr>
          <w:sz w:val="36"/>
        </w:rPr>
        <w:t xml:space="preserve"> powder for oral liquid,</w:t>
      </w:r>
      <w:r w:rsidRPr="002F6665">
        <w:rPr>
          <w:sz w:val="36"/>
        </w:rPr>
        <w:br/>
        <w:t>Sachet, 16.8</w:t>
      </w:r>
      <w:r w:rsidR="00126C75" w:rsidRPr="002F6665">
        <w:rPr>
          <w:sz w:val="36"/>
        </w:rPr>
        <w:t> g</w:t>
      </w:r>
      <w:r w:rsidRPr="002F6665">
        <w:rPr>
          <w:sz w:val="36"/>
        </w:rPr>
        <w:t xml:space="preserve"> powder for oral liquid,</w:t>
      </w:r>
      <w:r w:rsidRPr="002F6665">
        <w:rPr>
          <w:sz w:val="36"/>
        </w:rPr>
        <w:br/>
        <w:t>Veltassa®,</w:t>
      </w:r>
      <w:r w:rsidRPr="002F6665">
        <w:rPr>
          <w:sz w:val="36"/>
        </w:rPr>
        <w:br/>
        <w:t>Vifor Pharma Pty Limited</w:t>
      </w:r>
      <w:r w:rsidR="00B60939" w:rsidRPr="002F6665">
        <w:rPr>
          <w:sz w:val="36"/>
        </w:rPr>
        <w:t>.</w:t>
      </w:r>
      <w:bookmarkEnd w:id="2"/>
      <w:r w:rsidR="00F73E08" w:rsidRPr="002F6665">
        <w:rPr>
          <w:sz w:val="36"/>
        </w:rPr>
        <w:t xml:space="preserve"> </w:t>
      </w:r>
    </w:p>
    <w:p w14:paraId="11C00795" w14:textId="48B383AC" w:rsidR="00B50DB8" w:rsidRPr="001159D0" w:rsidRDefault="00B50DB8" w:rsidP="00350B59">
      <w:pPr>
        <w:pStyle w:val="COMH1numbered"/>
      </w:pPr>
      <w:bookmarkStart w:id="3" w:name="_Toc111818922"/>
      <w:bookmarkEnd w:id="1"/>
      <w:r w:rsidRPr="001159D0">
        <w:t xml:space="preserve">Purpose of </w:t>
      </w:r>
      <w:r w:rsidR="00CD7193" w:rsidRPr="001159D0">
        <w:t>s</w:t>
      </w:r>
      <w:r w:rsidR="00BB3A45" w:rsidRPr="001159D0">
        <w:t>ubmission</w:t>
      </w:r>
      <w:bookmarkEnd w:id="3"/>
    </w:p>
    <w:p w14:paraId="19414AA1" w14:textId="58A90C08" w:rsidR="002C2775" w:rsidRPr="001159D0" w:rsidRDefault="00B041D3" w:rsidP="00F637F2">
      <w:pPr>
        <w:pStyle w:val="COMexecsumnumberedpara"/>
      </w:pPr>
      <w:r w:rsidRPr="001159D0">
        <w:t>The</w:t>
      </w:r>
      <w:r w:rsidR="00544BD6" w:rsidRPr="001159D0">
        <w:t xml:space="preserve"> standard re-entry</w:t>
      </w:r>
      <w:r w:rsidRPr="001159D0">
        <w:t xml:space="preserve"> resubmission requested an Authority Required (telephone) listing for patiromer for the initial treatment of adult patients with </w:t>
      </w:r>
      <w:r w:rsidR="007E753B" w:rsidRPr="001159D0">
        <w:t>chronic kidney disease (</w:t>
      </w:r>
      <w:r w:rsidRPr="001159D0">
        <w:t>CKD</w:t>
      </w:r>
      <w:r w:rsidR="007E753B" w:rsidRPr="001159D0">
        <w:t>)</w:t>
      </w:r>
      <w:r w:rsidRPr="001159D0">
        <w:t xml:space="preserve"> Stage 3-4, with chronic hyperkalaemia (</w:t>
      </w:r>
      <w:r w:rsidR="008F1835" w:rsidRPr="001159D0">
        <w:t>at least 2</w:t>
      </w:r>
      <w:r w:rsidRPr="001159D0">
        <w:t xml:space="preserve"> episode</w:t>
      </w:r>
      <w:r w:rsidR="008F1835" w:rsidRPr="001159D0">
        <w:t>s</w:t>
      </w:r>
      <w:r w:rsidRPr="001159D0">
        <w:t xml:space="preserve"> of serum </w:t>
      </w:r>
      <w:r w:rsidR="00E1534C" w:rsidRPr="001159D0">
        <w:t xml:space="preserve">potassium </w:t>
      </w:r>
      <w:r w:rsidRPr="001159D0">
        <w:t xml:space="preserve">6.0 mmol/L </w:t>
      </w:r>
      <w:r w:rsidR="0023120E" w:rsidRPr="001159D0">
        <w:t xml:space="preserve">or higher </w:t>
      </w:r>
      <w:r w:rsidRPr="001159D0">
        <w:t xml:space="preserve">in the previous 12 months), who are receiving </w:t>
      </w:r>
      <w:r w:rsidR="007E753B" w:rsidRPr="001159D0">
        <w:t>at least one</w:t>
      </w:r>
      <w:r w:rsidRPr="001159D0">
        <w:t xml:space="preserve"> </w:t>
      </w:r>
      <w:r w:rsidRPr="001159D0">
        <w:rPr>
          <w:rFonts w:cs="Calibri"/>
          <w:szCs w:val="18"/>
        </w:rPr>
        <w:t>renin angiotensin aldosterone system inhibitor</w:t>
      </w:r>
      <w:r w:rsidRPr="001159D0">
        <w:t xml:space="preserve"> (RAASi) medicine or are indicated for a RAASi medicine but are unable to tolerate this due to prior occurrence of hyperkalaemia.</w:t>
      </w:r>
    </w:p>
    <w:p w14:paraId="4E9FBCB5" w14:textId="08038513" w:rsidR="00C2778B" w:rsidRPr="001159D0" w:rsidRDefault="00B041D3" w:rsidP="00F637F2">
      <w:pPr>
        <w:pStyle w:val="COMexecsumnumberedpara"/>
      </w:pPr>
      <w:r w:rsidRPr="001159D0">
        <w:t xml:space="preserve">The listing was requested on the basis of a cost-effectiveness analysis versus standard of care (placebo), and a cost-minimisation </w:t>
      </w:r>
      <w:r w:rsidR="001E705C">
        <w:t>approach</w:t>
      </w:r>
      <w:r w:rsidR="001E705C" w:rsidRPr="001159D0">
        <w:t xml:space="preserve"> </w:t>
      </w:r>
      <w:r w:rsidRPr="001159D0">
        <w:t>versus sodium polystyrene sulfonate (SPS) and calcium polystyrene sulfonate (CPS) resins.</w:t>
      </w:r>
      <w:r w:rsidR="00BC591F" w:rsidRPr="001159D0">
        <w:t xml:space="preserve"> </w:t>
      </w:r>
      <w:r w:rsidR="001A5716" w:rsidRPr="002F6665">
        <w:rPr>
          <w:lang w:eastAsia="zh-CN"/>
        </w:rPr>
        <w:t xml:space="preserve">The resubmission assumed that </w:t>
      </w:r>
      <w:r w:rsidR="003E2BEF" w:rsidRPr="005F4857">
        <w:rPr>
          <w:color w:val="000000"/>
          <w:w w:val="15"/>
          <w:shd w:val="solid" w:color="000000" w:fill="000000"/>
          <w:fitText w:val="-20" w:id="-1304706816"/>
          <w:lang w:eastAsia="zh-CN"/>
          <w14:textFill>
            <w14:solidFill>
              <w14:srgbClr w14:val="000000">
                <w14:alpha w14:val="100000"/>
              </w14:srgbClr>
            </w14:solidFill>
          </w14:textFill>
        </w:rPr>
        <w:t>|</w:t>
      </w:r>
      <w:r w:rsidR="00BB7EE7" w:rsidRPr="005F4857">
        <w:rPr>
          <w:color w:val="000000"/>
          <w:w w:val="15"/>
          <w:shd w:val="solid" w:color="000000" w:fill="000000"/>
          <w:fitText w:val="-20" w:id="-1304706816"/>
          <w:lang w:eastAsia="zh-CN"/>
          <w14:textFill>
            <w14:solidFill>
              <w14:srgbClr w14:val="000000">
                <w14:alpha w14:val="100000"/>
              </w14:srgbClr>
            </w14:solidFill>
          </w14:textFill>
        </w:rPr>
        <w:t>##########</w:t>
      </w:r>
      <w:r w:rsidR="003E2BEF" w:rsidRPr="005F4857">
        <w:rPr>
          <w:color w:val="000000"/>
          <w:w w:val="15"/>
          <w:shd w:val="solid" w:color="000000" w:fill="000000"/>
          <w:fitText w:val="-20" w:id="-1304706816"/>
          <w:lang w:eastAsia="zh-CN"/>
          <w14:textFill>
            <w14:solidFill>
              <w14:srgbClr w14:val="000000">
                <w14:alpha w14:val="100000"/>
              </w14:srgbClr>
            </w14:solidFill>
          </w14:textFill>
        </w:rPr>
        <w:t xml:space="preserve">  </w:t>
      </w:r>
      <w:r w:rsidR="003E2BEF" w:rsidRPr="005F4857">
        <w:rPr>
          <w:color w:val="000000"/>
          <w:spacing w:val="-144"/>
          <w:w w:val="15"/>
          <w:shd w:val="solid" w:color="000000" w:fill="000000"/>
          <w:fitText w:val="-20" w:id="-1304706816"/>
          <w:lang w:eastAsia="zh-CN"/>
          <w14:textFill>
            <w14:solidFill>
              <w14:srgbClr w14:val="000000">
                <w14:alpha w14:val="100000"/>
              </w14:srgbClr>
            </w14:solidFill>
          </w14:textFill>
        </w:rPr>
        <w:t>|</w:t>
      </w:r>
      <w:r w:rsidR="001A5716" w:rsidRPr="00EB4A92">
        <w:rPr>
          <w:lang w:eastAsia="zh-CN"/>
        </w:rPr>
        <w:t>%</w:t>
      </w:r>
      <w:r w:rsidR="001A5716" w:rsidRPr="002F6665">
        <w:rPr>
          <w:lang w:eastAsia="zh-CN"/>
        </w:rPr>
        <w:t xml:space="preserve"> of use of patiromer will replace standard care and </w:t>
      </w:r>
      <w:r w:rsidR="003E2BEF" w:rsidRPr="005F4857">
        <w:rPr>
          <w:color w:val="000000"/>
          <w:w w:val="15"/>
          <w:shd w:val="solid" w:color="000000" w:fill="000000"/>
          <w:fitText w:val="-20" w:id="-1304706815"/>
          <w:lang w:eastAsia="zh-CN"/>
          <w14:textFill>
            <w14:solidFill>
              <w14:srgbClr w14:val="000000">
                <w14:alpha w14:val="100000"/>
              </w14:srgbClr>
            </w14:solidFill>
          </w14:textFill>
        </w:rPr>
        <w:t xml:space="preserve">| </w:t>
      </w:r>
      <w:r w:rsidR="00BB7EE7" w:rsidRPr="005F4857">
        <w:rPr>
          <w:color w:val="000000"/>
          <w:w w:val="15"/>
          <w:shd w:val="solid" w:color="000000" w:fill="000000"/>
          <w:fitText w:val="-20" w:id="-1304706815"/>
          <w:lang w:eastAsia="zh-CN"/>
          <w14:textFill>
            <w14:solidFill>
              <w14:srgbClr w14:val="000000">
                <w14:alpha w14:val="100000"/>
              </w14:srgbClr>
            </w14:solidFill>
          </w14:textFill>
        </w:rPr>
        <w:t>##############</w:t>
      </w:r>
      <w:r w:rsidR="003E2BEF" w:rsidRPr="005F4857">
        <w:rPr>
          <w:color w:val="000000"/>
          <w:w w:val="15"/>
          <w:shd w:val="solid" w:color="000000" w:fill="000000"/>
          <w:fitText w:val="-20" w:id="-1304706815"/>
          <w:lang w:eastAsia="zh-CN"/>
          <w14:textFill>
            <w14:solidFill>
              <w14:srgbClr w14:val="000000">
                <w14:alpha w14:val="100000"/>
              </w14:srgbClr>
            </w14:solidFill>
          </w14:textFill>
        </w:rPr>
        <w:t xml:space="preserve"> </w:t>
      </w:r>
      <w:r w:rsidR="003E2BEF" w:rsidRPr="005F4857">
        <w:rPr>
          <w:color w:val="000000"/>
          <w:spacing w:val="-188"/>
          <w:w w:val="15"/>
          <w:shd w:val="solid" w:color="000000" w:fill="000000"/>
          <w:fitText w:val="-20" w:id="-1304706815"/>
          <w:lang w:eastAsia="zh-CN"/>
          <w14:textFill>
            <w14:solidFill>
              <w14:srgbClr w14:val="000000">
                <w14:alpha w14:val="100000"/>
              </w14:srgbClr>
            </w14:solidFill>
          </w14:textFill>
        </w:rPr>
        <w:t>|</w:t>
      </w:r>
      <w:r w:rsidR="001A5716" w:rsidRPr="00EB4A92">
        <w:rPr>
          <w:lang w:eastAsia="zh-CN"/>
        </w:rPr>
        <w:t>%</w:t>
      </w:r>
      <w:r w:rsidR="001A5716" w:rsidRPr="002F6665">
        <w:rPr>
          <w:lang w:eastAsia="zh-CN"/>
        </w:rPr>
        <w:t xml:space="preserve"> will replace SPS/CPS</w:t>
      </w:r>
      <w:r w:rsidR="001A5716">
        <w:rPr>
          <w:lang w:eastAsia="zh-CN"/>
        </w:rPr>
        <w:t xml:space="preserve"> and proposed a </w:t>
      </w:r>
      <w:r w:rsidR="001A5716" w:rsidRPr="002F6665">
        <w:rPr>
          <w:lang w:eastAsia="zh-CN"/>
        </w:rPr>
        <w:t xml:space="preserve">weighted average of the prices of patiromer used in each economic evaluation. </w:t>
      </w:r>
      <w:r w:rsidR="00BC591F" w:rsidRPr="001159D0">
        <w:t xml:space="preserve"> </w:t>
      </w:r>
    </w:p>
    <w:p w14:paraId="2ACA7993" w14:textId="783D9584" w:rsidR="00A85DC4" w:rsidRPr="001159D0" w:rsidRDefault="00A85DC4" w:rsidP="00A85DC4">
      <w:pPr>
        <w:pStyle w:val="COMtablefigcaption"/>
      </w:pPr>
      <w:r w:rsidRPr="001159D0">
        <w:t xml:space="preserve">Table </w:t>
      </w:r>
      <w:r w:rsidR="005F4857">
        <w:fldChar w:fldCharType="begin"/>
      </w:r>
      <w:r w:rsidR="005F4857">
        <w:instrText xml:space="preserve"> SEQ Table \* ARABIC </w:instrText>
      </w:r>
      <w:r w:rsidR="005F4857">
        <w:fldChar w:fldCharType="separate"/>
      </w:r>
      <w:r w:rsidR="00565456">
        <w:rPr>
          <w:noProof/>
        </w:rPr>
        <w:t>1</w:t>
      </w:r>
      <w:r w:rsidR="005F4857">
        <w:rPr>
          <w:noProof/>
        </w:rPr>
        <w:fldChar w:fldCharType="end"/>
      </w:r>
      <w:r w:rsidRPr="001159D0">
        <w:t xml:space="preserve">: Key components of the clinical issue addressed by the submission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7746"/>
      </w:tblGrid>
      <w:tr w:rsidR="00A85DC4" w:rsidRPr="001159D0" w14:paraId="28CF8D1F" w14:textId="77777777" w:rsidTr="009F13F2">
        <w:trPr>
          <w:cantSplit/>
          <w:tblHeader/>
        </w:trPr>
        <w:tc>
          <w:tcPr>
            <w:tcW w:w="705" w:type="pct"/>
            <w:shd w:val="clear" w:color="auto" w:fill="auto"/>
          </w:tcPr>
          <w:p w14:paraId="34A6BF3D" w14:textId="77777777" w:rsidR="00A85DC4" w:rsidRPr="001159D0" w:rsidRDefault="00A85DC4" w:rsidP="009F13F2">
            <w:pPr>
              <w:pStyle w:val="COMTableheadingrow"/>
              <w:rPr>
                <w:szCs w:val="20"/>
                <w:lang w:val="en-AU"/>
              </w:rPr>
            </w:pPr>
            <w:r w:rsidRPr="001159D0">
              <w:rPr>
                <w:lang w:val="en-AU"/>
              </w:rPr>
              <w:t>Component</w:t>
            </w:r>
          </w:p>
        </w:tc>
        <w:tc>
          <w:tcPr>
            <w:tcW w:w="4295" w:type="pct"/>
            <w:shd w:val="clear" w:color="auto" w:fill="auto"/>
          </w:tcPr>
          <w:p w14:paraId="7C0361E5" w14:textId="77777777" w:rsidR="00A85DC4" w:rsidRPr="001159D0" w:rsidRDefault="00A85DC4" w:rsidP="009F13F2">
            <w:pPr>
              <w:pStyle w:val="COMTableheadingrow"/>
              <w:rPr>
                <w:lang w:val="en-AU"/>
              </w:rPr>
            </w:pPr>
            <w:r w:rsidRPr="001159D0">
              <w:rPr>
                <w:lang w:val="en-AU"/>
              </w:rPr>
              <w:t>Description</w:t>
            </w:r>
          </w:p>
        </w:tc>
      </w:tr>
      <w:tr w:rsidR="00A85DC4" w:rsidRPr="001159D0" w14:paraId="07346BE9" w14:textId="77777777" w:rsidTr="009F13F2">
        <w:trPr>
          <w:cantSplit/>
        </w:trPr>
        <w:tc>
          <w:tcPr>
            <w:tcW w:w="705" w:type="pct"/>
            <w:shd w:val="clear" w:color="auto" w:fill="auto"/>
          </w:tcPr>
          <w:p w14:paraId="3D65ACB6" w14:textId="77777777" w:rsidR="00A85DC4" w:rsidRPr="001159D0" w:rsidRDefault="00A85DC4" w:rsidP="009F13F2">
            <w:pPr>
              <w:pStyle w:val="COMTabletext"/>
            </w:pPr>
            <w:r w:rsidRPr="001159D0">
              <w:t>Population</w:t>
            </w:r>
          </w:p>
        </w:tc>
        <w:tc>
          <w:tcPr>
            <w:tcW w:w="4295" w:type="pct"/>
            <w:shd w:val="clear" w:color="auto" w:fill="auto"/>
          </w:tcPr>
          <w:p w14:paraId="009FA2C7" w14:textId="51697B08" w:rsidR="00A85DC4" w:rsidRPr="001159D0" w:rsidRDefault="00A85DC4" w:rsidP="009F13F2">
            <w:pPr>
              <w:pStyle w:val="COMTabletext"/>
              <w:rPr>
                <w:szCs w:val="20"/>
              </w:rPr>
            </w:pPr>
            <w:r w:rsidRPr="001159D0">
              <w:t>Adult patients with CKD Stage 3</w:t>
            </w:r>
            <w:r w:rsidRPr="001159D0">
              <w:rPr>
                <w:lang w:eastAsia="zh-CN"/>
              </w:rPr>
              <w:t>-</w:t>
            </w:r>
            <w:r w:rsidRPr="001159D0">
              <w:t>4 with chronic hyperkalaemia (</w:t>
            </w:r>
            <w:r w:rsidR="00DF771F" w:rsidRPr="001159D0">
              <w:t>≥2</w:t>
            </w:r>
            <w:r w:rsidRPr="001159D0">
              <w:t xml:space="preserve"> episode</w:t>
            </w:r>
            <w:r w:rsidR="00DF771F" w:rsidRPr="001159D0">
              <w:t>s</w:t>
            </w:r>
            <w:r w:rsidRPr="001159D0">
              <w:t xml:space="preserve"> of serum potassium ≥6.0</w:t>
            </w:r>
            <w:r w:rsidR="000C73DA" w:rsidRPr="001159D0">
              <w:t> mmol</w:t>
            </w:r>
            <w:r w:rsidRPr="001159D0">
              <w:t>/L in the previous 12 months), who are receiving ≥1 RAASi medicine or are indicated for a RAASi medicine but not able to tolerate this due to prior occurrence of hyperkalaemia.</w:t>
            </w:r>
          </w:p>
        </w:tc>
      </w:tr>
      <w:tr w:rsidR="00A85DC4" w:rsidRPr="001159D0" w14:paraId="2867FF73" w14:textId="77777777" w:rsidTr="009F13F2">
        <w:trPr>
          <w:cantSplit/>
        </w:trPr>
        <w:tc>
          <w:tcPr>
            <w:tcW w:w="705" w:type="pct"/>
            <w:shd w:val="clear" w:color="auto" w:fill="auto"/>
          </w:tcPr>
          <w:p w14:paraId="011C854B" w14:textId="77777777" w:rsidR="00A85DC4" w:rsidRPr="001159D0" w:rsidRDefault="00A85DC4" w:rsidP="009F13F2">
            <w:pPr>
              <w:pStyle w:val="COMTabletext"/>
            </w:pPr>
            <w:r w:rsidRPr="001159D0">
              <w:t>Intervention</w:t>
            </w:r>
          </w:p>
        </w:tc>
        <w:tc>
          <w:tcPr>
            <w:tcW w:w="4295" w:type="pct"/>
            <w:shd w:val="clear" w:color="auto" w:fill="auto"/>
          </w:tcPr>
          <w:p w14:paraId="3E323D57" w14:textId="7B175433" w:rsidR="00A85DC4" w:rsidRPr="001159D0" w:rsidRDefault="00A85DC4" w:rsidP="009F13F2">
            <w:pPr>
              <w:pStyle w:val="COMTabletext"/>
            </w:pPr>
            <w:r w:rsidRPr="001159D0">
              <w:t>Patiromer at a starting dose of one 8.4</w:t>
            </w:r>
            <w:r w:rsidR="00126C75" w:rsidRPr="001159D0">
              <w:t> g</w:t>
            </w:r>
            <w:r w:rsidRPr="001159D0">
              <w:t xml:space="preserve"> sachet per day, titrated at intervals of at least 1 week by increments of 8.4</w:t>
            </w:r>
            <w:r w:rsidR="00126C75" w:rsidRPr="001159D0">
              <w:t> g</w:t>
            </w:r>
            <w:r w:rsidRPr="001159D0">
              <w:t>, up to a maximum dose of 25.2</w:t>
            </w:r>
            <w:r w:rsidR="00126C75" w:rsidRPr="001159D0">
              <w:t> g</w:t>
            </w:r>
            <w:r w:rsidRPr="001159D0">
              <w:t xml:space="preserve"> per day.</w:t>
            </w:r>
          </w:p>
        </w:tc>
      </w:tr>
      <w:tr w:rsidR="00A85DC4" w:rsidRPr="001159D0" w14:paraId="2DC87660" w14:textId="77777777" w:rsidTr="009F13F2">
        <w:trPr>
          <w:cantSplit/>
        </w:trPr>
        <w:tc>
          <w:tcPr>
            <w:tcW w:w="705" w:type="pct"/>
            <w:shd w:val="clear" w:color="auto" w:fill="auto"/>
          </w:tcPr>
          <w:p w14:paraId="38BF9507" w14:textId="77777777" w:rsidR="00A85DC4" w:rsidRPr="001159D0" w:rsidRDefault="00A85DC4" w:rsidP="009F13F2">
            <w:pPr>
              <w:pStyle w:val="COMTabletext"/>
            </w:pPr>
            <w:r w:rsidRPr="001159D0">
              <w:t>Comparator</w:t>
            </w:r>
          </w:p>
        </w:tc>
        <w:tc>
          <w:tcPr>
            <w:tcW w:w="4295" w:type="pct"/>
            <w:shd w:val="clear" w:color="auto" w:fill="auto"/>
          </w:tcPr>
          <w:p w14:paraId="28C4F480" w14:textId="77777777" w:rsidR="00A85DC4" w:rsidRPr="001159D0" w:rsidRDefault="00A85DC4" w:rsidP="009F13F2">
            <w:pPr>
              <w:pStyle w:val="Tabletext"/>
              <w:spacing w:before="0" w:after="0"/>
            </w:pPr>
            <w:r w:rsidRPr="001159D0">
              <w:t>Primary comparator: standard care (SC) composed of RAASi reduction or withdrawal with or without dietary modification.</w:t>
            </w:r>
          </w:p>
          <w:p w14:paraId="26E4ACDE" w14:textId="7A0DC955" w:rsidR="00A85DC4" w:rsidRPr="001159D0" w:rsidRDefault="00A85DC4" w:rsidP="009F13F2">
            <w:pPr>
              <w:pStyle w:val="COMTabletext"/>
            </w:pPr>
            <w:r w:rsidRPr="001159D0">
              <w:t>Secondary comparator: SPS/CPS (short-term or long-term</w:t>
            </w:r>
            <w:r w:rsidR="00CD5A28" w:rsidRPr="001159D0">
              <w:t xml:space="preserve"> therapy</w:t>
            </w:r>
            <w:r w:rsidRPr="001159D0">
              <w:t>).</w:t>
            </w:r>
          </w:p>
        </w:tc>
      </w:tr>
      <w:tr w:rsidR="00A85DC4" w:rsidRPr="001159D0" w14:paraId="35647DF9" w14:textId="77777777" w:rsidTr="009F13F2">
        <w:trPr>
          <w:cantSplit/>
        </w:trPr>
        <w:tc>
          <w:tcPr>
            <w:tcW w:w="705" w:type="pct"/>
            <w:shd w:val="clear" w:color="auto" w:fill="auto"/>
          </w:tcPr>
          <w:p w14:paraId="7E71FD6A" w14:textId="77777777" w:rsidR="00A85DC4" w:rsidRPr="001159D0" w:rsidRDefault="00A85DC4" w:rsidP="009F13F2">
            <w:pPr>
              <w:pStyle w:val="COMTabletext"/>
            </w:pPr>
            <w:r w:rsidRPr="001159D0">
              <w:t>Outcomes</w:t>
            </w:r>
          </w:p>
        </w:tc>
        <w:tc>
          <w:tcPr>
            <w:tcW w:w="4295" w:type="pct"/>
            <w:shd w:val="clear" w:color="auto" w:fill="auto"/>
          </w:tcPr>
          <w:p w14:paraId="6D3C17A8" w14:textId="28A2F9C1" w:rsidR="00A85DC4" w:rsidRPr="001159D0" w:rsidRDefault="00A85DC4" w:rsidP="0035667E">
            <w:pPr>
              <w:pStyle w:val="Tabletext"/>
              <w:spacing w:before="0" w:after="0"/>
            </w:pPr>
            <w:r w:rsidRPr="001159D0">
              <w:t>Maintenance of safe and acceptable serum potassium levels</w:t>
            </w:r>
            <w:r w:rsidR="0035667E" w:rsidRPr="001159D0">
              <w:t>; r</w:t>
            </w:r>
            <w:r w:rsidRPr="001159D0">
              <w:t>eduction in recurrent/chronic episodes of hyperkalaemia</w:t>
            </w:r>
            <w:r w:rsidR="0035667E" w:rsidRPr="001159D0">
              <w:t>; m</w:t>
            </w:r>
            <w:r w:rsidRPr="001159D0">
              <w:t>aintenance or optimisation of guideline recommended maximum RAASi doses.</w:t>
            </w:r>
          </w:p>
        </w:tc>
      </w:tr>
      <w:tr w:rsidR="00A85DC4" w:rsidRPr="001159D0" w14:paraId="5B74E895" w14:textId="77777777" w:rsidTr="009F13F2">
        <w:trPr>
          <w:cantSplit/>
        </w:trPr>
        <w:tc>
          <w:tcPr>
            <w:tcW w:w="705" w:type="pct"/>
            <w:shd w:val="clear" w:color="auto" w:fill="auto"/>
          </w:tcPr>
          <w:p w14:paraId="6B418043" w14:textId="77777777" w:rsidR="00A85DC4" w:rsidRPr="001159D0" w:rsidRDefault="00A85DC4" w:rsidP="009F13F2">
            <w:pPr>
              <w:pStyle w:val="COMTabletext"/>
            </w:pPr>
            <w:r w:rsidRPr="001159D0">
              <w:t>Clinical claim</w:t>
            </w:r>
          </w:p>
        </w:tc>
        <w:tc>
          <w:tcPr>
            <w:tcW w:w="4295" w:type="pct"/>
            <w:shd w:val="clear" w:color="auto" w:fill="auto"/>
          </w:tcPr>
          <w:p w14:paraId="4AE27D21" w14:textId="4F7F7BA9" w:rsidR="00A85DC4" w:rsidRPr="00BC5848" w:rsidRDefault="00A85DC4" w:rsidP="009F13F2">
            <w:pPr>
              <w:pStyle w:val="Tabletext"/>
              <w:spacing w:before="0" w:after="0"/>
            </w:pPr>
            <w:r w:rsidRPr="00BC5848">
              <w:t xml:space="preserve">Patiromer is superior in efficacy to SC in terms of lowering serum potassium levels to their normal range and enabling patients to remain on guideline recommended RAASi doses, and </w:t>
            </w:r>
            <w:r w:rsidR="00A238F7" w:rsidRPr="00BC5848">
              <w:t xml:space="preserve">slightly </w:t>
            </w:r>
            <w:r w:rsidRPr="00BC5848">
              <w:t>inferior in safety compared to SC based on similar rates of adverse events, serious adverse events, adverse events leading to withdrawal and fatal adverse events.</w:t>
            </w:r>
          </w:p>
          <w:p w14:paraId="6DE73F51" w14:textId="68B7E320" w:rsidR="00A85DC4" w:rsidRPr="001159D0" w:rsidRDefault="00A85DC4" w:rsidP="009F13F2">
            <w:pPr>
              <w:pStyle w:val="Tabletext"/>
              <w:spacing w:before="0" w:after="0"/>
            </w:pPr>
            <w:r w:rsidRPr="00BC5848">
              <w:t xml:space="preserve">Patiromer is non-inferior to SPS/CPS in terms of efficacy, and </w:t>
            </w:r>
            <w:r w:rsidR="00A238F7" w:rsidRPr="00BC5848">
              <w:rPr>
                <w:bCs/>
              </w:rPr>
              <w:t xml:space="preserve">non-inferior </w:t>
            </w:r>
            <w:r w:rsidRPr="00BC5848">
              <w:rPr>
                <w:bCs/>
              </w:rPr>
              <w:t>to SPS/CPS in terms of safety.</w:t>
            </w:r>
          </w:p>
        </w:tc>
      </w:tr>
    </w:tbl>
    <w:p w14:paraId="2F0B742C" w14:textId="501E42DC" w:rsidR="00A85DC4" w:rsidRPr="00392B03" w:rsidRDefault="00A85DC4" w:rsidP="00A85DC4">
      <w:pPr>
        <w:pStyle w:val="COMTablefooter"/>
      </w:pPr>
      <w:r w:rsidRPr="001159D0">
        <w:t>Source: Table 1.1.1, p24 of the submission</w:t>
      </w:r>
      <w:r w:rsidR="00A238F7" w:rsidRPr="00392B03">
        <w:t>; pp2-3 of PSCR</w:t>
      </w:r>
      <w:r w:rsidRPr="00392B03">
        <w:t>.</w:t>
      </w:r>
    </w:p>
    <w:p w14:paraId="65747FDE" w14:textId="5FDB14CF" w:rsidR="00A85DC4" w:rsidRPr="001159D0" w:rsidRDefault="00A85DC4" w:rsidP="00A85DC4">
      <w:pPr>
        <w:pStyle w:val="COMTablefooter"/>
      </w:pPr>
      <w:r w:rsidRPr="001159D0">
        <w:t xml:space="preserve">Abbreviations: </w:t>
      </w:r>
      <w:r w:rsidR="004C53BD" w:rsidRPr="001159D0">
        <w:t xml:space="preserve">CKD, chronic kidney disease; </w:t>
      </w:r>
      <w:r w:rsidR="00B3131A" w:rsidRPr="001159D0">
        <w:t>CP</w:t>
      </w:r>
      <w:r w:rsidR="0011401C" w:rsidRPr="001159D0">
        <w:t>S</w:t>
      </w:r>
      <w:r w:rsidR="00B3131A" w:rsidRPr="001159D0">
        <w:t xml:space="preserve">, </w:t>
      </w:r>
      <w:r w:rsidR="00AC38AA" w:rsidRPr="001159D0">
        <w:t>calcium polystyrene sulfonate</w:t>
      </w:r>
      <w:r w:rsidR="00B3131A" w:rsidRPr="001159D0">
        <w:t xml:space="preserve">; </w:t>
      </w:r>
      <w:r w:rsidR="007C073A">
        <w:t xml:space="preserve">PSCR pre-sub-committee response </w:t>
      </w:r>
      <w:r w:rsidR="00AC38AA" w:rsidRPr="001159D0">
        <w:t xml:space="preserve">RAASi, </w:t>
      </w:r>
      <w:r w:rsidR="004C53BD" w:rsidRPr="001159D0">
        <w:t>renin angiotensin aldosterone system inhibitor</w:t>
      </w:r>
      <w:r w:rsidR="00AC38AA" w:rsidRPr="001159D0">
        <w:t xml:space="preserve">; </w:t>
      </w:r>
      <w:r w:rsidR="00B3131A" w:rsidRPr="001159D0">
        <w:t>SC, standard care; SP</w:t>
      </w:r>
      <w:r w:rsidR="0011401C" w:rsidRPr="001159D0">
        <w:t>S</w:t>
      </w:r>
      <w:r w:rsidR="00B3131A" w:rsidRPr="001159D0">
        <w:t xml:space="preserve">, </w:t>
      </w:r>
      <w:r w:rsidR="00764B87" w:rsidRPr="001159D0">
        <w:t>sodium polystyrene sulfonate</w:t>
      </w:r>
      <w:r w:rsidR="00B3131A" w:rsidRPr="001159D0">
        <w:t>.</w:t>
      </w:r>
    </w:p>
    <w:p w14:paraId="6B4AB6C2" w14:textId="3FAACE9A" w:rsidR="005C25FF" w:rsidRPr="001159D0" w:rsidRDefault="005C25FF" w:rsidP="004A6040">
      <w:pPr>
        <w:pStyle w:val="COMH1numbered"/>
      </w:pPr>
      <w:bookmarkStart w:id="4" w:name="_Toc111818923"/>
      <w:r w:rsidRPr="001159D0">
        <w:lastRenderedPageBreak/>
        <w:t>Background</w:t>
      </w:r>
      <w:bookmarkEnd w:id="4"/>
    </w:p>
    <w:p w14:paraId="2C521D6D" w14:textId="78CF03EE" w:rsidR="005C25FF" w:rsidRPr="001159D0" w:rsidRDefault="005C25FF" w:rsidP="004A6040">
      <w:pPr>
        <w:pStyle w:val="COMH2-non-numbered"/>
      </w:pPr>
      <w:bookmarkStart w:id="5" w:name="_Toc22897638"/>
      <w:bookmarkStart w:id="6" w:name="_Toc111818924"/>
      <w:r w:rsidRPr="001159D0">
        <w:t>Registration status</w:t>
      </w:r>
      <w:bookmarkEnd w:id="5"/>
      <w:bookmarkEnd w:id="6"/>
    </w:p>
    <w:p w14:paraId="5374AD55" w14:textId="0D13C648" w:rsidR="005C25FF" w:rsidRPr="001159D0" w:rsidRDefault="00B041D3" w:rsidP="00B041D3">
      <w:pPr>
        <w:pStyle w:val="COMexecsumnumberedpara"/>
      </w:pPr>
      <w:r w:rsidRPr="001159D0">
        <w:t>Patiromer was listed on the Australian Register of Therapeutic Goods on 12 December 2017 for the treatment of hyperkalaemia in adults.</w:t>
      </w:r>
      <w:r w:rsidR="005C25FF" w:rsidRPr="001159D0">
        <w:rPr>
          <w:color w:val="0066FF"/>
        </w:rPr>
        <w:t xml:space="preserve"> </w:t>
      </w:r>
      <w:r w:rsidR="00D43D83" w:rsidRPr="001159D0">
        <w:t xml:space="preserve"> </w:t>
      </w:r>
    </w:p>
    <w:p w14:paraId="3E2A6EAB" w14:textId="469C8C0C" w:rsidR="005C25FF" w:rsidRPr="001159D0" w:rsidRDefault="005C25FF" w:rsidP="004E18E9">
      <w:pPr>
        <w:pStyle w:val="COMH2-non-numbered"/>
      </w:pPr>
      <w:bookmarkStart w:id="7" w:name="_Toc22897639"/>
      <w:bookmarkStart w:id="8" w:name="_Toc111818925"/>
      <w:r w:rsidRPr="001159D0">
        <w:t>Previous PBAC consideration</w:t>
      </w:r>
      <w:bookmarkEnd w:id="7"/>
      <w:bookmarkEnd w:id="8"/>
    </w:p>
    <w:p w14:paraId="27105E2F" w14:textId="5AB8964B" w:rsidR="00ED4B04" w:rsidRPr="001159D0" w:rsidRDefault="00B041D3" w:rsidP="002E4F02">
      <w:pPr>
        <w:pStyle w:val="COMexecsumnumberedpara"/>
      </w:pPr>
      <w:r w:rsidRPr="001159D0">
        <w:t xml:space="preserve">Patiromer was considered by the PBAC at the November 2019 and November 2020 </w:t>
      </w:r>
      <w:r w:rsidR="00F20697" w:rsidRPr="001159D0">
        <w:t xml:space="preserve">PBAC </w:t>
      </w:r>
      <w:r w:rsidRPr="001159D0">
        <w:t>meetin</w:t>
      </w:r>
      <w:r w:rsidR="00F20697" w:rsidRPr="001159D0">
        <w:t xml:space="preserve">gs. </w:t>
      </w:r>
      <w:r w:rsidR="004733BE" w:rsidRPr="001159D0">
        <w:t>At the November 2020 meeting, t</w:t>
      </w:r>
      <w:r w:rsidR="00F20697" w:rsidRPr="001159D0">
        <w:t>he PBAC did not recommend patiromer as the benefit in terms of patient-relevant outcomes in the Australian setting was uncertain, the submission had not adequately accounted for SPS and CPS resins as a comparator, the estimated ICER was uncertain and significantly underestimated, and the total financial impact was high and uncertain</w:t>
      </w:r>
      <w:r w:rsidR="00E007EF" w:rsidRPr="001159D0">
        <w:t xml:space="preserve"> (para</w:t>
      </w:r>
      <w:r w:rsidR="001A5716">
        <w:t>graph</w:t>
      </w:r>
      <w:r w:rsidR="00E007EF" w:rsidRPr="001159D0">
        <w:t xml:space="preserve"> 7.1, </w:t>
      </w:r>
      <w:r w:rsidR="001A5716">
        <w:t>p</w:t>
      </w:r>
      <w:r w:rsidR="00E007EF" w:rsidRPr="001159D0">
        <w:t xml:space="preserve">atiromer </w:t>
      </w:r>
      <w:r w:rsidR="007C073A">
        <w:t>Public Summary Document [</w:t>
      </w:r>
      <w:r w:rsidR="00E007EF" w:rsidRPr="001159D0">
        <w:t>PSD</w:t>
      </w:r>
      <w:r w:rsidR="007C073A">
        <w:t>]</w:t>
      </w:r>
      <w:r w:rsidR="00E007EF" w:rsidRPr="001159D0">
        <w:t>, November 2020)</w:t>
      </w:r>
      <w:r w:rsidR="00F20697" w:rsidRPr="001159D0">
        <w:t>.</w:t>
      </w:r>
    </w:p>
    <w:p w14:paraId="652B2DA9" w14:textId="3635C88A" w:rsidR="00B041D3" w:rsidRPr="001159D0" w:rsidRDefault="001159D0" w:rsidP="002E4F02">
      <w:pPr>
        <w:pStyle w:val="COMexecsumnumberedpara"/>
        <w:rPr>
          <w:color w:val="0066FF"/>
        </w:rPr>
      </w:pPr>
      <w:r>
        <w:rPr>
          <w:snapToGrid/>
        </w:rPr>
        <w:fldChar w:fldCharType="begin"/>
      </w:r>
      <w:r>
        <w:rPr>
          <w:snapToGrid/>
        </w:rPr>
        <w:instrText xml:space="preserve"> REF _Ref111811662 \h </w:instrText>
      </w:r>
      <w:r>
        <w:rPr>
          <w:snapToGrid/>
        </w:rPr>
      </w:r>
      <w:r>
        <w:rPr>
          <w:snapToGrid/>
        </w:rPr>
        <w:fldChar w:fldCharType="separate"/>
      </w:r>
      <w:r w:rsidR="00565456" w:rsidRPr="001159D0">
        <w:t xml:space="preserve">Table </w:t>
      </w:r>
      <w:r w:rsidR="00565456">
        <w:rPr>
          <w:noProof/>
        </w:rPr>
        <w:t>2</w:t>
      </w:r>
      <w:r>
        <w:rPr>
          <w:snapToGrid/>
        </w:rPr>
        <w:fldChar w:fldCharType="end"/>
      </w:r>
      <w:r>
        <w:rPr>
          <w:snapToGrid/>
        </w:rPr>
        <w:t xml:space="preserve"> </w:t>
      </w:r>
      <w:r w:rsidR="00B041D3" w:rsidRPr="001159D0">
        <w:rPr>
          <w:snapToGrid/>
        </w:rPr>
        <w:t>summarises the key matters of concern outstanding from the November 2020 submission for patiromer</w:t>
      </w:r>
      <w:r w:rsidR="00A979C2" w:rsidRPr="001159D0">
        <w:rPr>
          <w:snapToGrid/>
        </w:rPr>
        <w:t xml:space="preserve"> (</w:t>
      </w:r>
      <w:r w:rsidR="001A5716">
        <w:rPr>
          <w:snapToGrid/>
        </w:rPr>
        <w:t>p</w:t>
      </w:r>
      <w:r w:rsidR="00A979C2" w:rsidRPr="001159D0">
        <w:rPr>
          <w:snapToGrid/>
        </w:rPr>
        <w:t>atiromer PSD, November 2020)</w:t>
      </w:r>
      <w:r w:rsidR="00B041D3" w:rsidRPr="001159D0">
        <w:rPr>
          <w:snapToGrid/>
        </w:rPr>
        <w:t>.</w:t>
      </w:r>
    </w:p>
    <w:p w14:paraId="2A23A49F" w14:textId="77BE35F1" w:rsidR="005C25FF" w:rsidRPr="001159D0" w:rsidRDefault="00696EF9" w:rsidP="003636FD">
      <w:pPr>
        <w:pStyle w:val="COMtablefigcaption"/>
      </w:pPr>
      <w:bookmarkStart w:id="9" w:name="_Ref111811662"/>
      <w:r w:rsidRPr="001159D0">
        <w:t xml:space="preserve">Table </w:t>
      </w:r>
      <w:r w:rsidR="005F4857">
        <w:fldChar w:fldCharType="begin"/>
      </w:r>
      <w:r w:rsidR="005F4857">
        <w:instrText xml:space="preserve"> SE</w:instrText>
      </w:r>
      <w:r w:rsidR="005F4857">
        <w:instrText xml:space="preserve">Q Table \* ARABIC </w:instrText>
      </w:r>
      <w:r w:rsidR="005F4857">
        <w:fldChar w:fldCharType="separate"/>
      </w:r>
      <w:r w:rsidR="00565456">
        <w:rPr>
          <w:noProof/>
        </w:rPr>
        <w:t>2</w:t>
      </w:r>
      <w:r w:rsidR="005F4857">
        <w:rPr>
          <w:noProof/>
        </w:rPr>
        <w:fldChar w:fldCharType="end"/>
      </w:r>
      <w:bookmarkEnd w:id="9"/>
      <w:r w:rsidRPr="001159D0">
        <w:t>:</w:t>
      </w:r>
      <w:r w:rsidR="005C25FF" w:rsidRPr="001159D0">
        <w:t xml:space="preserve"> Summary of key matters of concern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4508"/>
        <w:gridCol w:w="4509"/>
      </w:tblGrid>
      <w:tr w:rsidR="00F20697" w:rsidRPr="002F6665" w14:paraId="5616DD7F" w14:textId="77777777" w:rsidTr="00C26D27">
        <w:trPr>
          <w:tblHeader/>
        </w:trPr>
        <w:tc>
          <w:tcPr>
            <w:tcW w:w="4508" w:type="dxa"/>
            <w:vAlign w:val="center"/>
          </w:tcPr>
          <w:p w14:paraId="0D4CFEF3" w14:textId="77777777" w:rsidR="00F20697" w:rsidRPr="002F6665" w:rsidRDefault="00F20697" w:rsidP="003636FD">
            <w:pPr>
              <w:pStyle w:val="TableText0"/>
              <w:jc w:val="center"/>
              <w:rPr>
                <w:rFonts w:eastAsia="Times New Roman" w:cs="Arial"/>
                <w:b/>
                <w:bCs w:val="0"/>
                <w:snapToGrid w:val="0"/>
                <w:szCs w:val="20"/>
              </w:rPr>
            </w:pPr>
            <w:r w:rsidRPr="002F6665">
              <w:rPr>
                <w:rFonts w:eastAsia="Times New Roman" w:cs="Arial"/>
                <w:b/>
                <w:bCs w:val="0"/>
                <w:snapToGrid w:val="0"/>
                <w:szCs w:val="20"/>
              </w:rPr>
              <w:t>Matters of concern</w:t>
            </w:r>
          </w:p>
          <w:p w14:paraId="5DDD7A4E" w14:textId="13407BB3" w:rsidR="00F20697" w:rsidRPr="002F6665" w:rsidRDefault="00F20697" w:rsidP="003636FD">
            <w:pPr>
              <w:pStyle w:val="TableText0"/>
              <w:jc w:val="center"/>
              <w:rPr>
                <w:rFonts w:eastAsia="Times New Roman" w:cs="Arial"/>
                <w:b/>
                <w:bCs w:val="0"/>
                <w:snapToGrid w:val="0"/>
                <w:szCs w:val="20"/>
              </w:rPr>
            </w:pPr>
            <w:r w:rsidRPr="002F6665">
              <w:rPr>
                <w:rFonts w:eastAsia="Times New Roman" w:cs="Arial"/>
                <w:b/>
                <w:bCs w:val="0"/>
                <w:snapToGrid w:val="0"/>
                <w:szCs w:val="20"/>
              </w:rPr>
              <w:t>(November 2020</w:t>
            </w:r>
            <w:r w:rsidR="0076779A" w:rsidRPr="002F6665">
              <w:rPr>
                <w:rFonts w:eastAsia="Times New Roman" w:cs="Arial"/>
                <w:b/>
                <w:bCs w:val="0"/>
                <w:snapToGrid w:val="0"/>
                <w:szCs w:val="20"/>
              </w:rPr>
              <w:t xml:space="preserve"> submission</w:t>
            </w:r>
            <w:r w:rsidRPr="002F6665">
              <w:rPr>
                <w:rFonts w:eastAsia="Times New Roman" w:cs="Arial"/>
                <w:b/>
                <w:bCs w:val="0"/>
                <w:snapToGrid w:val="0"/>
                <w:szCs w:val="20"/>
              </w:rPr>
              <w:t>)</w:t>
            </w:r>
          </w:p>
        </w:tc>
        <w:tc>
          <w:tcPr>
            <w:tcW w:w="4509" w:type="dxa"/>
            <w:vAlign w:val="center"/>
          </w:tcPr>
          <w:p w14:paraId="14A9EDDC" w14:textId="77777777" w:rsidR="00F20697" w:rsidRPr="002F6665" w:rsidRDefault="00F20697" w:rsidP="003636FD">
            <w:pPr>
              <w:pStyle w:val="TableText0"/>
              <w:jc w:val="center"/>
              <w:rPr>
                <w:rFonts w:eastAsia="Times New Roman" w:cs="Arial"/>
                <w:b/>
                <w:bCs w:val="0"/>
                <w:snapToGrid w:val="0"/>
                <w:szCs w:val="20"/>
              </w:rPr>
            </w:pPr>
            <w:r w:rsidRPr="002F6665">
              <w:rPr>
                <w:rFonts w:eastAsia="Times New Roman" w:cs="Arial"/>
                <w:b/>
                <w:bCs w:val="0"/>
                <w:snapToGrid w:val="0"/>
                <w:szCs w:val="20"/>
              </w:rPr>
              <w:t>Addressed in the resubmission</w:t>
            </w:r>
          </w:p>
        </w:tc>
      </w:tr>
      <w:tr w:rsidR="00F20697" w:rsidRPr="002F6665" w14:paraId="10F2A056" w14:textId="77777777" w:rsidTr="00C26D27">
        <w:tc>
          <w:tcPr>
            <w:tcW w:w="0" w:type="auto"/>
            <w:gridSpan w:val="2"/>
          </w:tcPr>
          <w:p w14:paraId="463C4367" w14:textId="77777777" w:rsidR="00F20697" w:rsidRPr="002F6665" w:rsidRDefault="00F20697" w:rsidP="003636FD">
            <w:pPr>
              <w:pStyle w:val="TableText0"/>
              <w:rPr>
                <w:b/>
              </w:rPr>
            </w:pPr>
            <w:r w:rsidRPr="002F6665">
              <w:rPr>
                <w:b/>
              </w:rPr>
              <w:t xml:space="preserve">Context and intended use </w:t>
            </w:r>
          </w:p>
        </w:tc>
      </w:tr>
      <w:tr w:rsidR="00F20697" w:rsidRPr="002F6665" w14:paraId="69D03D17" w14:textId="77777777" w:rsidTr="00C26D27">
        <w:tc>
          <w:tcPr>
            <w:tcW w:w="4508" w:type="dxa"/>
          </w:tcPr>
          <w:p w14:paraId="46FDB585" w14:textId="4A60BBA0" w:rsidR="00F20697" w:rsidRPr="002F6665" w:rsidRDefault="00F20697" w:rsidP="003636FD">
            <w:pPr>
              <w:pStyle w:val="Tabletext"/>
              <w:spacing w:before="0" w:after="0"/>
              <w:rPr>
                <w:b/>
              </w:rPr>
            </w:pPr>
            <w:r w:rsidRPr="002F6665">
              <w:rPr>
                <w:b/>
              </w:rPr>
              <w:t xml:space="preserve">Population and disease: </w:t>
            </w:r>
            <w:r w:rsidRPr="002F6665">
              <w:t>The ESC considered that the intended use of patiromer in the eligible Australian population remains unclear in terms of duration of treatment, intermittent versus continuous use, and interaction with other medicines used in chronic illness (para 4.6).</w:t>
            </w:r>
          </w:p>
        </w:tc>
        <w:tc>
          <w:tcPr>
            <w:tcW w:w="4509" w:type="dxa"/>
          </w:tcPr>
          <w:p w14:paraId="0E298497" w14:textId="5AC170B7" w:rsidR="00F20697" w:rsidRPr="002F6665" w:rsidRDefault="00F20697" w:rsidP="003636FD">
            <w:pPr>
              <w:pStyle w:val="Tabletext"/>
              <w:spacing w:before="0" w:after="0"/>
            </w:pPr>
            <w:r w:rsidRPr="002F6665">
              <w:t xml:space="preserve">The resubmission included expert opinion from Australian </w:t>
            </w:r>
            <w:r w:rsidR="00BF6D65" w:rsidRPr="002F6665">
              <w:t>clinicians</w:t>
            </w:r>
            <w:r w:rsidRPr="002F6665">
              <w:t xml:space="preserve"> (KOL survey 2) and patient data from the sponsor’s compassionate access program (VCAP) to inform duration of treatment in the Australian setting.</w:t>
            </w:r>
          </w:p>
        </w:tc>
      </w:tr>
      <w:tr w:rsidR="00F20697" w:rsidRPr="002F6665" w14:paraId="4B190EEB" w14:textId="77777777" w:rsidTr="00C26D27">
        <w:tc>
          <w:tcPr>
            <w:tcW w:w="4508" w:type="dxa"/>
          </w:tcPr>
          <w:p w14:paraId="74C489F2" w14:textId="69EFCCC9" w:rsidR="00F20697" w:rsidRPr="002F6665" w:rsidRDefault="00F20697" w:rsidP="0021041D">
            <w:pPr>
              <w:pStyle w:val="Tabletext"/>
              <w:keepNext w:val="0"/>
              <w:spacing w:before="0" w:after="0"/>
              <w:rPr>
                <w:b/>
                <w:bCs/>
              </w:rPr>
            </w:pPr>
            <w:r w:rsidRPr="002F6665">
              <w:rPr>
                <w:b/>
                <w:bCs/>
              </w:rPr>
              <w:t xml:space="preserve">Comparator: </w:t>
            </w:r>
            <w:r w:rsidRPr="002F6665">
              <w:t>The PBAC considered that intermittent use of SPS/CPS resins was an appropriate comparator (para 7.1).</w:t>
            </w:r>
          </w:p>
        </w:tc>
        <w:tc>
          <w:tcPr>
            <w:tcW w:w="4509" w:type="dxa"/>
          </w:tcPr>
          <w:p w14:paraId="32ED0D04" w14:textId="14AF7977" w:rsidR="00F20697" w:rsidRPr="002F6665" w:rsidRDefault="00F20697" w:rsidP="0021041D">
            <w:pPr>
              <w:pStyle w:val="TableText0"/>
              <w:keepNext w:val="0"/>
            </w:pPr>
            <w:r w:rsidRPr="002F6665">
              <w:t>The resubmission nominated use of SPS/CPS resins as a secondary comparator</w:t>
            </w:r>
            <w:r w:rsidR="009B3E13" w:rsidRPr="002F6665">
              <w:t>.</w:t>
            </w:r>
          </w:p>
        </w:tc>
      </w:tr>
      <w:tr w:rsidR="00F20697" w:rsidRPr="002F6665" w14:paraId="19C9B9D4" w14:textId="77777777" w:rsidTr="00C26D27">
        <w:tc>
          <w:tcPr>
            <w:tcW w:w="4508" w:type="dxa"/>
          </w:tcPr>
          <w:p w14:paraId="1B5E3D9E" w14:textId="77777777" w:rsidR="00F20697" w:rsidRPr="002F6665" w:rsidRDefault="00F20697" w:rsidP="0021041D">
            <w:pPr>
              <w:pStyle w:val="Tabletext"/>
              <w:keepNext w:val="0"/>
              <w:spacing w:before="0" w:after="0"/>
              <w:rPr>
                <w:b/>
                <w:bCs/>
              </w:rPr>
            </w:pPr>
            <w:r w:rsidRPr="002F6665">
              <w:rPr>
                <w:b/>
                <w:bCs/>
              </w:rPr>
              <w:t xml:space="preserve">Requested restriction: </w:t>
            </w:r>
            <w:r w:rsidRPr="002F6665">
              <w:t>The PBAC considered future proposed restrictions would need to:</w:t>
            </w:r>
          </w:p>
          <w:p w14:paraId="096E8DA0" w14:textId="77777777" w:rsidR="00F20697" w:rsidRPr="002F6665" w:rsidRDefault="00F20697" w:rsidP="00804745">
            <w:pPr>
              <w:pStyle w:val="Tabletext"/>
              <w:keepNext w:val="0"/>
              <w:numPr>
                <w:ilvl w:val="0"/>
                <w:numId w:val="15"/>
              </w:numPr>
              <w:spacing w:before="0" w:after="0"/>
              <w:ind w:left="170" w:hanging="170"/>
            </w:pPr>
            <w:r w:rsidRPr="002F6665">
              <w:t>specify that patients must be treated by a specialist medical practitioner.</w:t>
            </w:r>
          </w:p>
          <w:p w14:paraId="713BE194" w14:textId="77777777" w:rsidR="00F20697" w:rsidRPr="002F6665" w:rsidRDefault="00F20697" w:rsidP="00804745">
            <w:pPr>
              <w:pStyle w:val="Tabletext"/>
              <w:keepNext w:val="0"/>
              <w:numPr>
                <w:ilvl w:val="0"/>
                <w:numId w:val="15"/>
              </w:numPr>
              <w:spacing w:before="0" w:after="0"/>
              <w:ind w:left="170" w:hanging="170"/>
            </w:pPr>
            <w:r w:rsidRPr="002F6665">
              <w:t>restrict use to patients with CKD stage 3-4 only.</w:t>
            </w:r>
          </w:p>
          <w:p w14:paraId="2149DC49" w14:textId="77777777" w:rsidR="00F20697" w:rsidRPr="002F6665" w:rsidRDefault="00F20697" w:rsidP="00804745">
            <w:pPr>
              <w:pStyle w:val="Tabletext"/>
              <w:keepNext w:val="0"/>
              <w:numPr>
                <w:ilvl w:val="0"/>
                <w:numId w:val="15"/>
              </w:numPr>
              <w:spacing w:before="0" w:after="0"/>
              <w:ind w:left="170" w:hanging="170"/>
            </w:pPr>
            <w:r w:rsidRPr="002F6665">
              <w:t>add a stopping rule for continuing patients who commence dialysis.</w:t>
            </w:r>
          </w:p>
          <w:p w14:paraId="4478EEE5" w14:textId="6E3EA2AA" w:rsidR="00F20697" w:rsidRPr="002F6665" w:rsidRDefault="00F20697" w:rsidP="00804745">
            <w:pPr>
              <w:pStyle w:val="Tabletext"/>
              <w:keepNext w:val="0"/>
              <w:numPr>
                <w:ilvl w:val="0"/>
                <w:numId w:val="15"/>
              </w:numPr>
              <w:spacing w:before="0" w:after="0"/>
              <w:ind w:left="170" w:hanging="170"/>
              <w:rPr>
                <w:rFonts w:eastAsia="Times New Roman" w:cs="Arial"/>
                <w:bCs/>
                <w:snapToGrid w:val="0"/>
              </w:rPr>
            </w:pPr>
            <w:r w:rsidRPr="002F6665">
              <w:t>include criteria that the patient must have previously attempted a low K+ diet (para 3.5-3.6)</w:t>
            </w:r>
            <w:r w:rsidR="00DA1FE4" w:rsidRPr="002F6665">
              <w:t>.</w:t>
            </w:r>
          </w:p>
        </w:tc>
        <w:tc>
          <w:tcPr>
            <w:tcW w:w="4509" w:type="dxa"/>
          </w:tcPr>
          <w:p w14:paraId="6E719497" w14:textId="77777777" w:rsidR="00F20697" w:rsidRPr="002F6665" w:rsidRDefault="00F20697" w:rsidP="0021041D">
            <w:pPr>
              <w:pStyle w:val="Tabletext"/>
              <w:keepNext w:val="0"/>
              <w:spacing w:before="0" w:after="0"/>
            </w:pPr>
            <w:r w:rsidRPr="002F6665">
              <w:t>The proposed PBS restriction:</w:t>
            </w:r>
          </w:p>
          <w:p w14:paraId="165E570D" w14:textId="77777777" w:rsidR="00F20697" w:rsidRPr="002F6665" w:rsidRDefault="00F20697" w:rsidP="00804745">
            <w:pPr>
              <w:pStyle w:val="Tabletext"/>
              <w:keepNext w:val="0"/>
              <w:numPr>
                <w:ilvl w:val="0"/>
                <w:numId w:val="15"/>
              </w:numPr>
              <w:spacing w:before="0" w:after="0"/>
              <w:ind w:left="170" w:hanging="170"/>
            </w:pPr>
            <w:r w:rsidRPr="002F6665">
              <w:t>Limits initial prescribing to specialist medical practitioners.</w:t>
            </w:r>
          </w:p>
          <w:p w14:paraId="3C3E3A4E" w14:textId="77777777" w:rsidR="00F20697" w:rsidRPr="002F6665" w:rsidRDefault="00F20697" w:rsidP="00804745">
            <w:pPr>
              <w:pStyle w:val="Tabletext"/>
              <w:keepNext w:val="0"/>
              <w:numPr>
                <w:ilvl w:val="0"/>
                <w:numId w:val="15"/>
              </w:numPr>
              <w:spacing w:before="0" w:after="0"/>
              <w:ind w:left="170" w:hanging="170"/>
            </w:pPr>
            <w:r w:rsidRPr="002F6665">
              <w:t xml:space="preserve">Requests a restriction level of Authority Required (telephone) for treatment initiation.  </w:t>
            </w:r>
          </w:p>
          <w:p w14:paraId="3A4F9F19" w14:textId="77777777" w:rsidR="00F20697" w:rsidRPr="002F6665" w:rsidRDefault="00F20697" w:rsidP="00804745">
            <w:pPr>
              <w:pStyle w:val="Tabletext"/>
              <w:keepNext w:val="0"/>
              <w:numPr>
                <w:ilvl w:val="0"/>
                <w:numId w:val="15"/>
              </w:numPr>
              <w:spacing w:before="0" w:after="0"/>
              <w:ind w:left="170" w:hanging="170"/>
            </w:pPr>
            <w:r w:rsidRPr="002F6665">
              <w:t>Limits initiation to patients with CKD Stage 3-4.</w:t>
            </w:r>
          </w:p>
          <w:p w14:paraId="1B9756FA" w14:textId="77777777" w:rsidR="00F20697" w:rsidRPr="002F6665" w:rsidRDefault="00F20697" w:rsidP="00804745">
            <w:pPr>
              <w:pStyle w:val="Tabletext"/>
              <w:keepNext w:val="0"/>
              <w:numPr>
                <w:ilvl w:val="0"/>
                <w:numId w:val="15"/>
              </w:numPr>
              <w:spacing w:before="0" w:after="0"/>
              <w:ind w:left="170" w:hanging="170"/>
            </w:pPr>
            <w:r w:rsidRPr="002F6665">
              <w:t xml:space="preserve">Includes criteria that the patient must have previously attempted a low K+ diet. </w:t>
            </w:r>
          </w:p>
          <w:p w14:paraId="17F086F2" w14:textId="77777777" w:rsidR="00F20697" w:rsidRPr="002F6665" w:rsidRDefault="00F20697" w:rsidP="00804745">
            <w:pPr>
              <w:pStyle w:val="Tabletext"/>
              <w:keepNext w:val="0"/>
              <w:numPr>
                <w:ilvl w:val="0"/>
                <w:numId w:val="15"/>
              </w:numPr>
              <w:spacing w:before="0" w:after="0"/>
              <w:ind w:left="170" w:hanging="170"/>
            </w:pPr>
            <w:r w:rsidRPr="002F6665">
              <w:t>Includes a stopping rule for continuing patients who commence dialysis.</w:t>
            </w:r>
          </w:p>
          <w:p w14:paraId="0175A864" w14:textId="0E791B34" w:rsidR="00F20697" w:rsidRPr="002F6665" w:rsidRDefault="00F20697" w:rsidP="0021041D">
            <w:pPr>
              <w:pStyle w:val="Tabletext"/>
              <w:keepNext w:val="0"/>
              <w:spacing w:before="0" w:after="0"/>
            </w:pPr>
            <w:r w:rsidRPr="002F6665">
              <w:t>The proposed stopping rule allows continuing treatment of patients with ESKD.</w:t>
            </w:r>
          </w:p>
        </w:tc>
      </w:tr>
      <w:tr w:rsidR="00F20697" w:rsidRPr="002F6665" w14:paraId="4C082A2A" w14:textId="77777777" w:rsidTr="00C26D27">
        <w:tc>
          <w:tcPr>
            <w:tcW w:w="0" w:type="auto"/>
            <w:gridSpan w:val="2"/>
          </w:tcPr>
          <w:p w14:paraId="6AEAC804" w14:textId="77777777" w:rsidR="00F20697" w:rsidRPr="002F6665" w:rsidRDefault="00F20697" w:rsidP="0021041D">
            <w:pPr>
              <w:pStyle w:val="TableText0"/>
              <w:keepNext w:val="0"/>
              <w:rPr>
                <w:b/>
              </w:rPr>
            </w:pPr>
            <w:r w:rsidRPr="002F6665">
              <w:rPr>
                <w:b/>
              </w:rPr>
              <w:t>Clinical evidence</w:t>
            </w:r>
          </w:p>
        </w:tc>
      </w:tr>
      <w:tr w:rsidR="00F20697" w:rsidRPr="002F6665" w14:paraId="500A6DD5" w14:textId="77777777" w:rsidTr="00C26D27">
        <w:tc>
          <w:tcPr>
            <w:tcW w:w="4508" w:type="dxa"/>
          </w:tcPr>
          <w:p w14:paraId="70467448" w14:textId="77C5471E" w:rsidR="00F20697" w:rsidRPr="002F6665" w:rsidRDefault="00F20697" w:rsidP="0021041D">
            <w:pPr>
              <w:pStyle w:val="Tabletext"/>
              <w:keepNext w:val="0"/>
              <w:spacing w:before="0" w:after="0"/>
              <w:rPr>
                <w:b/>
                <w:bCs/>
              </w:rPr>
            </w:pPr>
            <w:r w:rsidRPr="002F6665">
              <w:rPr>
                <w:b/>
                <w:bCs/>
              </w:rPr>
              <w:t xml:space="preserve">Efficacy of patiromer: </w:t>
            </w:r>
            <w:r w:rsidRPr="002F6665">
              <w:rPr>
                <w:bCs/>
              </w:rPr>
              <w:t>The PBAC considered that the benefit of patiromer in terms of patient-relevant outcomes in the Australian setting was uncertain, and that the resubmission had not adequately accounted for SPS and CPS resins as a comparator (para 7.1).</w:t>
            </w:r>
          </w:p>
        </w:tc>
        <w:tc>
          <w:tcPr>
            <w:tcW w:w="4509" w:type="dxa"/>
          </w:tcPr>
          <w:p w14:paraId="59E7E4FE" w14:textId="77777777" w:rsidR="00F20697" w:rsidRPr="002F6665" w:rsidRDefault="00F20697" w:rsidP="0021041D">
            <w:pPr>
              <w:pStyle w:val="Tabletext"/>
              <w:keepNext w:val="0"/>
              <w:spacing w:before="0" w:after="0"/>
            </w:pPr>
            <w:r w:rsidRPr="002F6665">
              <w:t>The resubmission presented:</w:t>
            </w:r>
          </w:p>
          <w:p w14:paraId="3048C169" w14:textId="77777777" w:rsidR="00F20697" w:rsidRPr="002F6665" w:rsidRDefault="00F20697" w:rsidP="00804745">
            <w:pPr>
              <w:pStyle w:val="Tabletext"/>
              <w:keepNext w:val="0"/>
              <w:numPr>
                <w:ilvl w:val="0"/>
                <w:numId w:val="15"/>
              </w:numPr>
              <w:spacing w:before="0" w:after="0"/>
              <w:ind w:left="170" w:hanging="170"/>
            </w:pPr>
            <w:r w:rsidRPr="002F6665">
              <w:t xml:space="preserve">Long-term efficacy and safety data for patiromer, and patiromer utilisation data from observational studies, VCAP, and KOL survey 2. </w:t>
            </w:r>
          </w:p>
          <w:p w14:paraId="7230AA84" w14:textId="6AE936EB" w:rsidR="00F20697" w:rsidRPr="002F6665" w:rsidRDefault="00F20697" w:rsidP="00804745">
            <w:pPr>
              <w:pStyle w:val="Tabletext"/>
              <w:keepNext w:val="0"/>
              <w:numPr>
                <w:ilvl w:val="0"/>
                <w:numId w:val="15"/>
              </w:numPr>
              <w:spacing w:before="0" w:after="0"/>
              <w:ind w:left="170" w:hanging="170"/>
            </w:pPr>
            <w:r w:rsidRPr="002F6665">
              <w:t>A naïve indirect comparison of patiromer compared to SPS/CPS resins.</w:t>
            </w:r>
          </w:p>
        </w:tc>
      </w:tr>
      <w:tr w:rsidR="00F20697" w:rsidRPr="002F6665" w14:paraId="09538028" w14:textId="77777777" w:rsidTr="00C26D27">
        <w:tc>
          <w:tcPr>
            <w:tcW w:w="4508" w:type="dxa"/>
          </w:tcPr>
          <w:p w14:paraId="3B24632A" w14:textId="4024877F" w:rsidR="00F20697" w:rsidRPr="002F6665" w:rsidRDefault="00F20697" w:rsidP="0021041D">
            <w:pPr>
              <w:pStyle w:val="Tabletext"/>
              <w:keepNext w:val="0"/>
              <w:spacing w:before="0" w:after="0"/>
            </w:pPr>
            <w:r w:rsidRPr="002F6665">
              <w:rPr>
                <w:rFonts w:cstheme="minorHAnsi"/>
              </w:rPr>
              <w:t xml:space="preserve">The PBAC considered that SPS/CPS resins are used intermittently in the treatment of recurrent hyperkalaemia in some patients, and patiromer also appears to be used </w:t>
            </w:r>
            <w:r w:rsidRPr="002F6665">
              <w:rPr>
                <w:rFonts w:cstheme="minorHAnsi"/>
              </w:rPr>
              <w:lastRenderedPageBreak/>
              <w:t>predominantly as a short-term and intermittent treatment (para 7.2).</w:t>
            </w:r>
          </w:p>
        </w:tc>
        <w:tc>
          <w:tcPr>
            <w:tcW w:w="4509" w:type="dxa"/>
          </w:tcPr>
          <w:p w14:paraId="7DFD137A" w14:textId="43AAD413" w:rsidR="00F20697" w:rsidRPr="002F6665" w:rsidRDefault="00F20697" w:rsidP="0021041D">
            <w:pPr>
              <w:pStyle w:val="Tabletext"/>
              <w:keepNext w:val="0"/>
              <w:spacing w:before="0" w:after="0"/>
              <w:rPr>
                <w:rFonts w:cs="Arial"/>
              </w:rPr>
            </w:pPr>
            <w:r w:rsidRPr="002F6665">
              <w:rPr>
                <w:rFonts w:cs="Arial"/>
              </w:rPr>
              <w:lastRenderedPageBreak/>
              <w:t xml:space="preserve">The resubmission presented patiromer utilisation data from three patiromer retrospective observational studies, patient data from the sponsor’s VCAP and opinion from the KOL survey 2 for median duration of patiromer treatment. </w:t>
            </w:r>
          </w:p>
          <w:p w14:paraId="70E12BA0" w14:textId="0718B036" w:rsidR="00F20697" w:rsidRPr="002F6665" w:rsidRDefault="00F20697" w:rsidP="0021041D">
            <w:pPr>
              <w:pStyle w:val="Tabletext"/>
              <w:keepNext w:val="0"/>
              <w:spacing w:before="0" w:after="0"/>
              <w:rPr>
                <w:u w:val="single"/>
              </w:rPr>
            </w:pPr>
            <w:r w:rsidRPr="002F6665">
              <w:rPr>
                <w:rFonts w:cs="Arial"/>
              </w:rPr>
              <w:lastRenderedPageBreak/>
              <w:t>Treatment duration was also presented for SPS/CPS resins.</w:t>
            </w:r>
          </w:p>
        </w:tc>
      </w:tr>
      <w:tr w:rsidR="00F20697" w:rsidRPr="002F6665" w14:paraId="3EF20001" w14:textId="77777777" w:rsidTr="00C26D27">
        <w:tc>
          <w:tcPr>
            <w:tcW w:w="4508" w:type="dxa"/>
          </w:tcPr>
          <w:p w14:paraId="636828B7" w14:textId="4A7BAD65" w:rsidR="00F20697" w:rsidRPr="002F6665" w:rsidRDefault="00F20697" w:rsidP="0021041D">
            <w:pPr>
              <w:pStyle w:val="Tabletext"/>
              <w:keepNext w:val="0"/>
              <w:spacing w:before="0" w:after="0"/>
            </w:pPr>
            <w:r w:rsidRPr="002F6665">
              <w:lastRenderedPageBreak/>
              <w:t>The PBAC considered that the risks of hypokalaemia and hypomagnesaemia were not adequately addressed (para 7.5).</w:t>
            </w:r>
          </w:p>
        </w:tc>
        <w:tc>
          <w:tcPr>
            <w:tcW w:w="4509" w:type="dxa"/>
          </w:tcPr>
          <w:p w14:paraId="2DEED870" w14:textId="247CB49C" w:rsidR="00F20697" w:rsidRPr="002F6665" w:rsidRDefault="00F20697" w:rsidP="0021041D">
            <w:pPr>
              <w:pStyle w:val="Tabletext"/>
              <w:keepNext w:val="0"/>
              <w:spacing w:before="0" w:after="0"/>
            </w:pPr>
            <w:r w:rsidRPr="002F6665">
              <w:t>The resubmission presented safety data from the OPAL-HK and AMETHYST-DN trials, and post-marketing data from the most recent patiromer PSUR.</w:t>
            </w:r>
          </w:p>
        </w:tc>
      </w:tr>
      <w:tr w:rsidR="00F20697" w:rsidRPr="002F6665" w14:paraId="575F5075" w14:textId="77777777" w:rsidTr="00C26D27">
        <w:tc>
          <w:tcPr>
            <w:tcW w:w="4508" w:type="dxa"/>
          </w:tcPr>
          <w:p w14:paraId="64F6EC7F" w14:textId="60A8EE97" w:rsidR="00F20697" w:rsidRPr="002F6665" w:rsidRDefault="00F20697" w:rsidP="0021041D">
            <w:pPr>
              <w:pStyle w:val="Tabletext"/>
              <w:keepNext w:val="0"/>
              <w:spacing w:before="0" w:after="0"/>
              <w:rPr>
                <w:rFonts w:cstheme="minorHAnsi"/>
              </w:rPr>
            </w:pPr>
            <w:r w:rsidRPr="002F6665">
              <w:rPr>
                <w:rFonts w:cstheme="minorHAnsi"/>
              </w:rPr>
              <w:t>The PBAC considered any available data from the DIAMOND trial should be included any resubmission (para 7.10).</w:t>
            </w:r>
          </w:p>
        </w:tc>
        <w:tc>
          <w:tcPr>
            <w:tcW w:w="4509" w:type="dxa"/>
          </w:tcPr>
          <w:p w14:paraId="6FDB9E93" w14:textId="115ED5F3" w:rsidR="00F20697" w:rsidRPr="002F6665" w:rsidRDefault="00F20697" w:rsidP="0021041D">
            <w:pPr>
              <w:pStyle w:val="Tabletext"/>
              <w:keepNext w:val="0"/>
              <w:spacing w:before="0" w:after="0"/>
              <w:rPr>
                <w:rFonts w:cs="Arial"/>
              </w:rPr>
            </w:pPr>
            <w:r w:rsidRPr="002F6665">
              <w:rPr>
                <w:rFonts w:cs="Arial"/>
              </w:rPr>
              <w:t>The resubmission presented available results from the DIAMOND trial.</w:t>
            </w:r>
            <w:r w:rsidR="003F5D6D" w:rsidRPr="002F6665">
              <w:rPr>
                <w:rFonts w:cs="Arial"/>
              </w:rPr>
              <w:t xml:space="preserve"> However, the trial was impacted by COVID-19 and</w:t>
            </w:r>
            <w:r w:rsidR="00C6370A" w:rsidRPr="002F6665">
              <w:rPr>
                <w:rFonts w:cs="Arial"/>
              </w:rPr>
              <w:t xml:space="preserve"> the primary outcome of the trial was changed from cardiovascular outcomes to change from baseline serum K+.</w:t>
            </w:r>
          </w:p>
        </w:tc>
      </w:tr>
      <w:tr w:rsidR="00F20697" w:rsidRPr="002F6665" w14:paraId="672F2B35" w14:textId="77777777" w:rsidTr="00C26D27">
        <w:tc>
          <w:tcPr>
            <w:tcW w:w="4508" w:type="dxa"/>
          </w:tcPr>
          <w:p w14:paraId="7E9E776F" w14:textId="771DC7E6" w:rsidR="00F20697" w:rsidRPr="002F6665" w:rsidRDefault="00F20697" w:rsidP="0021041D">
            <w:pPr>
              <w:pStyle w:val="Tabletext"/>
              <w:keepNext w:val="0"/>
              <w:spacing w:before="0" w:after="0"/>
              <w:rPr>
                <w:rFonts w:cs="Arial"/>
              </w:rPr>
            </w:pPr>
            <w:r w:rsidRPr="002F6665">
              <w:t>The PBAC identified issues of concern with the OPAL-HK trial related to monitoring, long-term optimisation and maintenance of RAASi treatment, small sample size and enriched population, high risk of bias, short duration, differences in RAASi titration protocols between treatment arms, and maximum patiromer dose (para 7.3).</w:t>
            </w:r>
          </w:p>
        </w:tc>
        <w:tc>
          <w:tcPr>
            <w:tcW w:w="4509" w:type="dxa"/>
          </w:tcPr>
          <w:p w14:paraId="2058E2D9" w14:textId="77777777" w:rsidR="00F20697" w:rsidRPr="002F6665" w:rsidRDefault="00F20697" w:rsidP="0021041D">
            <w:pPr>
              <w:pStyle w:val="Tabletext"/>
              <w:keepNext w:val="0"/>
              <w:spacing w:before="0" w:after="0"/>
            </w:pPr>
            <w:r w:rsidRPr="002F6665">
              <w:t>The resubmission presented:</w:t>
            </w:r>
          </w:p>
          <w:p w14:paraId="0D036CB0" w14:textId="77777777" w:rsidR="00F20697" w:rsidRPr="002F6665" w:rsidRDefault="00F20697" w:rsidP="00804745">
            <w:pPr>
              <w:pStyle w:val="Tabletext"/>
              <w:keepNext w:val="0"/>
              <w:numPr>
                <w:ilvl w:val="0"/>
                <w:numId w:val="15"/>
              </w:numPr>
              <w:spacing w:before="0" w:after="0"/>
              <w:ind w:left="170" w:hanging="170"/>
            </w:pPr>
            <w:r w:rsidRPr="002F6665">
              <w:t>RAASi enablement outcome data for AMETHYST-DN.</w:t>
            </w:r>
          </w:p>
          <w:p w14:paraId="576D44D9" w14:textId="43A6E78A" w:rsidR="00F20697" w:rsidRPr="002F6665" w:rsidRDefault="00F20697" w:rsidP="00804745">
            <w:pPr>
              <w:pStyle w:val="Tabletext"/>
              <w:keepNext w:val="0"/>
              <w:numPr>
                <w:ilvl w:val="0"/>
                <w:numId w:val="15"/>
              </w:numPr>
              <w:spacing w:before="0" w:after="0"/>
              <w:ind w:left="170" w:hanging="170"/>
            </w:pPr>
            <w:r w:rsidRPr="002F6665">
              <w:t>A post hoc propensity score matched analysis of AMETHYST-DN data with real-world CKD data.</w:t>
            </w:r>
          </w:p>
          <w:p w14:paraId="15F7196B" w14:textId="750D7CA2" w:rsidR="00F20697" w:rsidRPr="002F6665" w:rsidRDefault="00F20697" w:rsidP="00804745">
            <w:pPr>
              <w:pStyle w:val="Tabletext"/>
              <w:keepNext w:val="0"/>
              <w:numPr>
                <w:ilvl w:val="0"/>
                <w:numId w:val="15"/>
              </w:numPr>
              <w:spacing w:before="0" w:after="0"/>
              <w:ind w:left="170" w:hanging="170"/>
            </w:pPr>
            <w:r w:rsidRPr="002F6665">
              <w:t>A post hoc pooled meta-analysis of analysis of serum K+ reduction from the initial 4-week periods of OPAL-HK, AMETHYST-DN, and TOURMALINE trials.</w:t>
            </w:r>
          </w:p>
          <w:p w14:paraId="4396D684" w14:textId="5558267B" w:rsidR="00F20697" w:rsidRPr="002F6665" w:rsidRDefault="00F20697" w:rsidP="00804745">
            <w:pPr>
              <w:pStyle w:val="Tabletext"/>
              <w:keepNext w:val="0"/>
              <w:numPr>
                <w:ilvl w:val="0"/>
                <w:numId w:val="15"/>
              </w:numPr>
              <w:spacing w:before="0" w:after="0"/>
              <w:ind w:left="170" w:hanging="170"/>
            </w:pPr>
            <w:r w:rsidRPr="002F6665">
              <w:t>Long term efficacy and safety outcomes and utilisation data from three patiromer observational studies.</w:t>
            </w:r>
          </w:p>
          <w:p w14:paraId="0CB06C15" w14:textId="56AC934E" w:rsidR="00F20697" w:rsidRPr="002F6665" w:rsidRDefault="00F20697" w:rsidP="00804745">
            <w:pPr>
              <w:pStyle w:val="Tabletext"/>
              <w:keepNext w:val="0"/>
              <w:numPr>
                <w:ilvl w:val="0"/>
                <w:numId w:val="15"/>
              </w:numPr>
              <w:spacing w:before="0" w:after="0"/>
              <w:ind w:left="170" w:hanging="170"/>
            </w:pPr>
            <w:r w:rsidRPr="002F6665">
              <w:t>patiromer utilisation data from the sponsor’s VCAP.</w:t>
            </w:r>
          </w:p>
        </w:tc>
      </w:tr>
      <w:tr w:rsidR="00F20697" w:rsidRPr="002F6665" w14:paraId="18C728F2" w14:textId="77777777" w:rsidTr="00C26D27">
        <w:tc>
          <w:tcPr>
            <w:tcW w:w="4508" w:type="dxa"/>
          </w:tcPr>
          <w:p w14:paraId="17997855" w14:textId="5EE06E32" w:rsidR="00F20697" w:rsidRPr="002F6665" w:rsidRDefault="00F20697" w:rsidP="0021041D">
            <w:pPr>
              <w:pStyle w:val="Tabletext"/>
              <w:keepNext w:val="0"/>
              <w:spacing w:before="0" w:after="0"/>
            </w:pPr>
            <w:r w:rsidRPr="002F6665">
              <w:rPr>
                <w:b/>
                <w:bCs/>
              </w:rPr>
              <w:t>Clinical claim:</w:t>
            </w:r>
            <w:r w:rsidRPr="002F6665">
              <w:t xml:space="preserve"> The PBAC considered that the claim of inferior comparative safety compared to standard care was reasonable, noting the potential for hypokalaemia and hypomagnesaemia (para 6.46).</w:t>
            </w:r>
          </w:p>
        </w:tc>
        <w:tc>
          <w:tcPr>
            <w:tcW w:w="4509" w:type="dxa"/>
          </w:tcPr>
          <w:p w14:paraId="75AA13D1" w14:textId="39D3A4C8" w:rsidR="00F20697" w:rsidRPr="002F6665" w:rsidRDefault="00F20697" w:rsidP="0021041D">
            <w:pPr>
              <w:pStyle w:val="Tabletext"/>
              <w:keepNext w:val="0"/>
              <w:spacing w:before="0" w:after="0"/>
            </w:pPr>
            <w:r w:rsidRPr="002F6665">
              <w:t>The resubmission claimed patiromer has noninferior safety compared to standard care, based on the</w:t>
            </w:r>
            <w:r w:rsidR="00112140" w:rsidRPr="002F6665">
              <w:t xml:space="preserve"> low</w:t>
            </w:r>
            <w:r w:rsidRPr="002F6665">
              <w:t xml:space="preserve"> incidence of adverse events </w:t>
            </w:r>
            <w:r w:rsidR="00112140" w:rsidRPr="002F6665">
              <w:t xml:space="preserve">in clinical trials, observational studies and </w:t>
            </w:r>
            <w:r w:rsidRPr="002F6665">
              <w:t>post-marketing data.</w:t>
            </w:r>
          </w:p>
        </w:tc>
      </w:tr>
      <w:tr w:rsidR="00F20697" w:rsidRPr="002F6665" w14:paraId="18A64C46" w14:textId="77777777" w:rsidTr="00C26D27">
        <w:tc>
          <w:tcPr>
            <w:tcW w:w="0" w:type="auto"/>
            <w:gridSpan w:val="2"/>
          </w:tcPr>
          <w:p w14:paraId="2B7A94AC" w14:textId="77777777" w:rsidR="00F20697" w:rsidRPr="002F6665" w:rsidRDefault="00F20697" w:rsidP="0021041D">
            <w:pPr>
              <w:pStyle w:val="TableText0"/>
              <w:keepNext w:val="0"/>
              <w:rPr>
                <w:b/>
              </w:rPr>
            </w:pPr>
            <w:r w:rsidRPr="002F6665">
              <w:rPr>
                <w:b/>
              </w:rPr>
              <w:t>Economic model</w:t>
            </w:r>
          </w:p>
        </w:tc>
      </w:tr>
      <w:tr w:rsidR="00F20697" w:rsidRPr="002F6665" w14:paraId="41867822" w14:textId="77777777" w:rsidTr="00C26D27">
        <w:tc>
          <w:tcPr>
            <w:tcW w:w="4508" w:type="dxa"/>
          </w:tcPr>
          <w:p w14:paraId="3EC8DF57" w14:textId="1A6B78B6" w:rsidR="00F20697" w:rsidRPr="002F6665" w:rsidRDefault="00F20697" w:rsidP="0021041D">
            <w:pPr>
              <w:pStyle w:val="COMTabletext"/>
              <w:keepNext w:val="0"/>
              <w:rPr>
                <w:szCs w:val="20"/>
              </w:rPr>
            </w:pPr>
            <w:r w:rsidRPr="002F6665">
              <w:rPr>
                <w:b/>
                <w:bCs w:val="0"/>
                <w:szCs w:val="20"/>
              </w:rPr>
              <w:t>Duration of therapy</w:t>
            </w:r>
            <w:r w:rsidRPr="002F6665">
              <w:rPr>
                <w:szCs w:val="20"/>
              </w:rPr>
              <w:t>: The economic model assumed a median duration of patiromer treatment of 3 months and a maximum of 12 months. The PBAC considered it was highly implausible that short-term patiromer treatment would lead to patients remaining on full RAASi therapy for a prolonged period and gaining long-term cardiovascular and renal benefits</w:t>
            </w:r>
            <w:r w:rsidRPr="002F6665">
              <w:t xml:space="preserve"> </w:t>
            </w:r>
            <w:r w:rsidRPr="002F6665">
              <w:rPr>
                <w:szCs w:val="20"/>
              </w:rPr>
              <w:t>(para 7.7).</w:t>
            </w:r>
          </w:p>
        </w:tc>
        <w:tc>
          <w:tcPr>
            <w:tcW w:w="4509" w:type="dxa"/>
          </w:tcPr>
          <w:p w14:paraId="3B2CD224" w14:textId="65759947" w:rsidR="00F20697" w:rsidRPr="002F6665" w:rsidRDefault="00F20697" w:rsidP="0021041D">
            <w:pPr>
              <w:pStyle w:val="TableText0"/>
              <w:keepNext w:val="0"/>
              <w:rPr>
                <w:u w:val="single"/>
              </w:rPr>
            </w:pPr>
            <w:r w:rsidRPr="002F6665">
              <w:t xml:space="preserve">The resubmission included new patiromer utilisation estimates (median duration of 4-5 months and a maximum of 30 years) with patiromer re-treatment allowed for severe hyperkalaemia episodes. The resubmission also presented new RAASi transition probabilities for discontinuation, reduction and restart. The resubmission maintained the claim that </w:t>
            </w:r>
            <w:r w:rsidRPr="002F6665">
              <w:rPr>
                <w:szCs w:val="20"/>
              </w:rPr>
              <w:t>short-term patiromer treatment would lead to patients remaining on maximal RAASi therapy for a prolonged period and gaining long-term cardiovascular and renal benefits.</w:t>
            </w:r>
          </w:p>
        </w:tc>
      </w:tr>
      <w:tr w:rsidR="00F20697" w:rsidRPr="002F6665" w14:paraId="0E6430E7" w14:textId="77777777" w:rsidTr="00C26D27">
        <w:tc>
          <w:tcPr>
            <w:tcW w:w="4508" w:type="dxa"/>
          </w:tcPr>
          <w:p w14:paraId="5C43E4E0" w14:textId="6D4AF38C" w:rsidR="00F20697" w:rsidRPr="002F6665" w:rsidRDefault="00F20697" w:rsidP="0021041D">
            <w:pPr>
              <w:pStyle w:val="COMTabletext"/>
              <w:keepNext w:val="0"/>
              <w:rPr>
                <w:rFonts w:eastAsia="Times New Roman"/>
              </w:rPr>
            </w:pPr>
            <w:r w:rsidRPr="002F6665">
              <w:rPr>
                <w:rFonts w:eastAsia="Times New Roman" w:cs="Arial"/>
                <w:b/>
                <w:snapToGrid w:val="0"/>
                <w:color w:val="000000" w:themeColor="text1"/>
                <w:szCs w:val="20"/>
              </w:rPr>
              <w:t>Transition probabilities</w:t>
            </w:r>
            <w:r w:rsidRPr="002F6665">
              <w:rPr>
                <w:rFonts w:eastAsia="Times New Roman" w:cs="Arial"/>
                <w:bCs w:val="0"/>
                <w:snapToGrid w:val="0"/>
                <w:color w:val="000000" w:themeColor="text1"/>
                <w:szCs w:val="20"/>
              </w:rPr>
              <w:t>: The first cycle transition probabilities in the patiromer and standard care arms were derived from different sources that did not appear similar given differences in populations and settings. Further, the PBAC considered that the</w:t>
            </w:r>
            <w:r w:rsidR="00A979C2" w:rsidRPr="002F6665">
              <w:rPr>
                <w:rFonts w:eastAsia="Times New Roman" w:cs="Arial"/>
                <w:bCs w:val="0"/>
                <w:snapToGrid w:val="0"/>
                <w:color w:val="000000" w:themeColor="text1"/>
                <w:szCs w:val="20"/>
              </w:rPr>
              <w:t xml:space="preserve"> </w:t>
            </w:r>
            <w:r w:rsidRPr="002F6665">
              <w:rPr>
                <w:rFonts w:eastAsia="Times New Roman" w:cs="Arial"/>
                <w:snapToGrid w:val="0"/>
                <w:color w:val="000000" w:themeColor="text1"/>
              </w:rPr>
              <w:t xml:space="preserve">very low probabilities of transitioning out of the full RAASi dose health states in subsequent cycles were implausible </w:t>
            </w:r>
            <w:r w:rsidRPr="002F6665">
              <w:t>(para 7.7)</w:t>
            </w:r>
            <w:r w:rsidRPr="002F6665">
              <w:rPr>
                <w:rFonts w:eastAsia="Times New Roman" w:cs="Arial"/>
                <w:snapToGrid w:val="0"/>
                <w:color w:val="000000" w:themeColor="text1"/>
              </w:rPr>
              <w:t>.</w:t>
            </w:r>
          </w:p>
        </w:tc>
        <w:tc>
          <w:tcPr>
            <w:tcW w:w="4509" w:type="dxa"/>
          </w:tcPr>
          <w:p w14:paraId="33B052C5" w14:textId="12FB51B7" w:rsidR="00F20697" w:rsidRPr="002F6665" w:rsidRDefault="00F20697" w:rsidP="0021041D">
            <w:pPr>
              <w:pStyle w:val="TableText0"/>
              <w:keepNext w:val="0"/>
              <w:rPr>
                <w:u w:val="single"/>
              </w:rPr>
            </w:pPr>
            <w:r w:rsidRPr="002F6665">
              <w:rPr>
                <w:rFonts w:eastAsia="Times New Roman" w:cs="Arial"/>
                <w:bCs w:val="0"/>
                <w:snapToGrid w:val="0"/>
                <w:color w:val="000000" w:themeColor="text1"/>
                <w:szCs w:val="20"/>
              </w:rPr>
              <w:t xml:space="preserve">The resubmission used the same sources to inform transition probabilities for both arms with the first 3 cycles based on OPAL-HK Part B study and subsequent cycles based on an observational study of CKD/HF patients receiving maximal, sub-maximal or no RAASi therapy in the United Kingdom (Linde 2019). The majority of patients in both treatment arms cycle between maximal, sub-maximal and no RAASi treatment over the course of the model. </w:t>
            </w:r>
          </w:p>
        </w:tc>
      </w:tr>
      <w:tr w:rsidR="00F20697" w:rsidRPr="002F6665" w14:paraId="1320CCEF" w14:textId="77777777" w:rsidTr="00C26D27">
        <w:tc>
          <w:tcPr>
            <w:tcW w:w="4508" w:type="dxa"/>
          </w:tcPr>
          <w:p w14:paraId="15243499" w14:textId="3D719442" w:rsidR="00F20697" w:rsidRPr="002F6665" w:rsidRDefault="00F20697" w:rsidP="0021041D">
            <w:pPr>
              <w:pStyle w:val="COMTabletext"/>
              <w:keepNext w:val="0"/>
              <w:rPr>
                <w:rFonts w:eastAsia="Times New Roman"/>
              </w:rPr>
            </w:pPr>
            <w:r w:rsidRPr="002F6665">
              <w:rPr>
                <w:rFonts w:eastAsia="Times New Roman" w:cs="Arial"/>
                <w:b/>
                <w:snapToGrid w:val="0"/>
                <w:color w:val="000000" w:themeColor="text1"/>
                <w:szCs w:val="20"/>
              </w:rPr>
              <w:t>Cardiovascular events</w:t>
            </w:r>
            <w:r w:rsidRPr="002F6665">
              <w:rPr>
                <w:rFonts w:eastAsia="Times New Roman" w:cs="Arial"/>
                <w:bCs w:val="0"/>
                <w:snapToGrid w:val="0"/>
                <w:color w:val="000000" w:themeColor="text1"/>
                <w:szCs w:val="20"/>
              </w:rPr>
              <w:t>: The PBAC considered the resubmission’s estimation of a reduction in cardiovascular events and mortality with increased RAASi treatment associated with patiromer use was inappropriate as it was based on comparing</w:t>
            </w:r>
            <w:r w:rsidR="00113F86" w:rsidRPr="002F6665">
              <w:rPr>
                <w:rFonts w:eastAsia="Times New Roman" w:cs="Arial"/>
                <w:bCs w:val="0"/>
                <w:snapToGrid w:val="0"/>
                <w:color w:val="000000" w:themeColor="text1"/>
                <w:szCs w:val="20"/>
              </w:rPr>
              <w:t xml:space="preserve"> </w:t>
            </w:r>
            <w:r w:rsidRPr="002F6665">
              <w:rPr>
                <w:rFonts w:eastAsia="Times New Roman" w:cs="Arial"/>
                <w:snapToGrid w:val="0"/>
                <w:color w:val="000000" w:themeColor="text1"/>
              </w:rPr>
              <w:t xml:space="preserve">RAASi therapies with placebo, rather than other non-RAASi active treatments that would be used in clinical practice </w:t>
            </w:r>
            <w:r w:rsidRPr="002F6665">
              <w:t>(para 7.7)</w:t>
            </w:r>
            <w:r w:rsidRPr="002F6665">
              <w:rPr>
                <w:rFonts w:eastAsia="Times New Roman" w:cs="Arial"/>
                <w:snapToGrid w:val="0"/>
                <w:color w:val="000000" w:themeColor="text1"/>
              </w:rPr>
              <w:t>.</w:t>
            </w:r>
          </w:p>
        </w:tc>
        <w:tc>
          <w:tcPr>
            <w:tcW w:w="4509" w:type="dxa"/>
          </w:tcPr>
          <w:p w14:paraId="29029EE9" w14:textId="0D3610EE" w:rsidR="00F20697" w:rsidRPr="002F6665" w:rsidRDefault="00F20697" w:rsidP="0021041D">
            <w:pPr>
              <w:pStyle w:val="COMTabletext"/>
              <w:keepNext w:val="0"/>
              <w:rPr>
                <w:rFonts w:eastAsia="Times New Roman" w:cs="Arial"/>
                <w:bCs w:val="0"/>
                <w:snapToGrid w:val="0"/>
                <w:color w:val="000000" w:themeColor="text1"/>
                <w:szCs w:val="20"/>
              </w:rPr>
            </w:pPr>
            <w:r w:rsidRPr="002F6665">
              <w:rPr>
                <w:rFonts w:eastAsia="Times New Roman" w:cs="Arial"/>
                <w:bCs w:val="0"/>
                <w:snapToGrid w:val="0"/>
                <w:color w:val="000000" w:themeColor="text1"/>
                <w:szCs w:val="20"/>
              </w:rPr>
              <w:t>The resubmission claimed a larger reduction in cardiovascular events and mortality with maximal RAASi therapy based on a comparison of outcomes with maximal vs. sub-maximal RAASi therapy from a</w:t>
            </w:r>
            <w:r w:rsidR="00113F86" w:rsidRPr="002F6665">
              <w:rPr>
                <w:rFonts w:eastAsia="Times New Roman" w:cs="Arial"/>
                <w:bCs w:val="0"/>
                <w:snapToGrid w:val="0"/>
                <w:color w:val="000000" w:themeColor="text1"/>
                <w:szCs w:val="20"/>
              </w:rPr>
              <w:t>n observational</w:t>
            </w:r>
            <w:r w:rsidRPr="002F6665">
              <w:rPr>
                <w:rFonts w:eastAsia="Times New Roman" w:cs="Arial"/>
                <w:bCs w:val="0"/>
                <w:snapToGrid w:val="0"/>
                <w:color w:val="000000" w:themeColor="text1"/>
                <w:szCs w:val="20"/>
              </w:rPr>
              <w:t xml:space="preserve"> study of RAASi use in the UK (Linde 2019</w:t>
            </w:r>
            <w:r w:rsidRPr="008B79E5">
              <w:rPr>
                <w:rFonts w:eastAsia="Times New Roman" w:cs="Arial"/>
                <w:bCs w:val="0"/>
                <w:snapToGrid w:val="0"/>
                <w:color w:val="000000" w:themeColor="text1"/>
                <w:szCs w:val="20"/>
              </w:rPr>
              <w:t>).</w:t>
            </w:r>
          </w:p>
          <w:p w14:paraId="64971580" w14:textId="77777777" w:rsidR="00F20697" w:rsidRPr="002F6665" w:rsidRDefault="00F20697" w:rsidP="0021041D">
            <w:pPr>
              <w:pStyle w:val="TableText0"/>
              <w:keepNext w:val="0"/>
              <w:rPr>
                <w:u w:val="single"/>
              </w:rPr>
            </w:pPr>
          </w:p>
        </w:tc>
      </w:tr>
      <w:tr w:rsidR="00F20697" w:rsidRPr="002F6665" w14:paraId="7F6A529C" w14:textId="77777777" w:rsidTr="00C26D27">
        <w:tc>
          <w:tcPr>
            <w:tcW w:w="4508" w:type="dxa"/>
          </w:tcPr>
          <w:p w14:paraId="6C62A2D8" w14:textId="47B207BE" w:rsidR="00F20697" w:rsidRPr="002F6665" w:rsidRDefault="00F20697" w:rsidP="0021041D">
            <w:pPr>
              <w:pStyle w:val="Tabletext"/>
              <w:keepNext w:val="0"/>
              <w:spacing w:before="0" w:after="0"/>
              <w:rPr>
                <w:rFonts w:eastAsia="Times New Roman"/>
              </w:rPr>
            </w:pPr>
            <w:r w:rsidRPr="002F6665">
              <w:rPr>
                <w:rFonts w:eastAsia="Times New Roman" w:cs="Arial"/>
                <w:b/>
                <w:bCs/>
                <w:snapToGrid w:val="0"/>
                <w:color w:val="000000" w:themeColor="text1"/>
              </w:rPr>
              <w:t>Patterns of treatment</w:t>
            </w:r>
            <w:r w:rsidRPr="002F6665">
              <w:rPr>
                <w:rFonts w:eastAsia="Times New Roman" w:cs="Arial"/>
                <w:snapToGrid w:val="0"/>
                <w:color w:val="000000" w:themeColor="text1"/>
              </w:rPr>
              <w:t>: The PBAC considered there was uncertainty regarding patiromer treatment patterns over time (</w:t>
            </w:r>
            <w:r w:rsidRPr="002F6665">
              <w:rPr>
                <w:snapToGrid w:val="0"/>
                <w:color w:val="000000" w:themeColor="text1"/>
              </w:rPr>
              <w:t>p</w:t>
            </w:r>
            <w:r w:rsidRPr="002F6665">
              <w:t>ara 7.7)</w:t>
            </w:r>
            <w:r w:rsidRPr="002F6665">
              <w:rPr>
                <w:rFonts w:eastAsia="Times New Roman" w:cs="Arial"/>
                <w:snapToGrid w:val="0"/>
                <w:color w:val="000000" w:themeColor="text1"/>
              </w:rPr>
              <w:t>.</w:t>
            </w:r>
          </w:p>
        </w:tc>
        <w:tc>
          <w:tcPr>
            <w:tcW w:w="4509" w:type="dxa"/>
          </w:tcPr>
          <w:p w14:paraId="1F0E3740" w14:textId="03E5F807" w:rsidR="00F20697" w:rsidRPr="002F6665" w:rsidRDefault="00F20697" w:rsidP="0021041D">
            <w:pPr>
              <w:pStyle w:val="TableText0"/>
              <w:keepNext w:val="0"/>
              <w:rPr>
                <w:u w:val="single"/>
              </w:rPr>
            </w:pPr>
            <w:r w:rsidRPr="002F6665">
              <w:rPr>
                <w:rFonts w:eastAsia="Times New Roman" w:cs="Arial"/>
                <w:bCs w:val="0"/>
                <w:snapToGrid w:val="0"/>
                <w:color w:val="000000" w:themeColor="text1"/>
                <w:szCs w:val="20"/>
              </w:rPr>
              <w:t xml:space="preserve">The resubmission derived patiromer treatment patterns based on utilisation data from the sponsor’s compassion access program (VCAP). The resubmission assumed that </w:t>
            </w:r>
            <w:r w:rsidRPr="002F6665">
              <w:rPr>
                <w:rFonts w:eastAsia="Times New Roman" w:cs="Arial"/>
                <w:bCs w:val="0"/>
                <w:snapToGrid w:val="0"/>
                <w:color w:val="000000" w:themeColor="text1"/>
                <w:szCs w:val="20"/>
              </w:rPr>
              <w:lastRenderedPageBreak/>
              <w:t>treatment effects observed in the OPAL-HK Part B study could be applied to utilisation data from VCAP</w:t>
            </w:r>
            <w:r w:rsidRPr="008B79E5">
              <w:rPr>
                <w:rFonts w:eastAsia="Times New Roman" w:cs="Arial"/>
                <w:bCs w:val="0"/>
                <w:snapToGrid w:val="0"/>
                <w:color w:val="000000" w:themeColor="text1"/>
                <w:szCs w:val="20"/>
              </w:rPr>
              <w:t>.</w:t>
            </w:r>
          </w:p>
        </w:tc>
      </w:tr>
      <w:tr w:rsidR="00F20697" w:rsidRPr="002F6665" w14:paraId="14D4C343" w14:textId="77777777" w:rsidTr="00C26D27">
        <w:tc>
          <w:tcPr>
            <w:tcW w:w="0" w:type="auto"/>
            <w:gridSpan w:val="2"/>
          </w:tcPr>
          <w:p w14:paraId="2CF02C00" w14:textId="728AAE7D" w:rsidR="00F20697" w:rsidRPr="002F6665" w:rsidRDefault="00F20697" w:rsidP="0021041D">
            <w:pPr>
              <w:pStyle w:val="TableText0"/>
              <w:keepNext w:val="0"/>
              <w:rPr>
                <w:b/>
              </w:rPr>
            </w:pPr>
            <w:r w:rsidRPr="002F6665">
              <w:rPr>
                <w:b/>
              </w:rPr>
              <w:lastRenderedPageBreak/>
              <w:t>Financial implication</w:t>
            </w:r>
            <w:r w:rsidR="005375F8" w:rsidRPr="002F6665">
              <w:rPr>
                <w:b/>
              </w:rPr>
              <w:t>s</w:t>
            </w:r>
            <w:r w:rsidRPr="002F6665">
              <w:rPr>
                <w:b/>
              </w:rPr>
              <w:t xml:space="preserve"> of listing</w:t>
            </w:r>
          </w:p>
        </w:tc>
      </w:tr>
      <w:tr w:rsidR="00816CC4" w:rsidRPr="002F6665" w14:paraId="787C28CD" w14:textId="77777777" w:rsidTr="00C26D27">
        <w:tc>
          <w:tcPr>
            <w:tcW w:w="4508" w:type="dxa"/>
          </w:tcPr>
          <w:p w14:paraId="682905A9" w14:textId="5EAFA4A7" w:rsidR="006A1D24" w:rsidRPr="002F6665" w:rsidRDefault="00816CC4" w:rsidP="0021041D">
            <w:pPr>
              <w:pStyle w:val="Tabletext"/>
              <w:keepNext w:val="0"/>
              <w:spacing w:before="0" w:after="0"/>
              <w:rPr>
                <w:rFonts w:eastAsia="MS Gothic"/>
                <w:bCs/>
                <w:szCs w:val="24"/>
                <w:lang w:eastAsia="en-AU"/>
              </w:rPr>
            </w:pPr>
            <w:r w:rsidRPr="002F6665">
              <w:rPr>
                <w:rFonts w:eastAsia="MS Gothic"/>
                <w:bCs/>
                <w:szCs w:val="24"/>
                <w:lang w:eastAsia="en-AU"/>
              </w:rPr>
              <w:t>The PBAC considered that utilisation of patiromer was substantially overestimated for the reasons identified by the ESC</w:t>
            </w:r>
            <w:r w:rsidR="006A1D24" w:rsidRPr="002F6665">
              <w:rPr>
                <w:rFonts w:eastAsia="MS Gothic"/>
                <w:bCs/>
                <w:szCs w:val="24"/>
                <w:lang w:eastAsia="en-AU"/>
              </w:rPr>
              <w:t xml:space="preserve"> (</w:t>
            </w:r>
            <w:r w:rsidR="006A1D24" w:rsidRPr="002F6665">
              <w:t>para 6.78)</w:t>
            </w:r>
            <w:r w:rsidR="006A1D24" w:rsidRPr="002F6665">
              <w:rPr>
                <w:rFonts w:eastAsia="MS Gothic"/>
                <w:bCs/>
                <w:szCs w:val="24"/>
                <w:lang w:eastAsia="en-AU"/>
              </w:rPr>
              <w:t>:</w:t>
            </w:r>
          </w:p>
          <w:p w14:paraId="2A20CF7D" w14:textId="5BB0C453" w:rsidR="006A1D24" w:rsidRPr="002F6665" w:rsidRDefault="006A1D24" w:rsidP="00804745">
            <w:pPr>
              <w:pStyle w:val="Tabletext"/>
              <w:keepNext w:val="0"/>
              <w:numPr>
                <w:ilvl w:val="0"/>
                <w:numId w:val="15"/>
              </w:numPr>
              <w:spacing w:before="0" w:after="0"/>
              <w:ind w:left="170" w:hanging="170"/>
            </w:pPr>
            <w:r w:rsidRPr="002F6665">
              <w:t>The proportion of incident</w:t>
            </w:r>
            <w:r w:rsidR="002628B1" w:rsidRPr="002F6665">
              <w:t>/</w:t>
            </w:r>
            <w:r w:rsidRPr="002F6665">
              <w:t>recurrent hyperkalaemia events may not reflect clinical practice given detection of events is highly dependent on monitoring frequency and follow up.</w:t>
            </w:r>
          </w:p>
          <w:p w14:paraId="5241BD5A" w14:textId="5DF942E1" w:rsidR="006A1D24" w:rsidRPr="002F6665" w:rsidRDefault="002628B1" w:rsidP="00804745">
            <w:pPr>
              <w:pStyle w:val="Tabletext"/>
              <w:keepNext w:val="0"/>
              <w:numPr>
                <w:ilvl w:val="0"/>
                <w:numId w:val="15"/>
              </w:numPr>
              <w:spacing w:before="0" w:after="0"/>
              <w:ind w:left="170" w:hanging="170"/>
            </w:pPr>
            <w:r w:rsidRPr="002F6665">
              <w:t>The assumed uptake rates were highly implausible.</w:t>
            </w:r>
          </w:p>
          <w:p w14:paraId="3E87A8A6" w14:textId="67938B4F" w:rsidR="002628B1" w:rsidRPr="002F6665" w:rsidRDefault="002628B1" w:rsidP="00804745">
            <w:pPr>
              <w:pStyle w:val="Tabletext"/>
              <w:keepNext w:val="0"/>
              <w:numPr>
                <w:ilvl w:val="0"/>
                <w:numId w:val="15"/>
              </w:numPr>
              <w:spacing w:before="0" w:after="0"/>
              <w:ind w:left="170" w:hanging="170"/>
            </w:pPr>
            <w:r w:rsidRPr="002F6665">
              <w:t>The use of other therapies and measures to regulate serum K+ was underestimated.</w:t>
            </w:r>
          </w:p>
          <w:p w14:paraId="22544558" w14:textId="0E19EDF4" w:rsidR="002628B1" w:rsidRPr="002F6665" w:rsidRDefault="002628B1" w:rsidP="00804745">
            <w:pPr>
              <w:pStyle w:val="Tabletext"/>
              <w:keepNext w:val="0"/>
              <w:numPr>
                <w:ilvl w:val="0"/>
                <w:numId w:val="15"/>
              </w:numPr>
              <w:spacing w:before="0" w:after="0"/>
              <w:ind w:left="170" w:hanging="170"/>
            </w:pPr>
            <w:r w:rsidRPr="002F6665">
              <w:t>There were insufficient data to support the low treatment persistence estimates.</w:t>
            </w:r>
          </w:p>
          <w:p w14:paraId="644E172E" w14:textId="77777777" w:rsidR="00816CC4" w:rsidRPr="002F6665" w:rsidRDefault="002628B1" w:rsidP="00804745">
            <w:pPr>
              <w:pStyle w:val="Tabletext"/>
              <w:keepNext w:val="0"/>
              <w:numPr>
                <w:ilvl w:val="0"/>
                <w:numId w:val="15"/>
              </w:numPr>
              <w:spacing w:before="0" w:after="0"/>
              <w:ind w:left="170" w:hanging="170"/>
            </w:pPr>
            <w:r w:rsidRPr="002F6665">
              <w:t>The assumption of a single course of patiromer was highly implausible.</w:t>
            </w:r>
          </w:p>
          <w:p w14:paraId="08236992" w14:textId="22C98E22" w:rsidR="002628B1" w:rsidRPr="002F6665" w:rsidRDefault="00113E49" w:rsidP="00804745">
            <w:pPr>
              <w:pStyle w:val="Tabletext"/>
              <w:keepNext w:val="0"/>
              <w:numPr>
                <w:ilvl w:val="0"/>
                <w:numId w:val="15"/>
              </w:numPr>
              <w:spacing w:before="0" w:after="0"/>
              <w:ind w:left="170" w:hanging="170"/>
              <w:rPr>
                <w:rFonts w:eastAsia="MS Gothic"/>
                <w:bCs/>
                <w:szCs w:val="24"/>
                <w:lang w:eastAsia="en-AU"/>
              </w:rPr>
            </w:pPr>
            <w:r w:rsidRPr="002F6665">
              <w:t>The low p</w:t>
            </w:r>
            <w:r w:rsidR="002628B1" w:rsidRPr="002F6665">
              <w:t>atiromer dose</w:t>
            </w:r>
            <w:r w:rsidRPr="002F6665">
              <w:t>s</w:t>
            </w:r>
            <w:r w:rsidR="002628B1" w:rsidRPr="002F6665">
              <w:t xml:space="preserve"> </w:t>
            </w:r>
            <w:r w:rsidRPr="002F6665">
              <w:t>used in the estimates</w:t>
            </w:r>
            <w:r w:rsidR="002628B1" w:rsidRPr="002F6665">
              <w:t xml:space="preserve"> </w:t>
            </w:r>
            <w:r w:rsidRPr="002F6665">
              <w:t>were inconsistent with the clinical trials and underestimated the number of patients requiring multiple scripts to achieve target doses in clinical practice.</w:t>
            </w:r>
          </w:p>
        </w:tc>
        <w:tc>
          <w:tcPr>
            <w:tcW w:w="4509" w:type="dxa"/>
          </w:tcPr>
          <w:p w14:paraId="10BA7D31" w14:textId="76FBD104" w:rsidR="00816CC4" w:rsidRPr="002F6665" w:rsidRDefault="002D41EA" w:rsidP="0021041D">
            <w:pPr>
              <w:pStyle w:val="TableText0"/>
              <w:keepNext w:val="0"/>
              <w:rPr>
                <w:rFonts w:eastAsia="MS Gothic"/>
              </w:rPr>
            </w:pPr>
            <w:r w:rsidRPr="002F6665">
              <w:rPr>
                <w:rFonts w:eastAsia="MS Gothic"/>
              </w:rPr>
              <w:t>The r</w:t>
            </w:r>
            <w:r w:rsidR="00925054" w:rsidRPr="002F6665">
              <w:rPr>
                <w:rFonts w:eastAsia="MS Gothic"/>
              </w:rPr>
              <w:t xml:space="preserve">esubmission </w:t>
            </w:r>
            <w:r w:rsidR="00B1243A" w:rsidRPr="002F6665">
              <w:rPr>
                <w:rFonts w:eastAsia="MS Gothic"/>
              </w:rPr>
              <w:t xml:space="preserve">made substantial changes to the estimated utilisation of patiromer in addition to addressing the </w:t>
            </w:r>
            <w:r w:rsidR="00925054" w:rsidRPr="002F6665">
              <w:rPr>
                <w:rFonts w:eastAsia="MS Gothic"/>
              </w:rPr>
              <w:t xml:space="preserve">issues </w:t>
            </w:r>
            <w:r w:rsidR="00AF4D75" w:rsidRPr="002F6665">
              <w:rPr>
                <w:rFonts w:eastAsia="MS Gothic"/>
              </w:rPr>
              <w:t>of concern</w:t>
            </w:r>
            <w:r w:rsidR="00925054" w:rsidRPr="002F6665">
              <w:rPr>
                <w:rFonts w:eastAsia="MS Gothic"/>
              </w:rPr>
              <w:t>:</w:t>
            </w:r>
          </w:p>
          <w:p w14:paraId="7A60620A" w14:textId="7D8B6154" w:rsidR="00925054" w:rsidRPr="002F6665" w:rsidRDefault="007A7B98" w:rsidP="00804745">
            <w:pPr>
              <w:pStyle w:val="Tabletext"/>
              <w:keepNext w:val="0"/>
              <w:numPr>
                <w:ilvl w:val="0"/>
                <w:numId w:val="15"/>
              </w:numPr>
              <w:spacing w:before="0" w:after="0"/>
              <w:ind w:left="170" w:hanging="170"/>
            </w:pPr>
            <w:r w:rsidRPr="002F6665">
              <w:t>Estimated</w:t>
            </w:r>
            <w:r w:rsidR="009B2A98" w:rsidRPr="002F6665">
              <w:t xml:space="preserve"> the incidence/recurrence of hyperkalaemia events </w:t>
            </w:r>
            <w:r w:rsidRPr="002F6665">
              <w:t>from</w:t>
            </w:r>
            <w:r w:rsidR="009B2A98" w:rsidRPr="002F6665">
              <w:t xml:space="preserve"> a </w:t>
            </w:r>
            <w:r w:rsidR="00091406" w:rsidRPr="002F6665">
              <w:t xml:space="preserve">more </w:t>
            </w:r>
            <w:r w:rsidR="009B2A98" w:rsidRPr="002F6665">
              <w:t>recent study from Canada (Sriperumbuduri 2021) providing estimates specific for CKD Stage 3-4.</w:t>
            </w:r>
          </w:p>
          <w:p w14:paraId="0507E63C" w14:textId="18B09958" w:rsidR="009B2A98" w:rsidRPr="002F6665" w:rsidRDefault="009B2A98" w:rsidP="00804745">
            <w:pPr>
              <w:pStyle w:val="Tabletext"/>
              <w:keepNext w:val="0"/>
              <w:numPr>
                <w:ilvl w:val="0"/>
                <w:numId w:val="15"/>
              </w:numPr>
              <w:spacing w:before="0" w:after="0"/>
              <w:ind w:left="170" w:hanging="170"/>
            </w:pPr>
            <w:r w:rsidRPr="002F6665">
              <w:t xml:space="preserve">Adjusted </w:t>
            </w:r>
            <w:r w:rsidR="00091406" w:rsidRPr="002F6665">
              <w:t xml:space="preserve">assumed </w:t>
            </w:r>
            <w:r w:rsidRPr="002F6665">
              <w:t xml:space="preserve">uptake </w:t>
            </w:r>
            <w:r w:rsidR="00091406" w:rsidRPr="002F6665">
              <w:t>to 10% in Year 1, increasing</w:t>
            </w:r>
            <w:r w:rsidRPr="002F6665">
              <w:t xml:space="preserve"> to 50% </w:t>
            </w:r>
            <w:r w:rsidR="00091406" w:rsidRPr="002F6665">
              <w:t>in Year</w:t>
            </w:r>
            <w:r w:rsidRPr="002F6665">
              <w:t xml:space="preserve"> 6.</w:t>
            </w:r>
          </w:p>
          <w:p w14:paraId="6246A7A0" w14:textId="77777777" w:rsidR="00AF4D75" w:rsidRPr="002F6665" w:rsidRDefault="007A7B98" w:rsidP="00804745">
            <w:pPr>
              <w:pStyle w:val="Tabletext"/>
              <w:keepNext w:val="0"/>
              <w:numPr>
                <w:ilvl w:val="0"/>
                <w:numId w:val="15"/>
              </w:numPr>
              <w:spacing w:before="0" w:after="0"/>
              <w:ind w:left="170" w:hanging="170"/>
            </w:pPr>
            <w:r w:rsidRPr="002F6665">
              <w:t>Derived p</w:t>
            </w:r>
            <w:r w:rsidR="009B2A98" w:rsidRPr="002F6665">
              <w:t>atiromer dose regimens from an analysis of the sponsor’s VCAP.</w:t>
            </w:r>
          </w:p>
          <w:p w14:paraId="2AD8C601" w14:textId="77777777" w:rsidR="009B2A98" w:rsidRPr="002F6665" w:rsidRDefault="007A7B98" w:rsidP="00804745">
            <w:pPr>
              <w:pStyle w:val="Tabletext"/>
              <w:keepNext w:val="0"/>
              <w:numPr>
                <w:ilvl w:val="0"/>
                <w:numId w:val="15"/>
              </w:numPr>
              <w:spacing w:before="0" w:after="0"/>
              <w:ind w:left="170" w:hanging="170"/>
            </w:pPr>
            <w:r w:rsidRPr="002F6665">
              <w:t>Estimated a f</w:t>
            </w:r>
            <w:r w:rsidR="00F31AC9" w:rsidRPr="002F6665">
              <w:t xml:space="preserve">ixed </w:t>
            </w:r>
            <w:r w:rsidRPr="002F6665">
              <w:t xml:space="preserve">patiromer </w:t>
            </w:r>
            <w:r w:rsidR="00F31AC9" w:rsidRPr="002F6665">
              <w:t>treatment duration of 11.9 months</w:t>
            </w:r>
            <w:r w:rsidRPr="002F6665">
              <w:t xml:space="preserve"> based on</w:t>
            </w:r>
            <w:r w:rsidR="00F31AC9" w:rsidRPr="002F6665">
              <w:t xml:space="preserve"> Kaplan-Meier estimates from the sponsor’s VCAP.</w:t>
            </w:r>
          </w:p>
          <w:p w14:paraId="5195BCE3" w14:textId="5A92B9B6" w:rsidR="00AF4D75" w:rsidRPr="002F6665" w:rsidRDefault="00AF4D75" w:rsidP="0021041D">
            <w:pPr>
              <w:pStyle w:val="Tabletext"/>
              <w:keepNext w:val="0"/>
              <w:spacing w:before="0" w:after="0"/>
              <w:ind w:left="3"/>
              <w:rPr>
                <w:rFonts w:eastAsia="MS Gothic"/>
                <w:bCs/>
                <w:szCs w:val="24"/>
                <w:lang w:eastAsia="en-AU"/>
              </w:rPr>
            </w:pPr>
            <w:r w:rsidRPr="002F6665">
              <w:t>The remaining issues of concern identified by the ESC were not addressed</w:t>
            </w:r>
            <w:r w:rsidRPr="008B79E5">
              <w:t>.</w:t>
            </w:r>
          </w:p>
        </w:tc>
      </w:tr>
      <w:tr w:rsidR="00816CC4" w:rsidRPr="002F6665" w14:paraId="0AC6D8DB" w14:textId="77777777" w:rsidTr="00C26D27">
        <w:tc>
          <w:tcPr>
            <w:tcW w:w="4508" w:type="dxa"/>
          </w:tcPr>
          <w:p w14:paraId="05C9223B" w14:textId="004104C9" w:rsidR="00816CC4" w:rsidRPr="002F6665" w:rsidRDefault="00EA24BA" w:rsidP="0021041D">
            <w:pPr>
              <w:pStyle w:val="Tabletext"/>
              <w:keepNext w:val="0"/>
              <w:spacing w:before="0" w:after="0"/>
              <w:rPr>
                <w:rFonts w:eastAsia="MS Gothic"/>
                <w:bCs/>
                <w:szCs w:val="24"/>
                <w:lang w:eastAsia="en-AU"/>
              </w:rPr>
            </w:pPr>
            <w:r w:rsidRPr="002F6665">
              <w:rPr>
                <w:rFonts w:eastAsia="MS Gothic"/>
                <w:bCs/>
                <w:szCs w:val="24"/>
                <w:lang w:eastAsia="en-AU"/>
              </w:rPr>
              <w:t xml:space="preserve">The PBAC considered that a </w:t>
            </w:r>
            <w:r w:rsidR="00365A6C" w:rsidRPr="002F6665">
              <w:rPr>
                <w:rFonts w:eastAsia="MS Gothic"/>
                <w:bCs/>
                <w:szCs w:val="24"/>
                <w:lang w:eastAsia="en-AU"/>
              </w:rPr>
              <w:t>r</w:t>
            </w:r>
            <w:r w:rsidRPr="002F6665">
              <w:rPr>
                <w:rFonts w:eastAsia="MS Gothic"/>
                <w:bCs/>
                <w:szCs w:val="24"/>
                <w:lang w:eastAsia="en-AU"/>
              </w:rPr>
              <w:t xml:space="preserve">isk </w:t>
            </w:r>
            <w:r w:rsidR="00365A6C" w:rsidRPr="002F6665">
              <w:rPr>
                <w:rFonts w:eastAsia="MS Gothic"/>
                <w:bCs/>
                <w:szCs w:val="24"/>
                <w:lang w:eastAsia="en-AU"/>
              </w:rPr>
              <w:t>s</w:t>
            </w:r>
            <w:r w:rsidRPr="002F6665">
              <w:rPr>
                <w:rFonts w:eastAsia="MS Gothic"/>
                <w:bCs/>
                <w:szCs w:val="24"/>
                <w:lang w:eastAsia="en-AU"/>
              </w:rPr>
              <w:t>har</w:t>
            </w:r>
            <w:r w:rsidR="00365A6C" w:rsidRPr="002F6665">
              <w:rPr>
                <w:rFonts w:eastAsia="MS Gothic"/>
                <w:bCs/>
                <w:szCs w:val="24"/>
                <w:lang w:eastAsia="en-AU"/>
              </w:rPr>
              <w:t>ing</w:t>
            </w:r>
            <w:r w:rsidRPr="002F6665">
              <w:rPr>
                <w:rFonts w:eastAsia="MS Gothic"/>
                <w:bCs/>
                <w:szCs w:val="24"/>
                <w:lang w:eastAsia="en-AU"/>
              </w:rPr>
              <w:t xml:space="preserve"> </w:t>
            </w:r>
            <w:r w:rsidR="00365A6C" w:rsidRPr="002F6665">
              <w:rPr>
                <w:rFonts w:eastAsia="MS Gothic"/>
                <w:bCs/>
                <w:szCs w:val="24"/>
                <w:lang w:eastAsia="en-AU"/>
              </w:rPr>
              <w:t>a</w:t>
            </w:r>
            <w:r w:rsidRPr="002F6665">
              <w:rPr>
                <w:rFonts w:eastAsia="MS Gothic"/>
                <w:bCs/>
                <w:szCs w:val="24"/>
                <w:lang w:eastAsia="en-AU"/>
              </w:rPr>
              <w:t>rrangement</w:t>
            </w:r>
            <w:r w:rsidR="00365A6C" w:rsidRPr="002F6665">
              <w:rPr>
                <w:rFonts w:eastAsia="MS Gothic"/>
                <w:bCs/>
                <w:szCs w:val="24"/>
                <w:lang w:eastAsia="en-AU"/>
              </w:rPr>
              <w:t xml:space="preserve"> (RSA)</w:t>
            </w:r>
            <w:r w:rsidRPr="002F6665">
              <w:rPr>
                <w:rFonts w:eastAsia="MS Gothic"/>
                <w:bCs/>
                <w:szCs w:val="24"/>
                <w:lang w:eastAsia="en-AU"/>
              </w:rPr>
              <w:t xml:space="preserve"> was appropriate, with a realistic financial cap and a 100% rebate, given the uncertainty surrounding utilisation.</w:t>
            </w:r>
          </w:p>
        </w:tc>
        <w:tc>
          <w:tcPr>
            <w:tcW w:w="4509" w:type="dxa"/>
          </w:tcPr>
          <w:p w14:paraId="1032DFF8" w14:textId="50C3E827" w:rsidR="00816CC4" w:rsidRPr="008B79E5" w:rsidRDefault="00EA24BA" w:rsidP="0021041D">
            <w:pPr>
              <w:pStyle w:val="TableText0"/>
              <w:keepNext w:val="0"/>
              <w:rPr>
                <w:rFonts w:eastAsia="MS Gothic"/>
              </w:rPr>
            </w:pPr>
            <w:r w:rsidRPr="008B79E5">
              <w:rPr>
                <w:rFonts w:eastAsia="MS Gothic"/>
              </w:rPr>
              <w:t xml:space="preserve">The resubmission included an RSA with a cap </w:t>
            </w:r>
            <w:r w:rsidR="00925054" w:rsidRPr="008B79E5">
              <w:rPr>
                <w:rFonts w:eastAsia="MS Gothic"/>
              </w:rPr>
              <w:t xml:space="preserve">at </w:t>
            </w:r>
            <w:r w:rsidR="003E2BEF" w:rsidRPr="003E2BEF">
              <w:rPr>
                <w:rFonts w:eastAsia="MS Gothic"/>
                <w:color w:val="000000"/>
                <w:spacing w:val="66"/>
                <w:shd w:val="solid" w:color="000000" w:fill="000000"/>
                <w:fitText w:val="369" w:id="-1304706814"/>
                <w14:textFill>
                  <w14:solidFill>
                    <w14:srgbClr w14:val="000000">
                      <w14:alpha w14:val="100000"/>
                    </w14:srgbClr>
                  </w14:solidFill>
                </w14:textFill>
              </w:rPr>
              <w:t>|||</w:t>
            </w:r>
            <w:r w:rsidR="003E2BEF" w:rsidRPr="003E2BEF">
              <w:rPr>
                <w:rFonts w:eastAsia="MS Gothic"/>
                <w:color w:val="000000"/>
                <w:spacing w:val="1"/>
                <w:shd w:val="solid" w:color="000000" w:fill="000000"/>
                <w:fitText w:val="369" w:id="-1304706814"/>
                <w14:textFill>
                  <w14:solidFill>
                    <w14:srgbClr w14:val="000000">
                      <w14:alpha w14:val="100000"/>
                    </w14:srgbClr>
                  </w14:solidFill>
                </w14:textFill>
              </w:rPr>
              <w:t>|</w:t>
            </w:r>
            <w:r w:rsidR="00925054" w:rsidRPr="004B6F2D">
              <w:rPr>
                <w:rFonts w:eastAsia="MS Gothic"/>
              </w:rPr>
              <w:t>% above expected threshold, and</w:t>
            </w:r>
            <w:r w:rsidRPr="004B6F2D">
              <w:rPr>
                <w:rFonts w:eastAsia="MS Gothic"/>
              </w:rPr>
              <w:t xml:space="preserve"> a </w:t>
            </w:r>
            <w:r w:rsidR="003E2BEF" w:rsidRPr="003E2BEF">
              <w:rPr>
                <w:rFonts w:eastAsia="MS Gothic"/>
                <w:color w:val="000000"/>
                <w:spacing w:val="66"/>
                <w:shd w:val="solid" w:color="000000" w:fill="000000"/>
                <w:fitText w:val="369" w:id="-1304706813"/>
                <w14:textFill>
                  <w14:solidFill>
                    <w14:srgbClr w14:val="000000">
                      <w14:alpha w14:val="100000"/>
                    </w14:srgbClr>
                  </w14:solidFill>
                </w14:textFill>
              </w:rPr>
              <w:t>|||</w:t>
            </w:r>
            <w:r w:rsidR="003E2BEF" w:rsidRPr="003E2BEF">
              <w:rPr>
                <w:rFonts w:eastAsia="MS Gothic"/>
                <w:color w:val="000000"/>
                <w:spacing w:val="1"/>
                <w:shd w:val="solid" w:color="000000" w:fill="000000"/>
                <w:fitText w:val="369" w:id="-1304706813"/>
                <w14:textFill>
                  <w14:solidFill>
                    <w14:srgbClr w14:val="000000">
                      <w14:alpha w14:val="100000"/>
                    </w14:srgbClr>
                  </w14:solidFill>
                </w14:textFill>
              </w:rPr>
              <w:t>|</w:t>
            </w:r>
            <w:r w:rsidRPr="004B6F2D">
              <w:rPr>
                <w:rFonts w:eastAsia="MS Gothic"/>
              </w:rPr>
              <w:t xml:space="preserve">% </w:t>
            </w:r>
            <w:r w:rsidR="00925054" w:rsidRPr="004B6F2D">
              <w:rPr>
                <w:rFonts w:eastAsia="MS Gothic"/>
              </w:rPr>
              <w:t>r</w:t>
            </w:r>
            <w:r w:rsidRPr="004B6F2D">
              <w:rPr>
                <w:rFonts w:eastAsia="MS Gothic"/>
              </w:rPr>
              <w:t>ebate</w:t>
            </w:r>
            <w:r w:rsidR="00925054" w:rsidRPr="004B6F2D">
              <w:rPr>
                <w:rFonts w:eastAsia="MS Gothic"/>
              </w:rPr>
              <w:t>.</w:t>
            </w:r>
          </w:p>
        </w:tc>
      </w:tr>
      <w:tr w:rsidR="00F20697" w:rsidRPr="002F6665" w14:paraId="27ACAE84" w14:textId="77777777" w:rsidTr="00C26D27">
        <w:tc>
          <w:tcPr>
            <w:tcW w:w="4508" w:type="dxa"/>
          </w:tcPr>
          <w:p w14:paraId="41538ADA" w14:textId="48DEA564" w:rsidR="00F20697" w:rsidRPr="002F6665" w:rsidRDefault="00F20697" w:rsidP="0021041D">
            <w:pPr>
              <w:pStyle w:val="Tabletext"/>
              <w:keepNext w:val="0"/>
              <w:spacing w:before="0" w:after="0"/>
            </w:pPr>
            <w:r w:rsidRPr="002F6665">
              <w:rPr>
                <w:rFonts w:eastAsia="MS Gothic"/>
                <w:bCs/>
                <w:szCs w:val="24"/>
                <w:lang w:eastAsia="en-AU"/>
              </w:rPr>
              <w:t xml:space="preserve">The patient population is not consistent with the requested population as it excluded patients unable to tolerate RAASi therapy and included patients with CKD stage 5 disease. </w:t>
            </w:r>
          </w:p>
        </w:tc>
        <w:tc>
          <w:tcPr>
            <w:tcW w:w="4509" w:type="dxa"/>
          </w:tcPr>
          <w:p w14:paraId="3D0298CC" w14:textId="2C10C394" w:rsidR="00F20697" w:rsidRPr="008B79E5" w:rsidRDefault="00F20697" w:rsidP="0021041D">
            <w:pPr>
              <w:pStyle w:val="TableText0"/>
              <w:keepNext w:val="0"/>
              <w:rPr>
                <w:u w:val="single"/>
              </w:rPr>
            </w:pPr>
            <w:r w:rsidRPr="008B79E5">
              <w:rPr>
                <w:rFonts w:eastAsia="MS Gothic"/>
              </w:rPr>
              <w:t>The resubmission adjust</w:t>
            </w:r>
            <w:r w:rsidR="00EA24BA" w:rsidRPr="008B79E5">
              <w:rPr>
                <w:rFonts w:eastAsia="MS Gothic"/>
              </w:rPr>
              <w:t>ed</w:t>
            </w:r>
            <w:r w:rsidRPr="008B79E5">
              <w:rPr>
                <w:rFonts w:eastAsia="MS Gothic"/>
              </w:rPr>
              <w:t xml:space="preserve"> the population estimates to remove CKD stage 5.</w:t>
            </w:r>
          </w:p>
        </w:tc>
      </w:tr>
    </w:tbl>
    <w:p w14:paraId="6C822640" w14:textId="3C7C24ED" w:rsidR="00FF512C" w:rsidRPr="00804745" w:rsidRDefault="00FF512C" w:rsidP="00FC5D91">
      <w:pPr>
        <w:pStyle w:val="NormalBulletList"/>
        <w:numPr>
          <w:ilvl w:val="0"/>
          <w:numId w:val="0"/>
        </w:numPr>
        <w:ind w:left="720"/>
        <w:rPr>
          <w:i/>
          <w:iCs/>
        </w:rPr>
      </w:pPr>
      <w:bookmarkStart w:id="10" w:name="_Toc107902078"/>
      <w:bookmarkStart w:id="11" w:name="_Toc111818926"/>
      <w:bookmarkEnd w:id="10"/>
      <w:r w:rsidRPr="00804745">
        <w:rPr>
          <w:i/>
          <w:iCs/>
        </w:rPr>
        <w:t>For more detail</w:t>
      </w:r>
      <w:r w:rsidR="00804745" w:rsidRPr="00804745">
        <w:rPr>
          <w:i/>
          <w:iCs/>
        </w:rPr>
        <w:t xml:space="preserve"> on PBAC’s view, see section 7 PBAC outcome.</w:t>
      </w:r>
    </w:p>
    <w:p w14:paraId="76E4EF3C" w14:textId="5EC7A587" w:rsidR="00B60939" w:rsidRDefault="00B50DB8" w:rsidP="004E18E9">
      <w:pPr>
        <w:pStyle w:val="COMH1numbered"/>
      </w:pPr>
      <w:r w:rsidRPr="001159D0">
        <w:t>Requested listing</w:t>
      </w:r>
      <w:bookmarkEnd w:id="11"/>
    </w:p>
    <w:p w14:paraId="35BD5D2B" w14:textId="1F9E2923" w:rsidR="008973CC" w:rsidRDefault="008973CC" w:rsidP="008973CC">
      <w:pPr>
        <w:pStyle w:val="COMexecsumnumberedpara"/>
      </w:pPr>
      <w:r w:rsidRPr="008973CC">
        <w:t xml:space="preserve">The restriction proposed by the resubmission is outlined below. PBAC </w:t>
      </w:r>
      <w:r>
        <w:t>s</w:t>
      </w:r>
      <w:r w:rsidRPr="008973CC">
        <w:t>uggested additions are in italics and deletions are in strikethrough</w:t>
      </w:r>
      <w:r>
        <w:t>.</w:t>
      </w:r>
    </w:p>
    <w:p w14:paraId="119CD41F" w14:textId="5BA1EFF0" w:rsidR="005F22C4" w:rsidRPr="005F22C4" w:rsidRDefault="005F22C4" w:rsidP="005F22C4">
      <w:pPr>
        <w:pStyle w:val="COMexecsumnumberedpara"/>
        <w:numPr>
          <w:ilvl w:val="0"/>
          <w:numId w:val="0"/>
        </w:numPr>
        <w:spacing w:after="40"/>
        <w:rPr>
          <w:u w:val="single"/>
        </w:rPr>
      </w:pPr>
      <w:r w:rsidRPr="005F22C4">
        <w:rPr>
          <w:u w:val="single"/>
        </w:rPr>
        <w:t>Initial treatment:</w:t>
      </w:r>
    </w:p>
    <w:tbl>
      <w:tblPr>
        <w:tblW w:w="503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3"/>
        <w:gridCol w:w="1695"/>
        <w:gridCol w:w="993"/>
        <w:gridCol w:w="1559"/>
        <w:gridCol w:w="850"/>
        <w:gridCol w:w="851"/>
        <w:gridCol w:w="850"/>
        <w:gridCol w:w="1140"/>
      </w:tblGrid>
      <w:tr w:rsidR="005F22C4" w:rsidRPr="001159D0" w14:paraId="01A2001C" w14:textId="77777777" w:rsidTr="005F22C4">
        <w:trPr>
          <w:cantSplit/>
        </w:trPr>
        <w:tc>
          <w:tcPr>
            <w:tcW w:w="2828" w:type="dxa"/>
            <w:gridSpan w:val="2"/>
            <w:tcMar>
              <w:left w:w="28" w:type="dxa"/>
              <w:right w:w="28" w:type="dxa"/>
            </w:tcMar>
            <w:vAlign w:val="center"/>
          </w:tcPr>
          <w:p w14:paraId="0A44A0EC" w14:textId="219031E6" w:rsidR="005F22C4" w:rsidRPr="001159D0" w:rsidRDefault="005F22C4" w:rsidP="00B6590F">
            <w:pPr>
              <w:keepLines/>
              <w:jc w:val="left"/>
              <w:rPr>
                <w:rFonts w:ascii="Arial Narrow" w:hAnsi="Arial Narrow"/>
                <w:b/>
                <w:sz w:val="20"/>
                <w:szCs w:val="20"/>
              </w:rPr>
            </w:pPr>
            <w:r w:rsidRPr="001159D0">
              <w:rPr>
                <w:rFonts w:ascii="Arial Narrow" w:hAnsi="Arial Narrow"/>
                <w:b/>
                <w:sz w:val="20"/>
                <w:szCs w:val="20"/>
              </w:rPr>
              <w:t>MEDICINAL PRODUCT</w:t>
            </w:r>
          </w:p>
          <w:p w14:paraId="05DE3BDB" w14:textId="77777777" w:rsidR="005F22C4" w:rsidRPr="001159D0" w:rsidRDefault="005F22C4" w:rsidP="00B6590F">
            <w:pPr>
              <w:keepLines/>
              <w:jc w:val="left"/>
              <w:rPr>
                <w:rFonts w:ascii="Arial Narrow" w:hAnsi="Arial Narrow"/>
                <w:b/>
                <w:sz w:val="20"/>
                <w:szCs w:val="20"/>
              </w:rPr>
            </w:pPr>
            <w:r w:rsidRPr="001159D0">
              <w:rPr>
                <w:rFonts w:ascii="Arial Narrow" w:hAnsi="Arial Narrow"/>
                <w:b/>
                <w:sz w:val="20"/>
                <w:szCs w:val="20"/>
              </w:rPr>
              <w:t>medicinal product pack</w:t>
            </w:r>
          </w:p>
        </w:tc>
        <w:tc>
          <w:tcPr>
            <w:tcW w:w="993" w:type="dxa"/>
            <w:tcMar>
              <w:left w:w="28" w:type="dxa"/>
              <w:right w:w="28" w:type="dxa"/>
            </w:tcMar>
            <w:vAlign w:val="center"/>
          </w:tcPr>
          <w:p w14:paraId="09EE80FA" w14:textId="3D46DE18" w:rsidR="005F22C4" w:rsidRPr="001159D0" w:rsidRDefault="005F22C4" w:rsidP="00B6590F">
            <w:pPr>
              <w:keepLines/>
              <w:jc w:val="center"/>
              <w:rPr>
                <w:rFonts w:ascii="Arial Narrow" w:hAnsi="Arial Narrow"/>
                <w:b/>
                <w:sz w:val="20"/>
                <w:szCs w:val="20"/>
              </w:rPr>
            </w:pPr>
            <w:r>
              <w:rPr>
                <w:rFonts w:ascii="Arial Narrow" w:hAnsi="Arial Narrow"/>
                <w:b/>
                <w:sz w:val="20"/>
                <w:szCs w:val="20"/>
              </w:rPr>
              <w:t>PBS item code</w:t>
            </w:r>
          </w:p>
        </w:tc>
        <w:tc>
          <w:tcPr>
            <w:tcW w:w="1559" w:type="dxa"/>
            <w:tcMar>
              <w:left w:w="28" w:type="dxa"/>
              <w:right w:w="28" w:type="dxa"/>
            </w:tcMar>
            <w:vAlign w:val="center"/>
          </w:tcPr>
          <w:p w14:paraId="39AAE3ED" w14:textId="196C5101" w:rsidR="005F22C4" w:rsidRPr="001159D0" w:rsidRDefault="005F22C4" w:rsidP="00B6590F">
            <w:pPr>
              <w:keepLines/>
              <w:jc w:val="center"/>
              <w:rPr>
                <w:rFonts w:ascii="Arial Narrow" w:hAnsi="Arial Narrow"/>
                <w:b/>
                <w:sz w:val="20"/>
                <w:szCs w:val="20"/>
              </w:rPr>
            </w:pPr>
            <w:r w:rsidRPr="001159D0">
              <w:rPr>
                <w:rFonts w:ascii="Arial Narrow" w:hAnsi="Arial Narrow"/>
                <w:b/>
                <w:sz w:val="20"/>
                <w:szCs w:val="20"/>
              </w:rPr>
              <w:t xml:space="preserve">Dispensed Price for Max. </w:t>
            </w:r>
            <w:r>
              <w:rPr>
                <w:rFonts w:ascii="Arial Narrow" w:hAnsi="Arial Narrow"/>
                <w:b/>
                <w:sz w:val="20"/>
                <w:szCs w:val="20"/>
              </w:rPr>
              <w:t>q</w:t>
            </w:r>
            <w:r w:rsidRPr="001159D0">
              <w:rPr>
                <w:rFonts w:ascii="Arial Narrow" w:hAnsi="Arial Narrow"/>
                <w:b/>
                <w:sz w:val="20"/>
                <w:szCs w:val="20"/>
              </w:rPr>
              <w:t>ty</w:t>
            </w:r>
          </w:p>
        </w:tc>
        <w:tc>
          <w:tcPr>
            <w:tcW w:w="850" w:type="dxa"/>
            <w:tcMar>
              <w:left w:w="28" w:type="dxa"/>
              <w:right w:w="28" w:type="dxa"/>
            </w:tcMar>
            <w:vAlign w:val="center"/>
          </w:tcPr>
          <w:p w14:paraId="5D198A8B" w14:textId="5D0ADBAB" w:rsidR="005F22C4" w:rsidRPr="001159D0" w:rsidRDefault="005F22C4" w:rsidP="00F65E2F">
            <w:pPr>
              <w:keepLines/>
              <w:jc w:val="center"/>
              <w:rPr>
                <w:rFonts w:ascii="Arial Narrow" w:hAnsi="Arial Narrow"/>
                <w:b/>
                <w:sz w:val="20"/>
                <w:szCs w:val="20"/>
              </w:rPr>
            </w:pPr>
            <w:r>
              <w:rPr>
                <w:rFonts w:ascii="Arial Narrow" w:hAnsi="Arial Narrow"/>
                <w:b/>
                <w:sz w:val="20"/>
                <w:szCs w:val="20"/>
              </w:rPr>
              <w:t>Max. qty (packs)</w:t>
            </w:r>
          </w:p>
        </w:tc>
        <w:tc>
          <w:tcPr>
            <w:tcW w:w="851" w:type="dxa"/>
            <w:tcMar>
              <w:left w:w="28" w:type="dxa"/>
              <w:right w:w="28" w:type="dxa"/>
            </w:tcMar>
            <w:vAlign w:val="center"/>
          </w:tcPr>
          <w:p w14:paraId="6BF6CABE" w14:textId="045B4C5B" w:rsidR="005F22C4" w:rsidRPr="001159D0" w:rsidRDefault="005F22C4" w:rsidP="00F65E2F">
            <w:pPr>
              <w:keepLines/>
              <w:jc w:val="center"/>
              <w:rPr>
                <w:rFonts w:ascii="Arial Narrow" w:hAnsi="Arial Narrow"/>
                <w:b/>
                <w:sz w:val="20"/>
                <w:szCs w:val="20"/>
              </w:rPr>
            </w:pPr>
            <w:r w:rsidRPr="001159D0">
              <w:rPr>
                <w:rFonts w:ascii="Arial Narrow" w:hAnsi="Arial Narrow"/>
                <w:b/>
                <w:sz w:val="20"/>
                <w:szCs w:val="20"/>
              </w:rPr>
              <w:t xml:space="preserve">Max. qty </w:t>
            </w:r>
            <w:r>
              <w:rPr>
                <w:rFonts w:ascii="Arial Narrow" w:hAnsi="Arial Narrow"/>
                <w:b/>
                <w:sz w:val="20"/>
                <w:szCs w:val="20"/>
              </w:rPr>
              <w:t>(</w:t>
            </w:r>
            <w:r w:rsidRPr="001159D0">
              <w:rPr>
                <w:rFonts w:ascii="Arial Narrow" w:hAnsi="Arial Narrow"/>
                <w:b/>
                <w:sz w:val="20"/>
                <w:szCs w:val="20"/>
              </w:rPr>
              <w:t>units</w:t>
            </w:r>
            <w:r>
              <w:rPr>
                <w:rFonts w:ascii="Arial Narrow" w:hAnsi="Arial Narrow"/>
                <w:b/>
                <w:sz w:val="20"/>
                <w:szCs w:val="20"/>
              </w:rPr>
              <w:t>)</w:t>
            </w:r>
          </w:p>
        </w:tc>
        <w:tc>
          <w:tcPr>
            <w:tcW w:w="850" w:type="dxa"/>
            <w:tcMar>
              <w:left w:w="28" w:type="dxa"/>
              <w:right w:w="28" w:type="dxa"/>
            </w:tcMar>
            <w:vAlign w:val="center"/>
          </w:tcPr>
          <w:p w14:paraId="75CCDE72" w14:textId="4A93C7AD" w:rsidR="005F22C4" w:rsidRPr="001159D0" w:rsidRDefault="005F22C4" w:rsidP="00F65E2F">
            <w:pPr>
              <w:keepLines/>
              <w:jc w:val="center"/>
              <w:rPr>
                <w:rFonts w:ascii="Arial Narrow" w:hAnsi="Arial Narrow"/>
                <w:b/>
                <w:sz w:val="20"/>
                <w:szCs w:val="20"/>
              </w:rPr>
            </w:pPr>
            <w:r w:rsidRPr="001159D0">
              <w:rPr>
                <w:rFonts w:ascii="Arial Narrow" w:hAnsi="Arial Narrow"/>
                <w:b/>
                <w:sz w:val="20"/>
                <w:szCs w:val="20"/>
              </w:rPr>
              <w:t>№.</w:t>
            </w:r>
            <w:r>
              <w:rPr>
                <w:rFonts w:ascii="Arial Narrow" w:hAnsi="Arial Narrow"/>
                <w:b/>
                <w:sz w:val="20"/>
                <w:szCs w:val="20"/>
              </w:rPr>
              <w:t xml:space="preserve"> </w:t>
            </w:r>
            <w:r w:rsidRPr="001159D0">
              <w:rPr>
                <w:rFonts w:ascii="Arial Narrow" w:hAnsi="Arial Narrow"/>
                <w:b/>
                <w:sz w:val="20"/>
                <w:szCs w:val="20"/>
              </w:rPr>
              <w:t>of</w:t>
            </w:r>
          </w:p>
          <w:p w14:paraId="4F7EAC55" w14:textId="77777777" w:rsidR="005F22C4" w:rsidRPr="001159D0" w:rsidRDefault="005F22C4" w:rsidP="00F65E2F">
            <w:pPr>
              <w:keepLines/>
              <w:jc w:val="center"/>
              <w:rPr>
                <w:rFonts w:ascii="Arial Narrow" w:hAnsi="Arial Narrow"/>
                <w:b/>
                <w:sz w:val="20"/>
                <w:szCs w:val="20"/>
              </w:rPr>
            </w:pPr>
            <w:r w:rsidRPr="001159D0">
              <w:rPr>
                <w:rFonts w:ascii="Arial Narrow" w:hAnsi="Arial Narrow"/>
                <w:b/>
                <w:sz w:val="20"/>
                <w:szCs w:val="20"/>
              </w:rPr>
              <w:t>Rpts</w:t>
            </w:r>
          </w:p>
        </w:tc>
        <w:tc>
          <w:tcPr>
            <w:tcW w:w="1140" w:type="dxa"/>
            <w:tcMar>
              <w:left w:w="28" w:type="dxa"/>
              <w:right w:w="28" w:type="dxa"/>
            </w:tcMar>
            <w:vAlign w:val="center"/>
          </w:tcPr>
          <w:p w14:paraId="49A60887" w14:textId="77777777" w:rsidR="005F22C4" w:rsidRPr="001159D0" w:rsidRDefault="005F22C4" w:rsidP="00F65E2F">
            <w:pPr>
              <w:keepLines/>
              <w:jc w:val="center"/>
              <w:rPr>
                <w:rFonts w:ascii="Arial Narrow" w:hAnsi="Arial Narrow"/>
                <w:b/>
                <w:sz w:val="20"/>
                <w:szCs w:val="20"/>
              </w:rPr>
            </w:pPr>
            <w:r w:rsidRPr="001159D0">
              <w:rPr>
                <w:rFonts w:ascii="Arial Narrow" w:hAnsi="Arial Narrow"/>
                <w:b/>
                <w:sz w:val="20"/>
                <w:szCs w:val="20"/>
              </w:rPr>
              <w:t>Available brands</w:t>
            </w:r>
          </w:p>
        </w:tc>
      </w:tr>
      <w:tr w:rsidR="00B6590F" w:rsidRPr="001159D0" w14:paraId="5228BD9E" w14:textId="77777777" w:rsidTr="005F22C4">
        <w:trPr>
          <w:cantSplit/>
        </w:trPr>
        <w:tc>
          <w:tcPr>
            <w:tcW w:w="9071" w:type="dxa"/>
            <w:gridSpan w:val="8"/>
            <w:tcMar>
              <w:left w:w="28" w:type="dxa"/>
              <w:right w:w="28" w:type="dxa"/>
            </w:tcMar>
            <w:vAlign w:val="center"/>
          </w:tcPr>
          <w:p w14:paraId="3EEAD636" w14:textId="77777777" w:rsidR="00B6590F" w:rsidRPr="001159D0" w:rsidRDefault="00B6590F" w:rsidP="00F65E2F">
            <w:pPr>
              <w:pStyle w:val="COMTabletext"/>
              <w:rPr>
                <w:rFonts w:cs="Arial"/>
                <w:szCs w:val="20"/>
              </w:rPr>
            </w:pPr>
            <w:r w:rsidRPr="001159D0">
              <w:rPr>
                <w:smallCaps/>
              </w:rPr>
              <w:t>PATIROMER</w:t>
            </w:r>
            <w:r w:rsidRPr="001159D0">
              <w:rPr>
                <w:rFonts w:cs="Arial"/>
                <w:color w:val="0066FF"/>
                <w:szCs w:val="20"/>
              </w:rPr>
              <w:t xml:space="preserve"> </w:t>
            </w:r>
          </w:p>
        </w:tc>
      </w:tr>
      <w:tr w:rsidR="005F22C4" w:rsidRPr="001159D0" w14:paraId="14220CC2" w14:textId="77777777" w:rsidTr="005F22C4">
        <w:trPr>
          <w:cantSplit/>
        </w:trPr>
        <w:tc>
          <w:tcPr>
            <w:tcW w:w="2828" w:type="dxa"/>
            <w:gridSpan w:val="2"/>
            <w:tcMar>
              <w:left w:w="28" w:type="dxa"/>
              <w:right w:w="28" w:type="dxa"/>
            </w:tcMar>
            <w:vAlign w:val="center"/>
          </w:tcPr>
          <w:p w14:paraId="24D6EA82" w14:textId="3777C804" w:rsidR="005F22C4" w:rsidRPr="001159D0" w:rsidRDefault="005F22C4" w:rsidP="00F65E2F">
            <w:pPr>
              <w:keepLines/>
              <w:jc w:val="left"/>
              <w:rPr>
                <w:rFonts w:ascii="Arial Narrow" w:hAnsi="Arial Narrow"/>
                <w:sz w:val="20"/>
                <w:szCs w:val="20"/>
              </w:rPr>
            </w:pPr>
            <w:r>
              <w:rPr>
                <w:rFonts w:ascii="Arial Narrow" w:hAnsi="Arial Narrow"/>
                <w:sz w:val="20"/>
                <w:szCs w:val="20"/>
              </w:rPr>
              <w:t>patiromer 8.4 g, 30 x 8.4 g sachets</w:t>
            </w:r>
          </w:p>
        </w:tc>
        <w:tc>
          <w:tcPr>
            <w:tcW w:w="993" w:type="dxa"/>
            <w:tcMar>
              <w:left w:w="28" w:type="dxa"/>
              <w:right w:w="28" w:type="dxa"/>
            </w:tcMar>
            <w:vAlign w:val="center"/>
          </w:tcPr>
          <w:p w14:paraId="42DEBF7D" w14:textId="6FB4C5C6" w:rsidR="005F22C4" w:rsidRPr="005F22C4" w:rsidRDefault="005F22C4" w:rsidP="00F65E2F">
            <w:pPr>
              <w:pStyle w:val="COMTabletext"/>
              <w:keepNext w:val="0"/>
              <w:jc w:val="center"/>
              <w:rPr>
                <w:szCs w:val="20"/>
              </w:rPr>
            </w:pPr>
            <w:r w:rsidRPr="005F22C4">
              <w:rPr>
                <w:szCs w:val="20"/>
              </w:rPr>
              <w:t>New</w:t>
            </w:r>
          </w:p>
        </w:tc>
        <w:tc>
          <w:tcPr>
            <w:tcW w:w="1559" w:type="dxa"/>
            <w:tcMar>
              <w:left w:w="28" w:type="dxa"/>
              <w:right w:w="28" w:type="dxa"/>
            </w:tcMar>
            <w:vAlign w:val="center"/>
          </w:tcPr>
          <w:p w14:paraId="63EF3A4B" w14:textId="4A861AD4" w:rsidR="005F22C4" w:rsidRPr="005F22C4" w:rsidRDefault="005F22C4" w:rsidP="00F65E2F">
            <w:pPr>
              <w:keepLines/>
              <w:jc w:val="center"/>
              <w:rPr>
                <w:rFonts w:ascii="Arial Narrow" w:hAnsi="Arial Narrow"/>
                <w:sz w:val="20"/>
                <w:szCs w:val="20"/>
              </w:rPr>
            </w:pPr>
            <w:r w:rsidRPr="005F22C4">
              <w:rPr>
                <w:rFonts w:ascii="Arial Narrow" w:hAnsi="Arial Narrow"/>
                <w:sz w:val="20"/>
                <w:szCs w:val="20"/>
              </w:rPr>
              <w:t>Published: $375.06</w:t>
            </w:r>
            <w:r w:rsidRPr="005F22C4">
              <w:rPr>
                <w:rFonts w:ascii="Arial Narrow" w:hAnsi="Arial Narrow"/>
                <w:sz w:val="20"/>
                <w:szCs w:val="20"/>
                <w:vertAlign w:val="superscript"/>
              </w:rPr>
              <w:t>a</w:t>
            </w:r>
            <w:r w:rsidRPr="005F22C4">
              <w:rPr>
                <w:rFonts w:ascii="Arial Narrow" w:hAnsi="Arial Narrow"/>
                <w:sz w:val="20"/>
                <w:szCs w:val="20"/>
              </w:rPr>
              <w:t xml:space="preserve"> Effective: $</w:t>
            </w:r>
            <w:r w:rsidR="003E2BEF" w:rsidRPr="003E2BEF">
              <w:rPr>
                <w:rFonts w:ascii="Arial Narrow" w:hAnsi="Arial Narrow"/>
                <w:color w:val="000000"/>
                <w:spacing w:val="191"/>
                <w:sz w:val="20"/>
                <w:szCs w:val="20"/>
                <w:shd w:val="solid" w:color="000000" w:fill="000000"/>
                <w:fitText w:val="277" w:id="-1304706812"/>
                <w14:textFill>
                  <w14:solidFill>
                    <w14:srgbClr w14:val="000000">
                      <w14:alpha w14:val="100000"/>
                    </w14:srgbClr>
                  </w14:solidFill>
                </w14:textFill>
              </w:rPr>
              <w:t>|</w:t>
            </w:r>
            <w:r w:rsidR="003E2BEF" w:rsidRPr="003E2BEF">
              <w:rPr>
                <w:rFonts w:ascii="Arial Narrow" w:hAnsi="Arial Narrow"/>
                <w:color w:val="000000"/>
                <w:spacing w:val="1"/>
                <w:sz w:val="20"/>
                <w:szCs w:val="20"/>
                <w:shd w:val="solid" w:color="000000" w:fill="000000"/>
                <w:fitText w:val="277" w:id="-1304706812"/>
                <w14:textFill>
                  <w14:solidFill>
                    <w14:srgbClr w14:val="000000">
                      <w14:alpha w14:val="100000"/>
                    </w14:srgbClr>
                  </w14:solidFill>
                </w14:textFill>
              </w:rPr>
              <w:t>|</w:t>
            </w:r>
            <w:r w:rsidRPr="005F22C4">
              <w:rPr>
                <w:rFonts w:ascii="Arial Narrow" w:hAnsi="Arial Narrow"/>
                <w:sz w:val="20"/>
                <w:szCs w:val="20"/>
                <w:vertAlign w:val="superscript"/>
              </w:rPr>
              <w:t>a</w:t>
            </w:r>
          </w:p>
        </w:tc>
        <w:tc>
          <w:tcPr>
            <w:tcW w:w="850" w:type="dxa"/>
            <w:tcMar>
              <w:left w:w="28" w:type="dxa"/>
              <w:right w:w="28" w:type="dxa"/>
            </w:tcMar>
            <w:vAlign w:val="center"/>
          </w:tcPr>
          <w:p w14:paraId="2C6090AD" w14:textId="049A27FC" w:rsidR="005F22C4" w:rsidRPr="001159D0" w:rsidRDefault="005F22C4" w:rsidP="00F65E2F">
            <w:pPr>
              <w:keepLines/>
              <w:jc w:val="center"/>
              <w:rPr>
                <w:rFonts w:ascii="Arial Narrow" w:hAnsi="Arial Narrow"/>
                <w:sz w:val="20"/>
              </w:rPr>
            </w:pPr>
            <w:r>
              <w:rPr>
                <w:rFonts w:ascii="Arial Narrow" w:hAnsi="Arial Narrow"/>
                <w:sz w:val="20"/>
              </w:rPr>
              <w:t>1</w:t>
            </w:r>
          </w:p>
        </w:tc>
        <w:tc>
          <w:tcPr>
            <w:tcW w:w="851" w:type="dxa"/>
            <w:tcMar>
              <w:left w:w="28" w:type="dxa"/>
              <w:right w:w="28" w:type="dxa"/>
            </w:tcMar>
            <w:vAlign w:val="center"/>
          </w:tcPr>
          <w:p w14:paraId="6B9C2A82" w14:textId="2C8CF4FA" w:rsidR="005F22C4" w:rsidRPr="001159D0" w:rsidRDefault="005F22C4" w:rsidP="00F65E2F">
            <w:pPr>
              <w:keepLines/>
              <w:jc w:val="center"/>
              <w:rPr>
                <w:rFonts w:ascii="Arial Narrow" w:hAnsi="Arial Narrow"/>
                <w:sz w:val="20"/>
              </w:rPr>
            </w:pPr>
            <w:r w:rsidRPr="001159D0">
              <w:rPr>
                <w:rFonts w:ascii="Arial Narrow" w:hAnsi="Arial Narrow"/>
                <w:sz w:val="20"/>
              </w:rPr>
              <w:t>30</w:t>
            </w:r>
          </w:p>
        </w:tc>
        <w:tc>
          <w:tcPr>
            <w:tcW w:w="850" w:type="dxa"/>
            <w:tcMar>
              <w:left w:w="28" w:type="dxa"/>
              <w:right w:w="28" w:type="dxa"/>
            </w:tcMar>
            <w:vAlign w:val="center"/>
          </w:tcPr>
          <w:p w14:paraId="6117A035" w14:textId="18F12FFD" w:rsidR="005F22C4" w:rsidRPr="001159D0" w:rsidRDefault="005F22C4" w:rsidP="00F65E2F">
            <w:pPr>
              <w:keepLines/>
              <w:jc w:val="center"/>
              <w:rPr>
                <w:rFonts w:ascii="Arial Narrow" w:hAnsi="Arial Narrow"/>
                <w:sz w:val="20"/>
              </w:rPr>
            </w:pPr>
            <w:r w:rsidRPr="001159D0">
              <w:rPr>
                <w:rFonts w:ascii="Arial Narrow" w:hAnsi="Arial Narrow"/>
                <w:sz w:val="20"/>
              </w:rPr>
              <w:t>5</w:t>
            </w:r>
          </w:p>
        </w:tc>
        <w:tc>
          <w:tcPr>
            <w:tcW w:w="1140" w:type="dxa"/>
            <w:tcMar>
              <w:left w:w="28" w:type="dxa"/>
              <w:right w:w="28" w:type="dxa"/>
            </w:tcMar>
            <w:vAlign w:val="center"/>
          </w:tcPr>
          <w:p w14:paraId="6269E925" w14:textId="6E56E2AB" w:rsidR="005F22C4" w:rsidRDefault="005F22C4" w:rsidP="00F65E2F">
            <w:pPr>
              <w:keepLines/>
              <w:jc w:val="center"/>
              <w:rPr>
                <w:rFonts w:ascii="Arial Narrow" w:hAnsi="Arial Narrow"/>
                <w:sz w:val="20"/>
                <w:szCs w:val="20"/>
              </w:rPr>
            </w:pPr>
            <w:r>
              <w:rPr>
                <w:rFonts w:ascii="Arial Narrow" w:hAnsi="Arial Narrow"/>
                <w:sz w:val="20"/>
                <w:szCs w:val="20"/>
              </w:rPr>
              <w:t>V</w:t>
            </w:r>
            <w:r w:rsidRPr="001159D0">
              <w:rPr>
                <w:rFonts w:ascii="Arial Narrow" w:hAnsi="Arial Narrow"/>
                <w:sz w:val="20"/>
                <w:szCs w:val="20"/>
              </w:rPr>
              <w:t>eltassa</w:t>
            </w:r>
          </w:p>
        </w:tc>
      </w:tr>
      <w:tr w:rsidR="005F22C4" w:rsidRPr="001159D0" w14:paraId="4053F04E" w14:textId="77777777" w:rsidTr="005F22C4">
        <w:trPr>
          <w:cantSplit/>
        </w:trPr>
        <w:tc>
          <w:tcPr>
            <w:tcW w:w="2828" w:type="dxa"/>
            <w:gridSpan w:val="2"/>
            <w:tcMar>
              <w:left w:w="28" w:type="dxa"/>
              <w:right w:w="28" w:type="dxa"/>
            </w:tcMar>
            <w:vAlign w:val="center"/>
          </w:tcPr>
          <w:p w14:paraId="7E4EAA48" w14:textId="58A4DA91" w:rsidR="005F22C4" w:rsidRPr="001159D0" w:rsidRDefault="005F22C4" w:rsidP="00F65E2F">
            <w:pPr>
              <w:keepLines/>
              <w:jc w:val="left"/>
              <w:rPr>
                <w:rFonts w:ascii="Arial Narrow" w:hAnsi="Arial Narrow"/>
                <w:sz w:val="20"/>
                <w:szCs w:val="20"/>
              </w:rPr>
            </w:pPr>
            <w:r w:rsidRPr="001159D0">
              <w:rPr>
                <w:rFonts w:ascii="Arial Narrow" w:hAnsi="Arial Narrow"/>
                <w:sz w:val="20"/>
                <w:szCs w:val="20"/>
              </w:rPr>
              <w:t>patiromer 16.8 g</w:t>
            </w:r>
            <w:r>
              <w:rPr>
                <w:rFonts w:ascii="Arial Narrow" w:hAnsi="Arial Narrow"/>
                <w:sz w:val="20"/>
                <w:szCs w:val="20"/>
              </w:rPr>
              <w:t>, 30 x 16.8 g s</w:t>
            </w:r>
            <w:r w:rsidRPr="001159D0">
              <w:rPr>
                <w:rFonts w:ascii="Arial Narrow" w:hAnsi="Arial Narrow"/>
                <w:sz w:val="20"/>
                <w:szCs w:val="20"/>
              </w:rPr>
              <w:t>achet</w:t>
            </w:r>
            <w:r>
              <w:rPr>
                <w:rFonts w:ascii="Arial Narrow" w:hAnsi="Arial Narrow"/>
                <w:sz w:val="20"/>
                <w:szCs w:val="20"/>
              </w:rPr>
              <w:t>s</w:t>
            </w:r>
          </w:p>
        </w:tc>
        <w:tc>
          <w:tcPr>
            <w:tcW w:w="993" w:type="dxa"/>
            <w:tcMar>
              <w:left w:w="28" w:type="dxa"/>
              <w:right w:w="28" w:type="dxa"/>
            </w:tcMar>
            <w:vAlign w:val="center"/>
          </w:tcPr>
          <w:p w14:paraId="1C5D4C1A" w14:textId="4722F621" w:rsidR="005F22C4" w:rsidRPr="001159D0" w:rsidRDefault="005F22C4" w:rsidP="00F65E2F">
            <w:pPr>
              <w:keepLines/>
              <w:jc w:val="center"/>
              <w:rPr>
                <w:rFonts w:ascii="Arial Narrow" w:hAnsi="Arial Narrow"/>
                <w:sz w:val="20"/>
                <w:szCs w:val="20"/>
              </w:rPr>
            </w:pPr>
            <w:r>
              <w:rPr>
                <w:rFonts w:ascii="Arial Narrow" w:hAnsi="Arial Narrow"/>
                <w:sz w:val="20"/>
                <w:szCs w:val="20"/>
              </w:rPr>
              <w:t>New</w:t>
            </w:r>
          </w:p>
        </w:tc>
        <w:tc>
          <w:tcPr>
            <w:tcW w:w="1559" w:type="dxa"/>
            <w:tcMar>
              <w:left w:w="28" w:type="dxa"/>
              <w:right w:w="28" w:type="dxa"/>
            </w:tcMar>
            <w:vAlign w:val="center"/>
          </w:tcPr>
          <w:p w14:paraId="10A16FEE" w14:textId="4DF2825B" w:rsidR="005F22C4" w:rsidRPr="001159D0" w:rsidRDefault="005F22C4" w:rsidP="00F65E2F">
            <w:pPr>
              <w:keepLines/>
              <w:jc w:val="center"/>
              <w:rPr>
                <w:rFonts w:ascii="Arial Narrow" w:hAnsi="Arial Narrow"/>
                <w:sz w:val="20"/>
                <w:szCs w:val="20"/>
              </w:rPr>
            </w:pPr>
            <w:r w:rsidRPr="005F22C4">
              <w:rPr>
                <w:rFonts w:ascii="Arial Narrow" w:hAnsi="Arial Narrow"/>
                <w:sz w:val="20"/>
                <w:szCs w:val="20"/>
              </w:rPr>
              <w:t>Published: $375.06</w:t>
            </w:r>
            <w:r w:rsidRPr="005F22C4">
              <w:rPr>
                <w:rFonts w:ascii="Arial Narrow" w:hAnsi="Arial Narrow"/>
                <w:sz w:val="20"/>
                <w:szCs w:val="20"/>
                <w:vertAlign w:val="superscript"/>
              </w:rPr>
              <w:t>a</w:t>
            </w:r>
            <w:r w:rsidRPr="005F22C4">
              <w:rPr>
                <w:rFonts w:ascii="Arial Narrow" w:hAnsi="Arial Narrow"/>
                <w:sz w:val="20"/>
                <w:szCs w:val="20"/>
              </w:rPr>
              <w:t xml:space="preserve"> Effective: $</w:t>
            </w:r>
            <w:r w:rsidR="003E2BEF" w:rsidRPr="003E2BEF">
              <w:rPr>
                <w:rFonts w:ascii="Arial Narrow" w:hAnsi="Arial Narrow"/>
                <w:color w:val="000000"/>
                <w:spacing w:val="191"/>
                <w:sz w:val="20"/>
                <w:szCs w:val="20"/>
                <w:shd w:val="solid" w:color="000000" w:fill="000000"/>
                <w:fitText w:val="277" w:id="-1304706811"/>
                <w14:textFill>
                  <w14:solidFill>
                    <w14:srgbClr w14:val="000000">
                      <w14:alpha w14:val="100000"/>
                    </w14:srgbClr>
                  </w14:solidFill>
                </w14:textFill>
              </w:rPr>
              <w:t>|</w:t>
            </w:r>
            <w:r w:rsidR="003E2BEF" w:rsidRPr="003E2BEF">
              <w:rPr>
                <w:rFonts w:ascii="Arial Narrow" w:hAnsi="Arial Narrow"/>
                <w:color w:val="000000"/>
                <w:spacing w:val="1"/>
                <w:sz w:val="20"/>
                <w:szCs w:val="20"/>
                <w:shd w:val="solid" w:color="000000" w:fill="000000"/>
                <w:fitText w:val="277" w:id="-1304706811"/>
                <w14:textFill>
                  <w14:solidFill>
                    <w14:srgbClr w14:val="000000">
                      <w14:alpha w14:val="100000"/>
                    </w14:srgbClr>
                  </w14:solidFill>
                </w14:textFill>
              </w:rPr>
              <w:t>|</w:t>
            </w:r>
            <w:r w:rsidRPr="005F22C4">
              <w:rPr>
                <w:rFonts w:ascii="Arial Narrow" w:hAnsi="Arial Narrow"/>
                <w:sz w:val="20"/>
                <w:szCs w:val="20"/>
                <w:vertAlign w:val="superscript"/>
              </w:rPr>
              <w:t>a</w:t>
            </w:r>
          </w:p>
        </w:tc>
        <w:tc>
          <w:tcPr>
            <w:tcW w:w="850" w:type="dxa"/>
            <w:tcMar>
              <w:left w:w="28" w:type="dxa"/>
              <w:right w:w="28" w:type="dxa"/>
            </w:tcMar>
            <w:vAlign w:val="center"/>
          </w:tcPr>
          <w:p w14:paraId="530D5BE6" w14:textId="28FCA180" w:rsidR="005F22C4" w:rsidRPr="001159D0" w:rsidRDefault="005F22C4" w:rsidP="00F65E2F">
            <w:pPr>
              <w:keepLines/>
              <w:jc w:val="center"/>
              <w:rPr>
                <w:rFonts w:ascii="Arial Narrow" w:hAnsi="Arial Narrow"/>
                <w:sz w:val="20"/>
                <w:szCs w:val="20"/>
              </w:rPr>
            </w:pPr>
            <w:r>
              <w:rPr>
                <w:rFonts w:ascii="Arial Narrow" w:hAnsi="Arial Narrow"/>
                <w:sz w:val="20"/>
                <w:szCs w:val="20"/>
              </w:rPr>
              <w:t>1</w:t>
            </w:r>
          </w:p>
        </w:tc>
        <w:tc>
          <w:tcPr>
            <w:tcW w:w="851" w:type="dxa"/>
            <w:tcMar>
              <w:left w:w="28" w:type="dxa"/>
              <w:right w:w="28" w:type="dxa"/>
            </w:tcMar>
            <w:vAlign w:val="center"/>
          </w:tcPr>
          <w:p w14:paraId="1C4FB6DC" w14:textId="09877B4E" w:rsidR="005F22C4" w:rsidRPr="001159D0" w:rsidRDefault="005F22C4" w:rsidP="00F65E2F">
            <w:pPr>
              <w:keepLines/>
              <w:jc w:val="center"/>
              <w:rPr>
                <w:rFonts w:ascii="Arial Narrow" w:hAnsi="Arial Narrow"/>
                <w:sz w:val="20"/>
                <w:szCs w:val="20"/>
              </w:rPr>
            </w:pPr>
            <w:r>
              <w:rPr>
                <w:rFonts w:ascii="Arial Narrow" w:hAnsi="Arial Narrow"/>
                <w:sz w:val="20"/>
                <w:szCs w:val="20"/>
              </w:rPr>
              <w:t>30</w:t>
            </w:r>
          </w:p>
        </w:tc>
        <w:tc>
          <w:tcPr>
            <w:tcW w:w="850" w:type="dxa"/>
            <w:tcMar>
              <w:left w:w="28" w:type="dxa"/>
              <w:right w:w="28" w:type="dxa"/>
            </w:tcMar>
            <w:vAlign w:val="center"/>
          </w:tcPr>
          <w:p w14:paraId="3926CEA5" w14:textId="6B6C55F9" w:rsidR="005F22C4" w:rsidRPr="001159D0" w:rsidRDefault="005F22C4" w:rsidP="00F65E2F">
            <w:pPr>
              <w:keepLines/>
              <w:jc w:val="center"/>
              <w:rPr>
                <w:rFonts w:ascii="Arial Narrow" w:hAnsi="Arial Narrow"/>
                <w:sz w:val="20"/>
                <w:szCs w:val="20"/>
              </w:rPr>
            </w:pPr>
            <w:r>
              <w:rPr>
                <w:rFonts w:ascii="Arial Narrow" w:hAnsi="Arial Narrow"/>
                <w:sz w:val="20"/>
                <w:szCs w:val="20"/>
              </w:rPr>
              <w:t>5</w:t>
            </w:r>
          </w:p>
        </w:tc>
        <w:tc>
          <w:tcPr>
            <w:tcW w:w="1140" w:type="dxa"/>
            <w:tcMar>
              <w:left w:w="28" w:type="dxa"/>
              <w:right w:w="28" w:type="dxa"/>
            </w:tcMar>
            <w:vAlign w:val="center"/>
          </w:tcPr>
          <w:p w14:paraId="20D256AD" w14:textId="473DD560" w:rsidR="005F22C4" w:rsidRPr="001159D0" w:rsidRDefault="005F22C4" w:rsidP="00F65E2F">
            <w:pPr>
              <w:keepLines/>
              <w:jc w:val="center"/>
              <w:rPr>
                <w:rFonts w:ascii="Arial Narrow" w:hAnsi="Arial Narrow"/>
                <w:color w:val="0066FF"/>
                <w:sz w:val="20"/>
                <w:szCs w:val="20"/>
              </w:rPr>
            </w:pPr>
            <w:r w:rsidRPr="005F22C4">
              <w:rPr>
                <w:rFonts w:ascii="Arial Narrow" w:hAnsi="Arial Narrow"/>
                <w:sz w:val="20"/>
                <w:szCs w:val="20"/>
              </w:rPr>
              <w:t>Velt</w:t>
            </w:r>
            <w:r w:rsidR="008433D0">
              <w:rPr>
                <w:rFonts w:ascii="Arial Narrow" w:hAnsi="Arial Narrow"/>
                <w:sz w:val="20"/>
                <w:szCs w:val="20"/>
              </w:rPr>
              <w:t>a</w:t>
            </w:r>
            <w:r w:rsidRPr="005F22C4">
              <w:rPr>
                <w:rFonts w:ascii="Arial Narrow" w:hAnsi="Arial Narrow"/>
                <w:sz w:val="20"/>
                <w:szCs w:val="20"/>
              </w:rPr>
              <w:t>ssa</w:t>
            </w:r>
          </w:p>
        </w:tc>
      </w:tr>
      <w:tr w:rsidR="005F3B83" w:rsidRPr="001159D0" w14:paraId="57DE08A8" w14:textId="77777777" w:rsidTr="005F22C4">
        <w:tblPrEx>
          <w:tblCellMar>
            <w:top w:w="15" w:type="dxa"/>
            <w:bottom w:w="15" w:type="dxa"/>
          </w:tblCellMar>
          <w:tblLook w:val="04A0" w:firstRow="1" w:lastRow="0" w:firstColumn="1" w:lastColumn="0" w:noHBand="0" w:noVBand="1"/>
        </w:tblPrEx>
        <w:trPr>
          <w:cantSplit/>
        </w:trPr>
        <w:tc>
          <w:tcPr>
            <w:tcW w:w="9071" w:type="dxa"/>
            <w:gridSpan w:val="8"/>
          </w:tcPr>
          <w:p w14:paraId="620794A2" w14:textId="77777777" w:rsidR="005F3B83" w:rsidRPr="001159D0" w:rsidRDefault="005F3B83" w:rsidP="00F65E2F">
            <w:pPr>
              <w:pStyle w:val="COMTabletext"/>
              <w:keepNext w:val="0"/>
              <w:rPr>
                <w:b/>
              </w:rPr>
            </w:pPr>
          </w:p>
        </w:tc>
      </w:tr>
      <w:tr w:rsidR="005F22C4" w:rsidRPr="001159D0" w14:paraId="6DC5928B" w14:textId="77777777" w:rsidTr="005F22C4">
        <w:tblPrEx>
          <w:tblCellMar>
            <w:top w:w="15" w:type="dxa"/>
            <w:bottom w:w="15" w:type="dxa"/>
          </w:tblCellMar>
          <w:tblLook w:val="04A0" w:firstRow="1" w:lastRow="0" w:firstColumn="1" w:lastColumn="0" w:noHBand="0" w:noVBand="1"/>
        </w:tblPrEx>
        <w:trPr>
          <w:cantSplit/>
        </w:trPr>
        <w:tc>
          <w:tcPr>
            <w:tcW w:w="1133" w:type="dxa"/>
            <w:vMerge w:val="restart"/>
          </w:tcPr>
          <w:p w14:paraId="1F65302A" w14:textId="6A376DE7" w:rsidR="005F22C4" w:rsidRPr="001159D0" w:rsidRDefault="005F22C4" w:rsidP="004E5C89">
            <w:pPr>
              <w:pStyle w:val="COMTabletext"/>
              <w:keepNext w:val="0"/>
              <w:jc w:val="center"/>
              <w:rPr>
                <w:b/>
              </w:rPr>
            </w:pPr>
          </w:p>
        </w:tc>
        <w:tc>
          <w:tcPr>
            <w:tcW w:w="7938" w:type="dxa"/>
            <w:gridSpan w:val="7"/>
          </w:tcPr>
          <w:p w14:paraId="07F56F90" w14:textId="77777777" w:rsidR="005F22C4" w:rsidRPr="001159D0" w:rsidRDefault="005F22C4" w:rsidP="00641D23">
            <w:pPr>
              <w:pStyle w:val="COMTabletext"/>
              <w:keepNext w:val="0"/>
            </w:pPr>
            <w:r w:rsidRPr="001159D0">
              <w:rPr>
                <w:b/>
              </w:rPr>
              <w:t xml:space="preserve">Category / Program: </w:t>
            </w:r>
            <w:r w:rsidRPr="001159D0">
              <w:t>General Schedule</w:t>
            </w:r>
            <w:r>
              <w:t xml:space="preserve"> (Code GE)</w:t>
            </w:r>
          </w:p>
        </w:tc>
      </w:tr>
      <w:tr w:rsidR="005F22C4" w:rsidRPr="001159D0" w14:paraId="7DAA9B3D" w14:textId="77777777" w:rsidTr="005F22C4">
        <w:tblPrEx>
          <w:tblCellMar>
            <w:top w:w="15" w:type="dxa"/>
            <w:bottom w:w="15" w:type="dxa"/>
          </w:tblCellMar>
          <w:tblLook w:val="04A0" w:firstRow="1" w:lastRow="0" w:firstColumn="1" w:lastColumn="0" w:noHBand="0" w:noVBand="1"/>
        </w:tblPrEx>
        <w:trPr>
          <w:cantSplit/>
        </w:trPr>
        <w:tc>
          <w:tcPr>
            <w:tcW w:w="1133" w:type="dxa"/>
            <w:vMerge/>
          </w:tcPr>
          <w:p w14:paraId="4F93D748" w14:textId="77777777" w:rsidR="005F22C4" w:rsidRPr="001159D0" w:rsidRDefault="005F22C4" w:rsidP="004E5C89">
            <w:pPr>
              <w:pStyle w:val="COMTabletext"/>
              <w:keepNext w:val="0"/>
              <w:jc w:val="center"/>
              <w:rPr>
                <w:b/>
              </w:rPr>
            </w:pPr>
          </w:p>
        </w:tc>
        <w:tc>
          <w:tcPr>
            <w:tcW w:w="7938" w:type="dxa"/>
            <w:gridSpan w:val="7"/>
          </w:tcPr>
          <w:p w14:paraId="75B6B780" w14:textId="77777777" w:rsidR="005F22C4" w:rsidRPr="001159D0" w:rsidRDefault="005F22C4" w:rsidP="00641D23">
            <w:pPr>
              <w:pStyle w:val="COMTabletext"/>
              <w:keepNext w:val="0"/>
              <w:rPr>
                <w:b/>
              </w:rPr>
            </w:pPr>
            <w:r w:rsidRPr="001159D0">
              <w:rPr>
                <w:b/>
              </w:rPr>
              <w:t xml:space="preserve">Prescriber type: </w:t>
            </w:r>
            <w:r w:rsidRPr="001159D0">
              <w:fldChar w:fldCharType="begin">
                <w:ffData>
                  <w:name w:val=""/>
                  <w:enabled/>
                  <w:calcOnExit w:val="0"/>
                  <w:checkBox>
                    <w:sizeAuto/>
                    <w:default w:val="1"/>
                  </w:checkBox>
                </w:ffData>
              </w:fldChar>
            </w:r>
            <w:r w:rsidRPr="001159D0">
              <w:instrText xml:space="preserve"> FORMCHECKBOX </w:instrText>
            </w:r>
            <w:r w:rsidR="005F4857">
              <w:fldChar w:fldCharType="separate"/>
            </w:r>
            <w:r w:rsidRPr="001159D0">
              <w:fldChar w:fldCharType="end"/>
            </w:r>
            <w:r>
              <w:t xml:space="preserve"> </w:t>
            </w:r>
            <w:r w:rsidRPr="001159D0">
              <w:t xml:space="preserve">Medical Practitioners </w:t>
            </w:r>
          </w:p>
        </w:tc>
      </w:tr>
      <w:tr w:rsidR="005F22C4" w:rsidRPr="001159D0" w14:paraId="4E7A68A2" w14:textId="77777777" w:rsidTr="005F22C4">
        <w:tblPrEx>
          <w:tblCellMar>
            <w:top w:w="15" w:type="dxa"/>
            <w:bottom w:w="15" w:type="dxa"/>
          </w:tblCellMar>
          <w:tblLook w:val="04A0" w:firstRow="1" w:lastRow="0" w:firstColumn="1" w:lastColumn="0" w:noHBand="0" w:noVBand="1"/>
        </w:tblPrEx>
        <w:trPr>
          <w:cantSplit/>
        </w:trPr>
        <w:tc>
          <w:tcPr>
            <w:tcW w:w="1133" w:type="dxa"/>
            <w:vMerge/>
          </w:tcPr>
          <w:p w14:paraId="1512692D" w14:textId="77777777" w:rsidR="005F22C4" w:rsidRPr="001159D0" w:rsidRDefault="005F22C4" w:rsidP="004E5C89">
            <w:pPr>
              <w:pStyle w:val="COMTabletext"/>
              <w:keepNext w:val="0"/>
              <w:jc w:val="center"/>
              <w:rPr>
                <w:b/>
              </w:rPr>
            </w:pPr>
          </w:p>
        </w:tc>
        <w:tc>
          <w:tcPr>
            <w:tcW w:w="7938" w:type="dxa"/>
            <w:gridSpan w:val="7"/>
          </w:tcPr>
          <w:p w14:paraId="7E599A1E" w14:textId="77777777" w:rsidR="005F22C4" w:rsidRPr="001159D0" w:rsidRDefault="005F22C4" w:rsidP="00641D23">
            <w:pPr>
              <w:pStyle w:val="COMTabletext"/>
              <w:keepNext w:val="0"/>
              <w:rPr>
                <w:b/>
              </w:rPr>
            </w:pPr>
            <w:r w:rsidRPr="001159D0">
              <w:rPr>
                <w:b/>
              </w:rPr>
              <w:t xml:space="preserve">Restriction type: </w:t>
            </w:r>
            <w:r w:rsidRPr="001159D0">
              <w:rPr>
                <w:rFonts w:eastAsia="Times New Roman"/>
              </w:rPr>
              <w:fldChar w:fldCharType="begin">
                <w:ffData>
                  <w:name w:val="Check3"/>
                  <w:enabled/>
                  <w:calcOnExit w:val="0"/>
                  <w:checkBox>
                    <w:sizeAuto/>
                    <w:default w:val="1"/>
                  </w:checkBox>
                </w:ffData>
              </w:fldChar>
            </w:r>
            <w:r w:rsidRPr="001159D0">
              <w:rPr>
                <w:rFonts w:eastAsia="Times New Roman"/>
              </w:rPr>
              <w:instrText xml:space="preserve"> FORMCHECKBOX </w:instrText>
            </w:r>
            <w:r w:rsidR="005F4857">
              <w:rPr>
                <w:rFonts w:eastAsia="Times New Roman"/>
              </w:rPr>
            </w:r>
            <w:r w:rsidR="005F4857">
              <w:rPr>
                <w:rFonts w:eastAsia="Times New Roman"/>
              </w:rPr>
              <w:fldChar w:fldCharType="separate"/>
            </w:r>
            <w:r w:rsidRPr="001159D0">
              <w:rPr>
                <w:rFonts w:eastAsia="Times New Roman"/>
              </w:rPr>
              <w:fldChar w:fldCharType="end"/>
            </w:r>
            <w:r>
              <w:rPr>
                <w:rFonts w:eastAsia="Times New Roman"/>
              </w:rPr>
              <w:t xml:space="preserve"> </w:t>
            </w:r>
            <w:r w:rsidRPr="001159D0">
              <w:rPr>
                <w:rFonts w:eastAsia="Times New Roman"/>
              </w:rPr>
              <w:t>Authority Required (telephone/online PBS Authorities system)</w:t>
            </w:r>
          </w:p>
        </w:tc>
      </w:tr>
      <w:tr w:rsidR="005F22C4" w:rsidRPr="001159D0" w14:paraId="5F392DFA" w14:textId="77777777" w:rsidTr="005F22C4">
        <w:tblPrEx>
          <w:tblCellMar>
            <w:top w:w="15" w:type="dxa"/>
            <w:bottom w:w="15" w:type="dxa"/>
          </w:tblCellMar>
          <w:tblLook w:val="04A0" w:firstRow="1" w:lastRow="0" w:firstColumn="1" w:lastColumn="0" w:noHBand="0" w:noVBand="1"/>
        </w:tblPrEx>
        <w:trPr>
          <w:cantSplit/>
        </w:trPr>
        <w:tc>
          <w:tcPr>
            <w:tcW w:w="1133" w:type="dxa"/>
            <w:vMerge/>
          </w:tcPr>
          <w:p w14:paraId="490CF2E1" w14:textId="77777777" w:rsidR="005F22C4" w:rsidRPr="001159D0" w:rsidRDefault="005F22C4" w:rsidP="004E5C89">
            <w:pPr>
              <w:pStyle w:val="COMTabletext"/>
              <w:keepNext w:val="0"/>
              <w:jc w:val="center"/>
              <w:rPr>
                <w:b/>
              </w:rPr>
            </w:pPr>
          </w:p>
        </w:tc>
        <w:tc>
          <w:tcPr>
            <w:tcW w:w="7938" w:type="dxa"/>
            <w:gridSpan w:val="7"/>
          </w:tcPr>
          <w:p w14:paraId="10CE8E63" w14:textId="77777777" w:rsidR="005F22C4" w:rsidRPr="00320A2B" w:rsidRDefault="005F22C4" w:rsidP="00641D23">
            <w:pPr>
              <w:pStyle w:val="COMTabletext"/>
              <w:keepNext w:val="0"/>
              <w:rPr>
                <w:b/>
              </w:rPr>
            </w:pPr>
          </w:p>
        </w:tc>
      </w:tr>
      <w:tr w:rsidR="005F22C4" w:rsidRPr="001159D0" w14:paraId="08D2E826" w14:textId="77777777" w:rsidTr="005F22C4">
        <w:tblPrEx>
          <w:tblCellMar>
            <w:top w:w="15" w:type="dxa"/>
            <w:bottom w:w="15" w:type="dxa"/>
          </w:tblCellMar>
          <w:tblLook w:val="04A0" w:firstRow="1" w:lastRow="0" w:firstColumn="1" w:lastColumn="0" w:noHBand="0" w:noVBand="1"/>
        </w:tblPrEx>
        <w:trPr>
          <w:cantSplit/>
        </w:trPr>
        <w:tc>
          <w:tcPr>
            <w:tcW w:w="1133" w:type="dxa"/>
            <w:vMerge/>
          </w:tcPr>
          <w:p w14:paraId="2FA5AAA2" w14:textId="77777777" w:rsidR="005F22C4" w:rsidRPr="001159D0" w:rsidRDefault="005F22C4" w:rsidP="004E5C89">
            <w:pPr>
              <w:pStyle w:val="COMTabletext"/>
              <w:keepNext w:val="0"/>
              <w:jc w:val="center"/>
              <w:rPr>
                <w:b/>
              </w:rPr>
            </w:pPr>
          </w:p>
        </w:tc>
        <w:tc>
          <w:tcPr>
            <w:tcW w:w="7938" w:type="dxa"/>
            <w:gridSpan w:val="7"/>
            <w:vAlign w:val="center"/>
          </w:tcPr>
          <w:p w14:paraId="018FE864" w14:textId="77777777" w:rsidR="005F22C4" w:rsidRPr="00320A2B" w:rsidRDefault="005F22C4" w:rsidP="00641D23">
            <w:pPr>
              <w:pStyle w:val="COMTabletext"/>
              <w:keepNext w:val="0"/>
            </w:pPr>
            <w:r w:rsidRPr="00320A2B">
              <w:rPr>
                <w:b/>
              </w:rPr>
              <w:t>Episodicity:</w:t>
            </w:r>
            <w:r w:rsidRPr="00320A2B">
              <w:rPr>
                <w:bCs w:val="0"/>
              </w:rPr>
              <w:t xml:space="preserve"> Chronic.</w:t>
            </w:r>
          </w:p>
        </w:tc>
      </w:tr>
      <w:tr w:rsidR="005F22C4" w:rsidRPr="001159D0" w14:paraId="0B1AC466" w14:textId="77777777" w:rsidTr="005F22C4">
        <w:tblPrEx>
          <w:tblCellMar>
            <w:top w:w="15" w:type="dxa"/>
            <w:bottom w:w="15" w:type="dxa"/>
          </w:tblCellMar>
          <w:tblLook w:val="04A0" w:firstRow="1" w:lastRow="0" w:firstColumn="1" w:lastColumn="0" w:noHBand="0" w:noVBand="1"/>
        </w:tblPrEx>
        <w:trPr>
          <w:cantSplit/>
        </w:trPr>
        <w:tc>
          <w:tcPr>
            <w:tcW w:w="1133" w:type="dxa"/>
            <w:vMerge/>
          </w:tcPr>
          <w:p w14:paraId="1E20A68A" w14:textId="77777777" w:rsidR="005F22C4" w:rsidRPr="001159D0" w:rsidRDefault="005F22C4" w:rsidP="004E5C89">
            <w:pPr>
              <w:pStyle w:val="COMTabletext"/>
              <w:keepNext w:val="0"/>
              <w:jc w:val="center"/>
              <w:rPr>
                <w:b/>
              </w:rPr>
            </w:pPr>
          </w:p>
        </w:tc>
        <w:tc>
          <w:tcPr>
            <w:tcW w:w="7938" w:type="dxa"/>
            <w:gridSpan w:val="7"/>
            <w:vAlign w:val="center"/>
          </w:tcPr>
          <w:p w14:paraId="65A1CBF8" w14:textId="77777777" w:rsidR="005F22C4" w:rsidRPr="00320A2B" w:rsidRDefault="005F22C4" w:rsidP="00641D23">
            <w:pPr>
              <w:pStyle w:val="COMTabletext"/>
              <w:keepNext w:val="0"/>
              <w:rPr>
                <w:b/>
              </w:rPr>
            </w:pPr>
            <w:r w:rsidRPr="00320A2B">
              <w:rPr>
                <w:b/>
              </w:rPr>
              <w:t xml:space="preserve">Severity: </w:t>
            </w:r>
            <w:r w:rsidRPr="00320A2B">
              <w:rPr>
                <w:bCs w:val="0"/>
              </w:rPr>
              <w:t>[blank]</w:t>
            </w:r>
          </w:p>
        </w:tc>
      </w:tr>
      <w:tr w:rsidR="005F22C4" w:rsidRPr="001159D0" w14:paraId="0C6E132C" w14:textId="77777777" w:rsidTr="005F22C4">
        <w:tblPrEx>
          <w:tblCellMar>
            <w:top w:w="15" w:type="dxa"/>
            <w:bottom w:w="15" w:type="dxa"/>
          </w:tblCellMar>
          <w:tblLook w:val="04A0" w:firstRow="1" w:lastRow="0" w:firstColumn="1" w:lastColumn="0" w:noHBand="0" w:noVBand="1"/>
        </w:tblPrEx>
        <w:trPr>
          <w:cantSplit/>
        </w:trPr>
        <w:tc>
          <w:tcPr>
            <w:tcW w:w="1133" w:type="dxa"/>
            <w:vMerge/>
          </w:tcPr>
          <w:p w14:paraId="1CED2A04" w14:textId="77777777" w:rsidR="005F22C4" w:rsidRPr="001159D0" w:rsidRDefault="005F22C4" w:rsidP="004E5C89">
            <w:pPr>
              <w:pStyle w:val="COMTabletext"/>
              <w:keepNext w:val="0"/>
              <w:jc w:val="center"/>
              <w:rPr>
                <w:b/>
              </w:rPr>
            </w:pPr>
          </w:p>
        </w:tc>
        <w:tc>
          <w:tcPr>
            <w:tcW w:w="7938" w:type="dxa"/>
            <w:gridSpan w:val="7"/>
            <w:vAlign w:val="center"/>
          </w:tcPr>
          <w:p w14:paraId="51718E54" w14:textId="77777777" w:rsidR="005F22C4" w:rsidRPr="00320A2B" w:rsidRDefault="005F22C4" w:rsidP="00641D23">
            <w:pPr>
              <w:pStyle w:val="COMTabletext"/>
              <w:keepNext w:val="0"/>
              <w:rPr>
                <w:b/>
              </w:rPr>
            </w:pPr>
            <w:r w:rsidRPr="00320A2B">
              <w:rPr>
                <w:b/>
              </w:rPr>
              <w:t>Condition:</w:t>
            </w:r>
            <w:r w:rsidRPr="00320A2B">
              <w:rPr>
                <w:bCs w:val="0"/>
              </w:rPr>
              <w:t xml:space="preserve"> Hyperkalaemia</w:t>
            </w:r>
            <w:r w:rsidRPr="00320A2B">
              <w:t>.</w:t>
            </w:r>
          </w:p>
        </w:tc>
      </w:tr>
      <w:tr w:rsidR="005F22C4" w:rsidRPr="001159D0" w14:paraId="3E45060D" w14:textId="77777777" w:rsidTr="005F22C4">
        <w:tblPrEx>
          <w:tblCellMar>
            <w:top w:w="15" w:type="dxa"/>
            <w:bottom w:w="15" w:type="dxa"/>
          </w:tblCellMar>
          <w:tblLook w:val="04A0" w:firstRow="1" w:lastRow="0" w:firstColumn="1" w:lastColumn="0" w:noHBand="0" w:noVBand="1"/>
        </w:tblPrEx>
        <w:trPr>
          <w:cantSplit/>
        </w:trPr>
        <w:tc>
          <w:tcPr>
            <w:tcW w:w="1133" w:type="dxa"/>
          </w:tcPr>
          <w:p w14:paraId="75E22C9D" w14:textId="5195310F" w:rsidR="005F22C4" w:rsidRPr="003877C1" w:rsidRDefault="005F22C4" w:rsidP="004E5C89">
            <w:pPr>
              <w:pStyle w:val="COMTabletext"/>
              <w:jc w:val="center"/>
              <w:rPr>
                <w:bCs w:val="0"/>
              </w:rPr>
            </w:pPr>
          </w:p>
        </w:tc>
        <w:tc>
          <w:tcPr>
            <w:tcW w:w="7938" w:type="dxa"/>
            <w:gridSpan w:val="7"/>
            <w:vAlign w:val="center"/>
            <w:hideMark/>
          </w:tcPr>
          <w:p w14:paraId="00D674A1" w14:textId="77777777" w:rsidR="005F22C4" w:rsidRPr="00320A2B" w:rsidRDefault="005F22C4" w:rsidP="00641D23">
            <w:pPr>
              <w:pStyle w:val="COMTabletext"/>
              <w:keepNext w:val="0"/>
            </w:pPr>
            <w:r w:rsidRPr="00320A2B">
              <w:rPr>
                <w:b/>
              </w:rPr>
              <w:t>Indication:</w:t>
            </w:r>
            <w:r w:rsidRPr="00320A2B">
              <w:t xml:space="preserve"> Chronic hyperkalaemia.</w:t>
            </w:r>
          </w:p>
        </w:tc>
      </w:tr>
      <w:tr w:rsidR="005F22C4" w:rsidRPr="001159D0" w14:paraId="5196BDE8" w14:textId="77777777" w:rsidTr="005F22C4">
        <w:tblPrEx>
          <w:tblCellMar>
            <w:top w:w="15" w:type="dxa"/>
            <w:bottom w:w="15" w:type="dxa"/>
          </w:tblCellMar>
          <w:tblLook w:val="04A0" w:firstRow="1" w:lastRow="0" w:firstColumn="1" w:lastColumn="0" w:noHBand="0" w:noVBand="1"/>
        </w:tblPrEx>
        <w:trPr>
          <w:cantSplit/>
        </w:trPr>
        <w:tc>
          <w:tcPr>
            <w:tcW w:w="1133" w:type="dxa"/>
          </w:tcPr>
          <w:p w14:paraId="7905F816" w14:textId="77777777" w:rsidR="005F22C4" w:rsidRPr="001159D0" w:rsidRDefault="005F22C4" w:rsidP="004E5C89">
            <w:pPr>
              <w:pStyle w:val="COMTabletext"/>
              <w:keepNext w:val="0"/>
              <w:jc w:val="center"/>
              <w:rPr>
                <w:b/>
              </w:rPr>
            </w:pPr>
          </w:p>
        </w:tc>
        <w:tc>
          <w:tcPr>
            <w:tcW w:w="7938" w:type="dxa"/>
            <w:gridSpan w:val="7"/>
            <w:vAlign w:val="center"/>
          </w:tcPr>
          <w:p w14:paraId="750B67B7" w14:textId="77777777" w:rsidR="005F22C4" w:rsidRPr="001159D0" w:rsidRDefault="005F22C4" w:rsidP="00641D23">
            <w:pPr>
              <w:pStyle w:val="COMTabletext"/>
              <w:keepNext w:val="0"/>
              <w:rPr>
                <w:b/>
              </w:rPr>
            </w:pPr>
          </w:p>
        </w:tc>
      </w:tr>
      <w:tr w:rsidR="005F22C4" w:rsidRPr="001159D0" w14:paraId="3F97CE28" w14:textId="77777777" w:rsidTr="005F22C4">
        <w:tblPrEx>
          <w:tblCellMar>
            <w:top w:w="15" w:type="dxa"/>
            <w:bottom w:w="15" w:type="dxa"/>
          </w:tblCellMar>
          <w:tblLook w:val="04A0" w:firstRow="1" w:lastRow="0" w:firstColumn="1" w:lastColumn="0" w:noHBand="0" w:noVBand="1"/>
        </w:tblPrEx>
        <w:trPr>
          <w:cantSplit/>
        </w:trPr>
        <w:tc>
          <w:tcPr>
            <w:tcW w:w="1133" w:type="dxa"/>
          </w:tcPr>
          <w:p w14:paraId="1F0052D0" w14:textId="77777777" w:rsidR="005F22C4" w:rsidRPr="00B91182" w:rsidRDefault="005F22C4" w:rsidP="004E5C89">
            <w:pPr>
              <w:pStyle w:val="COMTabletext"/>
              <w:keepNext w:val="0"/>
              <w:jc w:val="center"/>
              <w:rPr>
                <w:b/>
              </w:rPr>
            </w:pPr>
          </w:p>
        </w:tc>
        <w:tc>
          <w:tcPr>
            <w:tcW w:w="7938" w:type="dxa"/>
            <w:gridSpan w:val="7"/>
            <w:vAlign w:val="center"/>
            <w:hideMark/>
          </w:tcPr>
          <w:p w14:paraId="6A75ADC2" w14:textId="77777777" w:rsidR="005F22C4" w:rsidRPr="00B91182" w:rsidRDefault="005F22C4" w:rsidP="00641D23">
            <w:pPr>
              <w:pStyle w:val="COMTabletext"/>
              <w:keepNext w:val="0"/>
            </w:pPr>
            <w:r w:rsidRPr="00B91182">
              <w:rPr>
                <w:b/>
              </w:rPr>
              <w:t>Treatment Phase:</w:t>
            </w:r>
            <w:r w:rsidRPr="00B91182">
              <w:t xml:space="preserve"> </w:t>
            </w:r>
            <w:r w:rsidRPr="00B91182">
              <w:rPr>
                <w:bCs w:val="0"/>
                <w:szCs w:val="20"/>
              </w:rPr>
              <w:t xml:space="preserve">Initial Treatment </w:t>
            </w:r>
          </w:p>
        </w:tc>
      </w:tr>
      <w:tr w:rsidR="005F22C4" w:rsidRPr="001159D0" w14:paraId="193B561C" w14:textId="77777777" w:rsidTr="005F22C4">
        <w:tblPrEx>
          <w:tblCellMar>
            <w:top w:w="15" w:type="dxa"/>
            <w:bottom w:w="15" w:type="dxa"/>
          </w:tblCellMar>
          <w:tblLook w:val="04A0" w:firstRow="1" w:lastRow="0" w:firstColumn="1" w:lastColumn="0" w:noHBand="0" w:noVBand="1"/>
        </w:tblPrEx>
        <w:trPr>
          <w:cantSplit/>
          <w:trHeight w:val="140"/>
        </w:trPr>
        <w:tc>
          <w:tcPr>
            <w:tcW w:w="1133" w:type="dxa"/>
          </w:tcPr>
          <w:p w14:paraId="3DCCB6D6" w14:textId="77777777" w:rsidR="005F22C4" w:rsidRPr="00B91182" w:rsidRDefault="005F22C4" w:rsidP="004E5C89">
            <w:pPr>
              <w:jc w:val="center"/>
              <w:rPr>
                <w:rFonts w:ascii="Arial Narrow" w:hAnsi="Arial Narrow"/>
                <w:b/>
                <w:bCs/>
                <w:sz w:val="20"/>
                <w:szCs w:val="20"/>
              </w:rPr>
            </w:pPr>
          </w:p>
        </w:tc>
        <w:tc>
          <w:tcPr>
            <w:tcW w:w="7938" w:type="dxa"/>
            <w:gridSpan w:val="7"/>
            <w:vAlign w:val="center"/>
          </w:tcPr>
          <w:p w14:paraId="718F1591" w14:textId="77777777" w:rsidR="005F22C4" w:rsidRPr="00B91182" w:rsidRDefault="005F22C4" w:rsidP="00641D23">
            <w:pPr>
              <w:rPr>
                <w:rFonts w:ascii="Arial Narrow" w:hAnsi="Arial Narrow"/>
                <w:b/>
                <w:bCs/>
                <w:sz w:val="20"/>
                <w:szCs w:val="20"/>
              </w:rPr>
            </w:pPr>
          </w:p>
        </w:tc>
      </w:tr>
      <w:tr w:rsidR="005F22C4" w:rsidRPr="001159D0" w14:paraId="59298329" w14:textId="77777777" w:rsidTr="005F22C4">
        <w:tblPrEx>
          <w:tblCellMar>
            <w:top w:w="15" w:type="dxa"/>
            <w:bottom w:w="15" w:type="dxa"/>
          </w:tblCellMar>
          <w:tblLook w:val="04A0" w:firstRow="1" w:lastRow="0" w:firstColumn="1" w:lastColumn="0" w:noHBand="0" w:noVBand="1"/>
        </w:tblPrEx>
        <w:trPr>
          <w:cantSplit/>
        </w:trPr>
        <w:tc>
          <w:tcPr>
            <w:tcW w:w="1133" w:type="dxa"/>
          </w:tcPr>
          <w:p w14:paraId="14634285" w14:textId="77777777" w:rsidR="005F22C4" w:rsidRPr="00B91182" w:rsidRDefault="005F22C4" w:rsidP="004E5C89">
            <w:pPr>
              <w:pStyle w:val="COMTabletext"/>
              <w:keepNext w:val="0"/>
              <w:jc w:val="center"/>
              <w:rPr>
                <w:b/>
              </w:rPr>
            </w:pPr>
          </w:p>
        </w:tc>
        <w:tc>
          <w:tcPr>
            <w:tcW w:w="7938" w:type="dxa"/>
            <w:gridSpan w:val="7"/>
            <w:vAlign w:val="center"/>
            <w:hideMark/>
          </w:tcPr>
          <w:p w14:paraId="3EFBB3B2" w14:textId="77777777" w:rsidR="005F22C4" w:rsidRPr="00B91182" w:rsidRDefault="005F22C4" w:rsidP="00641D23">
            <w:pPr>
              <w:pStyle w:val="COMTabletext"/>
              <w:keepNext w:val="0"/>
            </w:pPr>
            <w:r w:rsidRPr="00B91182">
              <w:rPr>
                <w:b/>
              </w:rPr>
              <w:t>Population criteria:</w:t>
            </w:r>
            <w:r w:rsidRPr="00B91182">
              <w:t xml:space="preserve"> </w:t>
            </w:r>
          </w:p>
        </w:tc>
      </w:tr>
      <w:tr w:rsidR="005F22C4" w:rsidRPr="001159D0" w14:paraId="70B98B23" w14:textId="77777777" w:rsidTr="005F22C4">
        <w:tblPrEx>
          <w:tblCellMar>
            <w:top w:w="15" w:type="dxa"/>
            <w:bottom w:w="15" w:type="dxa"/>
          </w:tblCellMar>
          <w:tblLook w:val="04A0" w:firstRow="1" w:lastRow="0" w:firstColumn="1" w:lastColumn="0" w:noHBand="0" w:noVBand="1"/>
        </w:tblPrEx>
        <w:trPr>
          <w:cantSplit/>
        </w:trPr>
        <w:tc>
          <w:tcPr>
            <w:tcW w:w="1133" w:type="dxa"/>
          </w:tcPr>
          <w:p w14:paraId="2899B162" w14:textId="6387DA99" w:rsidR="005F22C4" w:rsidRPr="00B91182" w:rsidRDefault="005F22C4" w:rsidP="004E5C89">
            <w:pPr>
              <w:pStyle w:val="COMTabletext"/>
              <w:keepNext w:val="0"/>
              <w:jc w:val="center"/>
            </w:pPr>
          </w:p>
        </w:tc>
        <w:tc>
          <w:tcPr>
            <w:tcW w:w="7938" w:type="dxa"/>
            <w:gridSpan w:val="7"/>
            <w:vAlign w:val="center"/>
          </w:tcPr>
          <w:p w14:paraId="2B36CF40" w14:textId="77777777" w:rsidR="005F22C4" w:rsidRPr="00B91182" w:rsidRDefault="005F22C4" w:rsidP="00641D23">
            <w:pPr>
              <w:pStyle w:val="COMTabletext"/>
              <w:keepNext w:val="0"/>
              <w:rPr>
                <w:b/>
              </w:rPr>
            </w:pPr>
            <w:r w:rsidRPr="00B91182">
              <w:t>Patient must have stage 3 to stage 4 chronic kidney disease.</w:t>
            </w:r>
          </w:p>
        </w:tc>
      </w:tr>
      <w:tr w:rsidR="005F22C4" w:rsidRPr="001159D0" w14:paraId="1AB2F467" w14:textId="77777777" w:rsidTr="005F22C4">
        <w:tblPrEx>
          <w:tblCellMar>
            <w:top w:w="15" w:type="dxa"/>
            <w:bottom w:w="15" w:type="dxa"/>
          </w:tblCellMar>
          <w:tblLook w:val="04A0" w:firstRow="1" w:lastRow="0" w:firstColumn="1" w:lastColumn="0" w:noHBand="0" w:noVBand="1"/>
        </w:tblPrEx>
        <w:trPr>
          <w:cantSplit/>
        </w:trPr>
        <w:tc>
          <w:tcPr>
            <w:tcW w:w="1133" w:type="dxa"/>
          </w:tcPr>
          <w:p w14:paraId="191BA318" w14:textId="77777777" w:rsidR="005F22C4" w:rsidRPr="00B91182" w:rsidRDefault="005F22C4" w:rsidP="004E5C89">
            <w:pPr>
              <w:pStyle w:val="COMTabletext"/>
              <w:keepNext w:val="0"/>
              <w:jc w:val="center"/>
            </w:pPr>
          </w:p>
        </w:tc>
        <w:tc>
          <w:tcPr>
            <w:tcW w:w="7938" w:type="dxa"/>
            <w:gridSpan w:val="7"/>
            <w:vAlign w:val="center"/>
          </w:tcPr>
          <w:p w14:paraId="544CA06A" w14:textId="77777777" w:rsidR="005F22C4" w:rsidRPr="00B91182" w:rsidRDefault="005F22C4" w:rsidP="00641D23">
            <w:pPr>
              <w:pStyle w:val="COMTabletext"/>
              <w:keepNext w:val="0"/>
            </w:pPr>
          </w:p>
        </w:tc>
      </w:tr>
      <w:tr w:rsidR="005F22C4" w:rsidRPr="001159D0" w14:paraId="03DCA26E" w14:textId="77777777" w:rsidTr="005F22C4">
        <w:tblPrEx>
          <w:tblCellMar>
            <w:top w:w="15" w:type="dxa"/>
            <w:bottom w:w="15" w:type="dxa"/>
          </w:tblCellMar>
          <w:tblLook w:val="04A0" w:firstRow="1" w:lastRow="0" w:firstColumn="1" w:lastColumn="0" w:noHBand="0" w:noVBand="1"/>
        </w:tblPrEx>
        <w:trPr>
          <w:cantSplit/>
        </w:trPr>
        <w:tc>
          <w:tcPr>
            <w:tcW w:w="1133" w:type="dxa"/>
          </w:tcPr>
          <w:p w14:paraId="5E56CA7D" w14:textId="77777777" w:rsidR="005F22C4" w:rsidRPr="00B91182" w:rsidRDefault="005F22C4" w:rsidP="004E5C89">
            <w:pPr>
              <w:pStyle w:val="COMTabletext"/>
              <w:keepNext w:val="0"/>
              <w:jc w:val="center"/>
              <w:rPr>
                <w:b/>
              </w:rPr>
            </w:pPr>
          </w:p>
        </w:tc>
        <w:tc>
          <w:tcPr>
            <w:tcW w:w="7938" w:type="dxa"/>
            <w:gridSpan w:val="7"/>
            <w:vAlign w:val="center"/>
            <w:hideMark/>
          </w:tcPr>
          <w:p w14:paraId="42A30AA8" w14:textId="77777777" w:rsidR="005F22C4" w:rsidRPr="00B91182" w:rsidRDefault="005F22C4" w:rsidP="00641D23">
            <w:pPr>
              <w:pStyle w:val="COMTabletext"/>
              <w:keepNext w:val="0"/>
            </w:pPr>
            <w:r w:rsidRPr="00B91182">
              <w:rPr>
                <w:b/>
              </w:rPr>
              <w:t xml:space="preserve">Clinical criteria: </w:t>
            </w:r>
          </w:p>
        </w:tc>
      </w:tr>
      <w:tr w:rsidR="005F22C4" w:rsidRPr="001159D0" w14:paraId="5594CE84" w14:textId="77777777" w:rsidTr="005F22C4">
        <w:tblPrEx>
          <w:tblCellMar>
            <w:top w:w="15" w:type="dxa"/>
            <w:bottom w:w="15" w:type="dxa"/>
          </w:tblCellMar>
          <w:tblLook w:val="04A0" w:firstRow="1" w:lastRow="0" w:firstColumn="1" w:lastColumn="0" w:noHBand="0" w:noVBand="1"/>
        </w:tblPrEx>
        <w:trPr>
          <w:cantSplit/>
        </w:trPr>
        <w:tc>
          <w:tcPr>
            <w:tcW w:w="1133" w:type="dxa"/>
          </w:tcPr>
          <w:p w14:paraId="42500FCE" w14:textId="6DDA0ABA" w:rsidR="005F22C4" w:rsidRPr="00B91182" w:rsidRDefault="005F22C4" w:rsidP="004E5C89">
            <w:pPr>
              <w:pStyle w:val="COMTabletext"/>
              <w:keepNext w:val="0"/>
              <w:jc w:val="center"/>
            </w:pPr>
          </w:p>
        </w:tc>
        <w:tc>
          <w:tcPr>
            <w:tcW w:w="7938" w:type="dxa"/>
            <w:gridSpan w:val="7"/>
            <w:vAlign w:val="center"/>
          </w:tcPr>
          <w:p w14:paraId="147B345F" w14:textId="744636A0" w:rsidR="005F22C4" w:rsidRPr="00B91182" w:rsidRDefault="005F22C4" w:rsidP="00641D23">
            <w:pPr>
              <w:pStyle w:val="COMTabletext"/>
              <w:keepNext w:val="0"/>
              <w:rPr>
                <w:b/>
                <w:strike/>
              </w:rPr>
            </w:pPr>
            <w:r w:rsidRPr="002517B5">
              <w:rPr>
                <w:strike/>
              </w:rPr>
              <w:t>Patient must have previously trialled a low potassium diet.</w:t>
            </w:r>
            <w:r>
              <w:t xml:space="preserve"> </w:t>
            </w:r>
            <w:r w:rsidRPr="002517B5">
              <w:rPr>
                <w:i/>
                <w:iCs/>
              </w:rPr>
              <w:t>The condition must not be adequately controlled by a low potassium diet.</w:t>
            </w:r>
          </w:p>
        </w:tc>
      </w:tr>
      <w:tr w:rsidR="005F22C4" w:rsidRPr="001159D0" w14:paraId="6C7728BD" w14:textId="77777777" w:rsidTr="005F22C4">
        <w:tblPrEx>
          <w:tblCellMar>
            <w:top w:w="15" w:type="dxa"/>
            <w:bottom w:w="15" w:type="dxa"/>
          </w:tblCellMar>
          <w:tblLook w:val="04A0" w:firstRow="1" w:lastRow="0" w:firstColumn="1" w:lastColumn="0" w:noHBand="0" w:noVBand="1"/>
        </w:tblPrEx>
        <w:trPr>
          <w:cantSplit/>
        </w:trPr>
        <w:tc>
          <w:tcPr>
            <w:tcW w:w="1133" w:type="dxa"/>
          </w:tcPr>
          <w:p w14:paraId="48C38C06" w14:textId="77777777" w:rsidR="005F22C4" w:rsidRPr="00B91182" w:rsidRDefault="005F22C4" w:rsidP="004E5C89">
            <w:pPr>
              <w:pStyle w:val="COMTabletext"/>
              <w:keepNext w:val="0"/>
              <w:jc w:val="center"/>
              <w:rPr>
                <w:b/>
                <w:bCs w:val="0"/>
              </w:rPr>
            </w:pPr>
          </w:p>
        </w:tc>
        <w:tc>
          <w:tcPr>
            <w:tcW w:w="7938" w:type="dxa"/>
            <w:gridSpan w:val="7"/>
            <w:vAlign w:val="center"/>
          </w:tcPr>
          <w:p w14:paraId="10DF9581" w14:textId="77777777" w:rsidR="005F22C4" w:rsidRPr="00B91182" w:rsidRDefault="005F22C4" w:rsidP="00641D23">
            <w:pPr>
              <w:pStyle w:val="COMTabletext"/>
              <w:keepNext w:val="0"/>
              <w:rPr>
                <w:b/>
                <w:bCs w:val="0"/>
              </w:rPr>
            </w:pPr>
            <w:r w:rsidRPr="00B91182">
              <w:rPr>
                <w:b/>
                <w:bCs w:val="0"/>
              </w:rPr>
              <w:t>AND</w:t>
            </w:r>
          </w:p>
        </w:tc>
      </w:tr>
      <w:tr w:rsidR="005F22C4" w:rsidRPr="001159D0" w14:paraId="1925406C" w14:textId="77777777" w:rsidTr="005F22C4">
        <w:tblPrEx>
          <w:tblCellMar>
            <w:top w:w="15" w:type="dxa"/>
            <w:bottom w:w="15" w:type="dxa"/>
          </w:tblCellMar>
          <w:tblLook w:val="04A0" w:firstRow="1" w:lastRow="0" w:firstColumn="1" w:lastColumn="0" w:noHBand="0" w:noVBand="1"/>
        </w:tblPrEx>
        <w:trPr>
          <w:cantSplit/>
        </w:trPr>
        <w:tc>
          <w:tcPr>
            <w:tcW w:w="1133" w:type="dxa"/>
          </w:tcPr>
          <w:p w14:paraId="3262C150" w14:textId="77777777" w:rsidR="005F22C4" w:rsidRPr="00B91182" w:rsidRDefault="005F22C4" w:rsidP="004E5C89">
            <w:pPr>
              <w:pStyle w:val="COMTabletext"/>
              <w:keepNext w:val="0"/>
              <w:jc w:val="center"/>
              <w:rPr>
                <w:b/>
              </w:rPr>
            </w:pPr>
          </w:p>
        </w:tc>
        <w:tc>
          <w:tcPr>
            <w:tcW w:w="7938" w:type="dxa"/>
            <w:gridSpan w:val="7"/>
            <w:vAlign w:val="center"/>
            <w:hideMark/>
          </w:tcPr>
          <w:p w14:paraId="119EEE36" w14:textId="77777777" w:rsidR="005F22C4" w:rsidRPr="00B91182" w:rsidRDefault="005F22C4" w:rsidP="00641D23">
            <w:pPr>
              <w:pStyle w:val="COMTabletext"/>
              <w:keepNext w:val="0"/>
            </w:pPr>
            <w:r w:rsidRPr="00B91182">
              <w:rPr>
                <w:b/>
              </w:rPr>
              <w:t xml:space="preserve">Clinical criteria: </w:t>
            </w:r>
          </w:p>
        </w:tc>
      </w:tr>
      <w:tr w:rsidR="005F22C4" w:rsidRPr="001159D0" w14:paraId="17DB6F3F" w14:textId="77777777" w:rsidTr="005F22C4">
        <w:tblPrEx>
          <w:tblCellMar>
            <w:top w:w="15" w:type="dxa"/>
            <w:bottom w:w="15" w:type="dxa"/>
          </w:tblCellMar>
          <w:tblLook w:val="04A0" w:firstRow="1" w:lastRow="0" w:firstColumn="1" w:lastColumn="0" w:noHBand="0" w:noVBand="1"/>
        </w:tblPrEx>
        <w:trPr>
          <w:cantSplit/>
        </w:trPr>
        <w:tc>
          <w:tcPr>
            <w:tcW w:w="1133" w:type="dxa"/>
          </w:tcPr>
          <w:p w14:paraId="4525288E" w14:textId="60DA7808" w:rsidR="005F22C4" w:rsidRPr="00B91182" w:rsidRDefault="005F22C4" w:rsidP="004E5C89">
            <w:pPr>
              <w:pStyle w:val="Tabletext"/>
              <w:keepNext w:val="0"/>
              <w:spacing w:before="0" w:after="0"/>
              <w:jc w:val="center"/>
            </w:pPr>
          </w:p>
        </w:tc>
        <w:tc>
          <w:tcPr>
            <w:tcW w:w="7938" w:type="dxa"/>
            <w:gridSpan w:val="7"/>
            <w:vAlign w:val="center"/>
            <w:hideMark/>
          </w:tcPr>
          <w:p w14:paraId="3D91A7B4" w14:textId="4C3C5DEA" w:rsidR="005F22C4" w:rsidRPr="00B91182" w:rsidRDefault="005F22C4" w:rsidP="00641D23">
            <w:pPr>
              <w:pStyle w:val="Tabletext"/>
              <w:keepNext w:val="0"/>
              <w:spacing w:before="0" w:after="0"/>
              <w:jc w:val="both"/>
              <w:rPr>
                <w:bCs/>
              </w:rPr>
            </w:pPr>
            <w:r w:rsidRPr="001159D0">
              <w:t xml:space="preserve">Patient must have experienced at least 2 episodes of hyperkalaemia </w:t>
            </w:r>
            <w:r w:rsidRPr="002517B5">
              <w:rPr>
                <w:i/>
                <w:iCs/>
              </w:rPr>
              <w:t>(defined as serum potassium levels of 6.0 mmol/L or higher)</w:t>
            </w:r>
            <w:r w:rsidRPr="001159D0">
              <w:t xml:space="preserve"> within the previous 12 months </w:t>
            </w:r>
            <w:r w:rsidRPr="002517B5">
              <w:rPr>
                <w:strike/>
              </w:rPr>
              <w:t>to establish that the condition is chronic; whereby hyperkalaemia is defined as serum potassium levels of 6.0 mmol/L or higher</w:t>
            </w:r>
            <w:r w:rsidRPr="001159D0">
              <w:t>.</w:t>
            </w:r>
          </w:p>
        </w:tc>
      </w:tr>
      <w:tr w:rsidR="005F22C4" w:rsidRPr="001159D0" w14:paraId="03172234" w14:textId="77777777" w:rsidTr="005F22C4">
        <w:tblPrEx>
          <w:tblCellMar>
            <w:top w:w="15" w:type="dxa"/>
            <w:bottom w:w="15" w:type="dxa"/>
          </w:tblCellMar>
          <w:tblLook w:val="04A0" w:firstRow="1" w:lastRow="0" w:firstColumn="1" w:lastColumn="0" w:noHBand="0" w:noVBand="1"/>
        </w:tblPrEx>
        <w:trPr>
          <w:cantSplit/>
        </w:trPr>
        <w:tc>
          <w:tcPr>
            <w:tcW w:w="1133" w:type="dxa"/>
          </w:tcPr>
          <w:p w14:paraId="584788F8" w14:textId="77777777" w:rsidR="005F22C4" w:rsidRPr="00B91182" w:rsidRDefault="005F22C4" w:rsidP="004E5C89">
            <w:pPr>
              <w:pStyle w:val="Tabletext"/>
              <w:keepNext w:val="0"/>
              <w:spacing w:before="0" w:after="0"/>
              <w:jc w:val="center"/>
              <w:rPr>
                <w:b/>
                <w:bCs/>
              </w:rPr>
            </w:pPr>
          </w:p>
        </w:tc>
        <w:tc>
          <w:tcPr>
            <w:tcW w:w="7938" w:type="dxa"/>
            <w:gridSpan w:val="7"/>
            <w:vAlign w:val="center"/>
          </w:tcPr>
          <w:p w14:paraId="4B5E7E11" w14:textId="77777777" w:rsidR="005F22C4" w:rsidRPr="00B91182" w:rsidRDefault="005F22C4" w:rsidP="00641D23">
            <w:pPr>
              <w:pStyle w:val="Tabletext"/>
              <w:keepNext w:val="0"/>
              <w:spacing w:before="0" w:after="0"/>
              <w:jc w:val="both"/>
              <w:rPr>
                <w:b/>
                <w:bCs/>
              </w:rPr>
            </w:pPr>
            <w:r w:rsidRPr="00B91182">
              <w:rPr>
                <w:b/>
                <w:bCs/>
              </w:rPr>
              <w:t>AND</w:t>
            </w:r>
          </w:p>
        </w:tc>
      </w:tr>
      <w:tr w:rsidR="005F22C4" w:rsidRPr="001159D0" w14:paraId="4743441E" w14:textId="77777777" w:rsidTr="005F22C4">
        <w:tblPrEx>
          <w:tblCellMar>
            <w:top w:w="15" w:type="dxa"/>
            <w:bottom w:w="15" w:type="dxa"/>
          </w:tblCellMar>
          <w:tblLook w:val="04A0" w:firstRow="1" w:lastRow="0" w:firstColumn="1" w:lastColumn="0" w:noHBand="0" w:noVBand="1"/>
        </w:tblPrEx>
        <w:trPr>
          <w:cantSplit/>
        </w:trPr>
        <w:tc>
          <w:tcPr>
            <w:tcW w:w="1133" w:type="dxa"/>
          </w:tcPr>
          <w:p w14:paraId="2987D811" w14:textId="77777777" w:rsidR="005F22C4" w:rsidRPr="00B91182" w:rsidRDefault="005F22C4" w:rsidP="004E5C89">
            <w:pPr>
              <w:pStyle w:val="COMTabletext"/>
              <w:keepNext w:val="0"/>
              <w:jc w:val="center"/>
              <w:rPr>
                <w:b/>
              </w:rPr>
            </w:pPr>
          </w:p>
        </w:tc>
        <w:tc>
          <w:tcPr>
            <w:tcW w:w="7938" w:type="dxa"/>
            <w:gridSpan w:val="7"/>
            <w:vAlign w:val="center"/>
            <w:hideMark/>
          </w:tcPr>
          <w:p w14:paraId="5B78E057" w14:textId="77777777" w:rsidR="005F22C4" w:rsidRPr="00B91182" w:rsidRDefault="005F22C4" w:rsidP="00641D23">
            <w:pPr>
              <w:pStyle w:val="COMTabletext"/>
              <w:keepNext w:val="0"/>
            </w:pPr>
            <w:r w:rsidRPr="00B91182">
              <w:rPr>
                <w:b/>
              </w:rPr>
              <w:t xml:space="preserve">Clinical criteria: </w:t>
            </w:r>
          </w:p>
        </w:tc>
      </w:tr>
      <w:tr w:rsidR="005F22C4" w:rsidRPr="001159D0" w14:paraId="53D36ECD" w14:textId="77777777" w:rsidTr="005F22C4">
        <w:tblPrEx>
          <w:tblCellMar>
            <w:top w:w="15" w:type="dxa"/>
            <w:bottom w:w="15" w:type="dxa"/>
          </w:tblCellMar>
          <w:tblLook w:val="04A0" w:firstRow="1" w:lastRow="0" w:firstColumn="1" w:lastColumn="0" w:noHBand="0" w:noVBand="1"/>
        </w:tblPrEx>
        <w:trPr>
          <w:cantSplit/>
        </w:trPr>
        <w:tc>
          <w:tcPr>
            <w:tcW w:w="1133" w:type="dxa"/>
          </w:tcPr>
          <w:p w14:paraId="7A991CEB" w14:textId="383BAB7D" w:rsidR="005F22C4" w:rsidRPr="00B91182" w:rsidRDefault="005F22C4" w:rsidP="004E5C89">
            <w:pPr>
              <w:pStyle w:val="COMTabletext"/>
              <w:keepNext w:val="0"/>
              <w:jc w:val="center"/>
            </w:pPr>
          </w:p>
        </w:tc>
        <w:tc>
          <w:tcPr>
            <w:tcW w:w="7938" w:type="dxa"/>
            <w:gridSpan w:val="7"/>
            <w:vAlign w:val="center"/>
            <w:hideMark/>
          </w:tcPr>
          <w:p w14:paraId="5EF76465" w14:textId="77777777" w:rsidR="005F22C4" w:rsidRPr="00B91182" w:rsidRDefault="005F22C4" w:rsidP="00641D23">
            <w:pPr>
              <w:pStyle w:val="COMTabletext"/>
              <w:keepNext w:val="0"/>
            </w:pPr>
            <w:r w:rsidRPr="00B91182">
              <w:t>The treatment must not be in place of emergency treatment of hyperkalaemia.</w:t>
            </w:r>
          </w:p>
        </w:tc>
      </w:tr>
      <w:tr w:rsidR="005F22C4" w:rsidRPr="001159D0" w14:paraId="04BEA041" w14:textId="77777777" w:rsidTr="005F22C4">
        <w:tblPrEx>
          <w:tblCellMar>
            <w:top w:w="15" w:type="dxa"/>
            <w:bottom w:w="15" w:type="dxa"/>
          </w:tblCellMar>
          <w:tblLook w:val="04A0" w:firstRow="1" w:lastRow="0" w:firstColumn="1" w:lastColumn="0" w:noHBand="0" w:noVBand="1"/>
        </w:tblPrEx>
        <w:trPr>
          <w:cantSplit/>
        </w:trPr>
        <w:tc>
          <w:tcPr>
            <w:tcW w:w="1133" w:type="dxa"/>
          </w:tcPr>
          <w:p w14:paraId="714E8ED4" w14:textId="77777777" w:rsidR="005F22C4" w:rsidRPr="00B91182" w:rsidRDefault="005F22C4" w:rsidP="004E5C89">
            <w:pPr>
              <w:pStyle w:val="COMTabletext"/>
              <w:keepNext w:val="0"/>
              <w:jc w:val="center"/>
            </w:pPr>
          </w:p>
        </w:tc>
        <w:tc>
          <w:tcPr>
            <w:tcW w:w="7938" w:type="dxa"/>
            <w:gridSpan w:val="7"/>
            <w:vAlign w:val="center"/>
          </w:tcPr>
          <w:p w14:paraId="6DCA4B7B" w14:textId="77777777" w:rsidR="005F22C4" w:rsidRPr="00B91182" w:rsidRDefault="005F22C4" w:rsidP="00641D23">
            <w:pPr>
              <w:pStyle w:val="COMTabletext"/>
              <w:keepNext w:val="0"/>
            </w:pPr>
          </w:p>
        </w:tc>
      </w:tr>
      <w:tr w:rsidR="005F22C4" w:rsidRPr="001159D0" w14:paraId="71DE5E05" w14:textId="77777777" w:rsidTr="005F22C4">
        <w:tblPrEx>
          <w:tblCellMar>
            <w:top w:w="15" w:type="dxa"/>
            <w:bottom w:w="15" w:type="dxa"/>
          </w:tblCellMar>
          <w:tblLook w:val="04A0" w:firstRow="1" w:lastRow="0" w:firstColumn="1" w:lastColumn="0" w:noHBand="0" w:noVBand="1"/>
        </w:tblPrEx>
        <w:trPr>
          <w:cantSplit/>
        </w:trPr>
        <w:tc>
          <w:tcPr>
            <w:tcW w:w="1133" w:type="dxa"/>
          </w:tcPr>
          <w:p w14:paraId="201686C0" w14:textId="77777777" w:rsidR="005F22C4" w:rsidRPr="00B91182" w:rsidRDefault="005F22C4" w:rsidP="004E5C89">
            <w:pPr>
              <w:pStyle w:val="COMTabletext"/>
              <w:keepNext w:val="0"/>
              <w:jc w:val="center"/>
              <w:rPr>
                <w:b/>
              </w:rPr>
            </w:pPr>
          </w:p>
        </w:tc>
        <w:tc>
          <w:tcPr>
            <w:tcW w:w="7938" w:type="dxa"/>
            <w:gridSpan w:val="7"/>
            <w:vAlign w:val="center"/>
            <w:hideMark/>
          </w:tcPr>
          <w:p w14:paraId="1B3C42E0" w14:textId="77777777" w:rsidR="005F22C4" w:rsidRPr="00B91182" w:rsidRDefault="005F22C4" w:rsidP="00641D23">
            <w:pPr>
              <w:pStyle w:val="COMTabletext"/>
              <w:keepNext w:val="0"/>
            </w:pPr>
            <w:r w:rsidRPr="00B91182">
              <w:rPr>
                <w:b/>
              </w:rPr>
              <w:t xml:space="preserve">Treatment criteria: </w:t>
            </w:r>
          </w:p>
        </w:tc>
      </w:tr>
      <w:tr w:rsidR="005F22C4" w:rsidRPr="001159D0" w14:paraId="1254DA07" w14:textId="77777777" w:rsidTr="005F22C4">
        <w:tblPrEx>
          <w:tblCellMar>
            <w:top w:w="15" w:type="dxa"/>
            <w:bottom w:w="15" w:type="dxa"/>
          </w:tblCellMar>
          <w:tblLook w:val="04A0" w:firstRow="1" w:lastRow="0" w:firstColumn="1" w:lastColumn="0" w:noHBand="0" w:noVBand="1"/>
        </w:tblPrEx>
        <w:trPr>
          <w:cantSplit/>
        </w:trPr>
        <w:tc>
          <w:tcPr>
            <w:tcW w:w="1133" w:type="dxa"/>
          </w:tcPr>
          <w:p w14:paraId="7AC9CD10" w14:textId="642EB96B" w:rsidR="005F22C4" w:rsidRPr="00B91182" w:rsidRDefault="005F22C4" w:rsidP="004E5C89">
            <w:pPr>
              <w:pStyle w:val="COMTabletext"/>
              <w:keepNext w:val="0"/>
              <w:jc w:val="center"/>
            </w:pPr>
          </w:p>
        </w:tc>
        <w:tc>
          <w:tcPr>
            <w:tcW w:w="7938" w:type="dxa"/>
            <w:gridSpan w:val="7"/>
            <w:vAlign w:val="center"/>
          </w:tcPr>
          <w:p w14:paraId="2ACCEAB5" w14:textId="75CDEA6D" w:rsidR="005F22C4" w:rsidRPr="00B91182" w:rsidRDefault="005F22C4" w:rsidP="00641D23">
            <w:pPr>
              <w:pStyle w:val="COMTabletext"/>
              <w:keepNext w:val="0"/>
              <w:rPr>
                <w:b/>
              </w:rPr>
            </w:pPr>
            <w:r w:rsidRPr="00B91182">
              <w:t xml:space="preserve">Patient must be undergoing treatment with </w:t>
            </w:r>
            <w:r w:rsidRPr="002517B5">
              <w:rPr>
                <w:strike/>
              </w:rPr>
              <w:t>at least one</w:t>
            </w:r>
            <w:r w:rsidRPr="001159D0">
              <w:t xml:space="preserve"> </w:t>
            </w:r>
            <w:r w:rsidRPr="005F22C4">
              <w:rPr>
                <w:i/>
                <w:iCs/>
              </w:rPr>
              <w:t>a</w:t>
            </w:r>
            <w:r w:rsidRPr="00B91182">
              <w:t xml:space="preserve"> renin angiotensin aldosterone system inhibitor</w:t>
            </w:r>
            <w:r>
              <w:t>;</w:t>
            </w:r>
            <w:r w:rsidRPr="00B91182">
              <w:t xml:space="preserve"> </w:t>
            </w:r>
            <w:r>
              <w:t>OR</w:t>
            </w:r>
          </w:p>
        </w:tc>
      </w:tr>
      <w:tr w:rsidR="005F22C4" w:rsidRPr="001159D0" w14:paraId="4F208ABB" w14:textId="77777777" w:rsidTr="005F22C4">
        <w:tblPrEx>
          <w:tblCellMar>
            <w:top w:w="15" w:type="dxa"/>
            <w:bottom w:w="15" w:type="dxa"/>
          </w:tblCellMar>
          <w:tblLook w:val="04A0" w:firstRow="1" w:lastRow="0" w:firstColumn="1" w:lastColumn="0" w:noHBand="0" w:noVBand="1"/>
        </w:tblPrEx>
        <w:trPr>
          <w:cantSplit/>
        </w:trPr>
        <w:tc>
          <w:tcPr>
            <w:tcW w:w="1133" w:type="dxa"/>
          </w:tcPr>
          <w:p w14:paraId="5C3D01D4" w14:textId="6F8C23FF" w:rsidR="005F22C4" w:rsidRPr="00B91182" w:rsidRDefault="005F22C4" w:rsidP="004E5C89">
            <w:pPr>
              <w:pStyle w:val="Tabletext"/>
              <w:keepNext w:val="0"/>
              <w:spacing w:before="0" w:after="0"/>
              <w:jc w:val="center"/>
            </w:pPr>
          </w:p>
        </w:tc>
        <w:tc>
          <w:tcPr>
            <w:tcW w:w="7938" w:type="dxa"/>
            <w:gridSpan w:val="7"/>
            <w:vAlign w:val="center"/>
          </w:tcPr>
          <w:p w14:paraId="2B7C0034" w14:textId="77777777" w:rsidR="005F22C4" w:rsidRPr="00B91182" w:rsidRDefault="005F22C4" w:rsidP="00641D23">
            <w:pPr>
              <w:pStyle w:val="Tabletext"/>
              <w:keepNext w:val="0"/>
              <w:spacing w:before="0" w:after="0"/>
              <w:jc w:val="both"/>
            </w:pPr>
            <w:r w:rsidRPr="00B91182">
              <w:t>Patient must be indicated for treatment with renin angiotensin aldosterone system inhibitor; but not able to tolerate this due to prior occurrence of hyperkalaemia.</w:t>
            </w:r>
          </w:p>
        </w:tc>
      </w:tr>
      <w:tr w:rsidR="005F22C4" w:rsidRPr="001159D0" w14:paraId="7432D4E4" w14:textId="77777777" w:rsidTr="005F22C4">
        <w:tblPrEx>
          <w:tblCellMar>
            <w:top w:w="15" w:type="dxa"/>
            <w:bottom w:w="15" w:type="dxa"/>
          </w:tblCellMar>
          <w:tblLook w:val="04A0" w:firstRow="1" w:lastRow="0" w:firstColumn="1" w:lastColumn="0" w:noHBand="0" w:noVBand="1"/>
        </w:tblPrEx>
        <w:trPr>
          <w:cantSplit/>
        </w:trPr>
        <w:tc>
          <w:tcPr>
            <w:tcW w:w="1133" w:type="dxa"/>
          </w:tcPr>
          <w:p w14:paraId="2E76F87C" w14:textId="77777777" w:rsidR="005F22C4" w:rsidRPr="00B91182" w:rsidRDefault="005F22C4" w:rsidP="004E5C89">
            <w:pPr>
              <w:pStyle w:val="Tabletext"/>
              <w:keepNext w:val="0"/>
              <w:spacing w:before="0" w:after="0"/>
              <w:jc w:val="center"/>
              <w:rPr>
                <w:b/>
                <w:bCs/>
              </w:rPr>
            </w:pPr>
          </w:p>
        </w:tc>
        <w:tc>
          <w:tcPr>
            <w:tcW w:w="7938" w:type="dxa"/>
            <w:gridSpan w:val="7"/>
            <w:vAlign w:val="center"/>
          </w:tcPr>
          <w:p w14:paraId="25276AA4" w14:textId="77777777" w:rsidR="005F22C4" w:rsidRPr="00B91182" w:rsidRDefault="005F22C4" w:rsidP="00641D23">
            <w:pPr>
              <w:pStyle w:val="Tabletext"/>
              <w:keepNext w:val="0"/>
              <w:spacing w:before="0" w:after="0"/>
              <w:jc w:val="both"/>
              <w:rPr>
                <w:b/>
                <w:bCs/>
              </w:rPr>
            </w:pPr>
            <w:r w:rsidRPr="00B91182">
              <w:rPr>
                <w:b/>
                <w:bCs/>
              </w:rPr>
              <w:t>AND</w:t>
            </w:r>
          </w:p>
        </w:tc>
      </w:tr>
      <w:tr w:rsidR="005F22C4" w:rsidRPr="001159D0" w14:paraId="2FE198E9" w14:textId="77777777" w:rsidTr="005F22C4">
        <w:tblPrEx>
          <w:tblCellMar>
            <w:top w:w="15" w:type="dxa"/>
            <w:bottom w:w="15" w:type="dxa"/>
          </w:tblCellMar>
          <w:tblLook w:val="04A0" w:firstRow="1" w:lastRow="0" w:firstColumn="1" w:lastColumn="0" w:noHBand="0" w:noVBand="1"/>
        </w:tblPrEx>
        <w:trPr>
          <w:cantSplit/>
        </w:trPr>
        <w:tc>
          <w:tcPr>
            <w:tcW w:w="1133" w:type="dxa"/>
          </w:tcPr>
          <w:p w14:paraId="5D1E1B53" w14:textId="77777777" w:rsidR="005F22C4" w:rsidRPr="00B91182" w:rsidRDefault="005F22C4" w:rsidP="004E5C89">
            <w:pPr>
              <w:pStyle w:val="COMTabletext"/>
              <w:keepNext w:val="0"/>
              <w:jc w:val="center"/>
              <w:rPr>
                <w:b/>
              </w:rPr>
            </w:pPr>
          </w:p>
        </w:tc>
        <w:tc>
          <w:tcPr>
            <w:tcW w:w="7938" w:type="dxa"/>
            <w:gridSpan w:val="7"/>
            <w:vAlign w:val="center"/>
            <w:hideMark/>
          </w:tcPr>
          <w:p w14:paraId="670B1997" w14:textId="77777777" w:rsidR="005F22C4" w:rsidRPr="00B91182" w:rsidRDefault="005F22C4" w:rsidP="00641D23">
            <w:pPr>
              <w:pStyle w:val="COMTabletext"/>
              <w:keepNext w:val="0"/>
            </w:pPr>
            <w:r w:rsidRPr="00B91182">
              <w:rPr>
                <w:b/>
              </w:rPr>
              <w:t xml:space="preserve">Treatment criteria: </w:t>
            </w:r>
          </w:p>
        </w:tc>
      </w:tr>
      <w:tr w:rsidR="005F22C4" w:rsidRPr="001159D0" w14:paraId="5B38A304" w14:textId="77777777" w:rsidTr="005F22C4">
        <w:tblPrEx>
          <w:tblCellMar>
            <w:top w:w="15" w:type="dxa"/>
            <w:bottom w:w="15" w:type="dxa"/>
          </w:tblCellMar>
          <w:tblLook w:val="04A0" w:firstRow="1" w:lastRow="0" w:firstColumn="1" w:lastColumn="0" w:noHBand="0" w:noVBand="1"/>
        </w:tblPrEx>
        <w:trPr>
          <w:cantSplit/>
        </w:trPr>
        <w:tc>
          <w:tcPr>
            <w:tcW w:w="1133" w:type="dxa"/>
          </w:tcPr>
          <w:p w14:paraId="7CB4016D" w14:textId="77777777" w:rsidR="005F22C4" w:rsidRPr="00B91182" w:rsidRDefault="005F22C4" w:rsidP="004E5C89">
            <w:pPr>
              <w:pStyle w:val="Tabletext"/>
              <w:keepNext w:val="0"/>
              <w:spacing w:before="0" w:after="0"/>
              <w:jc w:val="center"/>
            </w:pPr>
          </w:p>
        </w:tc>
        <w:tc>
          <w:tcPr>
            <w:tcW w:w="7938" w:type="dxa"/>
            <w:gridSpan w:val="7"/>
            <w:vAlign w:val="center"/>
          </w:tcPr>
          <w:p w14:paraId="20A7AA2F" w14:textId="77777777" w:rsidR="005F22C4" w:rsidRPr="00B91182" w:rsidRDefault="005F22C4" w:rsidP="00641D23">
            <w:pPr>
              <w:pStyle w:val="Tabletext"/>
              <w:keepNext w:val="0"/>
              <w:spacing w:before="0" w:after="0"/>
              <w:jc w:val="both"/>
            </w:pPr>
            <w:r w:rsidRPr="00B91182">
              <w:t>Must be treated by a specialist medical practitioner.</w:t>
            </w:r>
          </w:p>
        </w:tc>
      </w:tr>
      <w:tr w:rsidR="005F22C4" w:rsidRPr="001159D0" w14:paraId="400D03A0" w14:textId="77777777" w:rsidTr="005F22C4">
        <w:tblPrEx>
          <w:tblCellMar>
            <w:top w:w="15" w:type="dxa"/>
            <w:bottom w:w="15" w:type="dxa"/>
          </w:tblCellMar>
          <w:tblLook w:val="04A0" w:firstRow="1" w:lastRow="0" w:firstColumn="1" w:lastColumn="0" w:noHBand="0" w:noVBand="1"/>
        </w:tblPrEx>
        <w:trPr>
          <w:cantSplit/>
        </w:trPr>
        <w:tc>
          <w:tcPr>
            <w:tcW w:w="1133" w:type="dxa"/>
          </w:tcPr>
          <w:p w14:paraId="26D2B768" w14:textId="77777777" w:rsidR="005F22C4" w:rsidRPr="00B91182" w:rsidRDefault="005F22C4" w:rsidP="004E5C89">
            <w:pPr>
              <w:pStyle w:val="Tabletext"/>
              <w:keepNext w:val="0"/>
              <w:spacing w:before="0" w:after="0"/>
              <w:jc w:val="center"/>
            </w:pPr>
          </w:p>
        </w:tc>
        <w:tc>
          <w:tcPr>
            <w:tcW w:w="7938" w:type="dxa"/>
            <w:gridSpan w:val="7"/>
            <w:vAlign w:val="center"/>
          </w:tcPr>
          <w:p w14:paraId="7CD2DA48" w14:textId="77777777" w:rsidR="005F22C4" w:rsidRPr="00B91182" w:rsidRDefault="005F22C4" w:rsidP="00641D23">
            <w:pPr>
              <w:pStyle w:val="Tabletext"/>
              <w:keepNext w:val="0"/>
              <w:spacing w:before="0" w:after="0"/>
              <w:jc w:val="both"/>
            </w:pPr>
          </w:p>
        </w:tc>
      </w:tr>
      <w:tr w:rsidR="005F22C4" w:rsidRPr="001159D0" w14:paraId="00E8F49B" w14:textId="77777777" w:rsidTr="005F22C4">
        <w:tblPrEx>
          <w:tblCellMar>
            <w:top w:w="15" w:type="dxa"/>
            <w:bottom w:w="15" w:type="dxa"/>
          </w:tblCellMar>
          <w:tblLook w:val="04A0" w:firstRow="1" w:lastRow="0" w:firstColumn="1" w:lastColumn="0" w:noHBand="0" w:noVBand="1"/>
        </w:tblPrEx>
        <w:trPr>
          <w:cantSplit/>
          <w:trHeight w:val="755"/>
        </w:trPr>
        <w:tc>
          <w:tcPr>
            <w:tcW w:w="1133" w:type="dxa"/>
          </w:tcPr>
          <w:p w14:paraId="4E50FA8C" w14:textId="3F4B94B8" w:rsidR="005F22C4" w:rsidRPr="00B91182" w:rsidRDefault="005F22C4" w:rsidP="004E5C89">
            <w:pPr>
              <w:pStyle w:val="Tabletext"/>
              <w:keepNext w:val="0"/>
              <w:spacing w:before="0" w:after="0"/>
              <w:jc w:val="center"/>
            </w:pPr>
          </w:p>
        </w:tc>
        <w:tc>
          <w:tcPr>
            <w:tcW w:w="7938" w:type="dxa"/>
            <w:gridSpan w:val="7"/>
          </w:tcPr>
          <w:p w14:paraId="13A8BC81" w14:textId="77777777" w:rsidR="005F22C4" w:rsidRPr="005F22C4" w:rsidRDefault="005F22C4" w:rsidP="005F22C4">
            <w:pPr>
              <w:rPr>
                <w:rFonts w:ascii="Arial Narrow" w:hAnsi="Arial Narrow"/>
                <w:b/>
                <w:bCs/>
                <w:i/>
                <w:iCs/>
                <w:sz w:val="20"/>
                <w:szCs w:val="20"/>
              </w:rPr>
            </w:pPr>
            <w:r w:rsidRPr="005F22C4">
              <w:rPr>
                <w:rFonts w:ascii="Arial Narrow" w:hAnsi="Arial Narrow"/>
                <w:b/>
                <w:bCs/>
                <w:i/>
                <w:iCs/>
                <w:sz w:val="20"/>
                <w:szCs w:val="20"/>
              </w:rPr>
              <w:t>Administrative advice:</w:t>
            </w:r>
          </w:p>
          <w:p w14:paraId="4B546D11" w14:textId="77777777" w:rsidR="005F22C4" w:rsidRPr="00B91182" w:rsidRDefault="005F22C4" w:rsidP="005F22C4">
            <w:pPr>
              <w:pStyle w:val="Tabletext"/>
              <w:keepNext w:val="0"/>
              <w:spacing w:before="0" w:after="0"/>
              <w:jc w:val="both"/>
            </w:pPr>
            <w:bookmarkStart w:id="12" w:name="OLE_LINK10"/>
            <w:r w:rsidRPr="005F22C4">
              <w:rPr>
                <w:i/>
                <w:iCs/>
              </w:rPr>
              <w:t>Applications for authorisation under this restriction may be made in real time using the Online PBS Authorities system (see www.servicesaustralia.gov.au/HPOS) or by telephone by contacting Services Australia on 1800 888 333</w:t>
            </w:r>
            <w:bookmarkEnd w:id="12"/>
          </w:p>
        </w:tc>
      </w:tr>
    </w:tbl>
    <w:p w14:paraId="34529AE1" w14:textId="02193D7F" w:rsidR="00B6590F" w:rsidRPr="001159D0" w:rsidRDefault="00B6590F" w:rsidP="00B6590F">
      <w:pPr>
        <w:pStyle w:val="COMTablefooter"/>
      </w:pPr>
      <w:r w:rsidRPr="001159D0">
        <w:t xml:space="preserve">Source: Table 1.4.2, p52 of the resubmission. </w:t>
      </w:r>
    </w:p>
    <w:p w14:paraId="788BD295" w14:textId="6D2785B4" w:rsidR="004442D3" w:rsidRDefault="004442D3" w:rsidP="004442D3">
      <w:pPr>
        <w:pStyle w:val="COMTablefooter"/>
      </w:pPr>
      <w:r w:rsidRPr="001159D0">
        <w:rPr>
          <w:vertAlign w:val="superscript"/>
        </w:rPr>
        <w:t>a</w:t>
      </w:r>
      <w:r w:rsidRPr="001159D0">
        <w:t xml:space="preserve"> Requested published and effective prices </w:t>
      </w:r>
      <w:r w:rsidR="003D4A23">
        <w:t xml:space="preserve">were </w:t>
      </w:r>
      <w:r w:rsidRPr="001159D0">
        <w:t xml:space="preserve">updated during the evaluation to reflect 1 July 2022 mark ups. </w:t>
      </w:r>
    </w:p>
    <w:p w14:paraId="204135EA" w14:textId="32C61A0C" w:rsidR="005F22C4" w:rsidRPr="005F22C4" w:rsidRDefault="005F22C4" w:rsidP="005F22C4">
      <w:pPr>
        <w:spacing w:after="40"/>
        <w:rPr>
          <w:u w:val="single"/>
        </w:rPr>
      </w:pPr>
      <w:r w:rsidRPr="005F22C4">
        <w:rPr>
          <w:u w:val="single"/>
        </w:rPr>
        <w:t>Continuing treatment:</w:t>
      </w:r>
    </w:p>
    <w:tbl>
      <w:tblPr>
        <w:tblW w:w="503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1693"/>
        <w:gridCol w:w="993"/>
        <w:gridCol w:w="1559"/>
        <w:gridCol w:w="850"/>
        <w:gridCol w:w="851"/>
        <w:gridCol w:w="850"/>
        <w:gridCol w:w="1141"/>
      </w:tblGrid>
      <w:tr w:rsidR="005F22C4" w:rsidRPr="001159D0" w14:paraId="59887778" w14:textId="77777777" w:rsidTr="004E5C89">
        <w:trPr>
          <w:cantSplit/>
        </w:trPr>
        <w:tc>
          <w:tcPr>
            <w:tcW w:w="2827" w:type="dxa"/>
            <w:gridSpan w:val="2"/>
            <w:tcMar>
              <w:left w:w="28" w:type="dxa"/>
              <w:right w:w="28" w:type="dxa"/>
            </w:tcMar>
            <w:vAlign w:val="center"/>
          </w:tcPr>
          <w:p w14:paraId="2D365110" w14:textId="77777777" w:rsidR="005F22C4" w:rsidRPr="001159D0" w:rsidRDefault="005F22C4" w:rsidP="00641D23">
            <w:pPr>
              <w:keepLines/>
              <w:jc w:val="left"/>
              <w:rPr>
                <w:rFonts w:ascii="Arial Narrow" w:hAnsi="Arial Narrow"/>
                <w:b/>
                <w:sz w:val="20"/>
                <w:szCs w:val="20"/>
              </w:rPr>
            </w:pPr>
            <w:r w:rsidRPr="001159D0">
              <w:rPr>
                <w:rFonts w:ascii="Arial Narrow" w:hAnsi="Arial Narrow"/>
                <w:b/>
                <w:sz w:val="20"/>
                <w:szCs w:val="20"/>
              </w:rPr>
              <w:t>MEDICINAL PRODUCT</w:t>
            </w:r>
          </w:p>
          <w:p w14:paraId="17D0A66F" w14:textId="77777777" w:rsidR="005F22C4" w:rsidRPr="001159D0" w:rsidRDefault="005F22C4" w:rsidP="00641D23">
            <w:pPr>
              <w:keepLines/>
              <w:jc w:val="left"/>
              <w:rPr>
                <w:rFonts w:ascii="Arial Narrow" w:hAnsi="Arial Narrow"/>
                <w:b/>
                <w:sz w:val="20"/>
                <w:szCs w:val="20"/>
              </w:rPr>
            </w:pPr>
            <w:r w:rsidRPr="001159D0">
              <w:rPr>
                <w:rFonts w:ascii="Arial Narrow" w:hAnsi="Arial Narrow"/>
                <w:b/>
                <w:sz w:val="20"/>
                <w:szCs w:val="20"/>
              </w:rPr>
              <w:t>medicinal product pack</w:t>
            </w:r>
          </w:p>
        </w:tc>
        <w:tc>
          <w:tcPr>
            <w:tcW w:w="993" w:type="dxa"/>
            <w:tcMar>
              <w:left w:w="28" w:type="dxa"/>
              <w:right w:w="28" w:type="dxa"/>
            </w:tcMar>
            <w:vAlign w:val="center"/>
          </w:tcPr>
          <w:p w14:paraId="3A8DBF13" w14:textId="77777777" w:rsidR="005F22C4" w:rsidRPr="001159D0" w:rsidRDefault="005F22C4" w:rsidP="00641D23">
            <w:pPr>
              <w:keepLines/>
              <w:jc w:val="center"/>
              <w:rPr>
                <w:rFonts w:ascii="Arial Narrow" w:hAnsi="Arial Narrow"/>
                <w:b/>
                <w:sz w:val="20"/>
                <w:szCs w:val="20"/>
              </w:rPr>
            </w:pPr>
            <w:r>
              <w:rPr>
                <w:rFonts w:ascii="Arial Narrow" w:hAnsi="Arial Narrow"/>
                <w:b/>
                <w:sz w:val="20"/>
                <w:szCs w:val="20"/>
              </w:rPr>
              <w:t>PBS item code</w:t>
            </w:r>
          </w:p>
        </w:tc>
        <w:tc>
          <w:tcPr>
            <w:tcW w:w="1559" w:type="dxa"/>
            <w:tcMar>
              <w:left w:w="28" w:type="dxa"/>
              <w:right w:w="28" w:type="dxa"/>
            </w:tcMar>
            <w:vAlign w:val="center"/>
          </w:tcPr>
          <w:p w14:paraId="6AE81211" w14:textId="77777777" w:rsidR="005F22C4" w:rsidRPr="001159D0" w:rsidRDefault="005F22C4" w:rsidP="00641D23">
            <w:pPr>
              <w:keepLines/>
              <w:jc w:val="center"/>
              <w:rPr>
                <w:rFonts w:ascii="Arial Narrow" w:hAnsi="Arial Narrow"/>
                <w:b/>
                <w:sz w:val="20"/>
                <w:szCs w:val="20"/>
              </w:rPr>
            </w:pPr>
            <w:r w:rsidRPr="001159D0">
              <w:rPr>
                <w:rFonts w:ascii="Arial Narrow" w:hAnsi="Arial Narrow"/>
                <w:b/>
                <w:sz w:val="20"/>
                <w:szCs w:val="20"/>
              </w:rPr>
              <w:t xml:space="preserve">Dispensed Price for Max. </w:t>
            </w:r>
            <w:r>
              <w:rPr>
                <w:rFonts w:ascii="Arial Narrow" w:hAnsi="Arial Narrow"/>
                <w:b/>
                <w:sz w:val="20"/>
                <w:szCs w:val="20"/>
              </w:rPr>
              <w:t>q</w:t>
            </w:r>
            <w:r w:rsidRPr="001159D0">
              <w:rPr>
                <w:rFonts w:ascii="Arial Narrow" w:hAnsi="Arial Narrow"/>
                <w:b/>
                <w:sz w:val="20"/>
                <w:szCs w:val="20"/>
              </w:rPr>
              <w:t>ty</w:t>
            </w:r>
          </w:p>
        </w:tc>
        <w:tc>
          <w:tcPr>
            <w:tcW w:w="850" w:type="dxa"/>
            <w:tcMar>
              <w:left w:w="28" w:type="dxa"/>
              <w:right w:w="28" w:type="dxa"/>
            </w:tcMar>
            <w:vAlign w:val="center"/>
          </w:tcPr>
          <w:p w14:paraId="640A1208" w14:textId="77777777" w:rsidR="005F22C4" w:rsidRPr="001159D0" w:rsidRDefault="005F22C4" w:rsidP="00641D23">
            <w:pPr>
              <w:keepLines/>
              <w:jc w:val="center"/>
              <w:rPr>
                <w:rFonts w:ascii="Arial Narrow" w:hAnsi="Arial Narrow"/>
                <w:b/>
                <w:sz w:val="20"/>
                <w:szCs w:val="20"/>
              </w:rPr>
            </w:pPr>
            <w:r>
              <w:rPr>
                <w:rFonts w:ascii="Arial Narrow" w:hAnsi="Arial Narrow"/>
                <w:b/>
                <w:sz w:val="20"/>
                <w:szCs w:val="20"/>
              </w:rPr>
              <w:t>Max. qty (packs)</w:t>
            </w:r>
          </w:p>
        </w:tc>
        <w:tc>
          <w:tcPr>
            <w:tcW w:w="851" w:type="dxa"/>
            <w:tcMar>
              <w:left w:w="28" w:type="dxa"/>
              <w:right w:w="28" w:type="dxa"/>
            </w:tcMar>
            <w:vAlign w:val="center"/>
          </w:tcPr>
          <w:p w14:paraId="7162A07C" w14:textId="77777777" w:rsidR="005F22C4" w:rsidRPr="001159D0" w:rsidRDefault="005F22C4" w:rsidP="00641D23">
            <w:pPr>
              <w:keepLines/>
              <w:jc w:val="center"/>
              <w:rPr>
                <w:rFonts w:ascii="Arial Narrow" w:hAnsi="Arial Narrow"/>
                <w:b/>
                <w:sz w:val="20"/>
                <w:szCs w:val="20"/>
              </w:rPr>
            </w:pPr>
            <w:r w:rsidRPr="001159D0">
              <w:rPr>
                <w:rFonts w:ascii="Arial Narrow" w:hAnsi="Arial Narrow"/>
                <w:b/>
                <w:sz w:val="20"/>
                <w:szCs w:val="20"/>
              </w:rPr>
              <w:t xml:space="preserve">Max. qty </w:t>
            </w:r>
            <w:r>
              <w:rPr>
                <w:rFonts w:ascii="Arial Narrow" w:hAnsi="Arial Narrow"/>
                <w:b/>
                <w:sz w:val="20"/>
                <w:szCs w:val="20"/>
              </w:rPr>
              <w:t>(</w:t>
            </w:r>
            <w:r w:rsidRPr="001159D0">
              <w:rPr>
                <w:rFonts w:ascii="Arial Narrow" w:hAnsi="Arial Narrow"/>
                <w:b/>
                <w:sz w:val="20"/>
                <w:szCs w:val="20"/>
              </w:rPr>
              <w:t>units</w:t>
            </w:r>
            <w:r>
              <w:rPr>
                <w:rFonts w:ascii="Arial Narrow" w:hAnsi="Arial Narrow"/>
                <w:b/>
                <w:sz w:val="20"/>
                <w:szCs w:val="20"/>
              </w:rPr>
              <w:t>)</w:t>
            </w:r>
          </w:p>
        </w:tc>
        <w:tc>
          <w:tcPr>
            <w:tcW w:w="850" w:type="dxa"/>
            <w:tcMar>
              <w:left w:w="28" w:type="dxa"/>
              <w:right w:w="28" w:type="dxa"/>
            </w:tcMar>
            <w:vAlign w:val="center"/>
          </w:tcPr>
          <w:p w14:paraId="6FB39E3E" w14:textId="77777777" w:rsidR="005F22C4" w:rsidRPr="001159D0" w:rsidRDefault="005F22C4" w:rsidP="00641D23">
            <w:pPr>
              <w:keepLines/>
              <w:jc w:val="center"/>
              <w:rPr>
                <w:rFonts w:ascii="Arial Narrow" w:hAnsi="Arial Narrow"/>
                <w:b/>
                <w:sz w:val="20"/>
                <w:szCs w:val="20"/>
              </w:rPr>
            </w:pPr>
            <w:r w:rsidRPr="001159D0">
              <w:rPr>
                <w:rFonts w:ascii="Arial Narrow" w:hAnsi="Arial Narrow"/>
                <w:b/>
                <w:sz w:val="20"/>
                <w:szCs w:val="20"/>
              </w:rPr>
              <w:t>№.</w:t>
            </w:r>
            <w:r>
              <w:rPr>
                <w:rFonts w:ascii="Arial Narrow" w:hAnsi="Arial Narrow"/>
                <w:b/>
                <w:sz w:val="20"/>
                <w:szCs w:val="20"/>
              </w:rPr>
              <w:t xml:space="preserve"> </w:t>
            </w:r>
            <w:r w:rsidRPr="001159D0">
              <w:rPr>
                <w:rFonts w:ascii="Arial Narrow" w:hAnsi="Arial Narrow"/>
                <w:b/>
                <w:sz w:val="20"/>
                <w:szCs w:val="20"/>
              </w:rPr>
              <w:t>of</w:t>
            </w:r>
          </w:p>
          <w:p w14:paraId="58CAB1A0" w14:textId="77777777" w:rsidR="005F22C4" w:rsidRPr="001159D0" w:rsidRDefault="005F22C4" w:rsidP="00641D23">
            <w:pPr>
              <w:keepLines/>
              <w:jc w:val="center"/>
              <w:rPr>
                <w:rFonts w:ascii="Arial Narrow" w:hAnsi="Arial Narrow"/>
                <w:b/>
                <w:sz w:val="20"/>
                <w:szCs w:val="20"/>
              </w:rPr>
            </w:pPr>
            <w:r w:rsidRPr="001159D0">
              <w:rPr>
                <w:rFonts w:ascii="Arial Narrow" w:hAnsi="Arial Narrow"/>
                <w:b/>
                <w:sz w:val="20"/>
                <w:szCs w:val="20"/>
              </w:rPr>
              <w:t>Rpts</w:t>
            </w:r>
          </w:p>
        </w:tc>
        <w:tc>
          <w:tcPr>
            <w:tcW w:w="1141" w:type="dxa"/>
            <w:tcMar>
              <w:left w:w="28" w:type="dxa"/>
              <w:right w:w="28" w:type="dxa"/>
            </w:tcMar>
            <w:vAlign w:val="center"/>
          </w:tcPr>
          <w:p w14:paraId="730D1FC3" w14:textId="77777777" w:rsidR="005F22C4" w:rsidRPr="001159D0" w:rsidRDefault="005F22C4" w:rsidP="00641D23">
            <w:pPr>
              <w:keepLines/>
              <w:jc w:val="center"/>
              <w:rPr>
                <w:rFonts w:ascii="Arial Narrow" w:hAnsi="Arial Narrow"/>
                <w:b/>
                <w:sz w:val="20"/>
                <w:szCs w:val="20"/>
              </w:rPr>
            </w:pPr>
            <w:r w:rsidRPr="001159D0">
              <w:rPr>
                <w:rFonts w:ascii="Arial Narrow" w:hAnsi="Arial Narrow"/>
                <w:b/>
                <w:sz w:val="20"/>
                <w:szCs w:val="20"/>
              </w:rPr>
              <w:t>Available brands</w:t>
            </w:r>
          </w:p>
        </w:tc>
      </w:tr>
      <w:tr w:rsidR="005F22C4" w:rsidRPr="001159D0" w14:paraId="620594EB" w14:textId="77777777" w:rsidTr="004E5C89">
        <w:trPr>
          <w:cantSplit/>
        </w:trPr>
        <w:tc>
          <w:tcPr>
            <w:tcW w:w="9071" w:type="dxa"/>
            <w:gridSpan w:val="8"/>
            <w:tcMar>
              <w:left w:w="28" w:type="dxa"/>
              <w:right w:w="28" w:type="dxa"/>
            </w:tcMar>
            <w:vAlign w:val="center"/>
          </w:tcPr>
          <w:p w14:paraId="635C2BB4" w14:textId="77777777" w:rsidR="005F22C4" w:rsidRPr="001159D0" w:rsidRDefault="005F22C4" w:rsidP="00641D23">
            <w:pPr>
              <w:pStyle w:val="COMTabletext"/>
              <w:rPr>
                <w:rFonts w:cs="Arial"/>
                <w:szCs w:val="20"/>
              </w:rPr>
            </w:pPr>
            <w:r w:rsidRPr="001159D0">
              <w:rPr>
                <w:smallCaps/>
              </w:rPr>
              <w:t>PATIROMER</w:t>
            </w:r>
            <w:r w:rsidRPr="001159D0">
              <w:rPr>
                <w:rFonts w:cs="Arial"/>
                <w:color w:val="0066FF"/>
                <w:szCs w:val="20"/>
              </w:rPr>
              <w:t xml:space="preserve"> </w:t>
            </w:r>
          </w:p>
        </w:tc>
      </w:tr>
      <w:tr w:rsidR="005F22C4" w:rsidRPr="001159D0" w14:paraId="175FFFED" w14:textId="77777777" w:rsidTr="004E5C89">
        <w:trPr>
          <w:cantSplit/>
        </w:trPr>
        <w:tc>
          <w:tcPr>
            <w:tcW w:w="2827" w:type="dxa"/>
            <w:gridSpan w:val="2"/>
            <w:tcMar>
              <w:left w:w="28" w:type="dxa"/>
              <w:right w:w="28" w:type="dxa"/>
            </w:tcMar>
            <w:vAlign w:val="center"/>
          </w:tcPr>
          <w:p w14:paraId="0B2EF73B" w14:textId="77777777" w:rsidR="005F22C4" w:rsidRPr="001159D0" w:rsidRDefault="005F22C4" w:rsidP="00641D23">
            <w:pPr>
              <w:keepLines/>
              <w:jc w:val="left"/>
              <w:rPr>
                <w:rFonts w:ascii="Arial Narrow" w:hAnsi="Arial Narrow"/>
                <w:sz w:val="20"/>
                <w:szCs w:val="20"/>
              </w:rPr>
            </w:pPr>
            <w:r>
              <w:rPr>
                <w:rFonts w:ascii="Arial Narrow" w:hAnsi="Arial Narrow"/>
                <w:sz w:val="20"/>
                <w:szCs w:val="20"/>
              </w:rPr>
              <w:t>patiromer 8.4 g, 30 x 8.4 g sachets</w:t>
            </w:r>
          </w:p>
        </w:tc>
        <w:tc>
          <w:tcPr>
            <w:tcW w:w="993" w:type="dxa"/>
            <w:tcMar>
              <w:left w:w="28" w:type="dxa"/>
              <w:right w:w="28" w:type="dxa"/>
            </w:tcMar>
            <w:vAlign w:val="center"/>
          </w:tcPr>
          <w:p w14:paraId="23CF4F94" w14:textId="77777777" w:rsidR="005F22C4" w:rsidRPr="005F22C4" w:rsidRDefault="005F22C4" w:rsidP="00641D23">
            <w:pPr>
              <w:pStyle w:val="COMTabletext"/>
              <w:keepNext w:val="0"/>
              <w:jc w:val="center"/>
              <w:rPr>
                <w:szCs w:val="20"/>
              </w:rPr>
            </w:pPr>
            <w:r w:rsidRPr="005F22C4">
              <w:rPr>
                <w:szCs w:val="20"/>
              </w:rPr>
              <w:t>New</w:t>
            </w:r>
          </w:p>
        </w:tc>
        <w:tc>
          <w:tcPr>
            <w:tcW w:w="1559" w:type="dxa"/>
            <w:tcMar>
              <w:left w:w="28" w:type="dxa"/>
              <w:right w:w="28" w:type="dxa"/>
            </w:tcMar>
            <w:vAlign w:val="center"/>
          </w:tcPr>
          <w:p w14:paraId="632C9CA2" w14:textId="4CFCD01B" w:rsidR="005F22C4" w:rsidRPr="005F22C4" w:rsidRDefault="005F22C4" w:rsidP="00641D23">
            <w:pPr>
              <w:keepLines/>
              <w:jc w:val="center"/>
              <w:rPr>
                <w:rFonts w:ascii="Arial Narrow" w:hAnsi="Arial Narrow"/>
                <w:sz w:val="20"/>
                <w:szCs w:val="20"/>
              </w:rPr>
            </w:pPr>
            <w:r w:rsidRPr="005F22C4">
              <w:rPr>
                <w:rFonts w:ascii="Arial Narrow" w:hAnsi="Arial Narrow"/>
                <w:sz w:val="20"/>
                <w:szCs w:val="20"/>
              </w:rPr>
              <w:t>Published: $375.06</w:t>
            </w:r>
            <w:r w:rsidRPr="005F22C4">
              <w:rPr>
                <w:rFonts w:ascii="Arial Narrow" w:hAnsi="Arial Narrow"/>
                <w:sz w:val="20"/>
                <w:szCs w:val="20"/>
                <w:vertAlign w:val="superscript"/>
              </w:rPr>
              <w:t>a</w:t>
            </w:r>
            <w:r w:rsidRPr="005F22C4">
              <w:rPr>
                <w:rFonts w:ascii="Arial Narrow" w:hAnsi="Arial Narrow"/>
                <w:sz w:val="20"/>
                <w:szCs w:val="20"/>
              </w:rPr>
              <w:t xml:space="preserve"> Effective: $</w:t>
            </w:r>
            <w:r w:rsidR="003E2BEF" w:rsidRPr="003E2BEF">
              <w:rPr>
                <w:rFonts w:ascii="Arial Narrow" w:hAnsi="Arial Narrow"/>
                <w:color w:val="000000"/>
                <w:spacing w:val="191"/>
                <w:sz w:val="20"/>
                <w:szCs w:val="20"/>
                <w:shd w:val="solid" w:color="000000" w:fill="000000"/>
                <w:fitText w:val="277" w:id="-1304706810"/>
                <w14:textFill>
                  <w14:solidFill>
                    <w14:srgbClr w14:val="000000">
                      <w14:alpha w14:val="100000"/>
                    </w14:srgbClr>
                  </w14:solidFill>
                </w14:textFill>
              </w:rPr>
              <w:t>|</w:t>
            </w:r>
            <w:r w:rsidR="003E2BEF" w:rsidRPr="003E2BEF">
              <w:rPr>
                <w:rFonts w:ascii="Arial Narrow" w:hAnsi="Arial Narrow"/>
                <w:color w:val="000000"/>
                <w:spacing w:val="1"/>
                <w:sz w:val="20"/>
                <w:szCs w:val="20"/>
                <w:shd w:val="solid" w:color="000000" w:fill="000000"/>
                <w:fitText w:val="277" w:id="-1304706810"/>
                <w14:textFill>
                  <w14:solidFill>
                    <w14:srgbClr w14:val="000000">
                      <w14:alpha w14:val="100000"/>
                    </w14:srgbClr>
                  </w14:solidFill>
                </w14:textFill>
              </w:rPr>
              <w:t>|</w:t>
            </w:r>
            <w:r w:rsidRPr="005F22C4">
              <w:rPr>
                <w:rFonts w:ascii="Arial Narrow" w:hAnsi="Arial Narrow"/>
                <w:sz w:val="20"/>
                <w:szCs w:val="20"/>
                <w:vertAlign w:val="superscript"/>
              </w:rPr>
              <w:t>a</w:t>
            </w:r>
          </w:p>
        </w:tc>
        <w:tc>
          <w:tcPr>
            <w:tcW w:w="850" w:type="dxa"/>
            <w:tcMar>
              <w:left w:w="28" w:type="dxa"/>
              <w:right w:w="28" w:type="dxa"/>
            </w:tcMar>
            <w:vAlign w:val="center"/>
          </w:tcPr>
          <w:p w14:paraId="4181D1B6" w14:textId="77777777" w:rsidR="005F22C4" w:rsidRPr="001159D0" w:rsidRDefault="005F22C4" w:rsidP="00641D23">
            <w:pPr>
              <w:keepLines/>
              <w:jc w:val="center"/>
              <w:rPr>
                <w:rFonts w:ascii="Arial Narrow" w:hAnsi="Arial Narrow"/>
                <w:sz w:val="20"/>
              </w:rPr>
            </w:pPr>
            <w:r>
              <w:rPr>
                <w:rFonts w:ascii="Arial Narrow" w:hAnsi="Arial Narrow"/>
                <w:sz w:val="20"/>
              </w:rPr>
              <w:t>1</w:t>
            </w:r>
          </w:p>
        </w:tc>
        <w:tc>
          <w:tcPr>
            <w:tcW w:w="851" w:type="dxa"/>
            <w:tcMar>
              <w:left w:w="28" w:type="dxa"/>
              <w:right w:w="28" w:type="dxa"/>
            </w:tcMar>
            <w:vAlign w:val="center"/>
          </w:tcPr>
          <w:p w14:paraId="2C570B4F" w14:textId="77777777" w:rsidR="005F22C4" w:rsidRPr="001159D0" w:rsidRDefault="005F22C4" w:rsidP="00641D23">
            <w:pPr>
              <w:keepLines/>
              <w:jc w:val="center"/>
              <w:rPr>
                <w:rFonts w:ascii="Arial Narrow" w:hAnsi="Arial Narrow"/>
                <w:sz w:val="20"/>
              </w:rPr>
            </w:pPr>
            <w:r w:rsidRPr="001159D0">
              <w:rPr>
                <w:rFonts w:ascii="Arial Narrow" w:hAnsi="Arial Narrow"/>
                <w:sz w:val="20"/>
              </w:rPr>
              <w:t>30</w:t>
            </w:r>
          </w:p>
        </w:tc>
        <w:tc>
          <w:tcPr>
            <w:tcW w:w="850" w:type="dxa"/>
            <w:tcMar>
              <w:left w:w="28" w:type="dxa"/>
              <w:right w:w="28" w:type="dxa"/>
            </w:tcMar>
            <w:vAlign w:val="center"/>
          </w:tcPr>
          <w:p w14:paraId="2259A786" w14:textId="77777777" w:rsidR="005F22C4" w:rsidRPr="001159D0" w:rsidRDefault="005F22C4" w:rsidP="00641D23">
            <w:pPr>
              <w:keepLines/>
              <w:jc w:val="center"/>
              <w:rPr>
                <w:rFonts w:ascii="Arial Narrow" w:hAnsi="Arial Narrow"/>
                <w:sz w:val="20"/>
              </w:rPr>
            </w:pPr>
            <w:r w:rsidRPr="001159D0">
              <w:rPr>
                <w:rFonts w:ascii="Arial Narrow" w:hAnsi="Arial Narrow"/>
                <w:sz w:val="20"/>
              </w:rPr>
              <w:t>5</w:t>
            </w:r>
          </w:p>
        </w:tc>
        <w:tc>
          <w:tcPr>
            <w:tcW w:w="1141" w:type="dxa"/>
            <w:tcMar>
              <w:left w:w="28" w:type="dxa"/>
              <w:right w:w="28" w:type="dxa"/>
            </w:tcMar>
            <w:vAlign w:val="center"/>
          </w:tcPr>
          <w:p w14:paraId="647C80A4" w14:textId="77777777" w:rsidR="005F22C4" w:rsidRDefault="005F22C4" w:rsidP="00641D23">
            <w:pPr>
              <w:keepLines/>
              <w:jc w:val="center"/>
              <w:rPr>
                <w:rFonts w:ascii="Arial Narrow" w:hAnsi="Arial Narrow"/>
                <w:sz w:val="20"/>
                <w:szCs w:val="20"/>
              </w:rPr>
            </w:pPr>
            <w:r>
              <w:rPr>
                <w:rFonts w:ascii="Arial Narrow" w:hAnsi="Arial Narrow"/>
                <w:sz w:val="20"/>
                <w:szCs w:val="20"/>
              </w:rPr>
              <w:t>V</w:t>
            </w:r>
            <w:r w:rsidRPr="001159D0">
              <w:rPr>
                <w:rFonts w:ascii="Arial Narrow" w:hAnsi="Arial Narrow"/>
                <w:sz w:val="20"/>
                <w:szCs w:val="20"/>
              </w:rPr>
              <w:t>eltassa</w:t>
            </w:r>
          </w:p>
        </w:tc>
      </w:tr>
      <w:tr w:rsidR="005F22C4" w:rsidRPr="001159D0" w14:paraId="128614C9" w14:textId="77777777" w:rsidTr="004E5C89">
        <w:trPr>
          <w:cantSplit/>
        </w:trPr>
        <w:tc>
          <w:tcPr>
            <w:tcW w:w="2827" w:type="dxa"/>
            <w:gridSpan w:val="2"/>
            <w:tcMar>
              <w:left w:w="28" w:type="dxa"/>
              <w:right w:w="28" w:type="dxa"/>
            </w:tcMar>
            <w:vAlign w:val="center"/>
          </w:tcPr>
          <w:p w14:paraId="58E9F399" w14:textId="77777777" w:rsidR="005F22C4" w:rsidRPr="001159D0" w:rsidRDefault="005F22C4" w:rsidP="00641D23">
            <w:pPr>
              <w:keepLines/>
              <w:jc w:val="left"/>
              <w:rPr>
                <w:rFonts w:ascii="Arial Narrow" w:hAnsi="Arial Narrow"/>
                <w:sz w:val="20"/>
                <w:szCs w:val="20"/>
              </w:rPr>
            </w:pPr>
            <w:r w:rsidRPr="001159D0">
              <w:rPr>
                <w:rFonts w:ascii="Arial Narrow" w:hAnsi="Arial Narrow"/>
                <w:sz w:val="20"/>
                <w:szCs w:val="20"/>
              </w:rPr>
              <w:t>patiromer 16.8 g</w:t>
            </w:r>
            <w:r>
              <w:rPr>
                <w:rFonts w:ascii="Arial Narrow" w:hAnsi="Arial Narrow"/>
                <w:sz w:val="20"/>
                <w:szCs w:val="20"/>
              </w:rPr>
              <w:t>, 30 x 16.8 g s</w:t>
            </w:r>
            <w:r w:rsidRPr="001159D0">
              <w:rPr>
                <w:rFonts w:ascii="Arial Narrow" w:hAnsi="Arial Narrow"/>
                <w:sz w:val="20"/>
                <w:szCs w:val="20"/>
              </w:rPr>
              <w:t>achet</w:t>
            </w:r>
            <w:r>
              <w:rPr>
                <w:rFonts w:ascii="Arial Narrow" w:hAnsi="Arial Narrow"/>
                <w:sz w:val="20"/>
                <w:szCs w:val="20"/>
              </w:rPr>
              <w:t>s</w:t>
            </w:r>
          </w:p>
        </w:tc>
        <w:tc>
          <w:tcPr>
            <w:tcW w:w="993" w:type="dxa"/>
            <w:tcMar>
              <w:left w:w="28" w:type="dxa"/>
              <w:right w:w="28" w:type="dxa"/>
            </w:tcMar>
            <w:vAlign w:val="center"/>
          </w:tcPr>
          <w:p w14:paraId="22331FE2" w14:textId="77777777" w:rsidR="005F22C4" w:rsidRPr="001159D0" w:rsidRDefault="005F22C4" w:rsidP="00641D23">
            <w:pPr>
              <w:keepLines/>
              <w:jc w:val="center"/>
              <w:rPr>
                <w:rFonts w:ascii="Arial Narrow" w:hAnsi="Arial Narrow"/>
                <w:sz w:val="20"/>
                <w:szCs w:val="20"/>
              </w:rPr>
            </w:pPr>
            <w:r>
              <w:rPr>
                <w:rFonts w:ascii="Arial Narrow" w:hAnsi="Arial Narrow"/>
                <w:sz w:val="20"/>
                <w:szCs w:val="20"/>
              </w:rPr>
              <w:t>New</w:t>
            </w:r>
          </w:p>
        </w:tc>
        <w:tc>
          <w:tcPr>
            <w:tcW w:w="1559" w:type="dxa"/>
            <w:tcMar>
              <w:left w:w="28" w:type="dxa"/>
              <w:right w:w="28" w:type="dxa"/>
            </w:tcMar>
            <w:vAlign w:val="center"/>
          </w:tcPr>
          <w:p w14:paraId="1E5AD8C7" w14:textId="0BE28178" w:rsidR="005F22C4" w:rsidRPr="001159D0" w:rsidRDefault="005F22C4" w:rsidP="00641D23">
            <w:pPr>
              <w:keepLines/>
              <w:jc w:val="center"/>
              <w:rPr>
                <w:rFonts w:ascii="Arial Narrow" w:hAnsi="Arial Narrow"/>
                <w:sz w:val="20"/>
                <w:szCs w:val="20"/>
              </w:rPr>
            </w:pPr>
            <w:r w:rsidRPr="005F22C4">
              <w:rPr>
                <w:rFonts w:ascii="Arial Narrow" w:hAnsi="Arial Narrow"/>
                <w:sz w:val="20"/>
                <w:szCs w:val="20"/>
              </w:rPr>
              <w:t>Published: $375.06</w:t>
            </w:r>
            <w:r w:rsidRPr="005F22C4">
              <w:rPr>
                <w:rFonts w:ascii="Arial Narrow" w:hAnsi="Arial Narrow"/>
                <w:sz w:val="20"/>
                <w:szCs w:val="20"/>
                <w:vertAlign w:val="superscript"/>
              </w:rPr>
              <w:t>a</w:t>
            </w:r>
            <w:r w:rsidRPr="005F22C4">
              <w:rPr>
                <w:rFonts w:ascii="Arial Narrow" w:hAnsi="Arial Narrow"/>
                <w:sz w:val="20"/>
                <w:szCs w:val="20"/>
              </w:rPr>
              <w:t xml:space="preserve"> Effective: $</w:t>
            </w:r>
            <w:r w:rsidR="003E2BEF" w:rsidRPr="003E2BEF">
              <w:rPr>
                <w:rFonts w:ascii="Arial Narrow" w:hAnsi="Arial Narrow"/>
                <w:color w:val="000000"/>
                <w:spacing w:val="191"/>
                <w:sz w:val="20"/>
                <w:szCs w:val="20"/>
                <w:shd w:val="solid" w:color="000000" w:fill="000000"/>
                <w:fitText w:val="277" w:id="-1304706809"/>
                <w14:textFill>
                  <w14:solidFill>
                    <w14:srgbClr w14:val="000000">
                      <w14:alpha w14:val="100000"/>
                    </w14:srgbClr>
                  </w14:solidFill>
                </w14:textFill>
              </w:rPr>
              <w:t>|</w:t>
            </w:r>
            <w:r w:rsidR="003E2BEF" w:rsidRPr="003E2BEF">
              <w:rPr>
                <w:rFonts w:ascii="Arial Narrow" w:hAnsi="Arial Narrow"/>
                <w:color w:val="000000"/>
                <w:spacing w:val="1"/>
                <w:sz w:val="20"/>
                <w:szCs w:val="20"/>
                <w:shd w:val="solid" w:color="000000" w:fill="000000"/>
                <w:fitText w:val="277" w:id="-1304706809"/>
                <w14:textFill>
                  <w14:solidFill>
                    <w14:srgbClr w14:val="000000">
                      <w14:alpha w14:val="100000"/>
                    </w14:srgbClr>
                  </w14:solidFill>
                </w14:textFill>
              </w:rPr>
              <w:t>|</w:t>
            </w:r>
            <w:r w:rsidRPr="005F22C4">
              <w:rPr>
                <w:rFonts w:ascii="Arial Narrow" w:hAnsi="Arial Narrow"/>
                <w:sz w:val="20"/>
                <w:szCs w:val="20"/>
                <w:vertAlign w:val="superscript"/>
              </w:rPr>
              <w:t>a</w:t>
            </w:r>
          </w:p>
        </w:tc>
        <w:tc>
          <w:tcPr>
            <w:tcW w:w="850" w:type="dxa"/>
            <w:tcMar>
              <w:left w:w="28" w:type="dxa"/>
              <w:right w:w="28" w:type="dxa"/>
            </w:tcMar>
            <w:vAlign w:val="center"/>
          </w:tcPr>
          <w:p w14:paraId="1E3AFC33" w14:textId="77777777" w:rsidR="005F22C4" w:rsidRPr="001159D0" w:rsidRDefault="005F22C4" w:rsidP="00641D23">
            <w:pPr>
              <w:keepLines/>
              <w:jc w:val="center"/>
              <w:rPr>
                <w:rFonts w:ascii="Arial Narrow" w:hAnsi="Arial Narrow"/>
                <w:sz w:val="20"/>
                <w:szCs w:val="20"/>
              </w:rPr>
            </w:pPr>
            <w:r>
              <w:rPr>
                <w:rFonts w:ascii="Arial Narrow" w:hAnsi="Arial Narrow"/>
                <w:sz w:val="20"/>
                <w:szCs w:val="20"/>
              </w:rPr>
              <w:t>1</w:t>
            </w:r>
          </w:p>
        </w:tc>
        <w:tc>
          <w:tcPr>
            <w:tcW w:w="851" w:type="dxa"/>
            <w:tcMar>
              <w:left w:w="28" w:type="dxa"/>
              <w:right w:w="28" w:type="dxa"/>
            </w:tcMar>
            <w:vAlign w:val="center"/>
          </w:tcPr>
          <w:p w14:paraId="57E9E2F4" w14:textId="77777777" w:rsidR="005F22C4" w:rsidRPr="001159D0" w:rsidRDefault="005F22C4" w:rsidP="00641D23">
            <w:pPr>
              <w:keepLines/>
              <w:jc w:val="center"/>
              <w:rPr>
                <w:rFonts w:ascii="Arial Narrow" w:hAnsi="Arial Narrow"/>
                <w:sz w:val="20"/>
                <w:szCs w:val="20"/>
              </w:rPr>
            </w:pPr>
            <w:r>
              <w:rPr>
                <w:rFonts w:ascii="Arial Narrow" w:hAnsi="Arial Narrow"/>
                <w:sz w:val="20"/>
                <w:szCs w:val="20"/>
              </w:rPr>
              <w:t>30</w:t>
            </w:r>
          </w:p>
        </w:tc>
        <w:tc>
          <w:tcPr>
            <w:tcW w:w="850" w:type="dxa"/>
            <w:tcMar>
              <w:left w:w="28" w:type="dxa"/>
              <w:right w:w="28" w:type="dxa"/>
            </w:tcMar>
            <w:vAlign w:val="center"/>
          </w:tcPr>
          <w:p w14:paraId="42B48DD9" w14:textId="77777777" w:rsidR="005F22C4" w:rsidRPr="001159D0" w:rsidRDefault="005F22C4" w:rsidP="00641D23">
            <w:pPr>
              <w:keepLines/>
              <w:jc w:val="center"/>
              <w:rPr>
                <w:rFonts w:ascii="Arial Narrow" w:hAnsi="Arial Narrow"/>
                <w:sz w:val="20"/>
                <w:szCs w:val="20"/>
              </w:rPr>
            </w:pPr>
            <w:r>
              <w:rPr>
                <w:rFonts w:ascii="Arial Narrow" w:hAnsi="Arial Narrow"/>
                <w:sz w:val="20"/>
                <w:szCs w:val="20"/>
              </w:rPr>
              <w:t>5</w:t>
            </w:r>
          </w:p>
        </w:tc>
        <w:tc>
          <w:tcPr>
            <w:tcW w:w="1141" w:type="dxa"/>
            <w:tcMar>
              <w:left w:w="28" w:type="dxa"/>
              <w:right w:w="28" w:type="dxa"/>
            </w:tcMar>
            <w:vAlign w:val="center"/>
          </w:tcPr>
          <w:p w14:paraId="23B28431" w14:textId="01A5316E" w:rsidR="005F22C4" w:rsidRPr="001159D0" w:rsidRDefault="005F22C4" w:rsidP="00641D23">
            <w:pPr>
              <w:keepLines/>
              <w:jc w:val="center"/>
              <w:rPr>
                <w:rFonts w:ascii="Arial Narrow" w:hAnsi="Arial Narrow"/>
                <w:color w:val="0066FF"/>
                <w:sz w:val="20"/>
                <w:szCs w:val="20"/>
              </w:rPr>
            </w:pPr>
            <w:r w:rsidRPr="005F22C4">
              <w:rPr>
                <w:rFonts w:ascii="Arial Narrow" w:hAnsi="Arial Narrow"/>
                <w:sz w:val="20"/>
                <w:szCs w:val="20"/>
              </w:rPr>
              <w:t>Velt</w:t>
            </w:r>
            <w:r w:rsidR="008433D0">
              <w:rPr>
                <w:rFonts w:ascii="Arial Narrow" w:hAnsi="Arial Narrow"/>
                <w:sz w:val="20"/>
                <w:szCs w:val="20"/>
              </w:rPr>
              <w:t>a</w:t>
            </w:r>
            <w:r w:rsidRPr="005F22C4">
              <w:rPr>
                <w:rFonts w:ascii="Arial Narrow" w:hAnsi="Arial Narrow"/>
                <w:sz w:val="20"/>
                <w:szCs w:val="20"/>
              </w:rPr>
              <w:t>ssa</w:t>
            </w:r>
          </w:p>
        </w:tc>
      </w:tr>
      <w:tr w:rsidR="005F22C4" w:rsidRPr="001159D0" w14:paraId="486B1D3D" w14:textId="77777777" w:rsidTr="004E5C89">
        <w:tblPrEx>
          <w:tblCellMar>
            <w:top w:w="15" w:type="dxa"/>
            <w:bottom w:w="15" w:type="dxa"/>
          </w:tblCellMar>
          <w:tblLook w:val="04A0" w:firstRow="1" w:lastRow="0" w:firstColumn="1" w:lastColumn="0" w:noHBand="0" w:noVBand="1"/>
        </w:tblPrEx>
        <w:trPr>
          <w:cantSplit/>
        </w:trPr>
        <w:tc>
          <w:tcPr>
            <w:tcW w:w="9071" w:type="dxa"/>
            <w:gridSpan w:val="8"/>
          </w:tcPr>
          <w:p w14:paraId="3CD81359" w14:textId="77777777" w:rsidR="005F22C4" w:rsidRPr="001159D0" w:rsidRDefault="005F22C4" w:rsidP="00641D23">
            <w:pPr>
              <w:pStyle w:val="COMTabletext"/>
              <w:keepNext w:val="0"/>
              <w:rPr>
                <w:b/>
              </w:rPr>
            </w:pPr>
          </w:p>
        </w:tc>
      </w:tr>
      <w:tr w:rsidR="005F22C4" w:rsidRPr="001159D0" w14:paraId="66B92CDB" w14:textId="77777777" w:rsidTr="004E5C89">
        <w:tblPrEx>
          <w:tblCellMar>
            <w:top w:w="15" w:type="dxa"/>
            <w:bottom w:w="15" w:type="dxa"/>
          </w:tblCellMar>
          <w:tblLook w:val="04A0" w:firstRow="1" w:lastRow="0" w:firstColumn="1" w:lastColumn="0" w:noHBand="0" w:noVBand="1"/>
        </w:tblPrEx>
        <w:trPr>
          <w:cantSplit/>
        </w:trPr>
        <w:tc>
          <w:tcPr>
            <w:tcW w:w="9071" w:type="dxa"/>
            <w:gridSpan w:val="8"/>
            <w:tcBorders>
              <w:top w:val="single" w:sz="4" w:space="0" w:color="auto"/>
              <w:left w:val="single" w:sz="4" w:space="0" w:color="auto"/>
              <w:bottom w:val="single" w:sz="4" w:space="0" w:color="auto"/>
              <w:right w:val="single" w:sz="4" w:space="0" w:color="auto"/>
            </w:tcBorders>
          </w:tcPr>
          <w:p w14:paraId="31034D4C" w14:textId="77777777" w:rsidR="005F22C4" w:rsidRPr="001159D0" w:rsidRDefault="005F22C4" w:rsidP="00641D23">
            <w:pPr>
              <w:pStyle w:val="COMTabletext"/>
              <w:keepNext w:val="0"/>
              <w:rPr>
                <w:b/>
              </w:rPr>
            </w:pPr>
            <w:r>
              <w:rPr>
                <w:b/>
              </w:rPr>
              <w:t>Restriction Summary [New] / Treatment of Concept [New]</w:t>
            </w:r>
          </w:p>
        </w:tc>
      </w:tr>
      <w:tr w:rsidR="005F22C4" w:rsidRPr="001159D0" w14:paraId="28F609E5" w14:textId="77777777" w:rsidTr="004E5C89">
        <w:tblPrEx>
          <w:tblCellMar>
            <w:top w:w="15" w:type="dxa"/>
            <w:bottom w:w="15" w:type="dxa"/>
          </w:tblCellMar>
          <w:tblLook w:val="04A0" w:firstRow="1" w:lastRow="0" w:firstColumn="1" w:lastColumn="0" w:noHBand="0" w:noVBand="1"/>
        </w:tblPrEx>
        <w:trPr>
          <w:cantSplit/>
        </w:trPr>
        <w:tc>
          <w:tcPr>
            <w:tcW w:w="1134" w:type="dxa"/>
            <w:vMerge w:val="restart"/>
          </w:tcPr>
          <w:p w14:paraId="68FABC00" w14:textId="33230B4B" w:rsidR="005F22C4" w:rsidRPr="001159D0" w:rsidRDefault="005F22C4" w:rsidP="004E5C89">
            <w:pPr>
              <w:pStyle w:val="COMTabletext"/>
              <w:keepNext w:val="0"/>
              <w:jc w:val="center"/>
              <w:rPr>
                <w:b/>
              </w:rPr>
            </w:pPr>
          </w:p>
        </w:tc>
        <w:tc>
          <w:tcPr>
            <w:tcW w:w="7937" w:type="dxa"/>
            <w:gridSpan w:val="7"/>
          </w:tcPr>
          <w:p w14:paraId="760B4229" w14:textId="77777777" w:rsidR="005F22C4" w:rsidRPr="001159D0" w:rsidRDefault="005F22C4" w:rsidP="00641D23">
            <w:pPr>
              <w:pStyle w:val="COMTabletext"/>
              <w:keepNext w:val="0"/>
            </w:pPr>
            <w:r w:rsidRPr="001159D0">
              <w:rPr>
                <w:b/>
              </w:rPr>
              <w:t xml:space="preserve">Category / Program: </w:t>
            </w:r>
            <w:r w:rsidRPr="001159D0">
              <w:t>General Schedule</w:t>
            </w:r>
            <w:r>
              <w:t xml:space="preserve"> (Code GE)</w:t>
            </w:r>
          </w:p>
        </w:tc>
      </w:tr>
      <w:tr w:rsidR="005F22C4" w:rsidRPr="001159D0" w14:paraId="1385B5B6" w14:textId="77777777" w:rsidTr="004E5C89">
        <w:tblPrEx>
          <w:tblCellMar>
            <w:top w:w="15" w:type="dxa"/>
            <w:bottom w:w="15" w:type="dxa"/>
          </w:tblCellMar>
          <w:tblLook w:val="04A0" w:firstRow="1" w:lastRow="0" w:firstColumn="1" w:lastColumn="0" w:noHBand="0" w:noVBand="1"/>
        </w:tblPrEx>
        <w:trPr>
          <w:cantSplit/>
        </w:trPr>
        <w:tc>
          <w:tcPr>
            <w:tcW w:w="1134" w:type="dxa"/>
            <w:vMerge/>
          </w:tcPr>
          <w:p w14:paraId="01E6585B" w14:textId="77777777" w:rsidR="005F22C4" w:rsidRPr="001159D0" w:rsidRDefault="005F22C4" w:rsidP="004E5C89">
            <w:pPr>
              <w:pStyle w:val="COMTabletext"/>
              <w:keepNext w:val="0"/>
              <w:jc w:val="center"/>
              <w:rPr>
                <w:b/>
              </w:rPr>
            </w:pPr>
          </w:p>
        </w:tc>
        <w:tc>
          <w:tcPr>
            <w:tcW w:w="7937" w:type="dxa"/>
            <w:gridSpan w:val="7"/>
          </w:tcPr>
          <w:p w14:paraId="7CD85D71" w14:textId="77777777" w:rsidR="005F22C4" w:rsidRPr="001159D0" w:rsidRDefault="005F22C4" w:rsidP="00641D23">
            <w:pPr>
              <w:pStyle w:val="COMTabletext"/>
              <w:keepNext w:val="0"/>
              <w:rPr>
                <w:b/>
              </w:rPr>
            </w:pPr>
            <w:r w:rsidRPr="001159D0">
              <w:rPr>
                <w:b/>
              </w:rPr>
              <w:t xml:space="preserve">Prescriber type: </w:t>
            </w:r>
            <w:r w:rsidRPr="001159D0">
              <w:fldChar w:fldCharType="begin">
                <w:ffData>
                  <w:name w:val=""/>
                  <w:enabled/>
                  <w:calcOnExit w:val="0"/>
                  <w:checkBox>
                    <w:sizeAuto/>
                    <w:default w:val="1"/>
                  </w:checkBox>
                </w:ffData>
              </w:fldChar>
            </w:r>
            <w:r w:rsidRPr="001159D0">
              <w:instrText xml:space="preserve"> FORMCHECKBOX </w:instrText>
            </w:r>
            <w:r w:rsidR="005F4857">
              <w:fldChar w:fldCharType="separate"/>
            </w:r>
            <w:r w:rsidRPr="001159D0">
              <w:fldChar w:fldCharType="end"/>
            </w:r>
            <w:r>
              <w:t xml:space="preserve"> </w:t>
            </w:r>
            <w:r w:rsidRPr="001159D0">
              <w:t xml:space="preserve">Medical Practitioners </w:t>
            </w:r>
          </w:p>
        </w:tc>
      </w:tr>
      <w:tr w:rsidR="005F22C4" w:rsidRPr="001159D0" w14:paraId="679DF268" w14:textId="77777777" w:rsidTr="004E5C89">
        <w:tblPrEx>
          <w:tblCellMar>
            <w:top w:w="15" w:type="dxa"/>
            <w:bottom w:w="15" w:type="dxa"/>
          </w:tblCellMar>
          <w:tblLook w:val="04A0" w:firstRow="1" w:lastRow="0" w:firstColumn="1" w:lastColumn="0" w:noHBand="0" w:noVBand="1"/>
        </w:tblPrEx>
        <w:trPr>
          <w:cantSplit/>
        </w:trPr>
        <w:tc>
          <w:tcPr>
            <w:tcW w:w="1134" w:type="dxa"/>
            <w:vMerge/>
          </w:tcPr>
          <w:p w14:paraId="0B98C2B0" w14:textId="77777777" w:rsidR="005F22C4" w:rsidRPr="001159D0" w:rsidRDefault="005F22C4" w:rsidP="004E5C89">
            <w:pPr>
              <w:pStyle w:val="COMTabletext"/>
              <w:keepNext w:val="0"/>
              <w:jc w:val="center"/>
              <w:rPr>
                <w:b/>
              </w:rPr>
            </w:pPr>
          </w:p>
        </w:tc>
        <w:tc>
          <w:tcPr>
            <w:tcW w:w="7937" w:type="dxa"/>
            <w:gridSpan w:val="7"/>
          </w:tcPr>
          <w:p w14:paraId="7E719CEB" w14:textId="77777777" w:rsidR="005F22C4" w:rsidRPr="001159D0" w:rsidRDefault="005F22C4" w:rsidP="00641D23">
            <w:pPr>
              <w:pStyle w:val="COMTabletext"/>
              <w:keepNext w:val="0"/>
              <w:rPr>
                <w:b/>
              </w:rPr>
            </w:pPr>
            <w:r w:rsidRPr="001159D0">
              <w:rPr>
                <w:b/>
              </w:rPr>
              <w:t xml:space="preserve">Restriction type: </w:t>
            </w:r>
            <w:r w:rsidRPr="001159D0">
              <w:rPr>
                <w:rFonts w:eastAsia="Times New Roman"/>
              </w:rPr>
              <w:fldChar w:fldCharType="begin">
                <w:ffData>
                  <w:name w:val="Check3"/>
                  <w:enabled/>
                  <w:calcOnExit w:val="0"/>
                  <w:checkBox>
                    <w:sizeAuto/>
                    <w:default w:val="1"/>
                  </w:checkBox>
                </w:ffData>
              </w:fldChar>
            </w:r>
            <w:r w:rsidRPr="001159D0">
              <w:rPr>
                <w:rFonts w:eastAsia="Times New Roman"/>
              </w:rPr>
              <w:instrText xml:space="preserve"> FORMCHECKBOX </w:instrText>
            </w:r>
            <w:r w:rsidR="005F4857">
              <w:rPr>
                <w:rFonts w:eastAsia="Times New Roman"/>
              </w:rPr>
            </w:r>
            <w:r w:rsidR="005F4857">
              <w:rPr>
                <w:rFonts w:eastAsia="Times New Roman"/>
              </w:rPr>
              <w:fldChar w:fldCharType="separate"/>
            </w:r>
            <w:r w:rsidRPr="001159D0">
              <w:rPr>
                <w:rFonts w:eastAsia="Times New Roman"/>
              </w:rPr>
              <w:fldChar w:fldCharType="end"/>
            </w:r>
            <w:r>
              <w:rPr>
                <w:rFonts w:eastAsia="Times New Roman"/>
              </w:rPr>
              <w:t xml:space="preserve"> </w:t>
            </w:r>
            <w:r w:rsidRPr="001159D0">
              <w:rPr>
                <w:rFonts w:eastAsia="Times New Roman"/>
              </w:rPr>
              <w:t>Authority Required (STREAMLINED)</w:t>
            </w:r>
            <w:r>
              <w:rPr>
                <w:rFonts w:eastAsia="Times New Roman"/>
              </w:rPr>
              <w:t xml:space="preserve"> [new/existing code]</w:t>
            </w:r>
          </w:p>
        </w:tc>
      </w:tr>
      <w:tr w:rsidR="005F22C4" w:rsidRPr="001159D0" w14:paraId="2782F783" w14:textId="77777777" w:rsidTr="004E5C89">
        <w:tblPrEx>
          <w:tblCellMar>
            <w:top w:w="15" w:type="dxa"/>
            <w:bottom w:w="15" w:type="dxa"/>
          </w:tblCellMar>
          <w:tblLook w:val="04A0" w:firstRow="1" w:lastRow="0" w:firstColumn="1" w:lastColumn="0" w:noHBand="0" w:noVBand="1"/>
        </w:tblPrEx>
        <w:trPr>
          <w:cantSplit/>
        </w:trPr>
        <w:tc>
          <w:tcPr>
            <w:tcW w:w="1134" w:type="dxa"/>
            <w:vMerge/>
          </w:tcPr>
          <w:p w14:paraId="3169768B" w14:textId="77777777" w:rsidR="005F22C4" w:rsidRPr="001159D0" w:rsidRDefault="005F22C4" w:rsidP="004E5C89">
            <w:pPr>
              <w:pStyle w:val="COMTabletext"/>
              <w:keepNext w:val="0"/>
              <w:jc w:val="center"/>
              <w:rPr>
                <w:b/>
              </w:rPr>
            </w:pPr>
          </w:p>
        </w:tc>
        <w:tc>
          <w:tcPr>
            <w:tcW w:w="7937" w:type="dxa"/>
            <w:gridSpan w:val="7"/>
          </w:tcPr>
          <w:p w14:paraId="35F58884" w14:textId="77777777" w:rsidR="005F22C4" w:rsidRPr="00FC5D91" w:rsidRDefault="005F22C4" w:rsidP="00641D23">
            <w:pPr>
              <w:pStyle w:val="COMTabletext"/>
              <w:keepNext w:val="0"/>
              <w:rPr>
                <w:b/>
              </w:rPr>
            </w:pPr>
          </w:p>
        </w:tc>
      </w:tr>
      <w:tr w:rsidR="005F22C4" w:rsidRPr="003877C1" w14:paraId="6CF79316" w14:textId="77777777" w:rsidTr="004E5C89">
        <w:tblPrEx>
          <w:tblCellMar>
            <w:top w:w="15" w:type="dxa"/>
            <w:bottom w:w="15" w:type="dxa"/>
          </w:tblCellMar>
          <w:tblLook w:val="04A0" w:firstRow="1" w:lastRow="0" w:firstColumn="1" w:lastColumn="0" w:noHBand="0" w:noVBand="1"/>
        </w:tblPrEx>
        <w:trPr>
          <w:cantSplit/>
        </w:trPr>
        <w:tc>
          <w:tcPr>
            <w:tcW w:w="1134" w:type="dxa"/>
            <w:vMerge/>
          </w:tcPr>
          <w:p w14:paraId="665E21F9" w14:textId="77777777" w:rsidR="005F22C4" w:rsidRPr="001159D0" w:rsidRDefault="005F22C4" w:rsidP="004E5C89">
            <w:pPr>
              <w:pStyle w:val="COMTabletext"/>
              <w:keepNext w:val="0"/>
              <w:jc w:val="center"/>
              <w:rPr>
                <w:b/>
              </w:rPr>
            </w:pPr>
          </w:p>
        </w:tc>
        <w:tc>
          <w:tcPr>
            <w:tcW w:w="7937" w:type="dxa"/>
            <w:gridSpan w:val="7"/>
            <w:vAlign w:val="center"/>
          </w:tcPr>
          <w:p w14:paraId="444A2EF0" w14:textId="77777777" w:rsidR="005F22C4" w:rsidRPr="00FC5D91" w:rsidRDefault="005F22C4" w:rsidP="00641D23">
            <w:pPr>
              <w:pStyle w:val="COMTabletext"/>
              <w:keepNext w:val="0"/>
            </w:pPr>
            <w:r w:rsidRPr="00FC5D91">
              <w:rPr>
                <w:b/>
              </w:rPr>
              <w:t>Episodicity:</w:t>
            </w:r>
            <w:r w:rsidRPr="00FC5D91">
              <w:rPr>
                <w:bCs w:val="0"/>
              </w:rPr>
              <w:t xml:space="preserve"> Chronic.</w:t>
            </w:r>
          </w:p>
        </w:tc>
      </w:tr>
      <w:tr w:rsidR="005F22C4" w:rsidRPr="003877C1" w14:paraId="0A46A755" w14:textId="77777777" w:rsidTr="004E5C89">
        <w:tblPrEx>
          <w:tblCellMar>
            <w:top w:w="15" w:type="dxa"/>
            <w:bottom w:w="15" w:type="dxa"/>
          </w:tblCellMar>
          <w:tblLook w:val="04A0" w:firstRow="1" w:lastRow="0" w:firstColumn="1" w:lastColumn="0" w:noHBand="0" w:noVBand="1"/>
        </w:tblPrEx>
        <w:trPr>
          <w:cantSplit/>
        </w:trPr>
        <w:tc>
          <w:tcPr>
            <w:tcW w:w="1134" w:type="dxa"/>
            <w:vMerge/>
          </w:tcPr>
          <w:p w14:paraId="70D2B464" w14:textId="77777777" w:rsidR="005F22C4" w:rsidRPr="001159D0" w:rsidRDefault="005F22C4" w:rsidP="004E5C89">
            <w:pPr>
              <w:pStyle w:val="COMTabletext"/>
              <w:keepNext w:val="0"/>
              <w:jc w:val="center"/>
              <w:rPr>
                <w:b/>
              </w:rPr>
            </w:pPr>
          </w:p>
        </w:tc>
        <w:tc>
          <w:tcPr>
            <w:tcW w:w="7937" w:type="dxa"/>
            <w:gridSpan w:val="7"/>
            <w:vAlign w:val="center"/>
          </w:tcPr>
          <w:p w14:paraId="5E5F54D7" w14:textId="77777777" w:rsidR="005F22C4" w:rsidRPr="00FC5D91" w:rsidRDefault="005F22C4" w:rsidP="00641D23">
            <w:pPr>
              <w:pStyle w:val="COMTabletext"/>
              <w:keepNext w:val="0"/>
              <w:rPr>
                <w:b/>
              </w:rPr>
            </w:pPr>
            <w:r w:rsidRPr="00FC5D91">
              <w:rPr>
                <w:b/>
              </w:rPr>
              <w:t xml:space="preserve">Severity: </w:t>
            </w:r>
            <w:r w:rsidRPr="00FC5D91">
              <w:rPr>
                <w:bCs w:val="0"/>
              </w:rPr>
              <w:t>[blank]</w:t>
            </w:r>
          </w:p>
        </w:tc>
      </w:tr>
      <w:tr w:rsidR="005F22C4" w:rsidRPr="003877C1" w14:paraId="1A51E85F" w14:textId="77777777" w:rsidTr="004E5C89">
        <w:tblPrEx>
          <w:tblCellMar>
            <w:top w:w="15" w:type="dxa"/>
            <w:bottom w:w="15" w:type="dxa"/>
          </w:tblCellMar>
          <w:tblLook w:val="04A0" w:firstRow="1" w:lastRow="0" w:firstColumn="1" w:lastColumn="0" w:noHBand="0" w:noVBand="1"/>
        </w:tblPrEx>
        <w:trPr>
          <w:cantSplit/>
        </w:trPr>
        <w:tc>
          <w:tcPr>
            <w:tcW w:w="1134" w:type="dxa"/>
            <w:vMerge/>
          </w:tcPr>
          <w:p w14:paraId="538E1895" w14:textId="77777777" w:rsidR="005F22C4" w:rsidRPr="001159D0" w:rsidRDefault="005F22C4" w:rsidP="004E5C89">
            <w:pPr>
              <w:pStyle w:val="COMTabletext"/>
              <w:keepNext w:val="0"/>
              <w:jc w:val="center"/>
              <w:rPr>
                <w:b/>
              </w:rPr>
            </w:pPr>
          </w:p>
        </w:tc>
        <w:tc>
          <w:tcPr>
            <w:tcW w:w="7937" w:type="dxa"/>
            <w:gridSpan w:val="7"/>
            <w:vAlign w:val="center"/>
          </w:tcPr>
          <w:p w14:paraId="0D51E885" w14:textId="77777777" w:rsidR="005F22C4" w:rsidRPr="00FC5D91" w:rsidRDefault="005F22C4" w:rsidP="00641D23">
            <w:pPr>
              <w:pStyle w:val="COMTabletext"/>
              <w:keepNext w:val="0"/>
              <w:rPr>
                <w:b/>
              </w:rPr>
            </w:pPr>
            <w:r w:rsidRPr="00FC5D91">
              <w:rPr>
                <w:b/>
              </w:rPr>
              <w:t>Condition:</w:t>
            </w:r>
            <w:r w:rsidRPr="00FC5D91">
              <w:rPr>
                <w:bCs w:val="0"/>
              </w:rPr>
              <w:t xml:space="preserve"> Hyperkalaemia</w:t>
            </w:r>
            <w:r w:rsidRPr="00FC5D91">
              <w:t>.</w:t>
            </w:r>
          </w:p>
        </w:tc>
      </w:tr>
      <w:tr w:rsidR="005F22C4" w:rsidRPr="001159D0" w14:paraId="501470B6" w14:textId="77777777" w:rsidTr="00FC5D91">
        <w:tblPrEx>
          <w:tblCellMar>
            <w:top w:w="15" w:type="dxa"/>
            <w:bottom w:w="15" w:type="dxa"/>
          </w:tblCellMar>
          <w:tblLook w:val="04A0" w:firstRow="1" w:lastRow="0" w:firstColumn="1" w:lastColumn="0" w:noHBand="0" w:noVBand="1"/>
        </w:tblPrEx>
        <w:trPr>
          <w:cantSplit/>
          <w:trHeight w:val="55"/>
        </w:trPr>
        <w:tc>
          <w:tcPr>
            <w:tcW w:w="1134" w:type="dxa"/>
          </w:tcPr>
          <w:p w14:paraId="534C44E0" w14:textId="6274FB09" w:rsidR="005F22C4" w:rsidRPr="00B91182" w:rsidRDefault="005F22C4" w:rsidP="004E5C89">
            <w:pPr>
              <w:pStyle w:val="COMTabletext"/>
              <w:jc w:val="center"/>
              <w:rPr>
                <w:bCs w:val="0"/>
              </w:rPr>
            </w:pPr>
          </w:p>
        </w:tc>
        <w:tc>
          <w:tcPr>
            <w:tcW w:w="7937" w:type="dxa"/>
            <w:gridSpan w:val="7"/>
            <w:vAlign w:val="center"/>
            <w:hideMark/>
          </w:tcPr>
          <w:p w14:paraId="2FFB2057" w14:textId="77777777" w:rsidR="005F22C4" w:rsidRPr="00FC5D91" w:rsidRDefault="005F22C4" w:rsidP="00641D23">
            <w:pPr>
              <w:pStyle w:val="COMTabletext"/>
              <w:keepNext w:val="0"/>
            </w:pPr>
            <w:r w:rsidRPr="00FC5D91">
              <w:rPr>
                <w:b/>
              </w:rPr>
              <w:t>Indication:</w:t>
            </w:r>
            <w:r w:rsidRPr="00FC5D91">
              <w:t xml:space="preserve"> Chronic hyperkalaemia.</w:t>
            </w:r>
          </w:p>
        </w:tc>
      </w:tr>
      <w:tr w:rsidR="005F22C4" w:rsidRPr="001159D0" w14:paraId="63B48A22" w14:textId="77777777" w:rsidTr="004E5C89">
        <w:tblPrEx>
          <w:tblCellMar>
            <w:top w:w="15" w:type="dxa"/>
            <w:bottom w:w="15" w:type="dxa"/>
          </w:tblCellMar>
          <w:tblLook w:val="04A0" w:firstRow="1" w:lastRow="0" w:firstColumn="1" w:lastColumn="0" w:noHBand="0" w:noVBand="1"/>
        </w:tblPrEx>
        <w:trPr>
          <w:cantSplit/>
        </w:trPr>
        <w:tc>
          <w:tcPr>
            <w:tcW w:w="1134" w:type="dxa"/>
          </w:tcPr>
          <w:p w14:paraId="3B34DE6B" w14:textId="77777777" w:rsidR="005F22C4" w:rsidRPr="00B91182" w:rsidRDefault="005F22C4" w:rsidP="004E5C89">
            <w:pPr>
              <w:pStyle w:val="COMTabletext"/>
              <w:keepNext w:val="0"/>
              <w:jc w:val="center"/>
              <w:rPr>
                <w:b/>
              </w:rPr>
            </w:pPr>
          </w:p>
        </w:tc>
        <w:tc>
          <w:tcPr>
            <w:tcW w:w="7937" w:type="dxa"/>
            <w:gridSpan w:val="7"/>
            <w:vAlign w:val="center"/>
          </w:tcPr>
          <w:p w14:paraId="764582B6" w14:textId="77777777" w:rsidR="005F22C4" w:rsidRPr="00FC5D91" w:rsidRDefault="005F22C4" w:rsidP="00641D23">
            <w:pPr>
              <w:pStyle w:val="COMTabletext"/>
              <w:keepNext w:val="0"/>
              <w:rPr>
                <w:b/>
              </w:rPr>
            </w:pPr>
          </w:p>
        </w:tc>
      </w:tr>
      <w:tr w:rsidR="005F22C4" w:rsidRPr="001159D0" w14:paraId="7523AB8B" w14:textId="77777777" w:rsidTr="004E5C89">
        <w:tblPrEx>
          <w:tblCellMar>
            <w:top w:w="15" w:type="dxa"/>
            <w:bottom w:w="15" w:type="dxa"/>
          </w:tblCellMar>
          <w:tblLook w:val="04A0" w:firstRow="1" w:lastRow="0" w:firstColumn="1" w:lastColumn="0" w:noHBand="0" w:noVBand="1"/>
        </w:tblPrEx>
        <w:trPr>
          <w:cantSplit/>
        </w:trPr>
        <w:tc>
          <w:tcPr>
            <w:tcW w:w="1134" w:type="dxa"/>
          </w:tcPr>
          <w:p w14:paraId="20242AAC" w14:textId="77777777" w:rsidR="005F22C4" w:rsidRPr="00B91182" w:rsidRDefault="005F22C4" w:rsidP="004E5C89">
            <w:pPr>
              <w:pStyle w:val="COMTabletext"/>
              <w:keepNext w:val="0"/>
              <w:jc w:val="center"/>
              <w:rPr>
                <w:b/>
              </w:rPr>
            </w:pPr>
          </w:p>
        </w:tc>
        <w:tc>
          <w:tcPr>
            <w:tcW w:w="7937" w:type="dxa"/>
            <w:gridSpan w:val="7"/>
            <w:vAlign w:val="center"/>
            <w:hideMark/>
          </w:tcPr>
          <w:p w14:paraId="2685C6AD" w14:textId="77777777" w:rsidR="005F22C4" w:rsidRPr="00FC5D91" w:rsidRDefault="005F22C4" w:rsidP="00641D23">
            <w:pPr>
              <w:pStyle w:val="COMTabletext"/>
              <w:keepNext w:val="0"/>
            </w:pPr>
            <w:r w:rsidRPr="00FC5D91">
              <w:rPr>
                <w:b/>
              </w:rPr>
              <w:t>Treatment Phase:</w:t>
            </w:r>
            <w:r w:rsidRPr="00FC5D91">
              <w:t xml:space="preserve"> </w:t>
            </w:r>
            <w:r w:rsidRPr="00FC5D91">
              <w:rPr>
                <w:bCs w:val="0"/>
                <w:szCs w:val="20"/>
              </w:rPr>
              <w:t xml:space="preserve">Continuing Treatment </w:t>
            </w:r>
          </w:p>
        </w:tc>
      </w:tr>
      <w:tr w:rsidR="005F22C4" w:rsidRPr="001159D0" w14:paraId="1FBB0A61" w14:textId="77777777" w:rsidTr="004E5C89">
        <w:tblPrEx>
          <w:tblCellMar>
            <w:top w:w="15" w:type="dxa"/>
            <w:bottom w:w="15" w:type="dxa"/>
          </w:tblCellMar>
          <w:tblLook w:val="04A0" w:firstRow="1" w:lastRow="0" w:firstColumn="1" w:lastColumn="0" w:noHBand="0" w:noVBand="1"/>
        </w:tblPrEx>
        <w:trPr>
          <w:cantSplit/>
        </w:trPr>
        <w:tc>
          <w:tcPr>
            <w:tcW w:w="1134" w:type="dxa"/>
          </w:tcPr>
          <w:p w14:paraId="7478E562" w14:textId="77777777" w:rsidR="005F22C4" w:rsidRPr="00B91182" w:rsidRDefault="005F22C4" w:rsidP="004E5C89">
            <w:pPr>
              <w:pStyle w:val="COMTabletext"/>
              <w:keepNext w:val="0"/>
              <w:jc w:val="center"/>
              <w:rPr>
                <w:b/>
              </w:rPr>
            </w:pPr>
          </w:p>
        </w:tc>
        <w:tc>
          <w:tcPr>
            <w:tcW w:w="7937" w:type="dxa"/>
            <w:gridSpan w:val="7"/>
          </w:tcPr>
          <w:p w14:paraId="5D04E466" w14:textId="77777777" w:rsidR="005F22C4" w:rsidRPr="00FC5D91" w:rsidRDefault="005F22C4" w:rsidP="00641D23">
            <w:pPr>
              <w:pStyle w:val="COMTabletext"/>
              <w:keepNext w:val="0"/>
              <w:rPr>
                <w:rFonts w:eastAsia="Times New Roman"/>
              </w:rPr>
            </w:pPr>
          </w:p>
        </w:tc>
      </w:tr>
      <w:tr w:rsidR="005F22C4" w:rsidRPr="001159D0" w14:paraId="19F76ACB" w14:textId="77777777" w:rsidTr="004E5C89">
        <w:tblPrEx>
          <w:tblCellMar>
            <w:top w:w="15" w:type="dxa"/>
            <w:bottom w:w="15" w:type="dxa"/>
          </w:tblCellMar>
          <w:tblLook w:val="04A0" w:firstRow="1" w:lastRow="0" w:firstColumn="1" w:lastColumn="0" w:noHBand="0" w:noVBand="1"/>
        </w:tblPrEx>
        <w:trPr>
          <w:cantSplit/>
        </w:trPr>
        <w:tc>
          <w:tcPr>
            <w:tcW w:w="1134" w:type="dxa"/>
          </w:tcPr>
          <w:p w14:paraId="6589DF3D" w14:textId="77777777" w:rsidR="005F22C4" w:rsidRPr="00B91182" w:rsidRDefault="005F22C4" w:rsidP="004E5C89">
            <w:pPr>
              <w:pStyle w:val="COMTabletext"/>
              <w:keepNext w:val="0"/>
              <w:jc w:val="center"/>
              <w:rPr>
                <w:b/>
              </w:rPr>
            </w:pPr>
          </w:p>
        </w:tc>
        <w:tc>
          <w:tcPr>
            <w:tcW w:w="7937" w:type="dxa"/>
            <w:gridSpan w:val="7"/>
            <w:vAlign w:val="center"/>
          </w:tcPr>
          <w:p w14:paraId="7546033E" w14:textId="77777777" w:rsidR="005F22C4" w:rsidRPr="00B91182" w:rsidRDefault="005F22C4" w:rsidP="00641D23">
            <w:pPr>
              <w:pStyle w:val="COMTabletext"/>
              <w:keepNext w:val="0"/>
              <w:rPr>
                <w:rFonts w:eastAsia="Times New Roman"/>
              </w:rPr>
            </w:pPr>
            <w:r w:rsidRPr="00B91182">
              <w:rPr>
                <w:b/>
              </w:rPr>
              <w:t xml:space="preserve">Clinical criteria: </w:t>
            </w:r>
          </w:p>
        </w:tc>
      </w:tr>
      <w:tr w:rsidR="005F22C4" w:rsidRPr="001159D0" w14:paraId="6FBB5CC4" w14:textId="77777777" w:rsidTr="004E5C89">
        <w:tblPrEx>
          <w:tblCellMar>
            <w:top w:w="15" w:type="dxa"/>
            <w:bottom w:w="15" w:type="dxa"/>
          </w:tblCellMar>
          <w:tblLook w:val="04A0" w:firstRow="1" w:lastRow="0" w:firstColumn="1" w:lastColumn="0" w:noHBand="0" w:noVBand="1"/>
        </w:tblPrEx>
        <w:trPr>
          <w:cantSplit/>
        </w:trPr>
        <w:tc>
          <w:tcPr>
            <w:tcW w:w="1134" w:type="dxa"/>
          </w:tcPr>
          <w:p w14:paraId="43C8BE98" w14:textId="3CCF6A5A" w:rsidR="005F22C4" w:rsidRPr="00B91182" w:rsidRDefault="005F22C4" w:rsidP="004E5C89">
            <w:pPr>
              <w:pStyle w:val="COMTabletext"/>
              <w:keepNext w:val="0"/>
              <w:jc w:val="center"/>
              <w:rPr>
                <w:bCs w:val="0"/>
              </w:rPr>
            </w:pPr>
          </w:p>
        </w:tc>
        <w:tc>
          <w:tcPr>
            <w:tcW w:w="7937" w:type="dxa"/>
            <w:gridSpan w:val="7"/>
            <w:vAlign w:val="center"/>
          </w:tcPr>
          <w:p w14:paraId="0744A6B0" w14:textId="77777777" w:rsidR="005F22C4" w:rsidRPr="00B91182" w:rsidRDefault="005F22C4" w:rsidP="00641D23">
            <w:pPr>
              <w:pStyle w:val="COMTabletext"/>
              <w:keepNext w:val="0"/>
              <w:rPr>
                <w:rFonts w:eastAsia="Times New Roman"/>
              </w:rPr>
            </w:pPr>
            <w:r w:rsidRPr="00B91182">
              <w:t>Patient must have previously received PBS-subsidised treatment with this drug for this condition</w:t>
            </w:r>
          </w:p>
        </w:tc>
      </w:tr>
      <w:tr w:rsidR="005F22C4" w:rsidRPr="001159D0" w14:paraId="5ED3861A" w14:textId="77777777" w:rsidTr="004E5C89">
        <w:tblPrEx>
          <w:tblCellMar>
            <w:top w:w="15" w:type="dxa"/>
            <w:bottom w:w="15" w:type="dxa"/>
          </w:tblCellMar>
          <w:tblLook w:val="04A0" w:firstRow="1" w:lastRow="0" w:firstColumn="1" w:lastColumn="0" w:noHBand="0" w:noVBand="1"/>
        </w:tblPrEx>
        <w:trPr>
          <w:cantSplit/>
        </w:trPr>
        <w:tc>
          <w:tcPr>
            <w:tcW w:w="1134" w:type="dxa"/>
          </w:tcPr>
          <w:p w14:paraId="01E2B934" w14:textId="77777777" w:rsidR="005F22C4" w:rsidRPr="00B91182" w:rsidRDefault="005F22C4" w:rsidP="004E5C89">
            <w:pPr>
              <w:pStyle w:val="COMTabletext"/>
              <w:keepNext w:val="0"/>
              <w:jc w:val="center"/>
              <w:rPr>
                <w:b/>
              </w:rPr>
            </w:pPr>
          </w:p>
        </w:tc>
        <w:tc>
          <w:tcPr>
            <w:tcW w:w="7937" w:type="dxa"/>
            <w:gridSpan w:val="7"/>
            <w:vAlign w:val="center"/>
          </w:tcPr>
          <w:p w14:paraId="71E7A5E0" w14:textId="77777777" w:rsidR="005F22C4" w:rsidRPr="00B91182" w:rsidRDefault="005F22C4" w:rsidP="00641D23">
            <w:pPr>
              <w:pStyle w:val="COMTabletext"/>
              <w:keepNext w:val="0"/>
              <w:rPr>
                <w:rFonts w:eastAsia="Times New Roman"/>
              </w:rPr>
            </w:pPr>
            <w:r w:rsidRPr="00B91182">
              <w:rPr>
                <w:b/>
              </w:rPr>
              <w:t>AND</w:t>
            </w:r>
          </w:p>
        </w:tc>
      </w:tr>
      <w:tr w:rsidR="005F22C4" w:rsidRPr="001159D0" w14:paraId="46088858" w14:textId="77777777" w:rsidTr="004E5C89">
        <w:tblPrEx>
          <w:tblCellMar>
            <w:top w:w="15" w:type="dxa"/>
            <w:bottom w:w="15" w:type="dxa"/>
          </w:tblCellMar>
          <w:tblLook w:val="04A0" w:firstRow="1" w:lastRow="0" w:firstColumn="1" w:lastColumn="0" w:noHBand="0" w:noVBand="1"/>
        </w:tblPrEx>
        <w:trPr>
          <w:cantSplit/>
        </w:trPr>
        <w:tc>
          <w:tcPr>
            <w:tcW w:w="1134" w:type="dxa"/>
          </w:tcPr>
          <w:p w14:paraId="73CC6A6F" w14:textId="77777777" w:rsidR="005F22C4" w:rsidRPr="00B91182" w:rsidRDefault="005F22C4" w:rsidP="004E5C89">
            <w:pPr>
              <w:pStyle w:val="COMTabletext"/>
              <w:keepNext w:val="0"/>
              <w:jc w:val="center"/>
              <w:rPr>
                <w:b/>
              </w:rPr>
            </w:pPr>
          </w:p>
        </w:tc>
        <w:tc>
          <w:tcPr>
            <w:tcW w:w="7937" w:type="dxa"/>
            <w:gridSpan w:val="7"/>
            <w:vAlign w:val="center"/>
          </w:tcPr>
          <w:p w14:paraId="041C201C" w14:textId="77777777" w:rsidR="005F22C4" w:rsidRPr="00B91182" w:rsidRDefault="005F22C4" w:rsidP="00641D23">
            <w:pPr>
              <w:pStyle w:val="COMTabletext"/>
              <w:keepNext w:val="0"/>
              <w:rPr>
                <w:rFonts w:eastAsia="Times New Roman"/>
              </w:rPr>
            </w:pPr>
            <w:r w:rsidRPr="00B91182">
              <w:rPr>
                <w:b/>
              </w:rPr>
              <w:t xml:space="preserve">Clinical criteria: </w:t>
            </w:r>
          </w:p>
        </w:tc>
      </w:tr>
      <w:tr w:rsidR="005F22C4" w:rsidRPr="001159D0" w14:paraId="434ECF24" w14:textId="77777777" w:rsidTr="004E5C89">
        <w:tblPrEx>
          <w:tblCellMar>
            <w:top w:w="15" w:type="dxa"/>
            <w:bottom w:w="15" w:type="dxa"/>
          </w:tblCellMar>
          <w:tblLook w:val="04A0" w:firstRow="1" w:lastRow="0" w:firstColumn="1" w:lastColumn="0" w:noHBand="0" w:noVBand="1"/>
        </w:tblPrEx>
        <w:trPr>
          <w:cantSplit/>
        </w:trPr>
        <w:tc>
          <w:tcPr>
            <w:tcW w:w="1134" w:type="dxa"/>
          </w:tcPr>
          <w:p w14:paraId="50637E52" w14:textId="7C2FCF9D" w:rsidR="005F22C4" w:rsidRPr="00B91182" w:rsidRDefault="005F22C4" w:rsidP="004E5C89">
            <w:pPr>
              <w:pStyle w:val="COMTabletext"/>
              <w:keepNext w:val="0"/>
              <w:jc w:val="center"/>
              <w:rPr>
                <w:bCs w:val="0"/>
              </w:rPr>
            </w:pPr>
          </w:p>
        </w:tc>
        <w:tc>
          <w:tcPr>
            <w:tcW w:w="7937" w:type="dxa"/>
            <w:gridSpan w:val="7"/>
            <w:vAlign w:val="center"/>
          </w:tcPr>
          <w:p w14:paraId="13F1EE47" w14:textId="77777777" w:rsidR="005F22C4" w:rsidRPr="00B91182" w:rsidRDefault="005F22C4" w:rsidP="00641D23">
            <w:pPr>
              <w:pStyle w:val="COMTabletext"/>
              <w:keepNext w:val="0"/>
              <w:rPr>
                <w:rFonts w:eastAsia="Times New Roman"/>
              </w:rPr>
            </w:pPr>
            <w:r w:rsidRPr="00B91182">
              <w:t>The treatment must not be in place of emergency treatment of hyperkalaemia</w:t>
            </w:r>
          </w:p>
        </w:tc>
      </w:tr>
      <w:tr w:rsidR="005F22C4" w:rsidRPr="001159D0" w14:paraId="7567FB04" w14:textId="77777777" w:rsidTr="004E5C89">
        <w:tblPrEx>
          <w:tblCellMar>
            <w:top w:w="15" w:type="dxa"/>
            <w:bottom w:w="15" w:type="dxa"/>
          </w:tblCellMar>
          <w:tblLook w:val="04A0" w:firstRow="1" w:lastRow="0" w:firstColumn="1" w:lastColumn="0" w:noHBand="0" w:noVBand="1"/>
        </w:tblPrEx>
        <w:trPr>
          <w:cantSplit/>
        </w:trPr>
        <w:tc>
          <w:tcPr>
            <w:tcW w:w="1134" w:type="dxa"/>
          </w:tcPr>
          <w:p w14:paraId="416D7E81" w14:textId="77777777" w:rsidR="005F22C4" w:rsidRPr="00B91182" w:rsidRDefault="005F22C4" w:rsidP="004E5C89">
            <w:pPr>
              <w:pStyle w:val="COMTabletext"/>
              <w:keepNext w:val="0"/>
              <w:jc w:val="center"/>
              <w:rPr>
                <w:b/>
              </w:rPr>
            </w:pPr>
          </w:p>
        </w:tc>
        <w:tc>
          <w:tcPr>
            <w:tcW w:w="7937" w:type="dxa"/>
            <w:gridSpan w:val="7"/>
            <w:vAlign w:val="center"/>
          </w:tcPr>
          <w:p w14:paraId="209B0052" w14:textId="77777777" w:rsidR="005F22C4" w:rsidRPr="00B91182" w:rsidRDefault="005F22C4" w:rsidP="00641D23">
            <w:pPr>
              <w:pStyle w:val="COMTabletext"/>
              <w:keepNext w:val="0"/>
              <w:rPr>
                <w:rFonts w:eastAsia="Times New Roman"/>
              </w:rPr>
            </w:pPr>
          </w:p>
        </w:tc>
      </w:tr>
      <w:tr w:rsidR="005F22C4" w:rsidRPr="001159D0" w14:paraId="6B2CE7D8" w14:textId="77777777" w:rsidTr="004E5C89">
        <w:tblPrEx>
          <w:tblCellMar>
            <w:top w:w="15" w:type="dxa"/>
            <w:bottom w:w="15" w:type="dxa"/>
          </w:tblCellMar>
          <w:tblLook w:val="04A0" w:firstRow="1" w:lastRow="0" w:firstColumn="1" w:lastColumn="0" w:noHBand="0" w:noVBand="1"/>
        </w:tblPrEx>
        <w:trPr>
          <w:cantSplit/>
        </w:trPr>
        <w:tc>
          <w:tcPr>
            <w:tcW w:w="1134" w:type="dxa"/>
          </w:tcPr>
          <w:p w14:paraId="3115AF42" w14:textId="77777777" w:rsidR="005F22C4" w:rsidRPr="00B91182" w:rsidRDefault="005F22C4" w:rsidP="004E5C89">
            <w:pPr>
              <w:pStyle w:val="COMTabletext"/>
              <w:keepNext w:val="0"/>
              <w:jc w:val="center"/>
              <w:rPr>
                <w:b/>
              </w:rPr>
            </w:pPr>
          </w:p>
        </w:tc>
        <w:tc>
          <w:tcPr>
            <w:tcW w:w="7937" w:type="dxa"/>
            <w:gridSpan w:val="7"/>
            <w:vAlign w:val="center"/>
          </w:tcPr>
          <w:p w14:paraId="27F1328C" w14:textId="156230BA" w:rsidR="005F22C4" w:rsidRPr="00B91182" w:rsidRDefault="004E5C89" w:rsidP="00641D23">
            <w:pPr>
              <w:pStyle w:val="COMTabletext"/>
              <w:keepNext w:val="0"/>
              <w:rPr>
                <w:rFonts w:eastAsia="Times New Roman"/>
              </w:rPr>
            </w:pPr>
            <w:r w:rsidRPr="008E4D22">
              <w:rPr>
                <w:b/>
                <w:strike/>
              </w:rPr>
              <w:t>Clinical</w:t>
            </w:r>
            <w:r w:rsidRPr="00B91182">
              <w:rPr>
                <w:b/>
              </w:rPr>
              <w:t xml:space="preserve"> </w:t>
            </w:r>
            <w:r w:rsidR="005F22C4" w:rsidRPr="00B91182">
              <w:rPr>
                <w:b/>
              </w:rPr>
              <w:t xml:space="preserve">Treatment criteria: </w:t>
            </w:r>
          </w:p>
        </w:tc>
      </w:tr>
      <w:tr w:rsidR="005F22C4" w:rsidRPr="001159D0" w14:paraId="78AA5F1F" w14:textId="77777777" w:rsidTr="004E5C89">
        <w:tblPrEx>
          <w:tblCellMar>
            <w:top w:w="15" w:type="dxa"/>
            <w:bottom w:w="15" w:type="dxa"/>
          </w:tblCellMar>
          <w:tblLook w:val="04A0" w:firstRow="1" w:lastRow="0" w:firstColumn="1" w:lastColumn="0" w:noHBand="0" w:noVBand="1"/>
        </w:tblPrEx>
        <w:trPr>
          <w:cantSplit/>
        </w:trPr>
        <w:tc>
          <w:tcPr>
            <w:tcW w:w="1134" w:type="dxa"/>
          </w:tcPr>
          <w:p w14:paraId="34C73225" w14:textId="513CC0D5" w:rsidR="005F22C4" w:rsidRPr="00B91182" w:rsidRDefault="005F22C4" w:rsidP="004E5C89">
            <w:pPr>
              <w:pStyle w:val="COMTabletext"/>
              <w:keepNext w:val="0"/>
              <w:jc w:val="center"/>
              <w:rPr>
                <w:bCs w:val="0"/>
              </w:rPr>
            </w:pPr>
          </w:p>
        </w:tc>
        <w:tc>
          <w:tcPr>
            <w:tcW w:w="7937" w:type="dxa"/>
            <w:gridSpan w:val="7"/>
            <w:vAlign w:val="center"/>
          </w:tcPr>
          <w:p w14:paraId="58DB85D7" w14:textId="48F63B05" w:rsidR="005F22C4" w:rsidRPr="00B91182" w:rsidRDefault="005F22C4" w:rsidP="00641D23">
            <w:pPr>
              <w:pStyle w:val="COMTabletext"/>
              <w:keepNext w:val="0"/>
              <w:rPr>
                <w:rFonts w:eastAsia="Times New Roman"/>
              </w:rPr>
            </w:pPr>
            <w:r w:rsidRPr="00B91182">
              <w:t xml:space="preserve">Patient must be undergoing treatment with </w:t>
            </w:r>
            <w:r w:rsidR="004E5C89" w:rsidRPr="008E4D22">
              <w:rPr>
                <w:strike/>
              </w:rPr>
              <w:t>at least one</w:t>
            </w:r>
            <w:r w:rsidR="004E5C89" w:rsidRPr="001159D0">
              <w:t xml:space="preserve"> </w:t>
            </w:r>
            <w:r w:rsidR="004E5C89" w:rsidRPr="008E4D22">
              <w:rPr>
                <w:i/>
                <w:iCs/>
              </w:rPr>
              <w:t>a</w:t>
            </w:r>
            <w:r w:rsidRPr="00B91182">
              <w:t xml:space="preserve"> renin angiotensin aldosterone system inhibitor</w:t>
            </w:r>
          </w:p>
        </w:tc>
      </w:tr>
      <w:tr w:rsidR="005F22C4" w:rsidRPr="001159D0" w14:paraId="0C131FDC" w14:textId="77777777" w:rsidTr="004E5C89">
        <w:tblPrEx>
          <w:tblCellMar>
            <w:top w:w="15" w:type="dxa"/>
            <w:bottom w:w="15" w:type="dxa"/>
          </w:tblCellMar>
          <w:tblLook w:val="04A0" w:firstRow="1" w:lastRow="0" w:firstColumn="1" w:lastColumn="0" w:noHBand="0" w:noVBand="1"/>
        </w:tblPrEx>
        <w:trPr>
          <w:cantSplit/>
        </w:trPr>
        <w:tc>
          <w:tcPr>
            <w:tcW w:w="1134" w:type="dxa"/>
          </w:tcPr>
          <w:p w14:paraId="3B10162F" w14:textId="77777777" w:rsidR="005F22C4" w:rsidRPr="00B91182" w:rsidRDefault="005F22C4" w:rsidP="004E5C89">
            <w:pPr>
              <w:pStyle w:val="COMTabletext"/>
              <w:keepNext w:val="0"/>
              <w:jc w:val="center"/>
              <w:rPr>
                <w:bCs w:val="0"/>
              </w:rPr>
            </w:pPr>
          </w:p>
        </w:tc>
        <w:tc>
          <w:tcPr>
            <w:tcW w:w="7937" w:type="dxa"/>
            <w:gridSpan w:val="7"/>
            <w:vAlign w:val="center"/>
          </w:tcPr>
          <w:p w14:paraId="732FCE88" w14:textId="77777777" w:rsidR="005F22C4" w:rsidRPr="00B91182" w:rsidRDefault="005F22C4" w:rsidP="00641D23">
            <w:pPr>
              <w:pStyle w:val="COMTabletext"/>
              <w:keepNext w:val="0"/>
              <w:rPr>
                <w:rFonts w:eastAsia="Times New Roman"/>
              </w:rPr>
            </w:pPr>
            <w:r w:rsidRPr="00B91182">
              <w:rPr>
                <w:b/>
              </w:rPr>
              <w:t>AND</w:t>
            </w:r>
          </w:p>
        </w:tc>
      </w:tr>
      <w:tr w:rsidR="005F22C4" w:rsidRPr="001159D0" w14:paraId="02A0B528" w14:textId="77777777" w:rsidTr="004E5C89">
        <w:tblPrEx>
          <w:tblCellMar>
            <w:top w:w="15" w:type="dxa"/>
            <w:bottom w:w="15" w:type="dxa"/>
          </w:tblCellMar>
          <w:tblLook w:val="04A0" w:firstRow="1" w:lastRow="0" w:firstColumn="1" w:lastColumn="0" w:noHBand="0" w:noVBand="1"/>
        </w:tblPrEx>
        <w:trPr>
          <w:cantSplit/>
        </w:trPr>
        <w:tc>
          <w:tcPr>
            <w:tcW w:w="1134" w:type="dxa"/>
          </w:tcPr>
          <w:p w14:paraId="54B9F67D" w14:textId="77777777" w:rsidR="005F22C4" w:rsidRPr="00B91182" w:rsidRDefault="005F22C4" w:rsidP="004E5C89">
            <w:pPr>
              <w:pStyle w:val="COMTabletext"/>
              <w:keepNext w:val="0"/>
              <w:jc w:val="center"/>
              <w:rPr>
                <w:bCs w:val="0"/>
              </w:rPr>
            </w:pPr>
          </w:p>
        </w:tc>
        <w:tc>
          <w:tcPr>
            <w:tcW w:w="7937" w:type="dxa"/>
            <w:gridSpan w:val="7"/>
            <w:vAlign w:val="center"/>
          </w:tcPr>
          <w:p w14:paraId="7D3202C2" w14:textId="77777777" w:rsidR="005F22C4" w:rsidRPr="00B91182" w:rsidRDefault="005F22C4" w:rsidP="00641D23">
            <w:pPr>
              <w:pStyle w:val="COMTabletext"/>
              <w:keepNext w:val="0"/>
              <w:rPr>
                <w:rFonts w:eastAsia="Times New Roman"/>
              </w:rPr>
            </w:pPr>
            <w:r w:rsidRPr="00B91182">
              <w:rPr>
                <w:b/>
              </w:rPr>
              <w:t xml:space="preserve">Treatment criteria: </w:t>
            </w:r>
          </w:p>
        </w:tc>
      </w:tr>
      <w:tr w:rsidR="005F22C4" w:rsidRPr="001159D0" w14:paraId="414F4C39" w14:textId="77777777" w:rsidTr="004E5C89">
        <w:tblPrEx>
          <w:tblCellMar>
            <w:top w:w="15" w:type="dxa"/>
            <w:bottom w:w="15" w:type="dxa"/>
          </w:tblCellMar>
          <w:tblLook w:val="04A0" w:firstRow="1" w:lastRow="0" w:firstColumn="1" w:lastColumn="0" w:noHBand="0" w:noVBand="1"/>
        </w:tblPrEx>
        <w:trPr>
          <w:cantSplit/>
        </w:trPr>
        <w:tc>
          <w:tcPr>
            <w:tcW w:w="1134" w:type="dxa"/>
          </w:tcPr>
          <w:p w14:paraId="6A526990" w14:textId="22BE7C87" w:rsidR="005F22C4" w:rsidRPr="00B91182" w:rsidRDefault="005F22C4" w:rsidP="004E5C89">
            <w:pPr>
              <w:pStyle w:val="COMTabletext"/>
              <w:keepNext w:val="0"/>
              <w:jc w:val="center"/>
              <w:rPr>
                <w:bCs w:val="0"/>
              </w:rPr>
            </w:pPr>
          </w:p>
        </w:tc>
        <w:tc>
          <w:tcPr>
            <w:tcW w:w="7937" w:type="dxa"/>
            <w:gridSpan w:val="7"/>
            <w:vAlign w:val="center"/>
          </w:tcPr>
          <w:p w14:paraId="76A8B5B1" w14:textId="77777777" w:rsidR="005F22C4" w:rsidRPr="00B91182" w:rsidRDefault="005F22C4" w:rsidP="00641D23">
            <w:pPr>
              <w:pStyle w:val="COMTabletext"/>
              <w:keepNext w:val="0"/>
              <w:rPr>
                <w:rFonts w:eastAsia="Times New Roman"/>
              </w:rPr>
            </w:pPr>
            <w:r w:rsidRPr="00B91182">
              <w:t>Patient must not be undergoing dialysi</w:t>
            </w:r>
            <w:r>
              <w:t>s</w:t>
            </w:r>
          </w:p>
        </w:tc>
      </w:tr>
      <w:tr w:rsidR="004E5C89" w:rsidRPr="001159D0" w14:paraId="32F0CABE" w14:textId="77777777" w:rsidTr="004E5C89">
        <w:tblPrEx>
          <w:tblCellMar>
            <w:top w:w="15" w:type="dxa"/>
            <w:bottom w:w="15" w:type="dxa"/>
          </w:tblCellMar>
          <w:tblLook w:val="04A0" w:firstRow="1" w:lastRow="0" w:firstColumn="1" w:lastColumn="0" w:noHBand="0" w:noVBand="1"/>
        </w:tblPrEx>
        <w:trPr>
          <w:cantSplit/>
        </w:trPr>
        <w:tc>
          <w:tcPr>
            <w:tcW w:w="1134" w:type="dxa"/>
          </w:tcPr>
          <w:p w14:paraId="4D0A885F" w14:textId="77777777" w:rsidR="004E5C89" w:rsidRPr="00B91182" w:rsidRDefault="004E5C89" w:rsidP="004E5C89">
            <w:pPr>
              <w:pStyle w:val="COMTabletext"/>
              <w:keepNext w:val="0"/>
              <w:jc w:val="center"/>
              <w:rPr>
                <w:bCs w:val="0"/>
              </w:rPr>
            </w:pPr>
          </w:p>
        </w:tc>
        <w:tc>
          <w:tcPr>
            <w:tcW w:w="7937" w:type="dxa"/>
            <w:gridSpan w:val="7"/>
            <w:vAlign w:val="center"/>
          </w:tcPr>
          <w:p w14:paraId="281E7164" w14:textId="11C9F066" w:rsidR="004E5C89" w:rsidRPr="00B91182" w:rsidRDefault="004E5C89" w:rsidP="004E5C89">
            <w:pPr>
              <w:pStyle w:val="COMTabletext"/>
              <w:keepNext w:val="0"/>
            </w:pPr>
            <w:r w:rsidRPr="007A2145">
              <w:rPr>
                <w:b/>
                <w:strike/>
              </w:rPr>
              <w:t>AND</w:t>
            </w:r>
          </w:p>
        </w:tc>
      </w:tr>
      <w:tr w:rsidR="004E5C89" w:rsidRPr="001159D0" w14:paraId="0D32A451" w14:textId="77777777" w:rsidTr="004E5C89">
        <w:tblPrEx>
          <w:tblCellMar>
            <w:top w:w="15" w:type="dxa"/>
            <w:bottom w:w="15" w:type="dxa"/>
          </w:tblCellMar>
          <w:tblLook w:val="04A0" w:firstRow="1" w:lastRow="0" w:firstColumn="1" w:lastColumn="0" w:noHBand="0" w:noVBand="1"/>
        </w:tblPrEx>
        <w:trPr>
          <w:cantSplit/>
        </w:trPr>
        <w:tc>
          <w:tcPr>
            <w:tcW w:w="1134" w:type="dxa"/>
          </w:tcPr>
          <w:p w14:paraId="139E2157" w14:textId="77777777" w:rsidR="004E5C89" w:rsidRPr="00B91182" w:rsidRDefault="004E5C89" w:rsidP="004E5C89">
            <w:pPr>
              <w:pStyle w:val="COMTabletext"/>
              <w:keepNext w:val="0"/>
              <w:jc w:val="center"/>
              <w:rPr>
                <w:bCs w:val="0"/>
              </w:rPr>
            </w:pPr>
          </w:p>
        </w:tc>
        <w:tc>
          <w:tcPr>
            <w:tcW w:w="7937" w:type="dxa"/>
            <w:gridSpan w:val="7"/>
            <w:vAlign w:val="center"/>
          </w:tcPr>
          <w:p w14:paraId="3471CF83" w14:textId="0B1827BD" w:rsidR="004E5C89" w:rsidRPr="00B91182" w:rsidRDefault="004E5C89" w:rsidP="004E5C89">
            <w:pPr>
              <w:pStyle w:val="COMTabletext"/>
              <w:keepNext w:val="0"/>
            </w:pPr>
            <w:r w:rsidRPr="007A2145">
              <w:rPr>
                <w:b/>
                <w:strike/>
              </w:rPr>
              <w:t xml:space="preserve">Treatment criteria: </w:t>
            </w:r>
          </w:p>
        </w:tc>
      </w:tr>
      <w:tr w:rsidR="004E5C89" w:rsidRPr="001159D0" w14:paraId="78C3C440" w14:textId="77777777" w:rsidTr="004E5C89">
        <w:tblPrEx>
          <w:tblCellMar>
            <w:top w:w="15" w:type="dxa"/>
            <w:bottom w:w="15" w:type="dxa"/>
          </w:tblCellMar>
          <w:tblLook w:val="04A0" w:firstRow="1" w:lastRow="0" w:firstColumn="1" w:lastColumn="0" w:noHBand="0" w:noVBand="1"/>
        </w:tblPrEx>
        <w:trPr>
          <w:cantSplit/>
        </w:trPr>
        <w:tc>
          <w:tcPr>
            <w:tcW w:w="1134" w:type="dxa"/>
          </w:tcPr>
          <w:p w14:paraId="5FDC4886" w14:textId="77777777" w:rsidR="004E5C89" w:rsidRPr="00B91182" w:rsidRDefault="004E5C89" w:rsidP="004E5C89">
            <w:pPr>
              <w:pStyle w:val="COMTabletext"/>
              <w:keepNext w:val="0"/>
              <w:jc w:val="center"/>
              <w:rPr>
                <w:bCs w:val="0"/>
              </w:rPr>
            </w:pPr>
          </w:p>
        </w:tc>
        <w:tc>
          <w:tcPr>
            <w:tcW w:w="7937" w:type="dxa"/>
            <w:gridSpan w:val="7"/>
            <w:vAlign w:val="center"/>
          </w:tcPr>
          <w:p w14:paraId="20D7256F" w14:textId="38B9375B" w:rsidR="004E5C89" w:rsidRPr="00B91182" w:rsidRDefault="004E5C89" w:rsidP="004E5C89">
            <w:pPr>
              <w:pStyle w:val="COMTabletext"/>
              <w:keepNext w:val="0"/>
            </w:pPr>
            <w:r w:rsidRPr="007A2145">
              <w:rPr>
                <w:strike/>
              </w:rPr>
              <w:t>Must be treated by a specialist medical practitioner or general practitioner.</w:t>
            </w:r>
          </w:p>
        </w:tc>
      </w:tr>
    </w:tbl>
    <w:p w14:paraId="3E1778D2" w14:textId="77777777" w:rsidR="004E5C89" w:rsidRPr="001159D0" w:rsidRDefault="004E5C89" w:rsidP="004E5C89">
      <w:pPr>
        <w:pStyle w:val="COMTablefooter"/>
      </w:pPr>
      <w:r w:rsidRPr="001159D0">
        <w:t xml:space="preserve">Source: Table 1.4.2, p52 of the resubmission. </w:t>
      </w:r>
    </w:p>
    <w:p w14:paraId="2582F6B8" w14:textId="77777777" w:rsidR="004E5C89" w:rsidRDefault="004E5C89" w:rsidP="004E5C89">
      <w:pPr>
        <w:pStyle w:val="COMTablefooter"/>
      </w:pPr>
      <w:r w:rsidRPr="001159D0">
        <w:rPr>
          <w:vertAlign w:val="superscript"/>
        </w:rPr>
        <w:t>a</w:t>
      </w:r>
      <w:r w:rsidRPr="001159D0">
        <w:t xml:space="preserve"> Requested published and effective prices </w:t>
      </w:r>
      <w:r>
        <w:t xml:space="preserve">were </w:t>
      </w:r>
      <w:r w:rsidRPr="001159D0">
        <w:t xml:space="preserve">updated during the evaluation to reflect 1 July 2022 mark ups. </w:t>
      </w:r>
    </w:p>
    <w:p w14:paraId="4472F72C" w14:textId="3C1ACA23" w:rsidR="004E5C89" w:rsidRPr="005F22C4" w:rsidRDefault="004E5C89" w:rsidP="004E5C89">
      <w:pPr>
        <w:pStyle w:val="COMexecsumnumberedpara"/>
        <w:numPr>
          <w:ilvl w:val="0"/>
          <w:numId w:val="0"/>
        </w:numPr>
        <w:spacing w:after="40"/>
        <w:rPr>
          <w:u w:val="single"/>
        </w:rPr>
      </w:pPr>
      <w:r>
        <w:rPr>
          <w:u w:val="single"/>
        </w:rPr>
        <w:t>Grandfather</w:t>
      </w:r>
      <w:r w:rsidRPr="005F22C4">
        <w:rPr>
          <w:u w:val="single"/>
        </w:rPr>
        <w:t xml:space="preserve"> treatment:</w:t>
      </w:r>
    </w:p>
    <w:tbl>
      <w:tblPr>
        <w:tblW w:w="503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1693"/>
        <w:gridCol w:w="993"/>
        <w:gridCol w:w="1559"/>
        <w:gridCol w:w="850"/>
        <w:gridCol w:w="851"/>
        <w:gridCol w:w="850"/>
        <w:gridCol w:w="1141"/>
      </w:tblGrid>
      <w:tr w:rsidR="004E5C89" w:rsidRPr="001159D0" w14:paraId="16F63097" w14:textId="77777777" w:rsidTr="004E5C89">
        <w:trPr>
          <w:cantSplit/>
        </w:trPr>
        <w:tc>
          <w:tcPr>
            <w:tcW w:w="2827" w:type="dxa"/>
            <w:gridSpan w:val="2"/>
            <w:tcMar>
              <w:left w:w="28" w:type="dxa"/>
              <w:right w:w="28" w:type="dxa"/>
            </w:tcMar>
            <w:vAlign w:val="center"/>
          </w:tcPr>
          <w:p w14:paraId="09813345" w14:textId="77777777" w:rsidR="004E5C89" w:rsidRPr="001159D0" w:rsidRDefault="004E5C89" w:rsidP="00641D23">
            <w:pPr>
              <w:keepLines/>
              <w:jc w:val="left"/>
              <w:rPr>
                <w:rFonts w:ascii="Arial Narrow" w:hAnsi="Arial Narrow"/>
                <w:b/>
                <w:sz w:val="20"/>
                <w:szCs w:val="20"/>
              </w:rPr>
            </w:pPr>
            <w:r w:rsidRPr="001159D0">
              <w:rPr>
                <w:rFonts w:ascii="Arial Narrow" w:hAnsi="Arial Narrow"/>
                <w:b/>
                <w:sz w:val="20"/>
                <w:szCs w:val="20"/>
              </w:rPr>
              <w:t>MEDICINAL PRODUCT</w:t>
            </w:r>
          </w:p>
          <w:p w14:paraId="3C98A134" w14:textId="77777777" w:rsidR="004E5C89" w:rsidRPr="001159D0" w:rsidRDefault="004E5C89" w:rsidP="00641D23">
            <w:pPr>
              <w:keepLines/>
              <w:jc w:val="left"/>
              <w:rPr>
                <w:rFonts w:ascii="Arial Narrow" w:hAnsi="Arial Narrow"/>
                <w:b/>
                <w:sz w:val="20"/>
                <w:szCs w:val="20"/>
              </w:rPr>
            </w:pPr>
            <w:r w:rsidRPr="001159D0">
              <w:rPr>
                <w:rFonts w:ascii="Arial Narrow" w:hAnsi="Arial Narrow"/>
                <w:b/>
                <w:sz w:val="20"/>
                <w:szCs w:val="20"/>
              </w:rPr>
              <w:t>medicinal product pack</w:t>
            </w:r>
          </w:p>
        </w:tc>
        <w:tc>
          <w:tcPr>
            <w:tcW w:w="993" w:type="dxa"/>
            <w:tcMar>
              <w:left w:w="28" w:type="dxa"/>
              <w:right w:w="28" w:type="dxa"/>
            </w:tcMar>
            <w:vAlign w:val="center"/>
          </w:tcPr>
          <w:p w14:paraId="466D1824" w14:textId="77777777" w:rsidR="004E5C89" w:rsidRPr="001159D0" w:rsidRDefault="004E5C89" w:rsidP="00641D23">
            <w:pPr>
              <w:keepLines/>
              <w:jc w:val="center"/>
              <w:rPr>
                <w:rFonts w:ascii="Arial Narrow" w:hAnsi="Arial Narrow"/>
                <w:b/>
                <w:sz w:val="20"/>
                <w:szCs w:val="20"/>
              </w:rPr>
            </w:pPr>
            <w:r>
              <w:rPr>
                <w:rFonts w:ascii="Arial Narrow" w:hAnsi="Arial Narrow"/>
                <w:b/>
                <w:sz w:val="20"/>
                <w:szCs w:val="20"/>
              </w:rPr>
              <w:t>PBS item code</w:t>
            </w:r>
          </w:p>
        </w:tc>
        <w:tc>
          <w:tcPr>
            <w:tcW w:w="1559" w:type="dxa"/>
            <w:tcMar>
              <w:left w:w="28" w:type="dxa"/>
              <w:right w:w="28" w:type="dxa"/>
            </w:tcMar>
            <w:vAlign w:val="center"/>
          </w:tcPr>
          <w:p w14:paraId="6243E528" w14:textId="77777777" w:rsidR="004E5C89" w:rsidRPr="001159D0" w:rsidRDefault="004E5C89" w:rsidP="00641D23">
            <w:pPr>
              <w:keepLines/>
              <w:jc w:val="center"/>
              <w:rPr>
                <w:rFonts w:ascii="Arial Narrow" w:hAnsi="Arial Narrow"/>
                <w:b/>
                <w:sz w:val="20"/>
                <w:szCs w:val="20"/>
              </w:rPr>
            </w:pPr>
            <w:r w:rsidRPr="001159D0">
              <w:rPr>
                <w:rFonts w:ascii="Arial Narrow" w:hAnsi="Arial Narrow"/>
                <w:b/>
                <w:sz w:val="20"/>
                <w:szCs w:val="20"/>
              </w:rPr>
              <w:t xml:space="preserve">Dispensed Price for Max. </w:t>
            </w:r>
            <w:r>
              <w:rPr>
                <w:rFonts w:ascii="Arial Narrow" w:hAnsi="Arial Narrow"/>
                <w:b/>
                <w:sz w:val="20"/>
                <w:szCs w:val="20"/>
              </w:rPr>
              <w:t>q</w:t>
            </w:r>
            <w:r w:rsidRPr="001159D0">
              <w:rPr>
                <w:rFonts w:ascii="Arial Narrow" w:hAnsi="Arial Narrow"/>
                <w:b/>
                <w:sz w:val="20"/>
                <w:szCs w:val="20"/>
              </w:rPr>
              <w:t>ty</w:t>
            </w:r>
          </w:p>
        </w:tc>
        <w:tc>
          <w:tcPr>
            <w:tcW w:w="850" w:type="dxa"/>
            <w:tcMar>
              <w:left w:w="28" w:type="dxa"/>
              <w:right w:w="28" w:type="dxa"/>
            </w:tcMar>
            <w:vAlign w:val="center"/>
          </w:tcPr>
          <w:p w14:paraId="61BB25B1" w14:textId="77777777" w:rsidR="004E5C89" w:rsidRPr="001159D0" w:rsidRDefault="004E5C89" w:rsidP="00641D23">
            <w:pPr>
              <w:keepLines/>
              <w:jc w:val="center"/>
              <w:rPr>
                <w:rFonts w:ascii="Arial Narrow" w:hAnsi="Arial Narrow"/>
                <w:b/>
                <w:sz w:val="20"/>
                <w:szCs w:val="20"/>
              </w:rPr>
            </w:pPr>
            <w:r>
              <w:rPr>
                <w:rFonts w:ascii="Arial Narrow" w:hAnsi="Arial Narrow"/>
                <w:b/>
                <w:sz w:val="20"/>
                <w:szCs w:val="20"/>
              </w:rPr>
              <w:t>Max. qty (packs)</w:t>
            </w:r>
          </w:p>
        </w:tc>
        <w:tc>
          <w:tcPr>
            <w:tcW w:w="851" w:type="dxa"/>
            <w:tcMar>
              <w:left w:w="28" w:type="dxa"/>
              <w:right w:w="28" w:type="dxa"/>
            </w:tcMar>
            <w:vAlign w:val="center"/>
          </w:tcPr>
          <w:p w14:paraId="63A1E24C" w14:textId="77777777" w:rsidR="004E5C89" w:rsidRPr="001159D0" w:rsidRDefault="004E5C89" w:rsidP="00641D23">
            <w:pPr>
              <w:keepLines/>
              <w:jc w:val="center"/>
              <w:rPr>
                <w:rFonts w:ascii="Arial Narrow" w:hAnsi="Arial Narrow"/>
                <w:b/>
                <w:sz w:val="20"/>
                <w:szCs w:val="20"/>
              </w:rPr>
            </w:pPr>
            <w:r w:rsidRPr="001159D0">
              <w:rPr>
                <w:rFonts w:ascii="Arial Narrow" w:hAnsi="Arial Narrow"/>
                <w:b/>
                <w:sz w:val="20"/>
                <w:szCs w:val="20"/>
              </w:rPr>
              <w:t xml:space="preserve">Max. qty </w:t>
            </w:r>
            <w:r>
              <w:rPr>
                <w:rFonts w:ascii="Arial Narrow" w:hAnsi="Arial Narrow"/>
                <w:b/>
                <w:sz w:val="20"/>
                <w:szCs w:val="20"/>
              </w:rPr>
              <w:t>(</w:t>
            </w:r>
            <w:r w:rsidRPr="001159D0">
              <w:rPr>
                <w:rFonts w:ascii="Arial Narrow" w:hAnsi="Arial Narrow"/>
                <w:b/>
                <w:sz w:val="20"/>
                <w:szCs w:val="20"/>
              </w:rPr>
              <w:t>units</w:t>
            </w:r>
            <w:r>
              <w:rPr>
                <w:rFonts w:ascii="Arial Narrow" w:hAnsi="Arial Narrow"/>
                <w:b/>
                <w:sz w:val="20"/>
                <w:szCs w:val="20"/>
              </w:rPr>
              <w:t>)</w:t>
            </w:r>
          </w:p>
        </w:tc>
        <w:tc>
          <w:tcPr>
            <w:tcW w:w="850" w:type="dxa"/>
            <w:tcMar>
              <w:left w:w="28" w:type="dxa"/>
              <w:right w:w="28" w:type="dxa"/>
            </w:tcMar>
            <w:vAlign w:val="center"/>
          </w:tcPr>
          <w:p w14:paraId="54736622" w14:textId="77777777" w:rsidR="004E5C89" w:rsidRPr="001159D0" w:rsidRDefault="004E5C89" w:rsidP="00641D23">
            <w:pPr>
              <w:keepLines/>
              <w:jc w:val="center"/>
              <w:rPr>
                <w:rFonts w:ascii="Arial Narrow" w:hAnsi="Arial Narrow"/>
                <w:b/>
                <w:sz w:val="20"/>
                <w:szCs w:val="20"/>
              </w:rPr>
            </w:pPr>
            <w:r w:rsidRPr="001159D0">
              <w:rPr>
                <w:rFonts w:ascii="Arial Narrow" w:hAnsi="Arial Narrow"/>
                <w:b/>
                <w:sz w:val="20"/>
                <w:szCs w:val="20"/>
              </w:rPr>
              <w:t>№.</w:t>
            </w:r>
            <w:r>
              <w:rPr>
                <w:rFonts w:ascii="Arial Narrow" w:hAnsi="Arial Narrow"/>
                <w:b/>
                <w:sz w:val="20"/>
                <w:szCs w:val="20"/>
              </w:rPr>
              <w:t xml:space="preserve"> </w:t>
            </w:r>
            <w:r w:rsidRPr="001159D0">
              <w:rPr>
                <w:rFonts w:ascii="Arial Narrow" w:hAnsi="Arial Narrow"/>
                <w:b/>
                <w:sz w:val="20"/>
                <w:szCs w:val="20"/>
              </w:rPr>
              <w:t>of</w:t>
            </w:r>
          </w:p>
          <w:p w14:paraId="6A220F19" w14:textId="77777777" w:rsidR="004E5C89" w:rsidRPr="001159D0" w:rsidRDefault="004E5C89" w:rsidP="00641D23">
            <w:pPr>
              <w:keepLines/>
              <w:jc w:val="center"/>
              <w:rPr>
                <w:rFonts w:ascii="Arial Narrow" w:hAnsi="Arial Narrow"/>
                <w:b/>
                <w:sz w:val="20"/>
                <w:szCs w:val="20"/>
              </w:rPr>
            </w:pPr>
            <w:r w:rsidRPr="001159D0">
              <w:rPr>
                <w:rFonts w:ascii="Arial Narrow" w:hAnsi="Arial Narrow"/>
                <w:b/>
                <w:sz w:val="20"/>
                <w:szCs w:val="20"/>
              </w:rPr>
              <w:t>Rpts</w:t>
            </w:r>
          </w:p>
        </w:tc>
        <w:tc>
          <w:tcPr>
            <w:tcW w:w="1141" w:type="dxa"/>
            <w:tcMar>
              <w:left w:w="28" w:type="dxa"/>
              <w:right w:w="28" w:type="dxa"/>
            </w:tcMar>
            <w:vAlign w:val="center"/>
          </w:tcPr>
          <w:p w14:paraId="37AA2FBD" w14:textId="77777777" w:rsidR="004E5C89" w:rsidRPr="001159D0" w:rsidRDefault="004E5C89" w:rsidP="00641D23">
            <w:pPr>
              <w:keepLines/>
              <w:jc w:val="center"/>
              <w:rPr>
                <w:rFonts w:ascii="Arial Narrow" w:hAnsi="Arial Narrow"/>
                <w:b/>
                <w:sz w:val="20"/>
                <w:szCs w:val="20"/>
              </w:rPr>
            </w:pPr>
            <w:r w:rsidRPr="001159D0">
              <w:rPr>
                <w:rFonts w:ascii="Arial Narrow" w:hAnsi="Arial Narrow"/>
                <w:b/>
                <w:sz w:val="20"/>
                <w:szCs w:val="20"/>
              </w:rPr>
              <w:t>Available brands</w:t>
            </w:r>
          </w:p>
        </w:tc>
      </w:tr>
      <w:tr w:rsidR="004E5C89" w:rsidRPr="001159D0" w14:paraId="51D19822" w14:textId="77777777" w:rsidTr="004E5C89">
        <w:trPr>
          <w:cantSplit/>
        </w:trPr>
        <w:tc>
          <w:tcPr>
            <w:tcW w:w="9071" w:type="dxa"/>
            <w:gridSpan w:val="8"/>
            <w:tcMar>
              <w:left w:w="28" w:type="dxa"/>
              <w:right w:w="28" w:type="dxa"/>
            </w:tcMar>
            <w:vAlign w:val="center"/>
          </w:tcPr>
          <w:p w14:paraId="7DB2DCE7" w14:textId="77777777" w:rsidR="004E5C89" w:rsidRPr="001159D0" w:rsidRDefault="004E5C89" w:rsidP="00641D23">
            <w:pPr>
              <w:pStyle w:val="COMTabletext"/>
              <w:rPr>
                <w:rFonts w:cs="Arial"/>
                <w:szCs w:val="20"/>
              </w:rPr>
            </w:pPr>
            <w:r w:rsidRPr="001159D0">
              <w:rPr>
                <w:smallCaps/>
              </w:rPr>
              <w:t>PATIROMER</w:t>
            </w:r>
            <w:r w:rsidRPr="001159D0">
              <w:rPr>
                <w:rFonts w:cs="Arial"/>
                <w:color w:val="0066FF"/>
                <w:szCs w:val="20"/>
              </w:rPr>
              <w:t xml:space="preserve"> </w:t>
            </w:r>
          </w:p>
        </w:tc>
      </w:tr>
      <w:tr w:rsidR="004E5C89" w:rsidRPr="001159D0" w14:paraId="6E8C5D24" w14:textId="77777777" w:rsidTr="004E5C89">
        <w:trPr>
          <w:cantSplit/>
        </w:trPr>
        <w:tc>
          <w:tcPr>
            <w:tcW w:w="2827" w:type="dxa"/>
            <w:gridSpan w:val="2"/>
            <w:tcMar>
              <w:left w:w="28" w:type="dxa"/>
              <w:right w:w="28" w:type="dxa"/>
            </w:tcMar>
            <w:vAlign w:val="center"/>
          </w:tcPr>
          <w:p w14:paraId="70C620E6" w14:textId="77777777" w:rsidR="004E5C89" w:rsidRPr="001159D0" w:rsidRDefault="004E5C89" w:rsidP="00641D23">
            <w:pPr>
              <w:keepLines/>
              <w:jc w:val="left"/>
              <w:rPr>
                <w:rFonts w:ascii="Arial Narrow" w:hAnsi="Arial Narrow"/>
                <w:sz w:val="20"/>
                <w:szCs w:val="20"/>
              </w:rPr>
            </w:pPr>
            <w:r>
              <w:rPr>
                <w:rFonts w:ascii="Arial Narrow" w:hAnsi="Arial Narrow"/>
                <w:sz w:val="20"/>
                <w:szCs w:val="20"/>
              </w:rPr>
              <w:t>patiromer 8.4 g, 30 x 8.4 g sachets</w:t>
            </w:r>
          </w:p>
        </w:tc>
        <w:tc>
          <w:tcPr>
            <w:tcW w:w="993" w:type="dxa"/>
            <w:tcMar>
              <w:left w:w="28" w:type="dxa"/>
              <w:right w:w="28" w:type="dxa"/>
            </w:tcMar>
            <w:vAlign w:val="center"/>
          </w:tcPr>
          <w:p w14:paraId="7BE8FB81" w14:textId="77777777" w:rsidR="004E5C89" w:rsidRPr="005F22C4" w:rsidRDefault="004E5C89" w:rsidP="00641D23">
            <w:pPr>
              <w:pStyle w:val="COMTabletext"/>
              <w:keepNext w:val="0"/>
              <w:jc w:val="center"/>
              <w:rPr>
                <w:szCs w:val="20"/>
              </w:rPr>
            </w:pPr>
            <w:r w:rsidRPr="005F22C4">
              <w:rPr>
                <w:szCs w:val="20"/>
              </w:rPr>
              <w:t>New</w:t>
            </w:r>
          </w:p>
        </w:tc>
        <w:tc>
          <w:tcPr>
            <w:tcW w:w="1559" w:type="dxa"/>
            <w:tcMar>
              <w:left w:w="28" w:type="dxa"/>
              <w:right w:w="28" w:type="dxa"/>
            </w:tcMar>
            <w:vAlign w:val="center"/>
          </w:tcPr>
          <w:p w14:paraId="3405900E" w14:textId="27CF0E92" w:rsidR="004E5C89" w:rsidRPr="005F22C4" w:rsidRDefault="004E5C89" w:rsidP="00641D23">
            <w:pPr>
              <w:keepLines/>
              <w:jc w:val="center"/>
              <w:rPr>
                <w:rFonts w:ascii="Arial Narrow" w:hAnsi="Arial Narrow"/>
                <w:sz w:val="20"/>
                <w:szCs w:val="20"/>
              </w:rPr>
            </w:pPr>
            <w:r w:rsidRPr="005F22C4">
              <w:rPr>
                <w:rFonts w:ascii="Arial Narrow" w:hAnsi="Arial Narrow"/>
                <w:sz w:val="20"/>
                <w:szCs w:val="20"/>
              </w:rPr>
              <w:t>Published: $375.06</w:t>
            </w:r>
            <w:r w:rsidRPr="005F22C4">
              <w:rPr>
                <w:rFonts w:ascii="Arial Narrow" w:hAnsi="Arial Narrow"/>
                <w:sz w:val="20"/>
                <w:szCs w:val="20"/>
                <w:vertAlign w:val="superscript"/>
              </w:rPr>
              <w:t>a</w:t>
            </w:r>
            <w:r w:rsidRPr="005F22C4">
              <w:rPr>
                <w:rFonts w:ascii="Arial Narrow" w:hAnsi="Arial Narrow"/>
                <w:sz w:val="20"/>
                <w:szCs w:val="20"/>
              </w:rPr>
              <w:t xml:space="preserve"> Effective: $</w:t>
            </w:r>
            <w:r w:rsidR="003E2BEF" w:rsidRPr="003E2BEF">
              <w:rPr>
                <w:rFonts w:ascii="Arial Narrow" w:hAnsi="Arial Narrow"/>
                <w:color w:val="000000"/>
                <w:spacing w:val="191"/>
                <w:sz w:val="20"/>
                <w:szCs w:val="20"/>
                <w:shd w:val="solid" w:color="000000" w:fill="000000"/>
                <w:fitText w:val="277" w:id="-1304706808"/>
                <w14:textFill>
                  <w14:solidFill>
                    <w14:srgbClr w14:val="000000">
                      <w14:alpha w14:val="100000"/>
                    </w14:srgbClr>
                  </w14:solidFill>
                </w14:textFill>
              </w:rPr>
              <w:t>|</w:t>
            </w:r>
            <w:r w:rsidR="003E2BEF" w:rsidRPr="003E2BEF">
              <w:rPr>
                <w:rFonts w:ascii="Arial Narrow" w:hAnsi="Arial Narrow"/>
                <w:color w:val="000000"/>
                <w:spacing w:val="1"/>
                <w:sz w:val="20"/>
                <w:szCs w:val="20"/>
                <w:shd w:val="solid" w:color="000000" w:fill="000000"/>
                <w:fitText w:val="277" w:id="-1304706808"/>
                <w14:textFill>
                  <w14:solidFill>
                    <w14:srgbClr w14:val="000000">
                      <w14:alpha w14:val="100000"/>
                    </w14:srgbClr>
                  </w14:solidFill>
                </w14:textFill>
              </w:rPr>
              <w:t>|</w:t>
            </w:r>
            <w:r w:rsidRPr="005F22C4">
              <w:rPr>
                <w:rFonts w:ascii="Arial Narrow" w:hAnsi="Arial Narrow"/>
                <w:sz w:val="20"/>
                <w:szCs w:val="20"/>
                <w:vertAlign w:val="superscript"/>
              </w:rPr>
              <w:t>a</w:t>
            </w:r>
          </w:p>
        </w:tc>
        <w:tc>
          <w:tcPr>
            <w:tcW w:w="850" w:type="dxa"/>
            <w:tcMar>
              <w:left w:w="28" w:type="dxa"/>
              <w:right w:w="28" w:type="dxa"/>
            </w:tcMar>
            <w:vAlign w:val="center"/>
          </w:tcPr>
          <w:p w14:paraId="54743D3B" w14:textId="77777777" w:rsidR="004E5C89" w:rsidRPr="001159D0" w:rsidRDefault="004E5C89" w:rsidP="00641D23">
            <w:pPr>
              <w:keepLines/>
              <w:jc w:val="center"/>
              <w:rPr>
                <w:rFonts w:ascii="Arial Narrow" w:hAnsi="Arial Narrow"/>
                <w:sz w:val="20"/>
              </w:rPr>
            </w:pPr>
            <w:r>
              <w:rPr>
                <w:rFonts w:ascii="Arial Narrow" w:hAnsi="Arial Narrow"/>
                <w:sz w:val="20"/>
              </w:rPr>
              <w:t>1</w:t>
            </w:r>
          </w:p>
        </w:tc>
        <w:tc>
          <w:tcPr>
            <w:tcW w:w="851" w:type="dxa"/>
            <w:tcMar>
              <w:left w:w="28" w:type="dxa"/>
              <w:right w:w="28" w:type="dxa"/>
            </w:tcMar>
            <w:vAlign w:val="center"/>
          </w:tcPr>
          <w:p w14:paraId="0A5DD99A" w14:textId="77777777" w:rsidR="004E5C89" w:rsidRPr="001159D0" w:rsidRDefault="004E5C89" w:rsidP="00641D23">
            <w:pPr>
              <w:keepLines/>
              <w:jc w:val="center"/>
              <w:rPr>
                <w:rFonts w:ascii="Arial Narrow" w:hAnsi="Arial Narrow"/>
                <w:sz w:val="20"/>
              </w:rPr>
            </w:pPr>
            <w:r w:rsidRPr="001159D0">
              <w:rPr>
                <w:rFonts w:ascii="Arial Narrow" w:hAnsi="Arial Narrow"/>
                <w:sz w:val="20"/>
              </w:rPr>
              <w:t>30</w:t>
            </w:r>
          </w:p>
        </w:tc>
        <w:tc>
          <w:tcPr>
            <w:tcW w:w="850" w:type="dxa"/>
            <w:tcMar>
              <w:left w:w="28" w:type="dxa"/>
              <w:right w:w="28" w:type="dxa"/>
            </w:tcMar>
            <w:vAlign w:val="center"/>
          </w:tcPr>
          <w:p w14:paraId="4D71A244" w14:textId="77777777" w:rsidR="004E5C89" w:rsidRPr="001159D0" w:rsidRDefault="004E5C89" w:rsidP="00641D23">
            <w:pPr>
              <w:keepLines/>
              <w:jc w:val="center"/>
              <w:rPr>
                <w:rFonts w:ascii="Arial Narrow" w:hAnsi="Arial Narrow"/>
                <w:sz w:val="20"/>
              </w:rPr>
            </w:pPr>
            <w:r w:rsidRPr="001159D0">
              <w:rPr>
                <w:rFonts w:ascii="Arial Narrow" w:hAnsi="Arial Narrow"/>
                <w:sz w:val="20"/>
              </w:rPr>
              <w:t>5</w:t>
            </w:r>
          </w:p>
        </w:tc>
        <w:tc>
          <w:tcPr>
            <w:tcW w:w="1141" w:type="dxa"/>
            <w:tcMar>
              <w:left w:w="28" w:type="dxa"/>
              <w:right w:w="28" w:type="dxa"/>
            </w:tcMar>
            <w:vAlign w:val="center"/>
          </w:tcPr>
          <w:p w14:paraId="1B6AE2D2" w14:textId="77777777" w:rsidR="004E5C89" w:rsidRDefault="004E5C89" w:rsidP="00641D23">
            <w:pPr>
              <w:keepLines/>
              <w:jc w:val="center"/>
              <w:rPr>
                <w:rFonts w:ascii="Arial Narrow" w:hAnsi="Arial Narrow"/>
                <w:sz w:val="20"/>
                <w:szCs w:val="20"/>
              </w:rPr>
            </w:pPr>
            <w:r>
              <w:rPr>
                <w:rFonts w:ascii="Arial Narrow" w:hAnsi="Arial Narrow"/>
                <w:sz w:val="20"/>
                <w:szCs w:val="20"/>
              </w:rPr>
              <w:t>V</w:t>
            </w:r>
            <w:r w:rsidRPr="001159D0">
              <w:rPr>
                <w:rFonts w:ascii="Arial Narrow" w:hAnsi="Arial Narrow"/>
                <w:sz w:val="20"/>
                <w:szCs w:val="20"/>
              </w:rPr>
              <w:t>eltassa</w:t>
            </w:r>
          </w:p>
        </w:tc>
      </w:tr>
      <w:tr w:rsidR="004E5C89" w:rsidRPr="001159D0" w14:paraId="00E744AA" w14:textId="77777777" w:rsidTr="004E5C89">
        <w:trPr>
          <w:cantSplit/>
        </w:trPr>
        <w:tc>
          <w:tcPr>
            <w:tcW w:w="2827" w:type="dxa"/>
            <w:gridSpan w:val="2"/>
            <w:tcMar>
              <w:left w:w="28" w:type="dxa"/>
              <w:right w:w="28" w:type="dxa"/>
            </w:tcMar>
            <w:vAlign w:val="center"/>
          </w:tcPr>
          <w:p w14:paraId="19DE1987" w14:textId="77777777" w:rsidR="004E5C89" w:rsidRPr="001159D0" w:rsidRDefault="004E5C89" w:rsidP="00641D23">
            <w:pPr>
              <w:keepLines/>
              <w:jc w:val="left"/>
              <w:rPr>
                <w:rFonts w:ascii="Arial Narrow" w:hAnsi="Arial Narrow"/>
                <w:sz w:val="20"/>
                <w:szCs w:val="20"/>
              </w:rPr>
            </w:pPr>
            <w:r w:rsidRPr="001159D0">
              <w:rPr>
                <w:rFonts w:ascii="Arial Narrow" w:hAnsi="Arial Narrow"/>
                <w:sz w:val="20"/>
                <w:szCs w:val="20"/>
              </w:rPr>
              <w:t>patiromer 16.8 g</w:t>
            </w:r>
            <w:r>
              <w:rPr>
                <w:rFonts w:ascii="Arial Narrow" w:hAnsi="Arial Narrow"/>
                <w:sz w:val="20"/>
                <w:szCs w:val="20"/>
              </w:rPr>
              <w:t>, 30 x 16.8 g s</w:t>
            </w:r>
            <w:r w:rsidRPr="001159D0">
              <w:rPr>
                <w:rFonts w:ascii="Arial Narrow" w:hAnsi="Arial Narrow"/>
                <w:sz w:val="20"/>
                <w:szCs w:val="20"/>
              </w:rPr>
              <w:t>achet</w:t>
            </w:r>
            <w:r>
              <w:rPr>
                <w:rFonts w:ascii="Arial Narrow" w:hAnsi="Arial Narrow"/>
                <w:sz w:val="20"/>
                <w:szCs w:val="20"/>
              </w:rPr>
              <w:t>s</w:t>
            </w:r>
          </w:p>
        </w:tc>
        <w:tc>
          <w:tcPr>
            <w:tcW w:w="993" w:type="dxa"/>
            <w:tcMar>
              <w:left w:w="28" w:type="dxa"/>
              <w:right w:w="28" w:type="dxa"/>
            </w:tcMar>
            <w:vAlign w:val="center"/>
          </w:tcPr>
          <w:p w14:paraId="788615CC" w14:textId="77777777" w:rsidR="004E5C89" w:rsidRPr="001159D0" w:rsidRDefault="004E5C89" w:rsidP="00641D23">
            <w:pPr>
              <w:keepLines/>
              <w:jc w:val="center"/>
              <w:rPr>
                <w:rFonts w:ascii="Arial Narrow" w:hAnsi="Arial Narrow"/>
                <w:sz w:val="20"/>
                <w:szCs w:val="20"/>
              </w:rPr>
            </w:pPr>
            <w:r>
              <w:rPr>
                <w:rFonts w:ascii="Arial Narrow" w:hAnsi="Arial Narrow"/>
                <w:sz w:val="20"/>
                <w:szCs w:val="20"/>
              </w:rPr>
              <w:t>New</w:t>
            </w:r>
          </w:p>
        </w:tc>
        <w:tc>
          <w:tcPr>
            <w:tcW w:w="1559" w:type="dxa"/>
            <w:tcMar>
              <w:left w:w="28" w:type="dxa"/>
              <w:right w:w="28" w:type="dxa"/>
            </w:tcMar>
            <w:vAlign w:val="center"/>
          </w:tcPr>
          <w:p w14:paraId="4AFF376F" w14:textId="1025E426" w:rsidR="004E5C89" w:rsidRPr="001159D0" w:rsidRDefault="004E5C89" w:rsidP="00641D23">
            <w:pPr>
              <w:keepLines/>
              <w:jc w:val="center"/>
              <w:rPr>
                <w:rFonts w:ascii="Arial Narrow" w:hAnsi="Arial Narrow"/>
                <w:sz w:val="20"/>
                <w:szCs w:val="20"/>
              </w:rPr>
            </w:pPr>
            <w:r w:rsidRPr="005F22C4">
              <w:rPr>
                <w:rFonts w:ascii="Arial Narrow" w:hAnsi="Arial Narrow"/>
                <w:sz w:val="20"/>
                <w:szCs w:val="20"/>
              </w:rPr>
              <w:t>Published: $375.06</w:t>
            </w:r>
            <w:r w:rsidRPr="005F22C4">
              <w:rPr>
                <w:rFonts w:ascii="Arial Narrow" w:hAnsi="Arial Narrow"/>
                <w:sz w:val="20"/>
                <w:szCs w:val="20"/>
                <w:vertAlign w:val="superscript"/>
              </w:rPr>
              <w:t>a</w:t>
            </w:r>
            <w:r w:rsidRPr="005F22C4">
              <w:rPr>
                <w:rFonts w:ascii="Arial Narrow" w:hAnsi="Arial Narrow"/>
                <w:sz w:val="20"/>
                <w:szCs w:val="20"/>
              </w:rPr>
              <w:t xml:space="preserve"> Effective: $</w:t>
            </w:r>
            <w:r w:rsidR="003E2BEF" w:rsidRPr="003E2BEF">
              <w:rPr>
                <w:rFonts w:ascii="Arial Narrow" w:hAnsi="Arial Narrow"/>
                <w:color w:val="000000"/>
                <w:spacing w:val="191"/>
                <w:sz w:val="20"/>
                <w:szCs w:val="20"/>
                <w:shd w:val="solid" w:color="000000" w:fill="000000"/>
                <w:fitText w:val="277" w:id="-1304706807"/>
                <w14:textFill>
                  <w14:solidFill>
                    <w14:srgbClr w14:val="000000">
                      <w14:alpha w14:val="100000"/>
                    </w14:srgbClr>
                  </w14:solidFill>
                </w14:textFill>
              </w:rPr>
              <w:t>|</w:t>
            </w:r>
            <w:r w:rsidR="003E2BEF" w:rsidRPr="003E2BEF">
              <w:rPr>
                <w:rFonts w:ascii="Arial Narrow" w:hAnsi="Arial Narrow"/>
                <w:color w:val="000000"/>
                <w:spacing w:val="1"/>
                <w:sz w:val="20"/>
                <w:szCs w:val="20"/>
                <w:shd w:val="solid" w:color="000000" w:fill="000000"/>
                <w:fitText w:val="277" w:id="-1304706807"/>
                <w14:textFill>
                  <w14:solidFill>
                    <w14:srgbClr w14:val="000000">
                      <w14:alpha w14:val="100000"/>
                    </w14:srgbClr>
                  </w14:solidFill>
                </w14:textFill>
              </w:rPr>
              <w:t>|</w:t>
            </w:r>
            <w:r w:rsidRPr="005F22C4">
              <w:rPr>
                <w:rFonts w:ascii="Arial Narrow" w:hAnsi="Arial Narrow"/>
                <w:sz w:val="20"/>
                <w:szCs w:val="20"/>
                <w:vertAlign w:val="superscript"/>
              </w:rPr>
              <w:t>a</w:t>
            </w:r>
          </w:p>
        </w:tc>
        <w:tc>
          <w:tcPr>
            <w:tcW w:w="850" w:type="dxa"/>
            <w:tcMar>
              <w:left w:w="28" w:type="dxa"/>
              <w:right w:w="28" w:type="dxa"/>
            </w:tcMar>
            <w:vAlign w:val="center"/>
          </w:tcPr>
          <w:p w14:paraId="3BFE6EC6" w14:textId="77777777" w:rsidR="004E5C89" w:rsidRPr="001159D0" w:rsidRDefault="004E5C89" w:rsidP="00641D23">
            <w:pPr>
              <w:keepLines/>
              <w:jc w:val="center"/>
              <w:rPr>
                <w:rFonts w:ascii="Arial Narrow" w:hAnsi="Arial Narrow"/>
                <w:sz w:val="20"/>
                <w:szCs w:val="20"/>
              </w:rPr>
            </w:pPr>
            <w:r>
              <w:rPr>
                <w:rFonts w:ascii="Arial Narrow" w:hAnsi="Arial Narrow"/>
                <w:sz w:val="20"/>
                <w:szCs w:val="20"/>
              </w:rPr>
              <w:t>1</w:t>
            </w:r>
          </w:p>
        </w:tc>
        <w:tc>
          <w:tcPr>
            <w:tcW w:w="851" w:type="dxa"/>
            <w:tcMar>
              <w:left w:w="28" w:type="dxa"/>
              <w:right w:w="28" w:type="dxa"/>
            </w:tcMar>
            <w:vAlign w:val="center"/>
          </w:tcPr>
          <w:p w14:paraId="2AEC666A" w14:textId="77777777" w:rsidR="004E5C89" w:rsidRPr="001159D0" w:rsidRDefault="004E5C89" w:rsidP="00641D23">
            <w:pPr>
              <w:keepLines/>
              <w:jc w:val="center"/>
              <w:rPr>
                <w:rFonts w:ascii="Arial Narrow" w:hAnsi="Arial Narrow"/>
                <w:sz w:val="20"/>
                <w:szCs w:val="20"/>
              </w:rPr>
            </w:pPr>
            <w:r>
              <w:rPr>
                <w:rFonts w:ascii="Arial Narrow" w:hAnsi="Arial Narrow"/>
                <w:sz w:val="20"/>
                <w:szCs w:val="20"/>
              </w:rPr>
              <w:t>30</w:t>
            </w:r>
          </w:p>
        </w:tc>
        <w:tc>
          <w:tcPr>
            <w:tcW w:w="850" w:type="dxa"/>
            <w:tcMar>
              <w:left w:w="28" w:type="dxa"/>
              <w:right w:w="28" w:type="dxa"/>
            </w:tcMar>
            <w:vAlign w:val="center"/>
          </w:tcPr>
          <w:p w14:paraId="4A21CB19" w14:textId="77777777" w:rsidR="004E5C89" w:rsidRPr="001159D0" w:rsidRDefault="004E5C89" w:rsidP="00641D23">
            <w:pPr>
              <w:keepLines/>
              <w:jc w:val="center"/>
              <w:rPr>
                <w:rFonts w:ascii="Arial Narrow" w:hAnsi="Arial Narrow"/>
                <w:sz w:val="20"/>
                <w:szCs w:val="20"/>
              </w:rPr>
            </w:pPr>
            <w:r>
              <w:rPr>
                <w:rFonts w:ascii="Arial Narrow" w:hAnsi="Arial Narrow"/>
                <w:sz w:val="20"/>
                <w:szCs w:val="20"/>
              </w:rPr>
              <w:t>5</w:t>
            </w:r>
          </w:p>
        </w:tc>
        <w:tc>
          <w:tcPr>
            <w:tcW w:w="1141" w:type="dxa"/>
            <w:tcMar>
              <w:left w:w="28" w:type="dxa"/>
              <w:right w:w="28" w:type="dxa"/>
            </w:tcMar>
            <w:vAlign w:val="center"/>
          </w:tcPr>
          <w:p w14:paraId="0D7948B7" w14:textId="183BEA3E" w:rsidR="004E5C89" w:rsidRPr="001159D0" w:rsidRDefault="004E5C89" w:rsidP="00641D23">
            <w:pPr>
              <w:keepLines/>
              <w:jc w:val="center"/>
              <w:rPr>
                <w:rFonts w:ascii="Arial Narrow" w:hAnsi="Arial Narrow"/>
                <w:color w:val="0066FF"/>
                <w:sz w:val="20"/>
                <w:szCs w:val="20"/>
              </w:rPr>
            </w:pPr>
            <w:r w:rsidRPr="005F22C4">
              <w:rPr>
                <w:rFonts w:ascii="Arial Narrow" w:hAnsi="Arial Narrow"/>
                <w:sz w:val="20"/>
                <w:szCs w:val="20"/>
              </w:rPr>
              <w:t>Velt</w:t>
            </w:r>
            <w:r w:rsidR="008433D0">
              <w:rPr>
                <w:rFonts w:ascii="Arial Narrow" w:hAnsi="Arial Narrow"/>
                <w:sz w:val="20"/>
                <w:szCs w:val="20"/>
              </w:rPr>
              <w:t>a</w:t>
            </w:r>
            <w:r w:rsidRPr="005F22C4">
              <w:rPr>
                <w:rFonts w:ascii="Arial Narrow" w:hAnsi="Arial Narrow"/>
                <w:sz w:val="20"/>
                <w:szCs w:val="20"/>
              </w:rPr>
              <w:t>ssa</w:t>
            </w:r>
          </w:p>
        </w:tc>
      </w:tr>
      <w:tr w:rsidR="004E5C89" w:rsidRPr="001159D0" w14:paraId="503CBA0C" w14:textId="77777777" w:rsidTr="004E5C89">
        <w:tblPrEx>
          <w:tblCellMar>
            <w:top w:w="15" w:type="dxa"/>
            <w:bottom w:w="15" w:type="dxa"/>
          </w:tblCellMar>
          <w:tblLook w:val="04A0" w:firstRow="1" w:lastRow="0" w:firstColumn="1" w:lastColumn="0" w:noHBand="0" w:noVBand="1"/>
        </w:tblPrEx>
        <w:trPr>
          <w:cantSplit/>
        </w:trPr>
        <w:tc>
          <w:tcPr>
            <w:tcW w:w="9071" w:type="dxa"/>
            <w:gridSpan w:val="8"/>
          </w:tcPr>
          <w:p w14:paraId="4341D95E" w14:textId="77777777" w:rsidR="004E5C89" w:rsidRPr="001159D0" w:rsidRDefault="004E5C89" w:rsidP="00641D23">
            <w:pPr>
              <w:pStyle w:val="COMTabletext"/>
              <w:keepNext w:val="0"/>
              <w:rPr>
                <w:b/>
              </w:rPr>
            </w:pPr>
          </w:p>
        </w:tc>
      </w:tr>
      <w:tr w:rsidR="004E5C89" w:rsidRPr="001159D0" w14:paraId="24D54B0A" w14:textId="77777777" w:rsidTr="004E5C89">
        <w:tblPrEx>
          <w:tblCellMar>
            <w:top w:w="15" w:type="dxa"/>
            <w:bottom w:w="15" w:type="dxa"/>
          </w:tblCellMar>
          <w:tblLook w:val="04A0" w:firstRow="1" w:lastRow="0" w:firstColumn="1" w:lastColumn="0" w:noHBand="0" w:noVBand="1"/>
        </w:tblPrEx>
        <w:trPr>
          <w:cantSplit/>
        </w:trPr>
        <w:tc>
          <w:tcPr>
            <w:tcW w:w="9071" w:type="dxa"/>
            <w:gridSpan w:val="8"/>
            <w:tcBorders>
              <w:top w:val="single" w:sz="4" w:space="0" w:color="auto"/>
              <w:left w:val="single" w:sz="4" w:space="0" w:color="auto"/>
              <w:bottom w:val="single" w:sz="4" w:space="0" w:color="auto"/>
              <w:right w:val="single" w:sz="4" w:space="0" w:color="auto"/>
            </w:tcBorders>
          </w:tcPr>
          <w:p w14:paraId="5456E67E" w14:textId="77777777" w:rsidR="004E5C89" w:rsidRPr="005160DC" w:rsidRDefault="004E5C89" w:rsidP="00641D23">
            <w:pPr>
              <w:pStyle w:val="COMTabletext"/>
              <w:keepNext w:val="0"/>
              <w:rPr>
                <w:b/>
              </w:rPr>
            </w:pPr>
            <w:r w:rsidRPr="005160DC">
              <w:rPr>
                <w:b/>
              </w:rPr>
              <w:t>Restriction Summary [New] / Treatment of Concept [New]</w:t>
            </w:r>
          </w:p>
        </w:tc>
      </w:tr>
      <w:tr w:rsidR="004E5C89" w:rsidRPr="001159D0" w14:paraId="76EB4784" w14:textId="77777777" w:rsidTr="004E5C89">
        <w:tblPrEx>
          <w:tblCellMar>
            <w:top w:w="15" w:type="dxa"/>
            <w:bottom w:w="15" w:type="dxa"/>
          </w:tblCellMar>
          <w:tblLook w:val="04A0" w:firstRow="1" w:lastRow="0" w:firstColumn="1" w:lastColumn="0" w:noHBand="0" w:noVBand="1"/>
        </w:tblPrEx>
        <w:trPr>
          <w:cantSplit/>
        </w:trPr>
        <w:tc>
          <w:tcPr>
            <w:tcW w:w="1134" w:type="dxa"/>
            <w:vMerge w:val="restart"/>
          </w:tcPr>
          <w:p w14:paraId="25AC7B40" w14:textId="00BC1606" w:rsidR="004E5C89" w:rsidRPr="005160DC" w:rsidRDefault="004E5C89" w:rsidP="004E5C89">
            <w:pPr>
              <w:pStyle w:val="COMTabletext"/>
              <w:keepNext w:val="0"/>
              <w:jc w:val="center"/>
              <w:rPr>
                <w:b/>
              </w:rPr>
            </w:pPr>
          </w:p>
        </w:tc>
        <w:tc>
          <w:tcPr>
            <w:tcW w:w="7937" w:type="dxa"/>
            <w:gridSpan w:val="7"/>
          </w:tcPr>
          <w:p w14:paraId="65011E10" w14:textId="77777777" w:rsidR="004E5C89" w:rsidRPr="005160DC" w:rsidRDefault="004E5C89" w:rsidP="00641D23">
            <w:pPr>
              <w:pStyle w:val="COMTabletext"/>
              <w:keepNext w:val="0"/>
            </w:pPr>
            <w:r w:rsidRPr="005160DC">
              <w:rPr>
                <w:b/>
              </w:rPr>
              <w:t xml:space="preserve">Category / Program: </w:t>
            </w:r>
            <w:r w:rsidRPr="005160DC">
              <w:t>General Schedule (Code GE)</w:t>
            </w:r>
          </w:p>
        </w:tc>
      </w:tr>
      <w:tr w:rsidR="004E5C89" w:rsidRPr="001159D0" w14:paraId="0D97CB42" w14:textId="77777777" w:rsidTr="004E5C89">
        <w:tblPrEx>
          <w:tblCellMar>
            <w:top w:w="15" w:type="dxa"/>
            <w:bottom w:w="15" w:type="dxa"/>
          </w:tblCellMar>
          <w:tblLook w:val="04A0" w:firstRow="1" w:lastRow="0" w:firstColumn="1" w:lastColumn="0" w:noHBand="0" w:noVBand="1"/>
        </w:tblPrEx>
        <w:trPr>
          <w:cantSplit/>
        </w:trPr>
        <w:tc>
          <w:tcPr>
            <w:tcW w:w="1134" w:type="dxa"/>
            <w:vMerge/>
          </w:tcPr>
          <w:p w14:paraId="3B238EE3" w14:textId="77777777" w:rsidR="004E5C89" w:rsidRPr="005160DC" w:rsidRDefault="004E5C89" w:rsidP="004E5C89">
            <w:pPr>
              <w:pStyle w:val="COMTabletext"/>
              <w:keepNext w:val="0"/>
              <w:jc w:val="center"/>
              <w:rPr>
                <w:b/>
              </w:rPr>
            </w:pPr>
          </w:p>
        </w:tc>
        <w:tc>
          <w:tcPr>
            <w:tcW w:w="7937" w:type="dxa"/>
            <w:gridSpan w:val="7"/>
          </w:tcPr>
          <w:p w14:paraId="5E2D5EB9" w14:textId="77777777" w:rsidR="004E5C89" w:rsidRPr="005160DC" w:rsidRDefault="004E5C89" w:rsidP="00641D23">
            <w:pPr>
              <w:pStyle w:val="COMTabletext"/>
              <w:keepNext w:val="0"/>
              <w:rPr>
                <w:b/>
              </w:rPr>
            </w:pPr>
            <w:r w:rsidRPr="005160DC">
              <w:rPr>
                <w:b/>
              </w:rPr>
              <w:t xml:space="preserve">Prescriber type: </w:t>
            </w:r>
            <w:r w:rsidRPr="005160DC">
              <w:fldChar w:fldCharType="begin">
                <w:ffData>
                  <w:name w:val=""/>
                  <w:enabled/>
                  <w:calcOnExit w:val="0"/>
                  <w:checkBox>
                    <w:sizeAuto/>
                    <w:default w:val="1"/>
                  </w:checkBox>
                </w:ffData>
              </w:fldChar>
            </w:r>
            <w:r w:rsidRPr="005160DC">
              <w:instrText xml:space="preserve"> FORMCHECKBOX </w:instrText>
            </w:r>
            <w:r w:rsidR="005F4857">
              <w:fldChar w:fldCharType="separate"/>
            </w:r>
            <w:r w:rsidRPr="005160DC">
              <w:fldChar w:fldCharType="end"/>
            </w:r>
            <w:r w:rsidRPr="005160DC">
              <w:t xml:space="preserve"> Medical Practitioners </w:t>
            </w:r>
          </w:p>
        </w:tc>
      </w:tr>
      <w:tr w:rsidR="004E5C89" w:rsidRPr="001159D0" w14:paraId="59095A1B" w14:textId="77777777" w:rsidTr="004E5C89">
        <w:tblPrEx>
          <w:tblCellMar>
            <w:top w:w="15" w:type="dxa"/>
            <w:bottom w:w="15" w:type="dxa"/>
          </w:tblCellMar>
          <w:tblLook w:val="04A0" w:firstRow="1" w:lastRow="0" w:firstColumn="1" w:lastColumn="0" w:noHBand="0" w:noVBand="1"/>
        </w:tblPrEx>
        <w:trPr>
          <w:cantSplit/>
        </w:trPr>
        <w:tc>
          <w:tcPr>
            <w:tcW w:w="1134" w:type="dxa"/>
            <w:vMerge/>
          </w:tcPr>
          <w:p w14:paraId="135D539C" w14:textId="77777777" w:rsidR="004E5C89" w:rsidRPr="005160DC" w:rsidRDefault="004E5C89" w:rsidP="004E5C89">
            <w:pPr>
              <w:pStyle w:val="COMTabletext"/>
              <w:keepNext w:val="0"/>
              <w:jc w:val="center"/>
              <w:rPr>
                <w:b/>
              </w:rPr>
            </w:pPr>
          </w:p>
        </w:tc>
        <w:tc>
          <w:tcPr>
            <w:tcW w:w="7937" w:type="dxa"/>
            <w:gridSpan w:val="7"/>
          </w:tcPr>
          <w:p w14:paraId="7E5D36B9" w14:textId="7D49F5E1" w:rsidR="004E5C89" w:rsidRPr="005160DC" w:rsidRDefault="004E5C89" w:rsidP="00641D23">
            <w:pPr>
              <w:pStyle w:val="COMTabletext"/>
              <w:keepNext w:val="0"/>
              <w:rPr>
                <w:b/>
              </w:rPr>
            </w:pPr>
            <w:r w:rsidRPr="005160DC">
              <w:rPr>
                <w:b/>
              </w:rPr>
              <w:t xml:space="preserve">Restriction type: </w:t>
            </w:r>
            <w:r w:rsidRPr="005160DC">
              <w:rPr>
                <w:rFonts w:eastAsia="Times New Roman"/>
              </w:rPr>
              <w:fldChar w:fldCharType="begin">
                <w:ffData>
                  <w:name w:val="Check3"/>
                  <w:enabled/>
                  <w:calcOnExit w:val="0"/>
                  <w:checkBox>
                    <w:sizeAuto/>
                    <w:default w:val="1"/>
                  </w:checkBox>
                </w:ffData>
              </w:fldChar>
            </w:r>
            <w:r w:rsidRPr="005160DC">
              <w:rPr>
                <w:rFonts w:eastAsia="Times New Roman"/>
              </w:rPr>
              <w:instrText xml:space="preserve"> FORMCHECKBOX </w:instrText>
            </w:r>
            <w:r w:rsidR="005F4857">
              <w:rPr>
                <w:rFonts w:eastAsia="Times New Roman"/>
              </w:rPr>
            </w:r>
            <w:r w:rsidR="005F4857">
              <w:rPr>
                <w:rFonts w:eastAsia="Times New Roman"/>
              </w:rPr>
              <w:fldChar w:fldCharType="separate"/>
            </w:r>
            <w:r w:rsidRPr="005160DC">
              <w:rPr>
                <w:rFonts w:eastAsia="Times New Roman"/>
              </w:rPr>
              <w:fldChar w:fldCharType="end"/>
            </w:r>
            <w:r w:rsidRPr="005160DC">
              <w:rPr>
                <w:rFonts w:eastAsia="Times New Roman"/>
              </w:rPr>
              <w:t xml:space="preserve"> Authority Required </w:t>
            </w:r>
            <w:r w:rsidRPr="00DC6F63">
              <w:rPr>
                <w:rFonts w:eastAsia="Times New Roman"/>
                <w:strike/>
              </w:rPr>
              <w:t>(STREAMLINED)</w:t>
            </w:r>
            <w:r>
              <w:rPr>
                <w:rFonts w:eastAsia="Times New Roman"/>
              </w:rPr>
              <w:t xml:space="preserve"> </w:t>
            </w:r>
            <w:r w:rsidRPr="00DC6F63">
              <w:rPr>
                <w:rFonts w:eastAsia="Times New Roman"/>
                <w:i/>
                <w:iCs/>
              </w:rPr>
              <w:t>(telephone/online PBS Authorities system)</w:t>
            </w:r>
          </w:p>
        </w:tc>
      </w:tr>
      <w:tr w:rsidR="004E5C89" w:rsidRPr="001159D0" w14:paraId="3C32A9D7" w14:textId="77777777" w:rsidTr="004E5C89">
        <w:tblPrEx>
          <w:tblCellMar>
            <w:top w:w="15" w:type="dxa"/>
            <w:bottom w:w="15" w:type="dxa"/>
          </w:tblCellMar>
          <w:tblLook w:val="04A0" w:firstRow="1" w:lastRow="0" w:firstColumn="1" w:lastColumn="0" w:noHBand="0" w:noVBand="1"/>
        </w:tblPrEx>
        <w:trPr>
          <w:cantSplit/>
        </w:trPr>
        <w:tc>
          <w:tcPr>
            <w:tcW w:w="1134" w:type="dxa"/>
            <w:vMerge/>
          </w:tcPr>
          <w:p w14:paraId="56D2A43C" w14:textId="77777777" w:rsidR="004E5C89" w:rsidRPr="005160DC" w:rsidRDefault="004E5C89" w:rsidP="004E5C89">
            <w:pPr>
              <w:pStyle w:val="COMTabletext"/>
              <w:keepNext w:val="0"/>
              <w:jc w:val="center"/>
              <w:rPr>
                <w:b/>
              </w:rPr>
            </w:pPr>
          </w:p>
        </w:tc>
        <w:tc>
          <w:tcPr>
            <w:tcW w:w="7937" w:type="dxa"/>
            <w:gridSpan w:val="7"/>
          </w:tcPr>
          <w:p w14:paraId="69F3773F" w14:textId="77777777" w:rsidR="004E5C89" w:rsidRPr="00FC5D91" w:rsidRDefault="004E5C89" w:rsidP="00641D23">
            <w:pPr>
              <w:pStyle w:val="COMTabletext"/>
              <w:keepNext w:val="0"/>
              <w:rPr>
                <w:b/>
              </w:rPr>
            </w:pPr>
          </w:p>
        </w:tc>
      </w:tr>
      <w:tr w:rsidR="004E5C89" w:rsidRPr="003877C1" w14:paraId="21A02A0B" w14:textId="77777777" w:rsidTr="004E5C89">
        <w:tblPrEx>
          <w:tblCellMar>
            <w:top w:w="15" w:type="dxa"/>
            <w:bottom w:w="15" w:type="dxa"/>
          </w:tblCellMar>
          <w:tblLook w:val="04A0" w:firstRow="1" w:lastRow="0" w:firstColumn="1" w:lastColumn="0" w:noHBand="0" w:noVBand="1"/>
        </w:tblPrEx>
        <w:trPr>
          <w:cantSplit/>
        </w:trPr>
        <w:tc>
          <w:tcPr>
            <w:tcW w:w="1134" w:type="dxa"/>
            <w:vMerge/>
          </w:tcPr>
          <w:p w14:paraId="7EAA83E7" w14:textId="77777777" w:rsidR="004E5C89" w:rsidRPr="005160DC" w:rsidRDefault="004E5C89" w:rsidP="004E5C89">
            <w:pPr>
              <w:pStyle w:val="COMTabletext"/>
              <w:keepNext w:val="0"/>
              <w:jc w:val="center"/>
              <w:rPr>
                <w:b/>
              </w:rPr>
            </w:pPr>
          </w:p>
        </w:tc>
        <w:tc>
          <w:tcPr>
            <w:tcW w:w="7937" w:type="dxa"/>
            <w:gridSpan w:val="7"/>
            <w:vAlign w:val="center"/>
          </w:tcPr>
          <w:p w14:paraId="6E933D36" w14:textId="77777777" w:rsidR="004E5C89" w:rsidRPr="00FC5D91" w:rsidRDefault="004E5C89" w:rsidP="00641D23">
            <w:pPr>
              <w:pStyle w:val="COMTabletext"/>
              <w:keepNext w:val="0"/>
            </w:pPr>
            <w:r w:rsidRPr="00FC5D91">
              <w:rPr>
                <w:b/>
              </w:rPr>
              <w:t>Episodicity:</w:t>
            </w:r>
            <w:r w:rsidRPr="00FC5D91">
              <w:rPr>
                <w:bCs w:val="0"/>
              </w:rPr>
              <w:t xml:space="preserve"> Chronic.</w:t>
            </w:r>
          </w:p>
        </w:tc>
      </w:tr>
      <w:tr w:rsidR="004E5C89" w:rsidRPr="003877C1" w14:paraId="79AFBBF3" w14:textId="77777777" w:rsidTr="004E5C89">
        <w:tblPrEx>
          <w:tblCellMar>
            <w:top w:w="15" w:type="dxa"/>
            <w:bottom w:w="15" w:type="dxa"/>
          </w:tblCellMar>
          <w:tblLook w:val="04A0" w:firstRow="1" w:lastRow="0" w:firstColumn="1" w:lastColumn="0" w:noHBand="0" w:noVBand="1"/>
        </w:tblPrEx>
        <w:trPr>
          <w:cantSplit/>
        </w:trPr>
        <w:tc>
          <w:tcPr>
            <w:tcW w:w="1134" w:type="dxa"/>
            <w:vMerge/>
          </w:tcPr>
          <w:p w14:paraId="1879B15B" w14:textId="77777777" w:rsidR="004E5C89" w:rsidRPr="005160DC" w:rsidRDefault="004E5C89" w:rsidP="004E5C89">
            <w:pPr>
              <w:pStyle w:val="COMTabletext"/>
              <w:keepNext w:val="0"/>
              <w:jc w:val="center"/>
              <w:rPr>
                <w:b/>
              </w:rPr>
            </w:pPr>
          </w:p>
        </w:tc>
        <w:tc>
          <w:tcPr>
            <w:tcW w:w="7937" w:type="dxa"/>
            <w:gridSpan w:val="7"/>
            <w:vAlign w:val="center"/>
          </w:tcPr>
          <w:p w14:paraId="0F959CDE" w14:textId="77777777" w:rsidR="004E5C89" w:rsidRPr="00FC5D91" w:rsidRDefault="004E5C89" w:rsidP="00641D23">
            <w:pPr>
              <w:pStyle w:val="COMTabletext"/>
              <w:keepNext w:val="0"/>
              <w:rPr>
                <w:b/>
              </w:rPr>
            </w:pPr>
            <w:r w:rsidRPr="00FC5D91">
              <w:rPr>
                <w:b/>
              </w:rPr>
              <w:t xml:space="preserve">Severity: </w:t>
            </w:r>
            <w:r w:rsidRPr="00FC5D91">
              <w:rPr>
                <w:bCs w:val="0"/>
              </w:rPr>
              <w:t>[blank]</w:t>
            </w:r>
          </w:p>
        </w:tc>
      </w:tr>
      <w:tr w:rsidR="004E5C89" w:rsidRPr="003877C1" w14:paraId="4E0010B4" w14:textId="77777777" w:rsidTr="004E5C89">
        <w:tblPrEx>
          <w:tblCellMar>
            <w:top w:w="15" w:type="dxa"/>
            <w:bottom w:w="15" w:type="dxa"/>
          </w:tblCellMar>
          <w:tblLook w:val="04A0" w:firstRow="1" w:lastRow="0" w:firstColumn="1" w:lastColumn="0" w:noHBand="0" w:noVBand="1"/>
        </w:tblPrEx>
        <w:trPr>
          <w:cantSplit/>
        </w:trPr>
        <w:tc>
          <w:tcPr>
            <w:tcW w:w="1134" w:type="dxa"/>
            <w:vMerge/>
          </w:tcPr>
          <w:p w14:paraId="65CA482B" w14:textId="77777777" w:rsidR="004E5C89" w:rsidRPr="005160DC" w:rsidRDefault="004E5C89" w:rsidP="004E5C89">
            <w:pPr>
              <w:pStyle w:val="COMTabletext"/>
              <w:keepNext w:val="0"/>
              <w:jc w:val="center"/>
              <w:rPr>
                <w:b/>
              </w:rPr>
            </w:pPr>
          </w:p>
        </w:tc>
        <w:tc>
          <w:tcPr>
            <w:tcW w:w="7937" w:type="dxa"/>
            <w:gridSpan w:val="7"/>
            <w:vAlign w:val="center"/>
          </w:tcPr>
          <w:p w14:paraId="1C3F933B" w14:textId="77777777" w:rsidR="004E5C89" w:rsidRPr="00FC5D91" w:rsidRDefault="004E5C89" w:rsidP="00641D23">
            <w:pPr>
              <w:pStyle w:val="COMTabletext"/>
              <w:keepNext w:val="0"/>
              <w:rPr>
                <w:b/>
              </w:rPr>
            </w:pPr>
            <w:r w:rsidRPr="00FC5D91">
              <w:rPr>
                <w:b/>
              </w:rPr>
              <w:t>Condition:</w:t>
            </w:r>
            <w:r w:rsidRPr="00FC5D91">
              <w:rPr>
                <w:bCs w:val="0"/>
              </w:rPr>
              <w:t xml:space="preserve"> Hyperkalaemia</w:t>
            </w:r>
            <w:r w:rsidRPr="00FC5D91">
              <w:t>.</w:t>
            </w:r>
          </w:p>
        </w:tc>
      </w:tr>
      <w:tr w:rsidR="004E5C89" w:rsidRPr="001159D0" w14:paraId="6BBAC07C" w14:textId="77777777" w:rsidTr="004E5C89">
        <w:tblPrEx>
          <w:tblCellMar>
            <w:top w:w="15" w:type="dxa"/>
            <w:bottom w:w="15" w:type="dxa"/>
          </w:tblCellMar>
          <w:tblLook w:val="04A0" w:firstRow="1" w:lastRow="0" w:firstColumn="1" w:lastColumn="0" w:noHBand="0" w:noVBand="1"/>
        </w:tblPrEx>
        <w:trPr>
          <w:cantSplit/>
        </w:trPr>
        <w:tc>
          <w:tcPr>
            <w:tcW w:w="1134" w:type="dxa"/>
          </w:tcPr>
          <w:p w14:paraId="738DB429" w14:textId="4AA58286" w:rsidR="004E5C89" w:rsidRPr="005160DC" w:rsidRDefault="004E5C89" w:rsidP="004E5C89">
            <w:pPr>
              <w:pStyle w:val="COMTabletext"/>
              <w:jc w:val="center"/>
              <w:rPr>
                <w:bCs w:val="0"/>
              </w:rPr>
            </w:pPr>
          </w:p>
        </w:tc>
        <w:tc>
          <w:tcPr>
            <w:tcW w:w="7937" w:type="dxa"/>
            <w:gridSpan w:val="7"/>
            <w:vAlign w:val="center"/>
            <w:hideMark/>
          </w:tcPr>
          <w:p w14:paraId="1E4582E1" w14:textId="77777777" w:rsidR="004E5C89" w:rsidRPr="00FC5D91" w:rsidRDefault="004E5C89" w:rsidP="00641D23">
            <w:pPr>
              <w:pStyle w:val="COMTabletext"/>
              <w:keepNext w:val="0"/>
            </w:pPr>
            <w:r w:rsidRPr="00FC5D91">
              <w:rPr>
                <w:b/>
              </w:rPr>
              <w:t>Indication:</w:t>
            </w:r>
            <w:r w:rsidRPr="00FC5D91">
              <w:t xml:space="preserve"> Chronic hyperkalaemia.</w:t>
            </w:r>
          </w:p>
        </w:tc>
      </w:tr>
      <w:tr w:rsidR="004E5C89" w:rsidRPr="001159D0" w14:paraId="32C2374C" w14:textId="77777777" w:rsidTr="004E5C89">
        <w:tblPrEx>
          <w:tblCellMar>
            <w:top w:w="15" w:type="dxa"/>
            <w:bottom w:w="15" w:type="dxa"/>
          </w:tblCellMar>
          <w:tblLook w:val="04A0" w:firstRow="1" w:lastRow="0" w:firstColumn="1" w:lastColumn="0" w:noHBand="0" w:noVBand="1"/>
        </w:tblPrEx>
        <w:trPr>
          <w:cantSplit/>
        </w:trPr>
        <w:tc>
          <w:tcPr>
            <w:tcW w:w="1134" w:type="dxa"/>
          </w:tcPr>
          <w:p w14:paraId="76775193" w14:textId="77777777" w:rsidR="004E5C89" w:rsidRPr="005160DC" w:rsidRDefault="004E5C89" w:rsidP="004E5C89">
            <w:pPr>
              <w:pStyle w:val="COMTabletext"/>
              <w:keepNext w:val="0"/>
              <w:jc w:val="center"/>
              <w:rPr>
                <w:b/>
              </w:rPr>
            </w:pPr>
          </w:p>
        </w:tc>
        <w:tc>
          <w:tcPr>
            <w:tcW w:w="7937" w:type="dxa"/>
            <w:gridSpan w:val="7"/>
            <w:vAlign w:val="center"/>
          </w:tcPr>
          <w:p w14:paraId="5A817068" w14:textId="77777777" w:rsidR="004E5C89" w:rsidRPr="005160DC" w:rsidRDefault="004E5C89" w:rsidP="00641D23">
            <w:pPr>
              <w:pStyle w:val="COMTabletext"/>
              <w:keepNext w:val="0"/>
              <w:rPr>
                <w:b/>
              </w:rPr>
            </w:pPr>
          </w:p>
        </w:tc>
      </w:tr>
      <w:tr w:rsidR="004E5C89" w:rsidRPr="001159D0" w14:paraId="12EC11C8" w14:textId="77777777" w:rsidTr="004E5C89">
        <w:tblPrEx>
          <w:tblCellMar>
            <w:top w:w="15" w:type="dxa"/>
            <w:bottom w:w="15" w:type="dxa"/>
          </w:tblCellMar>
          <w:tblLook w:val="04A0" w:firstRow="1" w:lastRow="0" w:firstColumn="1" w:lastColumn="0" w:noHBand="0" w:noVBand="1"/>
        </w:tblPrEx>
        <w:trPr>
          <w:cantSplit/>
        </w:trPr>
        <w:tc>
          <w:tcPr>
            <w:tcW w:w="1134" w:type="dxa"/>
          </w:tcPr>
          <w:p w14:paraId="5FD03F91" w14:textId="77777777" w:rsidR="004E5C89" w:rsidRPr="005160DC" w:rsidRDefault="004E5C89" w:rsidP="004E5C89">
            <w:pPr>
              <w:pStyle w:val="COMTabletext"/>
              <w:keepNext w:val="0"/>
              <w:jc w:val="center"/>
              <w:rPr>
                <w:b/>
              </w:rPr>
            </w:pPr>
          </w:p>
        </w:tc>
        <w:tc>
          <w:tcPr>
            <w:tcW w:w="7937" w:type="dxa"/>
            <w:gridSpan w:val="7"/>
            <w:vAlign w:val="center"/>
            <w:hideMark/>
          </w:tcPr>
          <w:p w14:paraId="5323792A" w14:textId="77777777" w:rsidR="004E5C89" w:rsidRPr="005160DC" w:rsidRDefault="004E5C89" w:rsidP="00641D23">
            <w:pPr>
              <w:pStyle w:val="COMTabletext"/>
              <w:keepNext w:val="0"/>
            </w:pPr>
            <w:r w:rsidRPr="005160DC">
              <w:rPr>
                <w:b/>
              </w:rPr>
              <w:t>Treatment Phase:</w:t>
            </w:r>
            <w:r w:rsidRPr="005160DC">
              <w:t xml:space="preserve"> </w:t>
            </w:r>
            <w:r w:rsidRPr="005160DC">
              <w:rPr>
                <w:bCs w:val="0"/>
                <w:szCs w:val="20"/>
              </w:rPr>
              <w:t xml:space="preserve">Grandfather Patients </w:t>
            </w:r>
          </w:p>
        </w:tc>
      </w:tr>
      <w:tr w:rsidR="004E5C89" w:rsidRPr="001159D0" w14:paraId="69B17F94" w14:textId="77777777" w:rsidTr="004E5C89">
        <w:tblPrEx>
          <w:tblCellMar>
            <w:top w:w="15" w:type="dxa"/>
            <w:bottom w:w="15" w:type="dxa"/>
          </w:tblCellMar>
          <w:tblLook w:val="04A0" w:firstRow="1" w:lastRow="0" w:firstColumn="1" w:lastColumn="0" w:noHBand="0" w:noVBand="1"/>
        </w:tblPrEx>
        <w:trPr>
          <w:cantSplit/>
        </w:trPr>
        <w:tc>
          <w:tcPr>
            <w:tcW w:w="1134" w:type="dxa"/>
          </w:tcPr>
          <w:p w14:paraId="0572F11D" w14:textId="77777777" w:rsidR="004E5C89" w:rsidRPr="005160DC" w:rsidRDefault="004E5C89" w:rsidP="004E5C89">
            <w:pPr>
              <w:pStyle w:val="COMTabletext"/>
              <w:keepNext w:val="0"/>
              <w:jc w:val="center"/>
              <w:rPr>
                <w:b/>
              </w:rPr>
            </w:pPr>
          </w:p>
        </w:tc>
        <w:tc>
          <w:tcPr>
            <w:tcW w:w="7937" w:type="dxa"/>
            <w:gridSpan w:val="7"/>
          </w:tcPr>
          <w:p w14:paraId="259895A4" w14:textId="77777777" w:rsidR="004E5C89" w:rsidRPr="005160DC" w:rsidRDefault="004E5C89" w:rsidP="00641D23">
            <w:pPr>
              <w:pStyle w:val="COMTabletext"/>
              <w:keepNext w:val="0"/>
              <w:rPr>
                <w:rFonts w:eastAsia="Times New Roman"/>
              </w:rPr>
            </w:pPr>
          </w:p>
        </w:tc>
      </w:tr>
      <w:tr w:rsidR="004E5C89" w:rsidRPr="001159D0" w14:paraId="7713938A" w14:textId="77777777" w:rsidTr="004E5C89">
        <w:tblPrEx>
          <w:tblCellMar>
            <w:top w:w="15" w:type="dxa"/>
            <w:bottom w:w="15" w:type="dxa"/>
          </w:tblCellMar>
          <w:tblLook w:val="04A0" w:firstRow="1" w:lastRow="0" w:firstColumn="1" w:lastColumn="0" w:noHBand="0" w:noVBand="1"/>
        </w:tblPrEx>
        <w:trPr>
          <w:cantSplit/>
        </w:trPr>
        <w:tc>
          <w:tcPr>
            <w:tcW w:w="1134" w:type="dxa"/>
          </w:tcPr>
          <w:p w14:paraId="59784A26" w14:textId="77777777" w:rsidR="004E5C89" w:rsidRPr="005160DC" w:rsidRDefault="004E5C89" w:rsidP="004E5C89">
            <w:pPr>
              <w:pStyle w:val="COMTabletext"/>
              <w:keepNext w:val="0"/>
              <w:jc w:val="center"/>
              <w:rPr>
                <w:b/>
              </w:rPr>
            </w:pPr>
          </w:p>
        </w:tc>
        <w:tc>
          <w:tcPr>
            <w:tcW w:w="7937" w:type="dxa"/>
            <w:gridSpan w:val="7"/>
            <w:vAlign w:val="center"/>
          </w:tcPr>
          <w:p w14:paraId="76C17788" w14:textId="77777777" w:rsidR="004E5C89" w:rsidRPr="005160DC" w:rsidRDefault="004E5C89" w:rsidP="00641D23">
            <w:pPr>
              <w:pStyle w:val="COMTabletext"/>
              <w:keepNext w:val="0"/>
              <w:rPr>
                <w:rFonts w:eastAsia="Times New Roman"/>
              </w:rPr>
            </w:pPr>
            <w:r w:rsidRPr="005160DC">
              <w:rPr>
                <w:b/>
              </w:rPr>
              <w:t xml:space="preserve">Clinical criteria: </w:t>
            </w:r>
          </w:p>
        </w:tc>
      </w:tr>
      <w:tr w:rsidR="004E5C89" w:rsidRPr="001159D0" w14:paraId="2DFAF5C4" w14:textId="77777777" w:rsidTr="004E5C89">
        <w:tblPrEx>
          <w:tblCellMar>
            <w:top w:w="15" w:type="dxa"/>
            <w:bottom w:w="15" w:type="dxa"/>
          </w:tblCellMar>
          <w:tblLook w:val="04A0" w:firstRow="1" w:lastRow="0" w:firstColumn="1" w:lastColumn="0" w:noHBand="0" w:noVBand="1"/>
        </w:tblPrEx>
        <w:trPr>
          <w:cantSplit/>
        </w:trPr>
        <w:tc>
          <w:tcPr>
            <w:tcW w:w="1134" w:type="dxa"/>
          </w:tcPr>
          <w:p w14:paraId="45100E24" w14:textId="4A8D3E2D" w:rsidR="004E5C89" w:rsidRPr="005160DC" w:rsidRDefault="004E5C89" w:rsidP="004E5C89">
            <w:pPr>
              <w:pStyle w:val="COMTabletext"/>
              <w:keepNext w:val="0"/>
              <w:jc w:val="center"/>
              <w:rPr>
                <w:bCs w:val="0"/>
              </w:rPr>
            </w:pPr>
          </w:p>
        </w:tc>
        <w:tc>
          <w:tcPr>
            <w:tcW w:w="7937" w:type="dxa"/>
            <w:gridSpan w:val="7"/>
            <w:vAlign w:val="center"/>
          </w:tcPr>
          <w:p w14:paraId="13FB6268" w14:textId="77777777" w:rsidR="004E5C89" w:rsidRPr="005160DC" w:rsidRDefault="004E5C89" w:rsidP="00641D23">
            <w:pPr>
              <w:pStyle w:val="COMTabletext"/>
              <w:keepNext w:val="0"/>
              <w:rPr>
                <w:rFonts w:eastAsia="Times New Roman"/>
              </w:rPr>
            </w:pPr>
            <w:r w:rsidRPr="005160DC">
              <w:t xml:space="preserve">Patient must have previously received non-PBS-subsidised treatment with this drug for this condition </w:t>
            </w:r>
            <w:r w:rsidRPr="004E5C89">
              <w:rPr>
                <w:i/>
                <w:iCs/>
              </w:rPr>
              <w:t>before [date of listing].</w:t>
            </w:r>
          </w:p>
        </w:tc>
      </w:tr>
      <w:tr w:rsidR="004E5C89" w:rsidRPr="001159D0" w14:paraId="53A69DF9" w14:textId="77777777" w:rsidTr="004E5C89">
        <w:tblPrEx>
          <w:tblCellMar>
            <w:top w:w="15" w:type="dxa"/>
            <w:bottom w:w="15" w:type="dxa"/>
          </w:tblCellMar>
          <w:tblLook w:val="04A0" w:firstRow="1" w:lastRow="0" w:firstColumn="1" w:lastColumn="0" w:noHBand="0" w:noVBand="1"/>
        </w:tblPrEx>
        <w:trPr>
          <w:cantSplit/>
        </w:trPr>
        <w:tc>
          <w:tcPr>
            <w:tcW w:w="1134" w:type="dxa"/>
          </w:tcPr>
          <w:p w14:paraId="0FB32CB5" w14:textId="77777777" w:rsidR="004E5C89" w:rsidRPr="005160DC" w:rsidRDefault="004E5C89" w:rsidP="004E5C89">
            <w:pPr>
              <w:pStyle w:val="COMTabletext"/>
              <w:keepNext w:val="0"/>
              <w:jc w:val="center"/>
              <w:rPr>
                <w:bCs w:val="0"/>
              </w:rPr>
            </w:pPr>
          </w:p>
        </w:tc>
        <w:tc>
          <w:tcPr>
            <w:tcW w:w="7937" w:type="dxa"/>
            <w:gridSpan w:val="7"/>
            <w:vAlign w:val="center"/>
          </w:tcPr>
          <w:p w14:paraId="67C6E0B0" w14:textId="77777777" w:rsidR="004E5C89" w:rsidRPr="005160DC" w:rsidRDefault="004E5C89" w:rsidP="00641D23">
            <w:pPr>
              <w:pStyle w:val="COMTabletext"/>
              <w:keepNext w:val="0"/>
              <w:rPr>
                <w:rFonts w:eastAsia="Times New Roman"/>
              </w:rPr>
            </w:pPr>
            <w:r w:rsidRPr="005160DC">
              <w:rPr>
                <w:b/>
                <w:bCs w:val="0"/>
              </w:rPr>
              <w:t>AND</w:t>
            </w:r>
          </w:p>
        </w:tc>
      </w:tr>
      <w:tr w:rsidR="004E5C89" w:rsidRPr="001159D0" w14:paraId="6C483FD7" w14:textId="77777777" w:rsidTr="004E5C89">
        <w:tblPrEx>
          <w:tblCellMar>
            <w:top w:w="15" w:type="dxa"/>
            <w:bottom w:w="15" w:type="dxa"/>
          </w:tblCellMar>
          <w:tblLook w:val="04A0" w:firstRow="1" w:lastRow="0" w:firstColumn="1" w:lastColumn="0" w:noHBand="0" w:noVBand="1"/>
        </w:tblPrEx>
        <w:trPr>
          <w:cantSplit/>
        </w:trPr>
        <w:tc>
          <w:tcPr>
            <w:tcW w:w="1134" w:type="dxa"/>
          </w:tcPr>
          <w:p w14:paraId="3A0731B9" w14:textId="77777777" w:rsidR="004E5C89" w:rsidRPr="005160DC" w:rsidRDefault="004E5C89" w:rsidP="004E5C89">
            <w:pPr>
              <w:pStyle w:val="COMTabletext"/>
              <w:keepNext w:val="0"/>
              <w:jc w:val="center"/>
              <w:rPr>
                <w:bCs w:val="0"/>
              </w:rPr>
            </w:pPr>
          </w:p>
        </w:tc>
        <w:tc>
          <w:tcPr>
            <w:tcW w:w="7937" w:type="dxa"/>
            <w:gridSpan w:val="7"/>
          </w:tcPr>
          <w:p w14:paraId="410B5EFF" w14:textId="77777777" w:rsidR="004E5C89" w:rsidRPr="005160DC" w:rsidRDefault="004E5C89" w:rsidP="00641D23">
            <w:pPr>
              <w:pStyle w:val="COMTabletext"/>
              <w:keepNext w:val="0"/>
              <w:rPr>
                <w:rFonts w:eastAsia="Times New Roman"/>
              </w:rPr>
            </w:pPr>
            <w:r w:rsidRPr="005160DC">
              <w:rPr>
                <w:b/>
                <w:szCs w:val="20"/>
              </w:rPr>
              <w:t>Clinical criteria:</w:t>
            </w:r>
          </w:p>
        </w:tc>
      </w:tr>
      <w:tr w:rsidR="004E5C89" w:rsidRPr="001159D0" w14:paraId="18F9A534" w14:textId="77777777" w:rsidTr="004E5C89">
        <w:tblPrEx>
          <w:tblCellMar>
            <w:top w:w="15" w:type="dxa"/>
            <w:bottom w:w="15" w:type="dxa"/>
          </w:tblCellMar>
          <w:tblLook w:val="04A0" w:firstRow="1" w:lastRow="0" w:firstColumn="1" w:lastColumn="0" w:noHBand="0" w:noVBand="1"/>
        </w:tblPrEx>
        <w:trPr>
          <w:cantSplit/>
        </w:trPr>
        <w:tc>
          <w:tcPr>
            <w:tcW w:w="1134" w:type="dxa"/>
          </w:tcPr>
          <w:p w14:paraId="2AC607D4" w14:textId="27970E14" w:rsidR="004E5C89" w:rsidRPr="005160DC" w:rsidRDefault="004E5C89" w:rsidP="004E5C89">
            <w:pPr>
              <w:pStyle w:val="COMTabletext"/>
              <w:keepNext w:val="0"/>
              <w:jc w:val="center"/>
              <w:rPr>
                <w:bCs w:val="0"/>
              </w:rPr>
            </w:pPr>
          </w:p>
        </w:tc>
        <w:tc>
          <w:tcPr>
            <w:tcW w:w="7937" w:type="dxa"/>
            <w:gridSpan w:val="7"/>
          </w:tcPr>
          <w:p w14:paraId="0A271913" w14:textId="77777777" w:rsidR="004E5C89" w:rsidRPr="004E5C89" w:rsidRDefault="004E5C89" w:rsidP="00641D23">
            <w:pPr>
              <w:pStyle w:val="COMTabletext"/>
              <w:keepNext w:val="0"/>
              <w:rPr>
                <w:rFonts w:eastAsia="Times New Roman"/>
                <w:i/>
                <w:iCs/>
              </w:rPr>
            </w:pPr>
            <w:r w:rsidRPr="004E5C89">
              <w:rPr>
                <w:rFonts w:eastAsia="Calibri" w:cs="Times New Roman"/>
                <w:i/>
                <w:iCs/>
                <w:szCs w:val="20"/>
              </w:rPr>
              <w:t>The condition must not be adequately controlled by a low potassium diet.</w:t>
            </w:r>
          </w:p>
        </w:tc>
      </w:tr>
      <w:tr w:rsidR="004E5C89" w:rsidRPr="001159D0" w14:paraId="104824D7" w14:textId="77777777" w:rsidTr="004E5C89">
        <w:tblPrEx>
          <w:tblCellMar>
            <w:top w:w="15" w:type="dxa"/>
            <w:bottom w:w="15" w:type="dxa"/>
          </w:tblCellMar>
          <w:tblLook w:val="04A0" w:firstRow="1" w:lastRow="0" w:firstColumn="1" w:lastColumn="0" w:noHBand="0" w:noVBand="1"/>
        </w:tblPrEx>
        <w:trPr>
          <w:cantSplit/>
        </w:trPr>
        <w:tc>
          <w:tcPr>
            <w:tcW w:w="1134" w:type="dxa"/>
          </w:tcPr>
          <w:p w14:paraId="3C437151" w14:textId="77777777" w:rsidR="004E5C89" w:rsidRPr="005160DC" w:rsidRDefault="004E5C89" w:rsidP="004E5C89">
            <w:pPr>
              <w:pStyle w:val="COMTabletext"/>
              <w:keepNext w:val="0"/>
              <w:jc w:val="center"/>
              <w:rPr>
                <w:bCs w:val="0"/>
              </w:rPr>
            </w:pPr>
          </w:p>
        </w:tc>
        <w:tc>
          <w:tcPr>
            <w:tcW w:w="7937" w:type="dxa"/>
            <w:gridSpan w:val="7"/>
          </w:tcPr>
          <w:p w14:paraId="025EF776" w14:textId="77777777" w:rsidR="004E5C89" w:rsidRPr="004E5C89" w:rsidRDefault="004E5C89" w:rsidP="00641D23">
            <w:pPr>
              <w:pStyle w:val="COMTabletext"/>
              <w:keepNext w:val="0"/>
              <w:rPr>
                <w:rFonts w:eastAsia="Times New Roman"/>
                <w:i/>
                <w:iCs/>
              </w:rPr>
            </w:pPr>
            <w:r w:rsidRPr="004E5C89">
              <w:rPr>
                <w:b/>
                <w:i/>
                <w:iCs/>
                <w:szCs w:val="20"/>
              </w:rPr>
              <w:t>AND</w:t>
            </w:r>
          </w:p>
        </w:tc>
      </w:tr>
      <w:tr w:rsidR="004E5C89" w:rsidRPr="001159D0" w14:paraId="1B4C5AE5" w14:textId="77777777" w:rsidTr="004E5C89">
        <w:tblPrEx>
          <w:tblCellMar>
            <w:top w:w="15" w:type="dxa"/>
            <w:bottom w:w="15" w:type="dxa"/>
          </w:tblCellMar>
          <w:tblLook w:val="04A0" w:firstRow="1" w:lastRow="0" w:firstColumn="1" w:lastColumn="0" w:noHBand="0" w:noVBand="1"/>
        </w:tblPrEx>
        <w:trPr>
          <w:cantSplit/>
        </w:trPr>
        <w:tc>
          <w:tcPr>
            <w:tcW w:w="1134" w:type="dxa"/>
          </w:tcPr>
          <w:p w14:paraId="3AB9FDB6" w14:textId="6903E4EA" w:rsidR="004E5C89" w:rsidRPr="005160DC" w:rsidRDefault="004E5C89" w:rsidP="004E5C89">
            <w:pPr>
              <w:pStyle w:val="COMTabletext"/>
              <w:keepNext w:val="0"/>
              <w:jc w:val="center"/>
              <w:rPr>
                <w:bCs w:val="0"/>
              </w:rPr>
            </w:pPr>
          </w:p>
        </w:tc>
        <w:tc>
          <w:tcPr>
            <w:tcW w:w="7937" w:type="dxa"/>
            <w:gridSpan w:val="7"/>
          </w:tcPr>
          <w:p w14:paraId="0C47030A" w14:textId="77777777" w:rsidR="004E5C89" w:rsidRPr="004E5C89" w:rsidRDefault="004E5C89" w:rsidP="00641D23">
            <w:pPr>
              <w:pStyle w:val="COMTabletext"/>
              <w:keepNext w:val="0"/>
              <w:rPr>
                <w:rFonts w:eastAsia="Times New Roman"/>
                <w:i/>
                <w:iCs/>
              </w:rPr>
            </w:pPr>
            <w:r w:rsidRPr="004E5C89">
              <w:rPr>
                <w:b/>
                <w:i/>
                <w:iCs/>
                <w:szCs w:val="20"/>
              </w:rPr>
              <w:t xml:space="preserve">Clinical criteria: </w:t>
            </w:r>
          </w:p>
        </w:tc>
      </w:tr>
      <w:tr w:rsidR="004E5C89" w:rsidRPr="001159D0" w14:paraId="406ABB91" w14:textId="77777777" w:rsidTr="004E5C89">
        <w:tblPrEx>
          <w:tblCellMar>
            <w:top w:w="15" w:type="dxa"/>
            <w:bottom w:w="15" w:type="dxa"/>
          </w:tblCellMar>
          <w:tblLook w:val="04A0" w:firstRow="1" w:lastRow="0" w:firstColumn="1" w:lastColumn="0" w:noHBand="0" w:noVBand="1"/>
        </w:tblPrEx>
        <w:trPr>
          <w:cantSplit/>
        </w:trPr>
        <w:tc>
          <w:tcPr>
            <w:tcW w:w="1134" w:type="dxa"/>
          </w:tcPr>
          <w:p w14:paraId="5B47C8E0" w14:textId="77777777" w:rsidR="004E5C89" w:rsidRPr="005160DC" w:rsidRDefault="004E5C89" w:rsidP="004E5C89">
            <w:pPr>
              <w:pStyle w:val="COMTabletext"/>
              <w:keepNext w:val="0"/>
              <w:jc w:val="center"/>
              <w:rPr>
                <w:bCs w:val="0"/>
              </w:rPr>
            </w:pPr>
          </w:p>
        </w:tc>
        <w:tc>
          <w:tcPr>
            <w:tcW w:w="7937" w:type="dxa"/>
            <w:gridSpan w:val="7"/>
          </w:tcPr>
          <w:p w14:paraId="6BF2105D" w14:textId="77777777" w:rsidR="004E5C89" w:rsidRPr="004E5C89" w:rsidRDefault="004E5C89" w:rsidP="00641D23">
            <w:pPr>
              <w:pStyle w:val="COMTabletext"/>
              <w:keepNext w:val="0"/>
              <w:rPr>
                <w:rFonts w:eastAsia="Times New Roman"/>
                <w:i/>
                <w:iCs/>
              </w:rPr>
            </w:pPr>
            <w:r w:rsidRPr="004E5C89">
              <w:rPr>
                <w:rFonts w:eastAsia="Calibri" w:cs="Times New Roman"/>
                <w:i/>
                <w:iCs/>
                <w:szCs w:val="20"/>
              </w:rPr>
              <w:t>Patient must have, prior to commencing non-PBS treatment with this drug, experienced at least 2 episodes of hyperkalaemia (defined as serum potassium levels of 6.0 mmol/L or higher) within the previous 12 months;</w:t>
            </w:r>
          </w:p>
        </w:tc>
      </w:tr>
      <w:tr w:rsidR="004E5C89" w:rsidRPr="001159D0" w14:paraId="55312794" w14:textId="77777777" w:rsidTr="004E5C89">
        <w:tblPrEx>
          <w:tblCellMar>
            <w:top w:w="15" w:type="dxa"/>
            <w:bottom w:w="15" w:type="dxa"/>
          </w:tblCellMar>
          <w:tblLook w:val="04A0" w:firstRow="1" w:lastRow="0" w:firstColumn="1" w:lastColumn="0" w:noHBand="0" w:noVBand="1"/>
        </w:tblPrEx>
        <w:trPr>
          <w:cantSplit/>
        </w:trPr>
        <w:tc>
          <w:tcPr>
            <w:tcW w:w="1134" w:type="dxa"/>
          </w:tcPr>
          <w:p w14:paraId="59AA8636" w14:textId="77777777" w:rsidR="004E5C89" w:rsidRPr="005160DC" w:rsidRDefault="004E5C89" w:rsidP="004E5C89">
            <w:pPr>
              <w:pStyle w:val="COMTabletext"/>
              <w:keepNext w:val="0"/>
              <w:jc w:val="center"/>
              <w:rPr>
                <w:bCs w:val="0"/>
              </w:rPr>
            </w:pPr>
          </w:p>
        </w:tc>
        <w:tc>
          <w:tcPr>
            <w:tcW w:w="7937" w:type="dxa"/>
            <w:gridSpan w:val="7"/>
            <w:vAlign w:val="center"/>
          </w:tcPr>
          <w:p w14:paraId="7DEBABF7" w14:textId="77777777" w:rsidR="004E5C89" w:rsidRPr="005160DC" w:rsidRDefault="004E5C89" w:rsidP="00641D23">
            <w:pPr>
              <w:pStyle w:val="COMTabletext"/>
              <w:keepNext w:val="0"/>
              <w:rPr>
                <w:rFonts w:eastAsia="Times New Roman"/>
              </w:rPr>
            </w:pPr>
            <w:r w:rsidRPr="005160DC">
              <w:rPr>
                <w:b/>
              </w:rPr>
              <w:t>AND</w:t>
            </w:r>
          </w:p>
        </w:tc>
      </w:tr>
      <w:tr w:rsidR="004E5C89" w:rsidRPr="001159D0" w14:paraId="1D2C78BC" w14:textId="77777777" w:rsidTr="004E5C89">
        <w:tblPrEx>
          <w:tblCellMar>
            <w:top w:w="15" w:type="dxa"/>
            <w:bottom w:w="15" w:type="dxa"/>
          </w:tblCellMar>
          <w:tblLook w:val="04A0" w:firstRow="1" w:lastRow="0" w:firstColumn="1" w:lastColumn="0" w:noHBand="0" w:noVBand="1"/>
        </w:tblPrEx>
        <w:trPr>
          <w:cantSplit/>
        </w:trPr>
        <w:tc>
          <w:tcPr>
            <w:tcW w:w="1134" w:type="dxa"/>
          </w:tcPr>
          <w:p w14:paraId="59C8348D" w14:textId="77777777" w:rsidR="004E5C89" w:rsidRPr="005160DC" w:rsidRDefault="004E5C89" w:rsidP="004E5C89">
            <w:pPr>
              <w:pStyle w:val="COMTabletext"/>
              <w:keepNext w:val="0"/>
              <w:jc w:val="center"/>
              <w:rPr>
                <w:bCs w:val="0"/>
              </w:rPr>
            </w:pPr>
          </w:p>
        </w:tc>
        <w:tc>
          <w:tcPr>
            <w:tcW w:w="7937" w:type="dxa"/>
            <w:gridSpan w:val="7"/>
            <w:vAlign w:val="center"/>
          </w:tcPr>
          <w:p w14:paraId="7094F29E" w14:textId="77777777" w:rsidR="004E5C89" w:rsidRPr="005160DC" w:rsidRDefault="004E5C89" w:rsidP="00641D23">
            <w:pPr>
              <w:pStyle w:val="COMTabletext"/>
              <w:keepNext w:val="0"/>
              <w:rPr>
                <w:rFonts w:eastAsia="Times New Roman"/>
              </w:rPr>
            </w:pPr>
            <w:r w:rsidRPr="005160DC">
              <w:rPr>
                <w:b/>
              </w:rPr>
              <w:t xml:space="preserve">Clinical criteria: </w:t>
            </w:r>
          </w:p>
        </w:tc>
      </w:tr>
      <w:tr w:rsidR="004E5C89" w:rsidRPr="001159D0" w14:paraId="09DFD7F6" w14:textId="77777777" w:rsidTr="004E5C89">
        <w:tblPrEx>
          <w:tblCellMar>
            <w:top w:w="15" w:type="dxa"/>
            <w:bottom w:w="15" w:type="dxa"/>
          </w:tblCellMar>
          <w:tblLook w:val="04A0" w:firstRow="1" w:lastRow="0" w:firstColumn="1" w:lastColumn="0" w:noHBand="0" w:noVBand="1"/>
        </w:tblPrEx>
        <w:trPr>
          <w:cantSplit/>
        </w:trPr>
        <w:tc>
          <w:tcPr>
            <w:tcW w:w="1134" w:type="dxa"/>
          </w:tcPr>
          <w:p w14:paraId="4E2075F9" w14:textId="5571C211" w:rsidR="004E5C89" w:rsidRPr="005160DC" w:rsidRDefault="004E5C89" w:rsidP="004E5C89">
            <w:pPr>
              <w:pStyle w:val="COMTabletext"/>
              <w:keepNext w:val="0"/>
              <w:jc w:val="center"/>
              <w:rPr>
                <w:bCs w:val="0"/>
              </w:rPr>
            </w:pPr>
          </w:p>
        </w:tc>
        <w:tc>
          <w:tcPr>
            <w:tcW w:w="7937" w:type="dxa"/>
            <w:gridSpan w:val="7"/>
            <w:vAlign w:val="center"/>
          </w:tcPr>
          <w:p w14:paraId="4E5ABBB4" w14:textId="77777777" w:rsidR="004E5C89" w:rsidRPr="005160DC" w:rsidRDefault="004E5C89" w:rsidP="00641D23">
            <w:pPr>
              <w:pStyle w:val="COMTabletext"/>
              <w:keepNext w:val="0"/>
              <w:rPr>
                <w:rFonts w:eastAsia="Times New Roman"/>
              </w:rPr>
            </w:pPr>
            <w:r w:rsidRPr="005160DC">
              <w:t>The treatment must not be in place of emergency treatment of hyperkalaemia.</w:t>
            </w:r>
          </w:p>
        </w:tc>
      </w:tr>
      <w:tr w:rsidR="004E5C89" w:rsidRPr="001159D0" w14:paraId="6E5DF9A1" w14:textId="77777777" w:rsidTr="004E5C89">
        <w:tblPrEx>
          <w:tblCellMar>
            <w:top w:w="15" w:type="dxa"/>
            <w:bottom w:w="15" w:type="dxa"/>
          </w:tblCellMar>
          <w:tblLook w:val="04A0" w:firstRow="1" w:lastRow="0" w:firstColumn="1" w:lastColumn="0" w:noHBand="0" w:noVBand="1"/>
        </w:tblPrEx>
        <w:trPr>
          <w:cantSplit/>
        </w:trPr>
        <w:tc>
          <w:tcPr>
            <w:tcW w:w="1134" w:type="dxa"/>
          </w:tcPr>
          <w:p w14:paraId="6B6CBD99" w14:textId="77777777" w:rsidR="004E5C89" w:rsidRPr="005160DC" w:rsidRDefault="004E5C89" w:rsidP="004E5C89">
            <w:pPr>
              <w:pStyle w:val="COMTabletext"/>
              <w:keepNext w:val="0"/>
              <w:jc w:val="center"/>
              <w:rPr>
                <w:bCs w:val="0"/>
              </w:rPr>
            </w:pPr>
          </w:p>
        </w:tc>
        <w:tc>
          <w:tcPr>
            <w:tcW w:w="7937" w:type="dxa"/>
            <w:gridSpan w:val="7"/>
            <w:vAlign w:val="center"/>
          </w:tcPr>
          <w:p w14:paraId="45B2907E" w14:textId="77777777" w:rsidR="004E5C89" w:rsidRPr="005160DC" w:rsidRDefault="004E5C89" w:rsidP="00641D23">
            <w:pPr>
              <w:pStyle w:val="COMTabletext"/>
              <w:keepNext w:val="0"/>
              <w:rPr>
                <w:rFonts w:eastAsia="Times New Roman"/>
              </w:rPr>
            </w:pPr>
          </w:p>
        </w:tc>
      </w:tr>
      <w:tr w:rsidR="004E5C89" w:rsidRPr="001159D0" w14:paraId="4DF7ACBE" w14:textId="77777777" w:rsidTr="004E5C89">
        <w:tblPrEx>
          <w:tblCellMar>
            <w:top w:w="15" w:type="dxa"/>
            <w:bottom w:w="15" w:type="dxa"/>
          </w:tblCellMar>
          <w:tblLook w:val="04A0" w:firstRow="1" w:lastRow="0" w:firstColumn="1" w:lastColumn="0" w:noHBand="0" w:noVBand="1"/>
        </w:tblPrEx>
        <w:trPr>
          <w:cantSplit/>
        </w:trPr>
        <w:tc>
          <w:tcPr>
            <w:tcW w:w="1134" w:type="dxa"/>
          </w:tcPr>
          <w:p w14:paraId="263E76BF" w14:textId="77777777" w:rsidR="004E5C89" w:rsidRPr="005160DC" w:rsidRDefault="004E5C89" w:rsidP="004E5C89">
            <w:pPr>
              <w:pStyle w:val="COMTabletext"/>
              <w:keepNext w:val="0"/>
              <w:jc w:val="center"/>
              <w:rPr>
                <w:bCs w:val="0"/>
              </w:rPr>
            </w:pPr>
          </w:p>
        </w:tc>
        <w:tc>
          <w:tcPr>
            <w:tcW w:w="7937" w:type="dxa"/>
            <w:gridSpan w:val="7"/>
            <w:vAlign w:val="center"/>
          </w:tcPr>
          <w:p w14:paraId="455E4E89" w14:textId="77777777" w:rsidR="004E5C89" w:rsidRPr="005160DC" w:rsidRDefault="004E5C89" w:rsidP="00641D23">
            <w:pPr>
              <w:pStyle w:val="COMTabletext"/>
              <w:keepNext w:val="0"/>
              <w:rPr>
                <w:rFonts w:eastAsia="Times New Roman"/>
              </w:rPr>
            </w:pPr>
            <w:r w:rsidRPr="005160DC">
              <w:rPr>
                <w:b/>
              </w:rPr>
              <w:t xml:space="preserve">Treatment criteria: </w:t>
            </w:r>
          </w:p>
        </w:tc>
      </w:tr>
      <w:tr w:rsidR="004E5C89" w:rsidRPr="001159D0" w14:paraId="2AD0443F" w14:textId="77777777" w:rsidTr="004E5C89">
        <w:tblPrEx>
          <w:tblCellMar>
            <w:top w:w="15" w:type="dxa"/>
            <w:bottom w:w="15" w:type="dxa"/>
          </w:tblCellMar>
          <w:tblLook w:val="04A0" w:firstRow="1" w:lastRow="0" w:firstColumn="1" w:lastColumn="0" w:noHBand="0" w:noVBand="1"/>
        </w:tblPrEx>
        <w:trPr>
          <w:cantSplit/>
        </w:trPr>
        <w:tc>
          <w:tcPr>
            <w:tcW w:w="1134" w:type="dxa"/>
          </w:tcPr>
          <w:p w14:paraId="31AAE019" w14:textId="082EF6F2" w:rsidR="004E5C89" w:rsidRPr="005160DC" w:rsidRDefault="004E5C89" w:rsidP="004E5C89">
            <w:pPr>
              <w:pStyle w:val="COMTabletext"/>
              <w:keepNext w:val="0"/>
              <w:jc w:val="center"/>
              <w:rPr>
                <w:bCs w:val="0"/>
              </w:rPr>
            </w:pPr>
          </w:p>
        </w:tc>
        <w:tc>
          <w:tcPr>
            <w:tcW w:w="7937" w:type="dxa"/>
            <w:gridSpan w:val="7"/>
            <w:vAlign w:val="center"/>
          </w:tcPr>
          <w:p w14:paraId="0363E837" w14:textId="270466BE" w:rsidR="004E5C89" w:rsidRPr="005160DC" w:rsidRDefault="004E5C89" w:rsidP="00641D23">
            <w:pPr>
              <w:pStyle w:val="COMTabletext"/>
              <w:keepNext w:val="0"/>
              <w:rPr>
                <w:rFonts w:eastAsia="Times New Roman"/>
              </w:rPr>
            </w:pPr>
            <w:r w:rsidRPr="005160DC">
              <w:t xml:space="preserve">Patient must be undergoing treatment with </w:t>
            </w:r>
            <w:r w:rsidRPr="00326A59">
              <w:rPr>
                <w:strike/>
              </w:rPr>
              <w:t>at least one</w:t>
            </w:r>
            <w:r w:rsidRPr="001159D0">
              <w:t xml:space="preserve"> </w:t>
            </w:r>
            <w:r w:rsidRPr="00326A59">
              <w:rPr>
                <w:i/>
                <w:iCs/>
              </w:rPr>
              <w:t>a</w:t>
            </w:r>
            <w:r w:rsidRPr="005160DC">
              <w:t xml:space="preserve"> renin angiotensin aldosterone system inhibitor.</w:t>
            </w:r>
          </w:p>
        </w:tc>
      </w:tr>
      <w:tr w:rsidR="004E5C89" w:rsidRPr="001159D0" w14:paraId="0B7DE016" w14:textId="77777777" w:rsidTr="004E5C89">
        <w:tblPrEx>
          <w:tblCellMar>
            <w:top w:w="15" w:type="dxa"/>
            <w:bottom w:w="15" w:type="dxa"/>
          </w:tblCellMar>
          <w:tblLook w:val="04A0" w:firstRow="1" w:lastRow="0" w:firstColumn="1" w:lastColumn="0" w:noHBand="0" w:noVBand="1"/>
        </w:tblPrEx>
        <w:trPr>
          <w:cantSplit/>
        </w:trPr>
        <w:tc>
          <w:tcPr>
            <w:tcW w:w="1134" w:type="dxa"/>
          </w:tcPr>
          <w:p w14:paraId="12D6FC8E" w14:textId="77777777" w:rsidR="004E5C89" w:rsidRPr="005160DC" w:rsidRDefault="004E5C89" w:rsidP="004E5C89">
            <w:pPr>
              <w:pStyle w:val="COMTabletext"/>
              <w:keepNext w:val="0"/>
              <w:jc w:val="center"/>
              <w:rPr>
                <w:bCs w:val="0"/>
              </w:rPr>
            </w:pPr>
          </w:p>
        </w:tc>
        <w:tc>
          <w:tcPr>
            <w:tcW w:w="7937" w:type="dxa"/>
            <w:gridSpan w:val="7"/>
            <w:vAlign w:val="center"/>
          </w:tcPr>
          <w:p w14:paraId="5CA39AFE" w14:textId="77777777" w:rsidR="004E5C89" w:rsidRPr="005160DC" w:rsidRDefault="004E5C89" w:rsidP="00641D23">
            <w:pPr>
              <w:pStyle w:val="COMTabletext"/>
              <w:keepNext w:val="0"/>
              <w:rPr>
                <w:rFonts w:eastAsia="Times New Roman"/>
              </w:rPr>
            </w:pPr>
            <w:r w:rsidRPr="005160DC">
              <w:rPr>
                <w:b/>
              </w:rPr>
              <w:t>AND</w:t>
            </w:r>
          </w:p>
        </w:tc>
      </w:tr>
      <w:tr w:rsidR="004E5C89" w:rsidRPr="001159D0" w14:paraId="5A4CCB10" w14:textId="77777777" w:rsidTr="004E5C89">
        <w:tblPrEx>
          <w:tblCellMar>
            <w:top w:w="15" w:type="dxa"/>
            <w:bottom w:w="15" w:type="dxa"/>
          </w:tblCellMar>
          <w:tblLook w:val="04A0" w:firstRow="1" w:lastRow="0" w:firstColumn="1" w:lastColumn="0" w:noHBand="0" w:noVBand="1"/>
        </w:tblPrEx>
        <w:trPr>
          <w:cantSplit/>
        </w:trPr>
        <w:tc>
          <w:tcPr>
            <w:tcW w:w="1134" w:type="dxa"/>
          </w:tcPr>
          <w:p w14:paraId="770A6F5A" w14:textId="77777777" w:rsidR="004E5C89" w:rsidRPr="005160DC" w:rsidRDefault="004E5C89" w:rsidP="004E5C89">
            <w:pPr>
              <w:pStyle w:val="COMTabletext"/>
              <w:keepNext w:val="0"/>
              <w:jc w:val="center"/>
              <w:rPr>
                <w:bCs w:val="0"/>
              </w:rPr>
            </w:pPr>
          </w:p>
        </w:tc>
        <w:tc>
          <w:tcPr>
            <w:tcW w:w="7937" w:type="dxa"/>
            <w:gridSpan w:val="7"/>
            <w:vAlign w:val="center"/>
          </w:tcPr>
          <w:p w14:paraId="665EB4D9" w14:textId="3B6B2205" w:rsidR="004E5C89" w:rsidRPr="004E5C89" w:rsidRDefault="004E5C89" w:rsidP="00641D23">
            <w:pPr>
              <w:pStyle w:val="COMTabletext"/>
              <w:keepNext w:val="0"/>
              <w:rPr>
                <w:rFonts w:eastAsia="Times New Roman"/>
                <w:i/>
                <w:iCs/>
              </w:rPr>
            </w:pPr>
            <w:r w:rsidRPr="004E5C89">
              <w:rPr>
                <w:b/>
                <w:i/>
                <w:iCs/>
                <w:strike/>
              </w:rPr>
              <w:t>Clinical</w:t>
            </w:r>
            <w:r w:rsidRPr="004E5C89">
              <w:rPr>
                <w:b/>
                <w:i/>
                <w:iCs/>
              </w:rPr>
              <w:t xml:space="preserve"> Treatment criteria:</w:t>
            </w:r>
          </w:p>
        </w:tc>
      </w:tr>
      <w:tr w:rsidR="004E5C89" w:rsidRPr="001159D0" w14:paraId="06EA7FAC" w14:textId="77777777" w:rsidTr="004E5C89">
        <w:tblPrEx>
          <w:tblCellMar>
            <w:top w:w="15" w:type="dxa"/>
            <w:bottom w:w="15" w:type="dxa"/>
          </w:tblCellMar>
          <w:tblLook w:val="04A0" w:firstRow="1" w:lastRow="0" w:firstColumn="1" w:lastColumn="0" w:noHBand="0" w:noVBand="1"/>
        </w:tblPrEx>
        <w:trPr>
          <w:cantSplit/>
        </w:trPr>
        <w:tc>
          <w:tcPr>
            <w:tcW w:w="1134" w:type="dxa"/>
          </w:tcPr>
          <w:p w14:paraId="4F1703AC" w14:textId="0CC4638E" w:rsidR="004E5C89" w:rsidRPr="005160DC" w:rsidRDefault="004E5C89" w:rsidP="004E5C89">
            <w:pPr>
              <w:pStyle w:val="COMTabletext"/>
              <w:keepNext w:val="0"/>
              <w:jc w:val="center"/>
              <w:rPr>
                <w:bCs w:val="0"/>
              </w:rPr>
            </w:pPr>
          </w:p>
        </w:tc>
        <w:tc>
          <w:tcPr>
            <w:tcW w:w="7937" w:type="dxa"/>
            <w:gridSpan w:val="7"/>
            <w:vAlign w:val="center"/>
          </w:tcPr>
          <w:p w14:paraId="40F4B5AD" w14:textId="77777777" w:rsidR="004E5C89" w:rsidRPr="004E5C89" w:rsidRDefault="004E5C89" w:rsidP="00641D23">
            <w:pPr>
              <w:pStyle w:val="COMTabletext"/>
              <w:keepNext w:val="0"/>
              <w:rPr>
                <w:rFonts w:eastAsia="Times New Roman"/>
                <w:i/>
                <w:iCs/>
              </w:rPr>
            </w:pPr>
            <w:r w:rsidRPr="004E5C89">
              <w:rPr>
                <w:i/>
                <w:iCs/>
              </w:rPr>
              <w:t>Patient must not be undergoing dialysis</w:t>
            </w:r>
          </w:p>
        </w:tc>
      </w:tr>
      <w:tr w:rsidR="004E5C89" w:rsidRPr="001159D0" w14:paraId="67EDDC7D" w14:textId="77777777" w:rsidTr="004E5C89">
        <w:tblPrEx>
          <w:tblCellMar>
            <w:top w:w="15" w:type="dxa"/>
            <w:bottom w:w="15" w:type="dxa"/>
          </w:tblCellMar>
          <w:tblLook w:val="04A0" w:firstRow="1" w:lastRow="0" w:firstColumn="1" w:lastColumn="0" w:noHBand="0" w:noVBand="1"/>
        </w:tblPrEx>
        <w:trPr>
          <w:cantSplit/>
        </w:trPr>
        <w:tc>
          <w:tcPr>
            <w:tcW w:w="1134" w:type="dxa"/>
          </w:tcPr>
          <w:p w14:paraId="6D30AA72" w14:textId="77777777" w:rsidR="004E5C89" w:rsidRPr="005160DC" w:rsidRDefault="004E5C89" w:rsidP="004E5C89">
            <w:pPr>
              <w:pStyle w:val="COMTabletext"/>
              <w:keepNext w:val="0"/>
              <w:jc w:val="center"/>
              <w:rPr>
                <w:bCs w:val="0"/>
              </w:rPr>
            </w:pPr>
          </w:p>
        </w:tc>
        <w:tc>
          <w:tcPr>
            <w:tcW w:w="7937" w:type="dxa"/>
            <w:gridSpan w:val="7"/>
            <w:vAlign w:val="center"/>
          </w:tcPr>
          <w:p w14:paraId="7F07C3C2" w14:textId="77777777" w:rsidR="004E5C89" w:rsidRPr="005160DC" w:rsidRDefault="004E5C89" w:rsidP="00641D23">
            <w:pPr>
              <w:pStyle w:val="COMTabletext"/>
              <w:keepNext w:val="0"/>
              <w:rPr>
                <w:rFonts w:eastAsia="Times New Roman"/>
              </w:rPr>
            </w:pPr>
            <w:r w:rsidRPr="005160DC">
              <w:rPr>
                <w:b/>
              </w:rPr>
              <w:t>AND</w:t>
            </w:r>
          </w:p>
        </w:tc>
      </w:tr>
      <w:tr w:rsidR="004E5C89" w:rsidRPr="001159D0" w14:paraId="289C0234" w14:textId="77777777" w:rsidTr="004E5C89">
        <w:tblPrEx>
          <w:tblCellMar>
            <w:top w:w="15" w:type="dxa"/>
            <w:bottom w:w="15" w:type="dxa"/>
          </w:tblCellMar>
          <w:tblLook w:val="04A0" w:firstRow="1" w:lastRow="0" w:firstColumn="1" w:lastColumn="0" w:noHBand="0" w:noVBand="1"/>
        </w:tblPrEx>
        <w:trPr>
          <w:cantSplit/>
        </w:trPr>
        <w:tc>
          <w:tcPr>
            <w:tcW w:w="1134" w:type="dxa"/>
          </w:tcPr>
          <w:p w14:paraId="2B30A0B8" w14:textId="77777777" w:rsidR="004E5C89" w:rsidRPr="005160DC" w:rsidRDefault="004E5C89" w:rsidP="004E5C89">
            <w:pPr>
              <w:pStyle w:val="COMTabletext"/>
              <w:keepNext w:val="0"/>
              <w:jc w:val="center"/>
              <w:rPr>
                <w:bCs w:val="0"/>
              </w:rPr>
            </w:pPr>
          </w:p>
        </w:tc>
        <w:tc>
          <w:tcPr>
            <w:tcW w:w="7937" w:type="dxa"/>
            <w:gridSpan w:val="7"/>
            <w:vAlign w:val="center"/>
          </w:tcPr>
          <w:p w14:paraId="03928F9C" w14:textId="77777777" w:rsidR="004E5C89" w:rsidRPr="005160DC" w:rsidRDefault="004E5C89" w:rsidP="00641D23">
            <w:pPr>
              <w:pStyle w:val="COMTabletext"/>
              <w:keepNext w:val="0"/>
              <w:rPr>
                <w:rFonts w:eastAsia="Times New Roman"/>
              </w:rPr>
            </w:pPr>
            <w:r w:rsidRPr="005160DC">
              <w:rPr>
                <w:b/>
              </w:rPr>
              <w:t xml:space="preserve">Treatment criteria: </w:t>
            </w:r>
          </w:p>
        </w:tc>
      </w:tr>
      <w:tr w:rsidR="004E5C89" w:rsidRPr="001159D0" w14:paraId="597461F5" w14:textId="77777777" w:rsidTr="004E5C89">
        <w:tblPrEx>
          <w:tblCellMar>
            <w:top w:w="15" w:type="dxa"/>
            <w:bottom w:w="15" w:type="dxa"/>
          </w:tblCellMar>
          <w:tblLook w:val="04A0" w:firstRow="1" w:lastRow="0" w:firstColumn="1" w:lastColumn="0" w:noHBand="0" w:noVBand="1"/>
        </w:tblPrEx>
        <w:trPr>
          <w:cantSplit/>
        </w:trPr>
        <w:tc>
          <w:tcPr>
            <w:tcW w:w="1134" w:type="dxa"/>
          </w:tcPr>
          <w:p w14:paraId="040D5704" w14:textId="1804DAEF" w:rsidR="004E5C89" w:rsidRPr="005160DC" w:rsidRDefault="004E5C89" w:rsidP="004E5C89">
            <w:pPr>
              <w:pStyle w:val="COMTabletext"/>
              <w:keepNext w:val="0"/>
              <w:jc w:val="center"/>
              <w:rPr>
                <w:bCs w:val="0"/>
              </w:rPr>
            </w:pPr>
          </w:p>
        </w:tc>
        <w:tc>
          <w:tcPr>
            <w:tcW w:w="7937" w:type="dxa"/>
            <w:gridSpan w:val="7"/>
            <w:vAlign w:val="center"/>
          </w:tcPr>
          <w:p w14:paraId="0ECFEAEE" w14:textId="0D4FB062" w:rsidR="004E5C89" w:rsidRPr="005160DC" w:rsidRDefault="004E5C89" w:rsidP="00641D23">
            <w:pPr>
              <w:pStyle w:val="COMTabletext"/>
              <w:keepNext w:val="0"/>
              <w:rPr>
                <w:rFonts w:eastAsia="Times New Roman"/>
              </w:rPr>
            </w:pPr>
            <w:r w:rsidRPr="005160DC">
              <w:t xml:space="preserve">Must be treated by a specialist medical practitioner </w:t>
            </w:r>
          </w:p>
        </w:tc>
      </w:tr>
      <w:tr w:rsidR="004E5C89" w:rsidRPr="001159D0" w14:paraId="2C4310C4" w14:textId="77777777" w:rsidTr="004E5C89">
        <w:tblPrEx>
          <w:tblCellMar>
            <w:top w:w="15" w:type="dxa"/>
            <w:bottom w:w="15" w:type="dxa"/>
          </w:tblCellMar>
          <w:tblLook w:val="04A0" w:firstRow="1" w:lastRow="0" w:firstColumn="1" w:lastColumn="0" w:noHBand="0" w:noVBand="1"/>
        </w:tblPrEx>
        <w:trPr>
          <w:cantSplit/>
        </w:trPr>
        <w:tc>
          <w:tcPr>
            <w:tcW w:w="1134" w:type="dxa"/>
          </w:tcPr>
          <w:p w14:paraId="60DEE85E" w14:textId="77777777" w:rsidR="004E5C89" w:rsidRPr="005160DC" w:rsidRDefault="004E5C89" w:rsidP="004E5C89">
            <w:pPr>
              <w:pStyle w:val="COMTabletext"/>
              <w:keepNext w:val="0"/>
              <w:jc w:val="center"/>
              <w:rPr>
                <w:b/>
              </w:rPr>
            </w:pPr>
          </w:p>
        </w:tc>
        <w:tc>
          <w:tcPr>
            <w:tcW w:w="7937" w:type="dxa"/>
            <w:gridSpan w:val="7"/>
            <w:vAlign w:val="center"/>
          </w:tcPr>
          <w:p w14:paraId="62853B5C" w14:textId="77777777" w:rsidR="004E5C89" w:rsidRPr="005160DC" w:rsidRDefault="004E5C89" w:rsidP="00641D23">
            <w:pPr>
              <w:pStyle w:val="COMTabletext"/>
              <w:keepNext w:val="0"/>
              <w:rPr>
                <w:rFonts w:eastAsia="Times New Roman"/>
              </w:rPr>
            </w:pPr>
          </w:p>
        </w:tc>
      </w:tr>
      <w:tr w:rsidR="004E5C89" w:rsidRPr="001159D0" w14:paraId="6CBE5904" w14:textId="77777777" w:rsidTr="004E5C89">
        <w:tblPrEx>
          <w:tblCellMar>
            <w:top w:w="15" w:type="dxa"/>
            <w:bottom w:w="15" w:type="dxa"/>
          </w:tblCellMar>
          <w:tblLook w:val="04A0" w:firstRow="1" w:lastRow="0" w:firstColumn="1" w:lastColumn="0" w:noHBand="0" w:noVBand="1"/>
        </w:tblPrEx>
        <w:trPr>
          <w:cantSplit/>
        </w:trPr>
        <w:tc>
          <w:tcPr>
            <w:tcW w:w="1134" w:type="dxa"/>
          </w:tcPr>
          <w:p w14:paraId="23E6E89A" w14:textId="652BF68E" w:rsidR="004E5C89" w:rsidRPr="004E5C89" w:rsidRDefault="004E5C89" w:rsidP="004E5C89">
            <w:pPr>
              <w:pStyle w:val="COMTabletext"/>
              <w:keepNext w:val="0"/>
              <w:jc w:val="center"/>
              <w:rPr>
                <w:b/>
                <w:i/>
                <w:iCs/>
              </w:rPr>
            </w:pPr>
          </w:p>
        </w:tc>
        <w:tc>
          <w:tcPr>
            <w:tcW w:w="7937" w:type="dxa"/>
            <w:gridSpan w:val="7"/>
          </w:tcPr>
          <w:p w14:paraId="6C7614AA" w14:textId="77777777" w:rsidR="004E5C89" w:rsidRPr="004E5C89" w:rsidRDefault="004E5C89" w:rsidP="004E5C89">
            <w:pPr>
              <w:rPr>
                <w:rFonts w:ascii="Arial Narrow" w:hAnsi="Arial Narrow"/>
                <w:b/>
                <w:bCs/>
                <w:i/>
                <w:iCs/>
                <w:sz w:val="20"/>
                <w:szCs w:val="20"/>
              </w:rPr>
            </w:pPr>
            <w:r w:rsidRPr="004E5C89">
              <w:rPr>
                <w:rFonts w:ascii="Arial Narrow" w:hAnsi="Arial Narrow"/>
                <w:b/>
                <w:bCs/>
                <w:i/>
                <w:iCs/>
                <w:sz w:val="20"/>
                <w:szCs w:val="20"/>
              </w:rPr>
              <w:t xml:space="preserve">Administrative advice: </w:t>
            </w:r>
          </w:p>
          <w:p w14:paraId="0903AADB" w14:textId="77777777" w:rsidR="004E5C89" w:rsidRPr="004E5C89" w:rsidRDefault="004E5C89" w:rsidP="004E5C89">
            <w:pPr>
              <w:pStyle w:val="COMTabletext"/>
              <w:keepNext w:val="0"/>
              <w:rPr>
                <w:rFonts w:eastAsia="Times New Roman"/>
                <w:i/>
                <w:iCs/>
              </w:rPr>
            </w:pPr>
            <w:r w:rsidRPr="004E5C89">
              <w:rPr>
                <w:i/>
                <w:iCs/>
              </w:rPr>
              <w:t>This grandfather restriction will cease to operate from 12 months after the date specified in the clinical criteria</w:t>
            </w:r>
          </w:p>
        </w:tc>
      </w:tr>
      <w:tr w:rsidR="004E5C89" w:rsidRPr="001159D0" w14:paraId="2D5F972F" w14:textId="77777777" w:rsidTr="004E5C89">
        <w:tblPrEx>
          <w:tblCellMar>
            <w:top w:w="15" w:type="dxa"/>
            <w:bottom w:w="15" w:type="dxa"/>
          </w:tblCellMar>
          <w:tblLook w:val="04A0" w:firstRow="1" w:lastRow="0" w:firstColumn="1" w:lastColumn="0" w:noHBand="0" w:noVBand="1"/>
        </w:tblPrEx>
        <w:trPr>
          <w:cantSplit/>
        </w:trPr>
        <w:tc>
          <w:tcPr>
            <w:tcW w:w="1134" w:type="dxa"/>
          </w:tcPr>
          <w:p w14:paraId="5D69D6E7" w14:textId="629E99B9" w:rsidR="004E5C89" w:rsidRPr="004E5C89" w:rsidRDefault="004E5C89" w:rsidP="004E5C89">
            <w:pPr>
              <w:pStyle w:val="COMTabletext"/>
              <w:keepNext w:val="0"/>
              <w:jc w:val="center"/>
              <w:rPr>
                <w:b/>
                <w:i/>
                <w:iCs/>
              </w:rPr>
            </w:pPr>
          </w:p>
        </w:tc>
        <w:tc>
          <w:tcPr>
            <w:tcW w:w="7937" w:type="dxa"/>
            <w:gridSpan w:val="7"/>
          </w:tcPr>
          <w:p w14:paraId="40663DD9" w14:textId="77777777" w:rsidR="004E5C89" w:rsidRPr="004E5C89" w:rsidRDefault="004E5C89" w:rsidP="004E5C89">
            <w:pPr>
              <w:pStyle w:val="COMTabletext"/>
              <w:keepNext w:val="0"/>
              <w:rPr>
                <w:rFonts w:eastAsia="Times New Roman"/>
                <w:i/>
                <w:iCs/>
              </w:rPr>
            </w:pPr>
            <w:r w:rsidRPr="004E5C89">
              <w:rPr>
                <w:b/>
                <w:i/>
                <w:iCs/>
              </w:rPr>
              <w:t>Administrative advice:</w:t>
            </w:r>
            <w:r w:rsidRPr="004E5C89">
              <w:rPr>
                <w:i/>
                <w:iCs/>
              </w:rPr>
              <w:t xml:space="preserve"> Patients may qualify for PBS-subsidised treatment under this restriction once only. For continuing PBS-subsidised treatment, a 'Grandfathered' patient must qualify under the 'Continuing treatment' criteria.</w:t>
            </w:r>
          </w:p>
        </w:tc>
      </w:tr>
      <w:tr w:rsidR="004E5C89" w:rsidRPr="001159D0" w14:paraId="62766B80" w14:textId="77777777" w:rsidTr="004E5C89">
        <w:tblPrEx>
          <w:tblCellMar>
            <w:top w:w="15" w:type="dxa"/>
            <w:bottom w:w="15" w:type="dxa"/>
          </w:tblCellMar>
          <w:tblLook w:val="04A0" w:firstRow="1" w:lastRow="0" w:firstColumn="1" w:lastColumn="0" w:noHBand="0" w:noVBand="1"/>
        </w:tblPrEx>
        <w:trPr>
          <w:cantSplit/>
          <w:trHeight w:val="591"/>
        </w:trPr>
        <w:tc>
          <w:tcPr>
            <w:tcW w:w="1134" w:type="dxa"/>
          </w:tcPr>
          <w:p w14:paraId="4737A863" w14:textId="797C3CDF" w:rsidR="004E5C89" w:rsidRPr="004E5C89" w:rsidRDefault="004E5C89" w:rsidP="004E5C89">
            <w:pPr>
              <w:jc w:val="center"/>
              <w:rPr>
                <w:rFonts w:ascii="Arial Narrow" w:hAnsi="Arial Narrow"/>
                <w:i/>
                <w:iCs/>
                <w:sz w:val="20"/>
                <w:szCs w:val="20"/>
              </w:rPr>
            </w:pPr>
          </w:p>
        </w:tc>
        <w:tc>
          <w:tcPr>
            <w:tcW w:w="7937" w:type="dxa"/>
            <w:gridSpan w:val="7"/>
            <w:vAlign w:val="center"/>
          </w:tcPr>
          <w:p w14:paraId="3D43AE4A" w14:textId="77777777" w:rsidR="004E5C89" w:rsidRPr="004E5C89" w:rsidRDefault="004E5C89" w:rsidP="004E5C89">
            <w:pPr>
              <w:rPr>
                <w:rFonts w:ascii="Arial Narrow" w:hAnsi="Arial Narrow"/>
                <w:b/>
                <w:bCs/>
                <w:i/>
                <w:iCs/>
                <w:sz w:val="20"/>
                <w:szCs w:val="20"/>
              </w:rPr>
            </w:pPr>
            <w:r w:rsidRPr="004E5C89">
              <w:rPr>
                <w:rFonts w:ascii="Arial Narrow" w:hAnsi="Arial Narrow"/>
                <w:b/>
                <w:bCs/>
                <w:i/>
                <w:iCs/>
                <w:sz w:val="20"/>
                <w:szCs w:val="20"/>
              </w:rPr>
              <w:t>Administrative advice:</w:t>
            </w:r>
          </w:p>
          <w:p w14:paraId="68821BEE" w14:textId="77777777" w:rsidR="004E5C89" w:rsidRPr="004E5C89" w:rsidRDefault="004E5C89" w:rsidP="004E5C89">
            <w:pPr>
              <w:pStyle w:val="COMTabletext"/>
              <w:keepNext w:val="0"/>
              <w:rPr>
                <w:b/>
                <w:i/>
                <w:iCs/>
              </w:rPr>
            </w:pPr>
            <w:r w:rsidRPr="004E5C89">
              <w:rPr>
                <w:i/>
                <w:iCs/>
                <w:szCs w:val="20"/>
              </w:rPr>
              <w:t>Applications for authorisation under this restriction may be made in real time using the Online PBS Authorities system (see www.servicesaustralia.gov.au/HPOS) or by telephone by contacting Services Australia on 1800 888 333</w:t>
            </w:r>
          </w:p>
        </w:tc>
      </w:tr>
    </w:tbl>
    <w:p w14:paraId="2C3FAFEF" w14:textId="77777777" w:rsidR="004E5C89" w:rsidRPr="001159D0" w:rsidRDefault="004E5C89" w:rsidP="004E5C89">
      <w:pPr>
        <w:pStyle w:val="COMTablefooter"/>
      </w:pPr>
      <w:r w:rsidRPr="001159D0">
        <w:t xml:space="preserve">Source: Table 1.4.2, p52 of the resubmission. </w:t>
      </w:r>
    </w:p>
    <w:p w14:paraId="224D3B6B" w14:textId="77777777" w:rsidR="004E5C89" w:rsidRDefault="004E5C89" w:rsidP="004E5C89">
      <w:pPr>
        <w:pStyle w:val="COMTablefooter"/>
      </w:pPr>
      <w:r w:rsidRPr="001159D0">
        <w:rPr>
          <w:vertAlign w:val="superscript"/>
        </w:rPr>
        <w:t>a</w:t>
      </w:r>
      <w:r w:rsidRPr="001159D0">
        <w:t xml:space="preserve"> Requested published and effective prices </w:t>
      </w:r>
      <w:r>
        <w:t xml:space="preserve">were </w:t>
      </w:r>
      <w:r w:rsidRPr="001159D0">
        <w:t xml:space="preserve">updated during the evaluation to reflect 1 July 2022 mark ups. </w:t>
      </w:r>
    </w:p>
    <w:p w14:paraId="059997BC" w14:textId="2D476FBC" w:rsidR="00F67A69" w:rsidRPr="002F6665" w:rsidRDefault="00B6590F" w:rsidP="00F9393E">
      <w:pPr>
        <w:pStyle w:val="COMexecsumnumberedpara"/>
      </w:pPr>
      <w:r w:rsidRPr="002F6665">
        <w:t>The resubmission proposed a</w:t>
      </w:r>
      <w:r w:rsidR="00375702" w:rsidRPr="002F6665">
        <w:t>n</w:t>
      </w:r>
      <w:r w:rsidRPr="002F6665">
        <w:t xml:space="preserve"> effective AEMP</w:t>
      </w:r>
      <w:r w:rsidR="005729B4" w:rsidRPr="002F6665">
        <w:t xml:space="preserve"> of</w:t>
      </w:r>
      <w:r w:rsidRPr="002F6665">
        <w:t xml:space="preserve"> $</w:t>
      </w:r>
      <w:r w:rsidR="003E2BEF" w:rsidRPr="003E2BEF">
        <w:rPr>
          <w:color w:val="000000"/>
          <w:w w:val="58"/>
          <w:shd w:val="solid" w:color="000000" w:fill="000000"/>
          <w:fitText w:val="453" w:id="-1304706806"/>
          <w14:textFill>
            <w14:solidFill>
              <w14:srgbClr w14:val="000000">
                <w14:alpha w14:val="100000"/>
              </w14:srgbClr>
            </w14:solidFill>
          </w14:textFill>
        </w:rPr>
        <w:t>|||  ||</w:t>
      </w:r>
      <w:r w:rsidR="003E2BEF" w:rsidRPr="003E2BEF">
        <w:rPr>
          <w:color w:val="000000"/>
          <w:spacing w:val="6"/>
          <w:w w:val="58"/>
          <w:shd w:val="solid" w:color="000000" w:fill="000000"/>
          <w:fitText w:val="453" w:id="-1304706806"/>
          <w14:textFill>
            <w14:solidFill>
              <w14:srgbClr w14:val="000000">
                <w14:alpha w14:val="100000"/>
              </w14:srgbClr>
            </w14:solidFill>
          </w14:textFill>
        </w:rPr>
        <w:t>|</w:t>
      </w:r>
      <w:r w:rsidR="00375702" w:rsidRPr="002F6665">
        <w:t>, compared with $</w:t>
      </w:r>
      <w:r w:rsidR="003E2BEF" w:rsidRPr="003E2BEF">
        <w:rPr>
          <w:color w:val="000000"/>
          <w:w w:val="58"/>
          <w:shd w:val="solid" w:color="000000" w:fill="000000"/>
          <w:fitText w:val="452" w:id="-1304706805"/>
          <w14:textFill>
            <w14:solidFill>
              <w14:srgbClr w14:val="000000">
                <w14:alpha w14:val="100000"/>
              </w14:srgbClr>
            </w14:solidFill>
          </w14:textFill>
        </w:rPr>
        <w:t>|||  ||</w:t>
      </w:r>
      <w:r w:rsidR="003E2BEF" w:rsidRPr="003E2BEF">
        <w:rPr>
          <w:color w:val="000000"/>
          <w:spacing w:val="5"/>
          <w:w w:val="58"/>
          <w:shd w:val="solid" w:color="000000" w:fill="000000"/>
          <w:fitText w:val="452" w:id="-1304706805"/>
          <w14:textFill>
            <w14:solidFill>
              <w14:srgbClr w14:val="000000">
                <w14:alpha w14:val="100000"/>
              </w14:srgbClr>
            </w14:solidFill>
          </w14:textFill>
        </w:rPr>
        <w:t>|</w:t>
      </w:r>
      <w:r w:rsidR="00375702" w:rsidRPr="002F6665">
        <w:t xml:space="preserve"> in the previous submission</w:t>
      </w:r>
      <w:r w:rsidRPr="002F6665">
        <w:t xml:space="preserve">. The requested price derived from the cost effectiveness analysis </w:t>
      </w:r>
      <w:r w:rsidR="00375702" w:rsidRPr="002F6665">
        <w:t xml:space="preserve">was </w:t>
      </w:r>
      <w:r w:rsidRPr="002F6665">
        <w:t>unchanged from the November 2020 submission</w:t>
      </w:r>
      <w:r w:rsidR="00583946" w:rsidRPr="002F6665">
        <w:t>. T</w:t>
      </w:r>
      <w:r w:rsidRPr="002F6665">
        <w:t xml:space="preserve">he difference in the proposed price between the November 2020 submission and the current resubmission </w:t>
      </w:r>
      <w:r w:rsidR="0032322A">
        <w:t>wa</w:t>
      </w:r>
      <w:r w:rsidRPr="002F6665">
        <w:t xml:space="preserve">s due to the </w:t>
      </w:r>
      <w:r w:rsidR="003E2BEF" w:rsidRPr="005F4857">
        <w:rPr>
          <w:color w:val="000000"/>
          <w:w w:val="15"/>
          <w:shd w:val="solid" w:color="000000" w:fill="000000"/>
          <w:fitText w:val="-20" w:id="-1304706804"/>
          <w14:textFill>
            <w14:solidFill>
              <w14:srgbClr w14:val="000000">
                <w14:alpha w14:val="100000"/>
              </w14:srgbClr>
            </w14:solidFill>
          </w14:textFill>
        </w:rPr>
        <w:t>|</w:t>
      </w:r>
      <w:r w:rsidR="00BB7EE7" w:rsidRPr="005F4857">
        <w:rPr>
          <w:color w:val="000000"/>
          <w:w w:val="15"/>
          <w:shd w:val="solid" w:color="000000" w:fill="000000"/>
          <w:fitText w:val="-20" w:id="-1304706804"/>
          <w14:textFill>
            <w14:solidFill>
              <w14:srgbClr w14:val="000000">
                <w14:alpha w14:val="100000"/>
              </w14:srgbClr>
            </w14:solidFill>
          </w14:textFill>
        </w:rPr>
        <w:t>#########</w:t>
      </w:r>
      <w:r w:rsidR="003E2BEF" w:rsidRPr="005F4857">
        <w:rPr>
          <w:color w:val="000000"/>
          <w:w w:val="15"/>
          <w:shd w:val="solid" w:color="000000" w:fill="000000"/>
          <w:fitText w:val="-20" w:id="-1304706804"/>
          <w14:textFill>
            <w14:solidFill>
              <w14:srgbClr w14:val="000000">
                <w14:alpha w14:val="100000"/>
              </w14:srgbClr>
            </w14:solidFill>
          </w14:textFill>
        </w:rPr>
        <w:t xml:space="preserve">  </w:t>
      </w:r>
      <w:r w:rsidR="003E2BEF" w:rsidRPr="005F4857">
        <w:rPr>
          <w:color w:val="000000"/>
          <w:spacing w:val="-230"/>
          <w:w w:val="15"/>
          <w:shd w:val="solid" w:color="000000" w:fill="000000"/>
          <w:fitText w:val="-20" w:id="-1304706804"/>
          <w14:textFill>
            <w14:solidFill>
              <w14:srgbClr w14:val="000000">
                <w14:alpha w14:val="100000"/>
              </w14:srgbClr>
            </w14:solidFill>
          </w14:textFill>
        </w:rPr>
        <w:t>|</w:t>
      </w:r>
      <w:r w:rsidRPr="002F6665">
        <w:t>% weighting of the cost minimisation approach.</w:t>
      </w:r>
    </w:p>
    <w:p w14:paraId="50DF3000" w14:textId="72446074" w:rsidR="00CC35EA" w:rsidRPr="002F6665" w:rsidRDefault="002B3818" w:rsidP="00F9393E">
      <w:pPr>
        <w:pStyle w:val="COMexecsumnumberedpara"/>
      </w:pPr>
      <w:r w:rsidRPr="002F6665">
        <w:t>The requested restriction is narrower than the TGA indication (hyperkalaemia in adults) a</w:t>
      </w:r>
      <w:r w:rsidR="00B74E0E" w:rsidRPr="002F6665">
        <w:t>s it</w:t>
      </w:r>
      <w:r w:rsidRPr="002F6665">
        <w:t xml:space="preserve"> limits initial eligibility to patients with CKD Stage 3-4 meeting the clinical criterion for chronic hyperkalaemia, who are receiving at least one RAASi medicine or are indicated for a RAASi medicine but are unable to tolerate this due to complications of hyperkalaemia</w:t>
      </w:r>
      <w:r w:rsidR="00F52C1C" w:rsidRPr="002F6665">
        <w:t xml:space="preserve">, after attempting a low </w:t>
      </w:r>
      <w:r w:rsidR="009C69BA">
        <w:t>potassium</w:t>
      </w:r>
      <w:r w:rsidR="00F52C1C" w:rsidRPr="002F6665">
        <w:t xml:space="preserve"> diet</w:t>
      </w:r>
      <w:r w:rsidR="00F52C1C" w:rsidRPr="002F6665">
        <w:rPr>
          <w:rStyle w:val="Font"/>
          <w:rFonts w:asciiTheme="minorHAnsi" w:hAnsiTheme="minorHAnsi" w:cstheme="minorHAnsi"/>
        </w:rPr>
        <w:t xml:space="preserve">. This is similar to the November 2020 submission but requires eligible patients to have attempted dietary control of </w:t>
      </w:r>
      <w:r w:rsidR="009C69BA">
        <w:rPr>
          <w:rStyle w:val="Font"/>
          <w:rFonts w:asciiTheme="minorHAnsi" w:hAnsiTheme="minorHAnsi" w:cstheme="minorHAnsi"/>
        </w:rPr>
        <w:t>potassium</w:t>
      </w:r>
      <w:r w:rsidR="00F52C1C" w:rsidRPr="002F6665">
        <w:rPr>
          <w:rStyle w:val="Font"/>
          <w:rFonts w:asciiTheme="minorHAnsi" w:hAnsiTheme="minorHAnsi" w:cstheme="minorHAnsi"/>
        </w:rPr>
        <w:t xml:space="preserve"> prior to initiating patiromer</w:t>
      </w:r>
      <w:r w:rsidRPr="002F6665">
        <w:t>.</w:t>
      </w:r>
    </w:p>
    <w:p w14:paraId="3DF964C5" w14:textId="490E3660" w:rsidR="002B3818" w:rsidRPr="002F6665" w:rsidRDefault="002B3818" w:rsidP="00F9393E">
      <w:pPr>
        <w:pStyle w:val="COMexecsumnumberedpara"/>
      </w:pPr>
      <w:r w:rsidRPr="002F6665">
        <w:t xml:space="preserve">The requested restriction includes an initial Authority Required (telephone) restriction, a requirement for initiating patient management under a specialist </w:t>
      </w:r>
      <w:r w:rsidRPr="002F6665">
        <w:lastRenderedPageBreak/>
        <w:t xml:space="preserve">medical practitioner with a trial of low </w:t>
      </w:r>
      <w:r w:rsidR="009C69BA">
        <w:t>potassium</w:t>
      </w:r>
      <w:r w:rsidRPr="002F6665">
        <w:t xml:space="preserve"> dietary modification, and a discontinuation rule excluding continuing patients commencing renal dialysis. This is broadly consistent with the changes </w:t>
      </w:r>
      <w:r w:rsidR="0057699F" w:rsidRPr="002F6665">
        <w:t xml:space="preserve">previously </w:t>
      </w:r>
      <w:r w:rsidRPr="002F6665">
        <w:t xml:space="preserve">recommended </w:t>
      </w:r>
      <w:r w:rsidR="0057699F" w:rsidRPr="002F6665">
        <w:t>by</w:t>
      </w:r>
      <w:r w:rsidRPr="002F6665">
        <w:t xml:space="preserve"> the PBAC and the Secretariat</w:t>
      </w:r>
      <w:r w:rsidR="002A469B" w:rsidRPr="002F6665">
        <w:t xml:space="preserve"> (para</w:t>
      </w:r>
      <w:r w:rsidR="008B79E5">
        <w:t>graphs</w:t>
      </w:r>
      <w:r w:rsidR="002A469B" w:rsidRPr="002F6665">
        <w:t xml:space="preserve"> 3.6 and 7.5, </w:t>
      </w:r>
      <w:r w:rsidR="008B79E5">
        <w:t>p</w:t>
      </w:r>
      <w:r w:rsidR="002A469B" w:rsidRPr="002F6665">
        <w:t>atiromer PSD, November 2019; para</w:t>
      </w:r>
      <w:r w:rsidR="008B79E5">
        <w:t>graphs</w:t>
      </w:r>
      <w:r w:rsidR="002A469B" w:rsidRPr="002F6665">
        <w:t xml:space="preserve"> 3.5</w:t>
      </w:r>
      <w:r w:rsidR="008B79E5">
        <w:t xml:space="preserve"> and </w:t>
      </w:r>
      <w:r w:rsidR="002A469B" w:rsidRPr="002F6665">
        <w:t xml:space="preserve">3.6, </w:t>
      </w:r>
      <w:r w:rsidR="008B79E5">
        <w:t>p</w:t>
      </w:r>
      <w:r w:rsidR="002A469B" w:rsidRPr="002F6665">
        <w:t>atiromer PSD, November 2020)</w:t>
      </w:r>
      <w:r w:rsidRPr="002F6665">
        <w:t>, but continues eligibility for patients progressing to ESKD (CKD Stage 5) not treated with dialysis.</w:t>
      </w:r>
    </w:p>
    <w:p w14:paraId="2511BF53" w14:textId="7A16EB8D" w:rsidR="00804745" w:rsidRDefault="002B3818" w:rsidP="00804745">
      <w:pPr>
        <w:pStyle w:val="COMexecsumnumberedpara"/>
      </w:pPr>
      <w:r w:rsidRPr="002F6665">
        <w:t xml:space="preserve">The requested restriction includes grandfathered patients likely to </w:t>
      </w:r>
      <w:r w:rsidR="00375702" w:rsidRPr="002F6665">
        <w:t xml:space="preserve">change </w:t>
      </w:r>
      <w:r w:rsidRPr="002F6665">
        <w:t>to PBS subsidised patiromer from the sponsor’s compassionate access program (approximately 45 patients continuing treatment a</w:t>
      </w:r>
      <w:r w:rsidR="008B79E5">
        <w:t>s of</w:t>
      </w:r>
      <w:r w:rsidRPr="002F6665">
        <w:t xml:space="preserve"> 3 February 2022</w:t>
      </w:r>
      <w:r w:rsidR="00DE41FA">
        <w:t xml:space="preserve">, </w:t>
      </w:r>
      <w:r w:rsidR="00DE41FA" w:rsidRPr="00FF512C">
        <w:t xml:space="preserve">updated to 79 patients in the </w:t>
      </w:r>
      <w:r w:rsidR="007C073A">
        <w:t>Pre-Sub-Committee Response (</w:t>
      </w:r>
      <w:r w:rsidR="00DE41FA" w:rsidRPr="00FF512C">
        <w:t>PSCR</w:t>
      </w:r>
      <w:r w:rsidR="007C073A">
        <w:t xml:space="preserve">) </w:t>
      </w:r>
      <w:r w:rsidR="00326A59">
        <w:t>and 75 patients in the pre-PBAC response</w:t>
      </w:r>
      <w:r w:rsidRPr="00FF512C">
        <w:t>).</w:t>
      </w:r>
    </w:p>
    <w:p w14:paraId="28533974" w14:textId="5B92AD5D" w:rsidR="00804745" w:rsidRPr="00804745" w:rsidRDefault="00804745" w:rsidP="00804745">
      <w:pPr>
        <w:pStyle w:val="COMexecsumnumberedpara"/>
        <w:numPr>
          <w:ilvl w:val="0"/>
          <w:numId w:val="0"/>
        </w:numPr>
        <w:ind w:left="720"/>
        <w:rPr>
          <w:i/>
          <w:iCs/>
        </w:rPr>
      </w:pPr>
      <w:r w:rsidRPr="00804745">
        <w:rPr>
          <w:i/>
          <w:iCs/>
        </w:rPr>
        <w:t>For more detail on PBAC’s view, see section 7 PBAC outcome.</w:t>
      </w:r>
    </w:p>
    <w:p w14:paraId="7075B85C" w14:textId="62A47B7B" w:rsidR="00B50DB8" w:rsidRPr="001159D0" w:rsidDel="00195452" w:rsidRDefault="00203181" w:rsidP="004E18E9">
      <w:pPr>
        <w:pStyle w:val="COMH1numbered"/>
      </w:pPr>
      <w:bookmarkStart w:id="13" w:name="_Toc111818927"/>
      <w:r w:rsidRPr="001159D0" w:rsidDel="00195452">
        <w:t xml:space="preserve">Population and </w:t>
      </w:r>
      <w:r w:rsidR="008E0D3C" w:rsidRPr="001159D0" w:rsidDel="00195452">
        <w:t>d</w:t>
      </w:r>
      <w:r w:rsidRPr="001159D0" w:rsidDel="00195452">
        <w:t>isease</w:t>
      </w:r>
      <w:bookmarkEnd w:id="13"/>
    </w:p>
    <w:p w14:paraId="21FDD135" w14:textId="45FA2555" w:rsidR="00894489" w:rsidRPr="002F6665" w:rsidDel="00195452" w:rsidRDefault="006139E8" w:rsidP="004E18E9">
      <w:pPr>
        <w:pStyle w:val="COMexecsumnumberedpara"/>
        <w:rPr>
          <w:color w:val="0066FF"/>
        </w:rPr>
      </w:pPr>
      <w:r w:rsidRPr="002F6665">
        <w:t xml:space="preserve">Hyperkalaemia is a common electrolyte abnormality resulting from a variety of causes related to decreased excretion, transcellular potassium shifts or exogenous sources, and may be exacerbated by administration of medicines impacting potassium excretion via the </w:t>
      </w:r>
      <w:r w:rsidR="00B74E0E" w:rsidRPr="002F6665">
        <w:t>kidney</w:t>
      </w:r>
      <w:r w:rsidRPr="002F6665">
        <w:t xml:space="preserve"> e.g. RAASi</w:t>
      </w:r>
      <w:r w:rsidR="00123CC4" w:rsidRPr="002F6665">
        <w:t xml:space="preserve"> therapies</w:t>
      </w:r>
      <w:r w:rsidR="007F22ED">
        <w:t xml:space="preserve"> (ACEI/ARB/MRA agents)</w:t>
      </w:r>
      <w:r w:rsidRPr="002F6665">
        <w:t>, nonsteroidal anti-inflammatory drugs (NSAIDs), and potassium sparing diuretics (</w:t>
      </w:r>
      <w:r w:rsidR="007F22ED">
        <w:t>amiloride</w:t>
      </w:r>
      <w:r w:rsidRPr="002F6665">
        <w:t xml:space="preserve">). Hyperkalaemia is most commonly observed in patients with acute kidney injury (AKI) and/or chronic kidney disease (CKD), particularly in combination with type 2 diabetes mellitus (T2DM) and/or chronic heart failure (CHF). </w:t>
      </w:r>
      <w:r w:rsidR="00F97A78" w:rsidRPr="002F6665" w:rsidDel="00195452">
        <w:rPr>
          <w:color w:val="0066FF"/>
        </w:rPr>
        <w:t xml:space="preserve"> </w:t>
      </w:r>
    </w:p>
    <w:p w14:paraId="34F9A011" w14:textId="4B432824" w:rsidR="002C2775" w:rsidRPr="002F6665" w:rsidDel="00195452" w:rsidRDefault="00DA0AF9" w:rsidP="004E18E9">
      <w:pPr>
        <w:pStyle w:val="COMexecsumnumberedpara"/>
        <w:rPr>
          <w:color w:val="0066FF"/>
        </w:rPr>
      </w:pPr>
      <w:r w:rsidRPr="002F6665">
        <w:t>A diagnosis of hyperkalaemia is based on laboratory assessed serum potassium concentrations and clinical symptoms (muscle weakness, ascending paralysis, cardiac conduction abnormalities, arrhythmias and other electrocardiograph (ECG) changes). Untreated, hyperkalaemia may result in paralysis of the respiratory muscles, fatal cardiac arrhythmias and sudden death.</w:t>
      </w:r>
      <w:r w:rsidR="006A56B4" w:rsidRPr="002F6665">
        <w:t xml:space="preserve"> The predicted probability of mortality associated with abnormal serum </w:t>
      </w:r>
      <w:r w:rsidR="009C69BA">
        <w:t>potassium</w:t>
      </w:r>
      <w:r w:rsidR="006A56B4" w:rsidRPr="002F6665">
        <w:t xml:space="preserve"> concentrations follows a U-shaped curve (Collins, 2017), with increased mortality risk at concentrations below 3.5 mmol/L and above 6.0 mmol/L.</w:t>
      </w:r>
    </w:p>
    <w:p w14:paraId="11FCAAEE" w14:textId="1BEF8062" w:rsidR="007627BE" w:rsidRPr="002F6665" w:rsidRDefault="008321D8" w:rsidP="004E18E9">
      <w:pPr>
        <w:pStyle w:val="COMexecsumnumberedpara"/>
        <w:rPr>
          <w:color w:val="0066FF"/>
        </w:rPr>
      </w:pPr>
      <w:r w:rsidRPr="002F6665">
        <w:rPr>
          <w:rFonts w:cstheme="minorHAnsi"/>
        </w:rPr>
        <w:t xml:space="preserve">Patiromer is an insoluble non-absorbable, cation exchange polymer that binds and facilitates the excretion of </w:t>
      </w:r>
      <w:r w:rsidR="009C69BA">
        <w:t>potassium</w:t>
      </w:r>
      <w:r w:rsidR="009C69BA" w:rsidRPr="002F6665">
        <w:rPr>
          <w:rFonts w:cstheme="minorHAnsi"/>
        </w:rPr>
        <w:t xml:space="preserve"> </w:t>
      </w:r>
      <w:r w:rsidRPr="002F6665">
        <w:rPr>
          <w:rFonts w:cstheme="minorHAnsi"/>
        </w:rPr>
        <w:t xml:space="preserve">through the gastrointestinal tract, reducing serum </w:t>
      </w:r>
      <w:r w:rsidR="009C69BA">
        <w:t>potassium</w:t>
      </w:r>
      <w:r w:rsidRPr="002F6665">
        <w:rPr>
          <w:rFonts w:cstheme="minorHAnsi"/>
        </w:rPr>
        <w:t xml:space="preserve"> levels. </w:t>
      </w:r>
    </w:p>
    <w:p w14:paraId="15A1A0D0" w14:textId="45B622A3" w:rsidR="00DE138A" w:rsidRPr="0021051F" w:rsidRDefault="001828E1" w:rsidP="00BA16B7">
      <w:pPr>
        <w:pStyle w:val="COMexecsumnumberedpara"/>
        <w:rPr>
          <w:color w:val="0066FF"/>
        </w:rPr>
      </w:pPr>
      <w:r w:rsidRPr="002F6665">
        <w:t xml:space="preserve">The </w:t>
      </w:r>
      <w:r w:rsidR="001B2F3B" w:rsidRPr="002F6665">
        <w:t>resubmission positi</w:t>
      </w:r>
      <w:r w:rsidR="00407DCA" w:rsidRPr="002F6665">
        <w:t>on</w:t>
      </w:r>
      <w:r w:rsidR="00DE138A" w:rsidRPr="002F6665">
        <w:t>ed</w:t>
      </w:r>
      <w:r w:rsidRPr="002F6665">
        <w:t xml:space="preserve"> patiromer after a trial of low </w:t>
      </w:r>
      <w:r w:rsidR="009C69BA">
        <w:t>potassium</w:t>
      </w:r>
      <w:r w:rsidRPr="002F6665">
        <w:t xml:space="preserve"> dietary modification, as an alternative to RAASi dose reduction/withdrawal and short or long-term use of SPS and CPS resins, in the control of chronic hyperkalaemia in patients with CKD Stage 3-4.</w:t>
      </w:r>
      <w:r w:rsidR="00DE138A" w:rsidRPr="002F6665">
        <w:t xml:space="preserve"> </w:t>
      </w:r>
    </w:p>
    <w:p w14:paraId="64EE6B31" w14:textId="198F1198" w:rsidR="0021051F" w:rsidRPr="0021051F" w:rsidRDefault="0021051F" w:rsidP="0021051F">
      <w:pPr>
        <w:pStyle w:val="Caption"/>
        <w:jc w:val="both"/>
        <w:rPr>
          <w:sz w:val="20"/>
          <w:szCs w:val="20"/>
        </w:rPr>
      </w:pPr>
      <w:r w:rsidRPr="0021051F">
        <w:rPr>
          <w:sz w:val="20"/>
          <w:szCs w:val="20"/>
        </w:rPr>
        <w:lastRenderedPageBreak/>
        <w:t xml:space="preserve">Figure </w:t>
      </w:r>
      <w:r w:rsidRPr="0021051F">
        <w:rPr>
          <w:sz w:val="20"/>
          <w:szCs w:val="20"/>
        </w:rPr>
        <w:fldChar w:fldCharType="begin"/>
      </w:r>
      <w:r w:rsidRPr="0021051F">
        <w:rPr>
          <w:sz w:val="20"/>
          <w:szCs w:val="20"/>
        </w:rPr>
        <w:instrText xml:space="preserve"> SEQ Figure \* ARABIC </w:instrText>
      </w:r>
      <w:r w:rsidRPr="0021051F">
        <w:rPr>
          <w:sz w:val="20"/>
          <w:szCs w:val="20"/>
        </w:rPr>
        <w:fldChar w:fldCharType="separate"/>
      </w:r>
      <w:r w:rsidR="00565456">
        <w:rPr>
          <w:noProof/>
          <w:sz w:val="20"/>
          <w:szCs w:val="20"/>
        </w:rPr>
        <w:t>1</w:t>
      </w:r>
      <w:r w:rsidRPr="0021051F">
        <w:rPr>
          <w:sz w:val="20"/>
          <w:szCs w:val="20"/>
        </w:rPr>
        <w:fldChar w:fldCharType="end"/>
      </w:r>
      <w:r w:rsidRPr="0021051F">
        <w:rPr>
          <w:sz w:val="20"/>
          <w:szCs w:val="20"/>
        </w:rPr>
        <w:t>: Proposed clinical algorithm</w:t>
      </w:r>
    </w:p>
    <w:p w14:paraId="601EFD14" w14:textId="658A0381" w:rsidR="0021051F" w:rsidRDefault="0021051F" w:rsidP="0021051F">
      <w:pPr>
        <w:pStyle w:val="COMexecsumnumberedpara"/>
        <w:numPr>
          <w:ilvl w:val="0"/>
          <w:numId w:val="0"/>
        </w:numPr>
        <w:rPr>
          <w:color w:val="0066FF"/>
        </w:rPr>
      </w:pPr>
      <w:r w:rsidRPr="001159D0">
        <w:rPr>
          <w:noProof/>
        </w:rPr>
        <w:drawing>
          <wp:inline distT="0" distB="0" distL="0" distR="0" wp14:anchorId="3F03E7ED" wp14:editId="1052C391">
            <wp:extent cx="5762625" cy="2698756"/>
            <wp:effectExtent l="0" t="0" r="0" b="6350"/>
            <wp:docPr id="1628604573" name="Picture 1628604573" descr="Figure 1: Proposed clinical algorith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8604573" name="Picture 1628604573" descr="Figure 1: Proposed clinical algorithm"/>
                    <pic:cNvPicPr/>
                  </pic:nvPicPr>
                  <pic:blipFill rotWithShape="1">
                    <a:blip r:embed="rId8">
                      <a:extLst>
                        <a:ext uri="{28A0092B-C50C-407E-A947-70E740481C1C}">
                          <a14:useLocalDpi xmlns:a14="http://schemas.microsoft.com/office/drawing/2010/main" val="0"/>
                        </a:ext>
                      </a:extLst>
                    </a:blip>
                    <a:srcRect/>
                    <a:stretch/>
                  </pic:blipFill>
                  <pic:spPr bwMode="auto">
                    <a:xfrm>
                      <a:off x="0" y="0"/>
                      <a:ext cx="5763810" cy="2699311"/>
                    </a:xfrm>
                    <a:prstGeom prst="rect">
                      <a:avLst/>
                    </a:prstGeom>
                    <a:ln>
                      <a:noFill/>
                    </a:ln>
                    <a:extLst>
                      <a:ext uri="{53640926-AAD7-44D8-BBD7-CCE9431645EC}">
                        <a14:shadowObscured xmlns:a14="http://schemas.microsoft.com/office/drawing/2010/main"/>
                      </a:ext>
                    </a:extLst>
                  </pic:spPr>
                </pic:pic>
              </a:graphicData>
            </a:graphic>
          </wp:inline>
        </w:drawing>
      </w:r>
    </w:p>
    <w:p w14:paraId="661A1D5C" w14:textId="77777777" w:rsidR="0021051F" w:rsidRPr="001159D0" w:rsidRDefault="0021051F" w:rsidP="0021051F">
      <w:pPr>
        <w:pStyle w:val="COMTablefooter"/>
      </w:pPr>
      <w:r w:rsidRPr="001159D0">
        <w:t>Source: Figure 1.2.2, p43 of the resubmission.</w:t>
      </w:r>
    </w:p>
    <w:p w14:paraId="12E54896" w14:textId="77777777" w:rsidR="0021051F" w:rsidRPr="001159D0" w:rsidRDefault="0021051F" w:rsidP="0021051F">
      <w:pPr>
        <w:pStyle w:val="COMTablefooter"/>
      </w:pPr>
      <w:r w:rsidRPr="001159D0">
        <w:t>Abbreviations: CKD, chronic kidney disease; CPS, calcium polystyrene sulfonate; K+, potassium; SPS, sodium polystyrene sulfonate; RAASi, renin angiotensin aldosterone system inhibitor; Veltassa, patiromer.</w:t>
      </w:r>
    </w:p>
    <w:p w14:paraId="011E6721" w14:textId="42C20A98" w:rsidR="0021051F" w:rsidRPr="001159D0" w:rsidRDefault="0021051F" w:rsidP="0021051F">
      <w:pPr>
        <w:pStyle w:val="COMTablefooter"/>
      </w:pPr>
      <w:r w:rsidRPr="001159D0">
        <w:t xml:space="preserve">Note: Arrow at left indicates patients who achieve long-term serum K+ control with dietary modification alone. The resubmission assumed </w:t>
      </w:r>
      <w:r w:rsidR="003E2BEF" w:rsidRPr="003E2BEF">
        <w:rPr>
          <w:color w:val="000000"/>
          <w:spacing w:val="15"/>
          <w:shd w:val="solid" w:color="000000" w:fill="000000"/>
          <w:fitText w:val="314" w:id="-1304706803"/>
          <w14:textFill>
            <w14:solidFill>
              <w14:srgbClr w14:val="000000">
                <w14:alpha w14:val="100000"/>
              </w14:srgbClr>
            </w14:solidFill>
          </w14:textFill>
        </w:rPr>
        <w:t>||  |</w:t>
      </w:r>
      <w:r w:rsidR="003E2BEF" w:rsidRPr="003E2BEF">
        <w:rPr>
          <w:color w:val="000000"/>
          <w:spacing w:val="4"/>
          <w:shd w:val="solid" w:color="000000" w:fill="000000"/>
          <w:fitText w:val="314" w:id="-1304706803"/>
          <w14:textFill>
            <w14:solidFill>
              <w14:srgbClr w14:val="000000">
                <w14:alpha w14:val="100000"/>
              </w14:srgbClr>
            </w14:solidFill>
          </w14:textFill>
        </w:rPr>
        <w:t>|</w:t>
      </w:r>
      <w:r w:rsidRPr="001159D0">
        <w:t xml:space="preserve">% of patients will be treated with RAASi dose reduction/withdrawal and </w:t>
      </w:r>
      <w:r w:rsidR="003E2BEF" w:rsidRPr="003E2BEF">
        <w:rPr>
          <w:color w:val="000000"/>
          <w:spacing w:val="13"/>
          <w:shd w:val="solid" w:color="000000" w:fill="000000"/>
          <w:fitText w:val="303" w:id="-1304706802"/>
          <w14:textFill>
            <w14:solidFill>
              <w14:srgbClr w14:val="000000">
                <w14:alpha w14:val="100000"/>
              </w14:srgbClr>
            </w14:solidFill>
          </w14:textFill>
        </w:rPr>
        <w:t>||  |</w:t>
      </w:r>
      <w:r w:rsidR="003E2BEF" w:rsidRPr="003E2BEF">
        <w:rPr>
          <w:color w:val="000000"/>
          <w:spacing w:val="3"/>
          <w:shd w:val="solid" w:color="000000" w:fill="000000"/>
          <w:fitText w:val="303" w:id="-1304706802"/>
          <w14:textFill>
            <w14:solidFill>
              <w14:srgbClr w14:val="000000">
                <w14:alpha w14:val="100000"/>
              </w14:srgbClr>
            </w14:solidFill>
          </w14:textFill>
        </w:rPr>
        <w:t>|</w:t>
      </w:r>
      <w:r w:rsidRPr="001159D0">
        <w:t>% with short-term or long-term SPS/CPS use.</w:t>
      </w:r>
    </w:p>
    <w:p w14:paraId="73AF4DD2" w14:textId="683F8597" w:rsidR="00683235" w:rsidRPr="00804745" w:rsidRDefault="009B1ECF" w:rsidP="009B1ECF">
      <w:pPr>
        <w:pStyle w:val="COMexecsumnumberedpara"/>
        <w:rPr>
          <w:color w:val="0066FF"/>
        </w:rPr>
      </w:pPr>
      <w:r w:rsidRPr="002F6665">
        <w:rPr>
          <w:lang w:eastAsia="zh-CN"/>
        </w:rPr>
        <w:t>The resubmission acknowledged that dapagliflozin, a sodium-glucose cotransporter 2 inhibitor (SGLT2i), was recently recommended by the PBAC for the treatment of CKD (</w:t>
      </w:r>
      <w:r w:rsidR="008B79E5">
        <w:rPr>
          <w:lang w:eastAsia="zh-CN"/>
        </w:rPr>
        <w:t>d</w:t>
      </w:r>
      <w:r w:rsidRPr="002F6665">
        <w:rPr>
          <w:lang w:eastAsia="zh-CN"/>
        </w:rPr>
        <w:t xml:space="preserve">apagliflozin PSD, November 2021), but suggested that dapagliflozin may only have a small impact on the proposed clinical pathway for patiromer, as there was only a small overlap between target populations. </w:t>
      </w:r>
      <w:r w:rsidR="00D70B5D">
        <w:rPr>
          <w:lang w:eastAsia="zh-CN"/>
        </w:rPr>
        <w:t>However, the evaluation considered that t</w:t>
      </w:r>
      <w:r w:rsidRPr="002F6665">
        <w:rPr>
          <w:lang w:eastAsia="zh-CN"/>
        </w:rPr>
        <w:t xml:space="preserve">he emergence of SGLT2i medicines in the treatment of CKD and related comorbidities (diabetes, heart failure) may delay the progression of CKD and the clinical need for long-term use of </w:t>
      </w:r>
      <w:r w:rsidR="009C69BA">
        <w:t>potassium</w:t>
      </w:r>
      <w:r w:rsidRPr="002F6665">
        <w:rPr>
          <w:lang w:eastAsia="zh-CN"/>
        </w:rPr>
        <w:t xml:space="preserve"> binding medicines such as patiromer. In addition, SGLT2i medicines may provide an alternative treatment option for reducing the risk of cardiovascular and renal complications in the target population without the accompanying risk of hyperkalaemia associated with RAASi medicines.</w:t>
      </w:r>
      <w:r w:rsidR="007A1761">
        <w:rPr>
          <w:lang w:eastAsia="zh-CN"/>
        </w:rPr>
        <w:t xml:space="preserve"> </w:t>
      </w:r>
      <w:r w:rsidR="007A1761" w:rsidRPr="00FF512C">
        <w:rPr>
          <w:lang w:eastAsia="zh-CN"/>
        </w:rPr>
        <w:t xml:space="preserve">The ESC considered that </w:t>
      </w:r>
      <w:r w:rsidR="007F22ED" w:rsidRPr="00FF512C">
        <w:rPr>
          <w:lang w:eastAsia="zh-CN"/>
        </w:rPr>
        <w:t xml:space="preserve">an </w:t>
      </w:r>
      <w:r w:rsidR="007A1761" w:rsidRPr="00FF512C">
        <w:rPr>
          <w:lang w:eastAsia="zh-CN"/>
        </w:rPr>
        <w:t>impact of SGLT2i use o</w:t>
      </w:r>
      <w:r w:rsidR="0079205C" w:rsidRPr="00FF512C">
        <w:rPr>
          <w:lang w:eastAsia="zh-CN"/>
        </w:rPr>
        <w:t>n</w:t>
      </w:r>
      <w:r w:rsidR="007A1761" w:rsidRPr="00FF512C">
        <w:rPr>
          <w:lang w:eastAsia="zh-CN"/>
        </w:rPr>
        <w:t xml:space="preserve"> the potential use of patiromer was </w:t>
      </w:r>
      <w:r w:rsidR="007F22ED" w:rsidRPr="00FF512C">
        <w:rPr>
          <w:lang w:eastAsia="zh-CN"/>
        </w:rPr>
        <w:t xml:space="preserve">likely but the magnitude </w:t>
      </w:r>
      <w:r w:rsidR="007A1761" w:rsidRPr="00FF512C">
        <w:rPr>
          <w:lang w:eastAsia="zh-CN"/>
        </w:rPr>
        <w:t>uncertain.</w:t>
      </w:r>
    </w:p>
    <w:p w14:paraId="4F9E6662" w14:textId="0AFBC521" w:rsidR="00804745" w:rsidRPr="00804745" w:rsidDel="00195452" w:rsidRDefault="00804745" w:rsidP="00804745">
      <w:pPr>
        <w:pStyle w:val="COMexecsumnumberedpara"/>
        <w:numPr>
          <w:ilvl w:val="0"/>
          <w:numId w:val="0"/>
        </w:numPr>
        <w:ind w:left="720"/>
        <w:rPr>
          <w:i/>
          <w:iCs/>
        </w:rPr>
      </w:pPr>
      <w:r w:rsidRPr="00804745">
        <w:rPr>
          <w:i/>
          <w:iCs/>
        </w:rPr>
        <w:t>For more detail on PBAC’s view, see section 7 PBAC outcome.</w:t>
      </w:r>
    </w:p>
    <w:p w14:paraId="51E5AE96" w14:textId="136A63B1" w:rsidR="00B50DB8" w:rsidRPr="001159D0" w:rsidRDefault="00B50DB8" w:rsidP="004E18E9">
      <w:pPr>
        <w:pStyle w:val="COMH1numbered"/>
      </w:pPr>
      <w:bookmarkStart w:id="14" w:name="_Toc111818928"/>
      <w:r w:rsidRPr="001159D0">
        <w:t>Comparator</w:t>
      </w:r>
      <w:bookmarkEnd w:id="14"/>
    </w:p>
    <w:p w14:paraId="747A75CC" w14:textId="34394B51" w:rsidR="00A05472" w:rsidRPr="002F6665" w:rsidRDefault="002B3818" w:rsidP="00882E3C">
      <w:pPr>
        <w:pStyle w:val="COMexecsumnumberedpara"/>
        <w:rPr>
          <w:snapToGrid/>
        </w:rPr>
      </w:pPr>
      <w:r w:rsidRPr="002F6665">
        <w:t xml:space="preserve">The resubmission nominated standard care (RAASi reduction/withdrawal with or without low </w:t>
      </w:r>
      <w:r w:rsidR="009C69BA">
        <w:t>potassium</w:t>
      </w:r>
      <w:r w:rsidRPr="002F6665">
        <w:t xml:space="preserve"> dietary modification) as the main comparator, and short- or long-term use of SPS or CPS, as secondary comparators. </w:t>
      </w:r>
      <w:r w:rsidR="00233360" w:rsidRPr="00FF512C">
        <w:t>Th</w:t>
      </w:r>
      <w:r w:rsidR="003E3B33" w:rsidRPr="00FF512C">
        <w:t>e ESC considered that this was</w:t>
      </w:r>
      <w:r w:rsidR="00233360" w:rsidRPr="002F6665">
        <w:t xml:space="preserve"> consistent with the PBAC</w:t>
      </w:r>
      <w:r w:rsidR="003E3B33">
        <w:t>s previous</w:t>
      </w:r>
      <w:r w:rsidR="00233360" w:rsidRPr="002F6665">
        <w:t xml:space="preserve"> consideration that intermittent SPS/CPS resins </w:t>
      </w:r>
      <w:r w:rsidR="003E3B33">
        <w:t>we</w:t>
      </w:r>
      <w:r w:rsidR="00233360" w:rsidRPr="002F6665">
        <w:t>re a relevant comparator.</w:t>
      </w:r>
      <w:r w:rsidR="00233360" w:rsidRPr="002F6665">
        <w:rPr>
          <w:lang w:eastAsia="zh-CN"/>
        </w:rPr>
        <w:t xml:space="preserve"> </w:t>
      </w:r>
    </w:p>
    <w:p w14:paraId="01688785" w14:textId="649C1D51" w:rsidR="008E687D" w:rsidRPr="002F6665" w:rsidRDefault="008E687D" w:rsidP="002058AD">
      <w:pPr>
        <w:pStyle w:val="COMexecsumnumberedpara"/>
        <w:spacing w:after="0"/>
        <w:rPr>
          <w:snapToGrid/>
        </w:rPr>
      </w:pPr>
      <w:r w:rsidRPr="002F6665">
        <w:rPr>
          <w:snapToGrid/>
        </w:rPr>
        <w:lastRenderedPageBreak/>
        <w:t xml:space="preserve">The Guidelines for preparing a submission to the PBAC, Version 5.0, September 2016 (page 14) state </w:t>
      </w:r>
      <w:r w:rsidR="002058AD" w:rsidRPr="002F6665">
        <w:rPr>
          <w:snapToGrid/>
        </w:rPr>
        <w:t>‘</w:t>
      </w:r>
      <w:r w:rsidRPr="002F6665">
        <w:rPr>
          <w:snapToGrid/>
        </w:rPr>
        <w:t>It may be appropriate to use different comparators for different subpopulations where the overall target population for the proposed medicine includes one or more sub-populations and:</w:t>
      </w:r>
    </w:p>
    <w:p w14:paraId="22239EC8" w14:textId="527E8DE8" w:rsidR="008E687D" w:rsidRPr="002F6665" w:rsidRDefault="008E687D" w:rsidP="00804745">
      <w:pPr>
        <w:pStyle w:val="COMexecsumnumberedpara"/>
        <w:numPr>
          <w:ilvl w:val="0"/>
          <w:numId w:val="15"/>
        </w:numPr>
        <w:spacing w:after="0"/>
        <w:ind w:left="1077" w:hanging="357"/>
        <w:rPr>
          <w:snapToGrid/>
        </w:rPr>
      </w:pPr>
      <w:r w:rsidRPr="002F6665">
        <w:rPr>
          <w:snapToGrid/>
        </w:rPr>
        <w:t>the proposed medicine is claimed to be significantly more effective or significantly less toxic than the main alternative comparator therapy in the subpopulation(s) (but not in the remainder of the target population), or</w:t>
      </w:r>
      <w:r w:rsidR="00E60829" w:rsidRPr="002F6665">
        <w:rPr>
          <w:snapToGrid/>
        </w:rPr>
        <w:t>,</w:t>
      </w:r>
    </w:p>
    <w:p w14:paraId="4B8F319A" w14:textId="5AE2024A" w:rsidR="008E687D" w:rsidRPr="002F6665" w:rsidRDefault="008E687D" w:rsidP="00804745">
      <w:pPr>
        <w:pStyle w:val="COMexecsumnumberedpara"/>
        <w:numPr>
          <w:ilvl w:val="0"/>
          <w:numId w:val="15"/>
        </w:numPr>
        <w:ind w:left="1077" w:hanging="357"/>
        <w:rPr>
          <w:snapToGrid/>
        </w:rPr>
      </w:pPr>
      <w:r w:rsidRPr="002F6665">
        <w:rPr>
          <w:snapToGrid/>
        </w:rPr>
        <w:t>where the main comparator therapy used to treat the overall target population cannot be used. That therapy is, therefore, not an alternative therapy for that subpopulation.</w:t>
      </w:r>
      <w:r w:rsidR="002058AD" w:rsidRPr="002F6665">
        <w:rPr>
          <w:snapToGrid/>
        </w:rPr>
        <w:t>’</w:t>
      </w:r>
    </w:p>
    <w:p w14:paraId="52F3B541" w14:textId="67F4E744" w:rsidR="008E687D" w:rsidRPr="00FF512C" w:rsidRDefault="00D70B5D" w:rsidP="00E60829">
      <w:pPr>
        <w:pStyle w:val="COMexecsumnumberedpara"/>
        <w:rPr>
          <w:snapToGrid/>
        </w:rPr>
      </w:pPr>
      <w:r>
        <w:rPr>
          <w:snapToGrid/>
        </w:rPr>
        <w:t>The evaluation and the ESC considered that i</w:t>
      </w:r>
      <w:r w:rsidR="008E687D" w:rsidRPr="00FF512C">
        <w:rPr>
          <w:snapToGrid/>
        </w:rPr>
        <w:t xml:space="preserve">t was unclear whether the group of patients who currently </w:t>
      </w:r>
      <w:r w:rsidR="003E3B33" w:rsidRPr="00FF512C">
        <w:rPr>
          <w:snapToGrid/>
        </w:rPr>
        <w:t xml:space="preserve">receive </w:t>
      </w:r>
      <w:r w:rsidR="008E687D" w:rsidRPr="00FF512C">
        <w:rPr>
          <w:snapToGrid/>
        </w:rPr>
        <w:t xml:space="preserve">standard care </w:t>
      </w:r>
      <w:r w:rsidR="003E3B33" w:rsidRPr="00FF512C">
        <w:rPr>
          <w:snapToGrid/>
        </w:rPr>
        <w:t>we</w:t>
      </w:r>
      <w:r w:rsidR="008E687D" w:rsidRPr="00FF512C">
        <w:rPr>
          <w:snapToGrid/>
        </w:rPr>
        <w:t xml:space="preserve">re a distinct subpopulation </w:t>
      </w:r>
      <w:r w:rsidR="00A02490" w:rsidRPr="00FF512C">
        <w:rPr>
          <w:snapToGrid/>
        </w:rPr>
        <w:t>from</w:t>
      </w:r>
      <w:r w:rsidR="008E687D" w:rsidRPr="00FF512C">
        <w:rPr>
          <w:snapToGrid/>
        </w:rPr>
        <w:t xml:space="preserve"> those who currently </w:t>
      </w:r>
      <w:r w:rsidR="003E3B33" w:rsidRPr="00FF512C">
        <w:rPr>
          <w:snapToGrid/>
        </w:rPr>
        <w:t xml:space="preserve">receive </w:t>
      </w:r>
      <w:r w:rsidR="008E687D" w:rsidRPr="00FF512C">
        <w:rPr>
          <w:snapToGrid/>
        </w:rPr>
        <w:t>SPS/CPS resins</w:t>
      </w:r>
      <w:r w:rsidR="00870209" w:rsidRPr="00FF512C">
        <w:rPr>
          <w:snapToGrid/>
        </w:rPr>
        <w:t xml:space="preserve">. Further, </w:t>
      </w:r>
      <w:r>
        <w:rPr>
          <w:snapToGrid/>
        </w:rPr>
        <w:t xml:space="preserve">the evaluation and the ESC considered </w:t>
      </w:r>
      <w:r w:rsidR="00870209" w:rsidRPr="00FF512C">
        <w:rPr>
          <w:snapToGrid/>
        </w:rPr>
        <w:t xml:space="preserve">it was also unclear why SPS/CPS resins </w:t>
      </w:r>
      <w:r w:rsidR="003E3B33" w:rsidRPr="00FF512C">
        <w:rPr>
          <w:snapToGrid/>
        </w:rPr>
        <w:t xml:space="preserve">could not </w:t>
      </w:r>
      <w:r w:rsidR="00870209" w:rsidRPr="00FF512C">
        <w:rPr>
          <w:snapToGrid/>
        </w:rPr>
        <w:t>be used to treat the overall target population, and</w:t>
      </w:r>
      <w:r w:rsidR="008B79E5" w:rsidRPr="00FF512C">
        <w:rPr>
          <w:snapToGrid/>
        </w:rPr>
        <w:t>,</w:t>
      </w:r>
      <w:r w:rsidR="00870209" w:rsidRPr="00FF512C">
        <w:rPr>
          <w:snapToGrid/>
        </w:rPr>
        <w:t xml:space="preserve"> as such</w:t>
      </w:r>
      <w:r w:rsidR="008B79E5" w:rsidRPr="00FF512C">
        <w:rPr>
          <w:snapToGrid/>
        </w:rPr>
        <w:t>,</w:t>
      </w:r>
      <w:r w:rsidR="00870209" w:rsidRPr="00FF512C">
        <w:rPr>
          <w:snapToGrid/>
        </w:rPr>
        <w:t xml:space="preserve"> the use of two </w:t>
      </w:r>
      <w:r w:rsidR="00A02490" w:rsidRPr="00FF512C">
        <w:rPr>
          <w:snapToGrid/>
        </w:rPr>
        <w:t xml:space="preserve">different </w:t>
      </w:r>
      <w:r w:rsidR="00870209" w:rsidRPr="00FF512C">
        <w:rPr>
          <w:snapToGrid/>
        </w:rPr>
        <w:t xml:space="preserve">comparators </w:t>
      </w:r>
      <w:r w:rsidR="00A02490" w:rsidRPr="00FF512C">
        <w:rPr>
          <w:snapToGrid/>
        </w:rPr>
        <w:t xml:space="preserve">(with a weighted price, reflecting a substantially higher patiromer price for the subpopulation who would otherwise be treated with standard care) may not </w:t>
      </w:r>
      <w:r w:rsidR="003E3B33" w:rsidRPr="00FF512C">
        <w:rPr>
          <w:snapToGrid/>
        </w:rPr>
        <w:t xml:space="preserve">have </w:t>
      </w:r>
      <w:r w:rsidR="00A02490" w:rsidRPr="00FF512C">
        <w:rPr>
          <w:snapToGrid/>
        </w:rPr>
        <w:t>be</w:t>
      </w:r>
      <w:r w:rsidR="003E3B33" w:rsidRPr="00FF512C">
        <w:rPr>
          <w:snapToGrid/>
        </w:rPr>
        <w:t>en</w:t>
      </w:r>
      <w:r w:rsidR="00A02490" w:rsidRPr="00FF512C">
        <w:rPr>
          <w:snapToGrid/>
        </w:rPr>
        <w:t xml:space="preserve"> appropriate</w:t>
      </w:r>
      <w:r w:rsidR="008E687D" w:rsidRPr="00FF512C">
        <w:rPr>
          <w:snapToGrid/>
        </w:rPr>
        <w:t>.</w:t>
      </w:r>
    </w:p>
    <w:p w14:paraId="2C6AB7B0" w14:textId="77C63077" w:rsidR="00B36AF6" w:rsidRPr="00804745" w:rsidRDefault="00E66E5B" w:rsidP="00882E3C">
      <w:pPr>
        <w:pStyle w:val="COMexecsumnumberedpara"/>
        <w:rPr>
          <w:snapToGrid/>
        </w:rPr>
      </w:pPr>
      <w:r w:rsidRPr="00FF512C">
        <w:rPr>
          <w:lang w:eastAsia="zh-CN"/>
        </w:rPr>
        <w:t>SPS/CPS resins have a similar mechanism of action to patiromer and have been used for the</w:t>
      </w:r>
      <w:r w:rsidR="009A5B6E" w:rsidRPr="00FF512C">
        <w:rPr>
          <w:lang w:eastAsia="zh-CN"/>
        </w:rPr>
        <w:t xml:space="preserve"> treatment of hyperkalaemia in the requested population in the Australian setting</w:t>
      </w:r>
      <w:r w:rsidR="000009E2" w:rsidRPr="00FF512C">
        <w:rPr>
          <w:lang w:eastAsia="zh-CN"/>
        </w:rPr>
        <w:t xml:space="preserve">. </w:t>
      </w:r>
      <w:r w:rsidR="00A1556D" w:rsidRPr="00FF512C">
        <w:rPr>
          <w:lang w:eastAsia="zh-CN"/>
        </w:rPr>
        <w:t xml:space="preserve">SPS </w:t>
      </w:r>
      <w:r w:rsidR="00593C8B" w:rsidRPr="00FF512C">
        <w:rPr>
          <w:lang w:eastAsia="zh-CN"/>
        </w:rPr>
        <w:t>is</w:t>
      </w:r>
      <w:r w:rsidR="00A1556D" w:rsidRPr="00FF512C">
        <w:rPr>
          <w:lang w:eastAsia="zh-CN"/>
        </w:rPr>
        <w:t xml:space="preserve"> listed on the Australian Register of Therapeutic </w:t>
      </w:r>
      <w:r w:rsidR="00593C8B" w:rsidRPr="00FF512C">
        <w:rPr>
          <w:lang w:eastAsia="zh-CN"/>
        </w:rPr>
        <w:t>G</w:t>
      </w:r>
      <w:r w:rsidR="00A1556D" w:rsidRPr="00FF512C">
        <w:rPr>
          <w:lang w:eastAsia="zh-CN"/>
        </w:rPr>
        <w:t xml:space="preserve">oods </w:t>
      </w:r>
      <w:r w:rsidR="00593C8B" w:rsidRPr="00FF512C">
        <w:rPr>
          <w:lang w:eastAsia="zh-CN"/>
        </w:rPr>
        <w:t xml:space="preserve">(ARTG) </w:t>
      </w:r>
      <w:r w:rsidR="00A1556D" w:rsidRPr="00FF512C">
        <w:rPr>
          <w:lang w:eastAsia="zh-CN"/>
        </w:rPr>
        <w:t xml:space="preserve">for the treatment of </w:t>
      </w:r>
      <w:r w:rsidR="00593C8B" w:rsidRPr="00FF512C">
        <w:rPr>
          <w:lang w:eastAsia="zh-CN"/>
        </w:rPr>
        <w:t>hyperkalaemia</w:t>
      </w:r>
      <w:r w:rsidR="005B4C32" w:rsidRPr="00FF512C">
        <w:rPr>
          <w:lang w:eastAsia="zh-CN"/>
        </w:rPr>
        <w:t xml:space="preserve"> and is listed on the RPBS. C</w:t>
      </w:r>
      <w:r w:rsidR="009502D8" w:rsidRPr="00FF512C">
        <w:rPr>
          <w:lang w:eastAsia="zh-CN"/>
        </w:rPr>
        <w:t xml:space="preserve">PS is listed on the </w:t>
      </w:r>
      <w:r w:rsidR="005B4C32" w:rsidRPr="00FF512C">
        <w:rPr>
          <w:lang w:eastAsia="zh-CN"/>
        </w:rPr>
        <w:t xml:space="preserve">ARTG </w:t>
      </w:r>
      <w:r w:rsidR="009502D8" w:rsidRPr="00FF512C">
        <w:rPr>
          <w:lang w:eastAsia="zh-CN"/>
        </w:rPr>
        <w:t xml:space="preserve">for the treatment of </w:t>
      </w:r>
      <w:r w:rsidR="00D50F1B" w:rsidRPr="00FF512C">
        <w:rPr>
          <w:lang w:eastAsia="zh-CN"/>
        </w:rPr>
        <w:t>hyperkalaemia associated with anuria and severe oliguria</w:t>
      </w:r>
      <w:r w:rsidR="009502D8" w:rsidRPr="00FF512C">
        <w:rPr>
          <w:lang w:eastAsia="zh-CN"/>
        </w:rPr>
        <w:t xml:space="preserve">. </w:t>
      </w:r>
    </w:p>
    <w:p w14:paraId="093E4F41" w14:textId="435ED4A8" w:rsidR="00804745" w:rsidRPr="00804745" w:rsidRDefault="00804745" w:rsidP="00804745">
      <w:pPr>
        <w:pStyle w:val="COMexecsumnumberedpara"/>
        <w:numPr>
          <w:ilvl w:val="0"/>
          <w:numId w:val="0"/>
        </w:numPr>
        <w:ind w:left="720"/>
        <w:rPr>
          <w:i/>
          <w:iCs/>
        </w:rPr>
      </w:pPr>
      <w:r w:rsidRPr="00804745">
        <w:rPr>
          <w:i/>
          <w:iCs/>
        </w:rPr>
        <w:t>For more detail on PBAC’s view, see section 7 PBAC outcome.</w:t>
      </w:r>
    </w:p>
    <w:p w14:paraId="7F9C27C8" w14:textId="77777777" w:rsidR="00223D5A" w:rsidRPr="001159D0" w:rsidRDefault="00223D5A" w:rsidP="00487B05">
      <w:pPr>
        <w:pStyle w:val="COMH1numbered"/>
      </w:pPr>
      <w:bookmarkStart w:id="15" w:name="_Toc111818929"/>
      <w:bookmarkStart w:id="16" w:name="_Toc22897640"/>
      <w:r w:rsidRPr="001159D0">
        <w:t>Consideration of the evidence</w:t>
      </w:r>
      <w:bookmarkEnd w:id="15"/>
    </w:p>
    <w:p w14:paraId="39E1EDAD" w14:textId="77777777" w:rsidR="00804745" w:rsidRPr="0072641B" w:rsidRDefault="00804745" w:rsidP="00804745">
      <w:pPr>
        <w:pStyle w:val="COMH2-numbered"/>
        <w:spacing w:after="120"/>
      </w:pPr>
      <w:bookmarkStart w:id="17" w:name="_Hlk76375935"/>
      <w:bookmarkStart w:id="18" w:name="_Toc111818930"/>
      <w:r w:rsidRPr="0072641B">
        <w:t>Sponsor hearing</w:t>
      </w:r>
    </w:p>
    <w:p w14:paraId="2B67E36F" w14:textId="39590DBF" w:rsidR="00804745" w:rsidRPr="0072641B" w:rsidRDefault="00804745" w:rsidP="00804745">
      <w:pPr>
        <w:widowControl w:val="0"/>
        <w:numPr>
          <w:ilvl w:val="1"/>
          <w:numId w:val="1"/>
        </w:numPr>
        <w:spacing w:after="120"/>
        <w:ind w:left="720" w:hanging="720"/>
        <w:rPr>
          <w:rFonts w:asciiTheme="minorHAnsi" w:hAnsiTheme="minorHAnsi"/>
          <w:bCs/>
          <w:snapToGrid w:val="0"/>
        </w:rPr>
      </w:pPr>
      <w:bookmarkStart w:id="19" w:name="_Hlk76382586"/>
      <w:r w:rsidRPr="0072641B">
        <w:rPr>
          <w:rFonts w:asciiTheme="minorHAnsi" w:hAnsiTheme="minorHAnsi"/>
          <w:bCs/>
          <w:snapToGrid w:val="0"/>
        </w:rPr>
        <w:t xml:space="preserve">The sponsor requested a hearing for this item. The clinician </w:t>
      </w:r>
      <w:r w:rsidR="00307176" w:rsidRPr="0072641B">
        <w:rPr>
          <w:rFonts w:asciiTheme="minorHAnsi" w:hAnsiTheme="minorHAnsi"/>
          <w:bCs/>
          <w:snapToGrid w:val="0"/>
        </w:rPr>
        <w:t>described</w:t>
      </w:r>
      <w:r w:rsidRPr="0072641B">
        <w:rPr>
          <w:rFonts w:asciiTheme="minorHAnsi" w:hAnsiTheme="minorHAnsi"/>
          <w:bCs/>
          <w:snapToGrid w:val="0"/>
        </w:rPr>
        <w:t xml:space="preserve"> how </w:t>
      </w:r>
      <w:r w:rsidR="0072641B">
        <w:rPr>
          <w:rFonts w:asciiTheme="minorHAnsi" w:hAnsiTheme="minorHAnsi"/>
          <w:bCs/>
          <w:snapToGrid w:val="0"/>
        </w:rPr>
        <w:t>patiromer</w:t>
      </w:r>
      <w:r w:rsidRPr="0072641B">
        <w:rPr>
          <w:rFonts w:asciiTheme="minorHAnsi" w:hAnsiTheme="minorHAnsi"/>
          <w:bCs/>
          <w:snapToGrid w:val="0"/>
        </w:rPr>
        <w:t xml:space="preserve"> would be used in practice</w:t>
      </w:r>
      <w:r w:rsidR="00307176" w:rsidRPr="0072641B">
        <w:rPr>
          <w:rFonts w:asciiTheme="minorHAnsi" w:hAnsiTheme="minorHAnsi"/>
          <w:bCs/>
          <w:snapToGrid w:val="0"/>
        </w:rPr>
        <w:t xml:space="preserve"> and the importance of long</w:t>
      </w:r>
      <w:r w:rsidR="003636FD" w:rsidRPr="0072641B">
        <w:rPr>
          <w:rFonts w:asciiTheme="minorHAnsi" w:hAnsiTheme="minorHAnsi"/>
          <w:bCs/>
          <w:snapToGrid w:val="0"/>
        </w:rPr>
        <w:t>-</w:t>
      </w:r>
      <w:r w:rsidR="00307176" w:rsidRPr="0072641B">
        <w:rPr>
          <w:rFonts w:asciiTheme="minorHAnsi" w:hAnsiTheme="minorHAnsi"/>
          <w:bCs/>
          <w:snapToGrid w:val="0"/>
        </w:rPr>
        <w:t xml:space="preserve">term potassium control and highlighted the need for safe, effective and palatable therapies in this setting. </w:t>
      </w:r>
      <w:r w:rsidR="001700CE">
        <w:rPr>
          <w:rFonts w:asciiTheme="minorHAnsi" w:hAnsiTheme="minorHAnsi"/>
          <w:bCs/>
          <w:snapToGrid w:val="0"/>
        </w:rPr>
        <w:t xml:space="preserve">The clinician outlined that the currently available resins are poorly tolerated and unpalatable, with patients generally only having intermediate adherence to these therapies. </w:t>
      </w:r>
      <w:r w:rsidR="00307176" w:rsidRPr="0072641B">
        <w:rPr>
          <w:rFonts w:asciiTheme="minorHAnsi" w:hAnsiTheme="minorHAnsi"/>
          <w:bCs/>
          <w:snapToGrid w:val="0"/>
        </w:rPr>
        <w:t xml:space="preserve">The clinician also </w:t>
      </w:r>
      <w:r w:rsidRPr="0072641B">
        <w:rPr>
          <w:rFonts w:asciiTheme="minorHAnsi" w:hAnsiTheme="minorHAnsi"/>
          <w:bCs/>
          <w:snapToGrid w:val="0"/>
        </w:rPr>
        <w:t xml:space="preserve">addressed other matters in response to the Committee’s questions. The PBAC considered that the hearing was informative as it provided a clinical perspective on treating this </w:t>
      </w:r>
      <w:r w:rsidR="00307176" w:rsidRPr="0072641B">
        <w:rPr>
          <w:rFonts w:asciiTheme="minorHAnsi" w:hAnsiTheme="minorHAnsi"/>
          <w:bCs/>
          <w:snapToGrid w:val="0"/>
        </w:rPr>
        <w:t>condition.</w:t>
      </w:r>
    </w:p>
    <w:bookmarkEnd w:id="19"/>
    <w:p w14:paraId="18EDC42E" w14:textId="77777777" w:rsidR="00804745" w:rsidRPr="0072641B" w:rsidRDefault="00804745" w:rsidP="00804745">
      <w:pPr>
        <w:pStyle w:val="COMH2-numbered"/>
        <w:spacing w:after="120"/>
      </w:pPr>
      <w:r w:rsidRPr="0072641B">
        <w:t>Consumer comments</w:t>
      </w:r>
    </w:p>
    <w:p w14:paraId="326A1C02" w14:textId="7BA3C653" w:rsidR="00804745" w:rsidRPr="0072641B" w:rsidRDefault="00804745" w:rsidP="00C731C9">
      <w:pPr>
        <w:widowControl w:val="0"/>
        <w:numPr>
          <w:ilvl w:val="1"/>
          <w:numId w:val="1"/>
        </w:numPr>
        <w:spacing w:after="120"/>
        <w:ind w:left="720" w:hanging="720"/>
        <w:rPr>
          <w:rFonts w:asciiTheme="minorHAnsi" w:hAnsiTheme="minorHAnsi"/>
          <w:bCs/>
          <w:snapToGrid w:val="0"/>
        </w:rPr>
      </w:pPr>
      <w:bookmarkStart w:id="20" w:name="_Hlk76382618"/>
      <w:r w:rsidRPr="0072641B">
        <w:rPr>
          <w:rFonts w:asciiTheme="minorHAnsi" w:hAnsiTheme="minorHAnsi"/>
          <w:bCs/>
          <w:snapToGrid w:val="0"/>
        </w:rPr>
        <w:t xml:space="preserve">The PBAC noted and welcomed the input from </w:t>
      </w:r>
      <w:r w:rsidR="001700CE">
        <w:rPr>
          <w:rFonts w:asciiTheme="minorHAnsi" w:hAnsiTheme="minorHAnsi"/>
          <w:bCs/>
          <w:snapToGrid w:val="0"/>
        </w:rPr>
        <w:t xml:space="preserve">an </w:t>
      </w:r>
      <w:r w:rsidRPr="0072641B">
        <w:rPr>
          <w:rFonts w:asciiTheme="minorHAnsi" w:hAnsiTheme="minorHAnsi"/>
          <w:bCs/>
          <w:snapToGrid w:val="0"/>
        </w:rPr>
        <w:t>individual (</w:t>
      </w:r>
      <w:r w:rsidR="00307176" w:rsidRPr="0072641B">
        <w:rPr>
          <w:rFonts w:asciiTheme="minorHAnsi" w:hAnsiTheme="minorHAnsi"/>
          <w:bCs/>
          <w:snapToGrid w:val="0"/>
        </w:rPr>
        <w:t>1</w:t>
      </w:r>
      <w:r w:rsidRPr="0072641B">
        <w:rPr>
          <w:rFonts w:asciiTheme="minorHAnsi" w:hAnsiTheme="minorHAnsi"/>
          <w:bCs/>
          <w:snapToGrid w:val="0"/>
        </w:rPr>
        <w:t>)</w:t>
      </w:r>
      <w:r w:rsidR="00307176" w:rsidRPr="0072641B">
        <w:rPr>
          <w:rFonts w:asciiTheme="minorHAnsi" w:hAnsiTheme="minorHAnsi"/>
          <w:bCs/>
          <w:snapToGrid w:val="0"/>
        </w:rPr>
        <w:t xml:space="preserve"> and</w:t>
      </w:r>
      <w:r w:rsidRPr="0072641B">
        <w:rPr>
          <w:rFonts w:asciiTheme="minorHAnsi" w:hAnsiTheme="minorHAnsi"/>
          <w:bCs/>
          <w:snapToGrid w:val="0"/>
        </w:rPr>
        <w:t xml:space="preserve"> health care professionals (</w:t>
      </w:r>
      <w:r w:rsidR="00307176" w:rsidRPr="0072641B">
        <w:rPr>
          <w:rFonts w:asciiTheme="minorHAnsi" w:hAnsiTheme="minorHAnsi"/>
          <w:bCs/>
          <w:snapToGrid w:val="0"/>
        </w:rPr>
        <w:t>30</w:t>
      </w:r>
      <w:r w:rsidRPr="0072641B">
        <w:rPr>
          <w:rFonts w:asciiTheme="minorHAnsi" w:hAnsiTheme="minorHAnsi"/>
          <w:bCs/>
          <w:snapToGrid w:val="0"/>
        </w:rPr>
        <w:t xml:space="preserve">) via the Consumer Comments facility on the PBS website. The </w:t>
      </w:r>
      <w:r w:rsidR="00307176" w:rsidRPr="0072641B">
        <w:rPr>
          <w:rFonts w:asciiTheme="minorHAnsi" w:hAnsiTheme="minorHAnsi"/>
          <w:bCs/>
          <w:snapToGrid w:val="0"/>
        </w:rPr>
        <w:t>individual’s comment described the benefits of lowered potassium on their other health conditions, including diabetes and blood pressure. The clinician</w:t>
      </w:r>
      <w:r w:rsidR="00F81429" w:rsidRPr="0072641B">
        <w:rPr>
          <w:rFonts w:asciiTheme="minorHAnsi" w:hAnsiTheme="minorHAnsi"/>
          <w:bCs/>
          <w:snapToGrid w:val="0"/>
        </w:rPr>
        <w:t>’</w:t>
      </w:r>
      <w:r w:rsidR="00307176" w:rsidRPr="0072641B">
        <w:rPr>
          <w:rFonts w:asciiTheme="minorHAnsi" w:hAnsiTheme="minorHAnsi"/>
          <w:bCs/>
          <w:snapToGrid w:val="0"/>
        </w:rPr>
        <w:t xml:space="preserve">s </w:t>
      </w:r>
      <w:r w:rsidRPr="0072641B">
        <w:rPr>
          <w:rFonts w:asciiTheme="minorHAnsi" w:hAnsiTheme="minorHAnsi"/>
          <w:bCs/>
          <w:snapToGrid w:val="0"/>
        </w:rPr>
        <w:t xml:space="preserve">comments </w:t>
      </w:r>
      <w:r w:rsidR="00307176" w:rsidRPr="0072641B">
        <w:rPr>
          <w:rFonts w:asciiTheme="minorHAnsi" w:hAnsiTheme="minorHAnsi"/>
          <w:bCs/>
          <w:snapToGrid w:val="0"/>
        </w:rPr>
        <w:t xml:space="preserve">described the side effects associated with </w:t>
      </w:r>
      <w:r w:rsidR="00F35055">
        <w:rPr>
          <w:rFonts w:asciiTheme="minorHAnsi" w:hAnsiTheme="minorHAnsi"/>
          <w:bCs/>
          <w:snapToGrid w:val="0"/>
        </w:rPr>
        <w:t xml:space="preserve">SPS/CPS resins including poor </w:t>
      </w:r>
      <w:r w:rsidR="00F35055">
        <w:rPr>
          <w:rFonts w:asciiTheme="minorHAnsi" w:hAnsiTheme="minorHAnsi"/>
          <w:bCs/>
          <w:snapToGrid w:val="0"/>
        </w:rPr>
        <w:lastRenderedPageBreak/>
        <w:t xml:space="preserve">gastrointestinal tolerability, and the </w:t>
      </w:r>
      <w:r w:rsidR="00F35055" w:rsidRPr="00F35055">
        <w:rPr>
          <w:rFonts w:asciiTheme="minorHAnsi" w:hAnsiTheme="minorHAnsi"/>
          <w:bCs/>
          <w:snapToGrid w:val="0"/>
        </w:rPr>
        <w:t xml:space="preserve">significant palatability issues </w:t>
      </w:r>
      <w:r w:rsidR="00F35055">
        <w:rPr>
          <w:rFonts w:asciiTheme="minorHAnsi" w:hAnsiTheme="minorHAnsi"/>
          <w:bCs/>
          <w:snapToGrid w:val="0"/>
        </w:rPr>
        <w:t xml:space="preserve">which </w:t>
      </w:r>
      <w:r w:rsidR="00F35055" w:rsidRPr="00F35055">
        <w:rPr>
          <w:rFonts w:asciiTheme="minorHAnsi" w:hAnsiTheme="minorHAnsi"/>
          <w:bCs/>
          <w:snapToGrid w:val="0"/>
        </w:rPr>
        <w:t>result in variable and poor compliance</w:t>
      </w:r>
      <w:r w:rsidR="002344AF">
        <w:rPr>
          <w:rFonts w:asciiTheme="minorHAnsi" w:hAnsiTheme="minorHAnsi"/>
          <w:bCs/>
          <w:snapToGrid w:val="0"/>
        </w:rPr>
        <w:t>. One clinician outlined that the</w:t>
      </w:r>
      <w:r w:rsidR="002344AF" w:rsidRPr="002344AF">
        <w:rPr>
          <w:rFonts w:asciiTheme="minorHAnsi" w:hAnsiTheme="minorHAnsi"/>
          <w:bCs/>
          <w:snapToGrid w:val="0"/>
        </w:rPr>
        <w:t xml:space="preserve"> treatment burden </w:t>
      </w:r>
      <w:r w:rsidR="002344AF">
        <w:rPr>
          <w:rFonts w:asciiTheme="minorHAnsi" w:hAnsiTheme="minorHAnsi"/>
          <w:bCs/>
          <w:snapToGrid w:val="0"/>
        </w:rPr>
        <w:t xml:space="preserve">associated with SPS/CPS resins </w:t>
      </w:r>
      <w:r w:rsidR="002344AF" w:rsidRPr="002344AF">
        <w:rPr>
          <w:rFonts w:asciiTheme="minorHAnsi" w:hAnsiTheme="minorHAnsi"/>
          <w:bCs/>
          <w:snapToGrid w:val="0"/>
        </w:rPr>
        <w:t>contributes to poor quality of life in individuals with chronic kidney disease</w:t>
      </w:r>
      <w:r w:rsidR="00F35055">
        <w:rPr>
          <w:rFonts w:asciiTheme="minorHAnsi" w:hAnsiTheme="minorHAnsi"/>
          <w:bCs/>
          <w:snapToGrid w:val="0"/>
        </w:rPr>
        <w:t>. The comments also</w:t>
      </w:r>
      <w:r w:rsidR="00307176" w:rsidRPr="0072641B">
        <w:rPr>
          <w:rFonts w:asciiTheme="minorHAnsi" w:hAnsiTheme="minorHAnsi"/>
          <w:bCs/>
          <w:snapToGrid w:val="0"/>
        </w:rPr>
        <w:t xml:space="preserve"> </w:t>
      </w:r>
      <w:r w:rsidRPr="0072641B">
        <w:rPr>
          <w:rFonts w:asciiTheme="minorHAnsi" w:hAnsiTheme="minorHAnsi"/>
          <w:bCs/>
          <w:snapToGrid w:val="0"/>
        </w:rPr>
        <w:t xml:space="preserve">described </w:t>
      </w:r>
      <w:r w:rsidR="00307176" w:rsidRPr="0072641B">
        <w:rPr>
          <w:rFonts w:asciiTheme="minorHAnsi" w:hAnsiTheme="minorHAnsi"/>
          <w:bCs/>
          <w:snapToGrid w:val="0"/>
        </w:rPr>
        <w:t>the</w:t>
      </w:r>
      <w:r w:rsidRPr="0072641B">
        <w:rPr>
          <w:rFonts w:asciiTheme="minorHAnsi" w:hAnsiTheme="minorHAnsi"/>
          <w:bCs/>
          <w:snapToGrid w:val="0"/>
        </w:rPr>
        <w:t xml:space="preserve"> benefits of treatment with </w:t>
      </w:r>
      <w:r w:rsidR="00307176" w:rsidRPr="0072641B">
        <w:rPr>
          <w:rFonts w:asciiTheme="minorHAnsi" w:hAnsiTheme="minorHAnsi"/>
          <w:bCs/>
          <w:snapToGrid w:val="0"/>
        </w:rPr>
        <w:t>patiromer</w:t>
      </w:r>
      <w:r w:rsidRPr="0072641B">
        <w:rPr>
          <w:rFonts w:asciiTheme="minorHAnsi" w:hAnsiTheme="minorHAnsi"/>
          <w:bCs/>
          <w:snapToGrid w:val="0"/>
        </w:rPr>
        <w:t xml:space="preserve"> including </w:t>
      </w:r>
      <w:r w:rsidR="00CE31C9">
        <w:rPr>
          <w:rFonts w:asciiTheme="minorHAnsi" w:hAnsiTheme="minorHAnsi"/>
          <w:bCs/>
          <w:snapToGrid w:val="0"/>
        </w:rPr>
        <w:t xml:space="preserve">that it is </w:t>
      </w:r>
      <w:r w:rsidR="00CE31C9" w:rsidRPr="00CE31C9">
        <w:rPr>
          <w:rFonts w:asciiTheme="minorHAnsi" w:hAnsiTheme="minorHAnsi"/>
          <w:bCs/>
          <w:snapToGrid w:val="0"/>
        </w:rPr>
        <w:t>well-tolerated</w:t>
      </w:r>
      <w:r w:rsidR="00CE31C9">
        <w:rPr>
          <w:rFonts w:asciiTheme="minorHAnsi" w:hAnsiTheme="minorHAnsi"/>
          <w:bCs/>
          <w:snapToGrid w:val="0"/>
        </w:rPr>
        <w:t xml:space="preserve"> and</w:t>
      </w:r>
      <w:r w:rsidR="00CE31C9" w:rsidRPr="00CE31C9">
        <w:rPr>
          <w:rFonts w:asciiTheme="minorHAnsi" w:hAnsiTheme="minorHAnsi"/>
          <w:bCs/>
          <w:snapToGrid w:val="0"/>
        </w:rPr>
        <w:t xml:space="preserve"> palatable, </w:t>
      </w:r>
      <w:r w:rsidR="00CE31C9">
        <w:rPr>
          <w:rFonts w:asciiTheme="minorHAnsi" w:hAnsiTheme="minorHAnsi"/>
          <w:bCs/>
          <w:snapToGrid w:val="0"/>
        </w:rPr>
        <w:t xml:space="preserve">and </w:t>
      </w:r>
      <w:r w:rsidRPr="0072641B">
        <w:rPr>
          <w:rFonts w:asciiTheme="minorHAnsi" w:hAnsiTheme="minorHAnsi"/>
          <w:bCs/>
          <w:snapToGrid w:val="0"/>
        </w:rPr>
        <w:t>the</w:t>
      </w:r>
      <w:r w:rsidR="002344AF">
        <w:rPr>
          <w:rFonts w:asciiTheme="minorHAnsi" w:hAnsiTheme="minorHAnsi"/>
          <w:bCs/>
          <w:snapToGrid w:val="0"/>
        </w:rPr>
        <w:t>re is</w:t>
      </w:r>
      <w:r w:rsidRPr="0072641B">
        <w:rPr>
          <w:rFonts w:asciiTheme="minorHAnsi" w:hAnsiTheme="minorHAnsi"/>
          <w:bCs/>
          <w:snapToGrid w:val="0"/>
        </w:rPr>
        <w:t xml:space="preserve"> </w:t>
      </w:r>
      <w:r w:rsidR="0072641B">
        <w:rPr>
          <w:rFonts w:asciiTheme="minorHAnsi" w:hAnsiTheme="minorHAnsi"/>
          <w:bCs/>
          <w:snapToGrid w:val="0"/>
        </w:rPr>
        <w:t xml:space="preserve">potential for </w:t>
      </w:r>
      <w:r w:rsidR="002344AF">
        <w:rPr>
          <w:rFonts w:asciiTheme="minorHAnsi" w:hAnsiTheme="minorHAnsi"/>
          <w:bCs/>
          <w:snapToGrid w:val="0"/>
        </w:rPr>
        <w:t xml:space="preserve">a less restrictive diet and </w:t>
      </w:r>
      <w:r w:rsidR="00F81429" w:rsidRPr="0072641B">
        <w:rPr>
          <w:rFonts w:asciiTheme="minorHAnsi" w:hAnsiTheme="minorHAnsi"/>
          <w:bCs/>
          <w:snapToGrid w:val="0"/>
        </w:rPr>
        <w:t xml:space="preserve">improved renal and cardiac health and reduced hospital admissions. </w:t>
      </w:r>
      <w:r w:rsidR="008075ED">
        <w:rPr>
          <w:rFonts w:asciiTheme="minorHAnsi" w:hAnsiTheme="minorHAnsi"/>
          <w:bCs/>
          <w:snapToGrid w:val="0"/>
        </w:rPr>
        <w:t>C</w:t>
      </w:r>
      <w:r w:rsidR="009F2364">
        <w:rPr>
          <w:rFonts w:asciiTheme="minorHAnsi" w:hAnsiTheme="minorHAnsi"/>
          <w:bCs/>
          <w:snapToGrid w:val="0"/>
        </w:rPr>
        <w:t>linicians</w:t>
      </w:r>
      <w:r w:rsidR="00CE31C9">
        <w:rPr>
          <w:rFonts w:asciiTheme="minorHAnsi" w:hAnsiTheme="minorHAnsi"/>
          <w:bCs/>
          <w:snapToGrid w:val="0"/>
        </w:rPr>
        <w:t xml:space="preserve"> considered</w:t>
      </w:r>
      <w:r w:rsidR="00CE31C9" w:rsidRPr="00CE31C9">
        <w:rPr>
          <w:rFonts w:asciiTheme="minorHAnsi" w:hAnsiTheme="minorHAnsi"/>
          <w:bCs/>
          <w:snapToGrid w:val="0"/>
        </w:rPr>
        <w:t xml:space="preserve"> </w:t>
      </w:r>
      <w:r w:rsidR="00CE31C9">
        <w:rPr>
          <w:rFonts w:asciiTheme="minorHAnsi" w:hAnsiTheme="minorHAnsi"/>
          <w:bCs/>
          <w:snapToGrid w:val="0"/>
        </w:rPr>
        <w:t>that patiromer is a</w:t>
      </w:r>
      <w:r w:rsidR="00CE31C9" w:rsidRPr="00CE31C9">
        <w:rPr>
          <w:rFonts w:asciiTheme="minorHAnsi" w:hAnsiTheme="minorHAnsi"/>
          <w:bCs/>
          <w:snapToGrid w:val="0"/>
        </w:rPr>
        <w:t xml:space="preserve"> favourable alternative to current treatment options</w:t>
      </w:r>
      <w:r w:rsidR="00CE31C9">
        <w:rPr>
          <w:rFonts w:asciiTheme="minorHAnsi" w:hAnsiTheme="minorHAnsi"/>
          <w:bCs/>
          <w:snapToGrid w:val="0"/>
        </w:rPr>
        <w:t xml:space="preserve">. </w:t>
      </w:r>
      <w:r w:rsidRPr="0072641B">
        <w:rPr>
          <w:rFonts w:asciiTheme="minorHAnsi" w:hAnsiTheme="minorHAnsi"/>
          <w:bCs/>
          <w:snapToGrid w:val="0"/>
        </w:rPr>
        <w:t>The PBAC noted that this advice was supportive of the evidence provided in the submission.</w:t>
      </w:r>
    </w:p>
    <w:bookmarkEnd w:id="17"/>
    <w:bookmarkEnd w:id="20"/>
    <w:p w14:paraId="609C0765" w14:textId="3EB6771D" w:rsidR="00B60939" w:rsidRPr="001159D0" w:rsidRDefault="00B60939" w:rsidP="002E4F02">
      <w:pPr>
        <w:pStyle w:val="COMH2-non-numbered"/>
      </w:pPr>
      <w:r w:rsidRPr="001159D0">
        <w:t xml:space="preserve">Clinical </w:t>
      </w:r>
      <w:r w:rsidR="00D5243B" w:rsidRPr="001159D0">
        <w:t>studies</w:t>
      </w:r>
      <w:bookmarkEnd w:id="16"/>
      <w:bookmarkEnd w:id="18"/>
    </w:p>
    <w:p w14:paraId="45433646" w14:textId="7819EE31" w:rsidR="00741B21" w:rsidRPr="002F6665" w:rsidRDefault="000844DE" w:rsidP="00741B21">
      <w:pPr>
        <w:pStyle w:val="ListParagraph"/>
        <w:numPr>
          <w:ilvl w:val="1"/>
          <w:numId w:val="1"/>
        </w:numPr>
        <w:ind w:left="720" w:hanging="720"/>
        <w:contextualSpacing/>
      </w:pPr>
      <w:r w:rsidRPr="002F6665">
        <w:t xml:space="preserve">The </w:t>
      </w:r>
      <w:r w:rsidR="00516FD9" w:rsidRPr="002F6665">
        <w:t>comparison of patiromer with standard care</w:t>
      </w:r>
      <w:r w:rsidRPr="002F6665">
        <w:t xml:space="preserve"> was based on</w:t>
      </w:r>
      <w:r w:rsidR="00741B21" w:rsidRPr="002F6665">
        <w:t>:</w:t>
      </w:r>
    </w:p>
    <w:p w14:paraId="74D23805" w14:textId="7F20C806" w:rsidR="00B409A5" w:rsidRPr="002F6665" w:rsidRDefault="000844DE" w:rsidP="00804745">
      <w:pPr>
        <w:pStyle w:val="ListParagraph"/>
        <w:numPr>
          <w:ilvl w:val="0"/>
          <w:numId w:val="12"/>
        </w:numPr>
        <w:spacing w:after="0"/>
        <w:ind w:left="1077" w:hanging="357"/>
      </w:pPr>
      <w:r w:rsidRPr="002F6665">
        <w:t>the OPAL-HK phase III study, with supportive long-term evidence from the AMETHYST-DN study previously considered in the November 2019 and November 2020 submissions</w:t>
      </w:r>
      <w:r w:rsidR="00741B21" w:rsidRPr="002F6665">
        <w:t>.</w:t>
      </w:r>
    </w:p>
    <w:p w14:paraId="212D6D04" w14:textId="77777777" w:rsidR="0042382D" w:rsidRPr="002F6665" w:rsidRDefault="00516AF3" w:rsidP="0042382D">
      <w:pPr>
        <w:pStyle w:val="ListBullet"/>
        <w:ind w:left="1077" w:hanging="357"/>
      </w:pPr>
      <w:r w:rsidRPr="002F6665">
        <w:t>RAASi utilisation data at 12 months from the AMETHYST-DN trial</w:t>
      </w:r>
      <w:r w:rsidR="00523C8E" w:rsidRPr="002F6665">
        <w:t xml:space="preserve"> and a</w:t>
      </w:r>
      <w:r w:rsidRPr="002F6665">
        <w:t xml:space="preserve"> post hoc analysis of AMETHYST-DN patients compared to a matched CKD cohort in the United Kingdom Salford Kidney Study at 12 months.</w:t>
      </w:r>
    </w:p>
    <w:p w14:paraId="0046F931" w14:textId="2F17379F" w:rsidR="00741B21" w:rsidRPr="002F6665" w:rsidRDefault="008B79E5" w:rsidP="0042382D">
      <w:pPr>
        <w:pStyle w:val="ListBullet"/>
        <w:spacing w:after="120"/>
        <w:ind w:left="1077" w:hanging="357"/>
      </w:pPr>
      <w:r>
        <w:t>l</w:t>
      </w:r>
      <w:r w:rsidR="00741B21" w:rsidRPr="002F6665">
        <w:t>ong term efficacy and safety data from three observational studies of patiromer (German CKDopps; US Cohort Study; US Veterans Cohort Study).</w:t>
      </w:r>
    </w:p>
    <w:p w14:paraId="19507726" w14:textId="20644EF0" w:rsidR="00C55F39" w:rsidRPr="002F6665" w:rsidRDefault="00C55F39" w:rsidP="00F13C06">
      <w:pPr>
        <w:pStyle w:val="COMexecsumnumberedpara"/>
      </w:pPr>
      <w:r w:rsidRPr="002F6665">
        <w:rPr>
          <w:rFonts w:cstheme="minorHAnsi"/>
        </w:rPr>
        <w:t xml:space="preserve">At the November 2020 meeting, the PBAC noted the ongoing randomised placebo-controlled DIAMOND trial and considered the results of the trial’s primary outcome (time to first occurrence of cardiovascular </w:t>
      </w:r>
      <w:r w:rsidR="002D0B04" w:rsidRPr="002F6665">
        <w:rPr>
          <w:rFonts w:cstheme="minorHAnsi"/>
        </w:rPr>
        <w:t xml:space="preserve">hospitalisation </w:t>
      </w:r>
      <w:r w:rsidRPr="002F6665">
        <w:rPr>
          <w:rFonts w:cstheme="minorHAnsi"/>
        </w:rPr>
        <w:t xml:space="preserve">or </w:t>
      </w:r>
      <w:r w:rsidR="002D0B04" w:rsidRPr="002D0B04">
        <w:rPr>
          <w:rFonts w:cstheme="minorHAnsi"/>
        </w:rPr>
        <w:t xml:space="preserve"> </w:t>
      </w:r>
      <w:r w:rsidR="002D0B04" w:rsidRPr="002F6665">
        <w:rPr>
          <w:rFonts w:cstheme="minorHAnsi"/>
        </w:rPr>
        <w:t>death</w:t>
      </w:r>
      <w:r w:rsidRPr="002F6665">
        <w:rPr>
          <w:rFonts w:cstheme="minorHAnsi"/>
        </w:rPr>
        <w:t>) may be informative. The resubmission noted that recruitment for the DIAMOND trial was impacted by COVID-19 and could not meet the size necessary for a powered comparison of cardiovascular outcomes</w:t>
      </w:r>
      <w:r w:rsidR="004210CC">
        <w:rPr>
          <w:rFonts w:cstheme="minorHAnsi"/>
        </w:rPr>
        <w:t xml:space="preserve"> and that t</w:t>
      </w:r>
      <w:r w:rsidR="00A549A0" w:rsidRPr="002F6665">
        <w:rPr>
          <w:rFonts w:cstheme="minorHAnsi"/>
        </w:rPr>
        <w:t xml:space="preserve">he primary outcome of the trial was amended to </w:t>
      </w:r>
      <w:r w:rsidR="007A2145">
        <w:rPr>
          <w:rFonts w:cstheme="minorHAnsi"/>
        </w:rPr>
        <w:t xml:space="preserve">a </w:t>
      </w:r>
      <w:r w:rsidR="00A549A0" w:rsidRPr="002F6665">
        <w:rPr>
          <w:rFonts w:cstheme="minorHAnsi"/>
        </w:rPr>
        <w:t xml:space="preserve">change </w:t>
      </w:r>
      <w:r w:rsidR="007A2145">
        <w:rPr>
          <w:rFonts w:cstheme="minorHAnsi"/>
        </w:rPr>
        <w:t xml:space="preserve">in serum potassium levels </w:t>
      </w:r>
      <w:r w:rsidR="00A549A0" w:rsidRPr="002F6665">
        <w:rPr>
          <w:rFonts w:cstheme="minorHAnsi"/>
        </w:rPr>
        <w:t>from baseline.</w:t>
      </w:r>
      <w:r w:rsidRPr="002F6665">
        <w:rPr>
          <w:rFonts w:cstheme="minorHAnsi"/>
        </w:rPr>
        <w:t xml:space="preserve"> </w:t>
      </w:r>
    </w:p>
    <w:p w14:paraId="32EE1FE3" w14:textId="06567708" w:rsidR="00B11BDC" w:rsidRPr="002F6665" w:rsidRDefault="00B11BDC" w:rsidP="003F5E43">
      <w:pPr>
        <w:pStyle w:val="COMexecsumnumberedpara"/>
        <w:spacing w:after="0"/>
      </w:pPr>
      <w:r w:rsidRPr="002F6665">
        <w:t>The resubmission presented a</w:t>
      </w:r>
      <w:r w:rsidR="00854BC7">
        <w:t>n unanchored</w:t>
      </w:r>
      <w:r w:rsidRPr="002F6665">
        <w:t xml:space="preserve"> indirect comparison of patiromer versus SPS/CPS resins based on:</w:t>
      </w:r>
    </w:p>
    <w:p w14:paraId="744A04AE" w14:textId="28BD8BE8" w:rsidR="00B11BDC" w:rsidRPr="002F6665" w:rsidRDefault="008B79E5" w:rsidP="00804745">
      <w:pPr>
        <w:pStyle w:val="ListParagraph"/>
        <w:numPr>
          <w:ilvl w:val="0"/>
          <w:numId w:val="16"/>
        </w:numPr>
        <w:spacing w:after="60"/>
        <w:ind w:left="1077" w:hanging="357"/>
        <w:contextualSpacing/>
      </w:pPr>
      <w:r>
        <w:t>k</w:t>
      </w:r>
      <w:r w:rsidR="00B11BDC" w:rsidRPr="002F6665">
        <w:t>ey outcomes in subgroups from the patiromer OPAL-HK and AMETHYST-DN trials selected to match the included SPS/CPS studies.</w:t>
      </w:r>
    </w:p>
    <w:p w14:paraId="56A27069" w14:textId="0AACFF27" w:rsidR="00B11BDC" w:rsidRPr="002F6665" w:rsidRDefault="008B79E5" w:rsidP="00804745">
      <w:pPr>
        <w:pStyle w:val="ListParagraph"/>
        <w:numPr>
          <w:ilvl w:val="0"/>
          <w:numId w:val="16"/>
        </w:numPr>
        <w:spacing w:after="60"/>
        <w:ind w:left="1077" w:hanging="357"/>
        <w:contextualSpacing/>
      </w:pPr>
      <w:r>
        <w:t>l</w:t>
      </w:r>
      <w:r w:rsidR="00B11BDC" w:rsidRPr="002F6665">
        <w:t>ong term efficacy and safety data from the patiromer observational studies (German CKDopps; US Cohort Study; US Veterans Cohort Study).</w:t>
      </w:r>
    </w:p>
    <w:p w14:paraId="30BF46E2" w14:textId="29C533AA" w:rsidR="00B11BDC" w:rsidRPr="002F6665" w:rsidRDefault="008B79E5" w:rsidP="00804745">
      <w:pPr>
        <w:pStyle w:val="ListParagraph"/>
        <w:numPr>
          <w:ilvl w:val="0"/>
          <w:numId w:val="16"/>
        </w:numPr>
        <w:spacing w:after="60"/>
        <w:ind w:left="1077" w:hanging="357"/>
        <w:contextualSpacing/>
      </w:pPr>
      <w:r>
        <w:t>t</w:t>
      </w:r>
      <w:r w:rsidR="00B11BDC" w:rsidRPr="002F6665">
        <w:t>wo randomised studies</w:t>
      </w:r>
      <w:r w:rsidR="006A27F4" w:rsidRPr="002F6665">
        <w:t xml:space="preserve"> </w:t>
      </w:r>
      <w:r w:rsidR="00B11BDC" w:rsidRPr="002F6665">
        <w:t xml:space="preserve">including </w:t>
      </w:r>
      <w:r w:rsidR="0048039C" w:rsidRPr="002F6665">
        <w:t>use of SPS</w:t>
      </w:r>
      <w:r w:rsidR="00B11BDC" w:rsidRPr="002F6665">
        <w:t xml:space="preserve"> (Arnold 2017, NCT01866709).</w:t>
      </w:r>
    </w:p>
    <w:p w14:paraId="350F24AB" w14:textId="0D5BD8F4" w:rsidR="00B11BDC" w:rsidRPr="002F6665" w:rsidRDefault="008B79E5" w:rsidP="00804745">
      <w:pPr>
        <w:pStyle w:val="ListParagraph"/>
        <w:numPr>
          <w:ilvl w:val="0"/>
          <w:numId w:val="16"/>
        </w:numPr>
        <w:spacing w:after="60"/>
        <w:ind w:left="1077" w:hanging="357"/>
        <w:contextualSpacing/>
      </w:pPr>
      <w:r>
        <w:t>f</w:t>
      </w:r>
      <w:r w:rsidR="00B11BDC" w:rsidRPr="002F6665">
        <w:t xml:space="preserve">our retrospective case series studies of patients treated with SPS resin (Bowden 2017, Chernin 2012, Georgianos 2017, Laureati 2020). </w:t>
      </w:r>
    </w:p>
    <w:p w14:paraId="20FE826C" w14:textId="179EB41A" w:rsidR="00B11BDC" w:rsidRPr="002F6665" w:rsidRDefault="008B79E5" w:rsidP="00804745">
      <w:pPr>
        <w:pStyle w:val="ListParagraph"/>
        <w:numPr>
          <w:ilvl w:val="0"/>
          <w:numId w:val="16"/>
        </w:numPr>
        <w:spacing w:after="60"/>
        <w:ind w:left="1077" w:hanging="357"/>
        <w:contextualSpacing/>
      </w:pPr>
      <w:r>
        <w:t>o</w:t>
      </w:r>
      <w:r w:rsidR="00B11BDC" w:rsidRPr="002F6665">
        <w:t>ne retrospective case series study of patients treated with CPS resin (Yu 2017).</w:t>
      </w:r>
    </w:p>
    <w:p w14:paraId="0403AEBB" w14:textId="3E700A69" w:rsidR="00F13C06" w:rsidRPr="002F6665" w:rsidRDefault="008B79E5" w:rsidP="00804745">
      <w:pPr>
        <w:pStyle w:val="ListParagraph"/>
        <w:numPr>
          <w:ilvl w:val="0"/>
          <w:numId w:val="16"/>
        </w:numPr>
        <w:ind w:left="1077" w:hanging="357"/>
        <w:contextualSpacing/>
      </w:pPr>
      <w:r>
        <w:t>o</w:t>
      </w:r>
      <w:r w:rsidR="00B11BDC" w:rsidRPr="002F6665">
        <w:t>ne single arm phase 4 study of patients treated with CPS resin (Li 2013).</w:t>
      </w:r>
    </w:p>
    <w:p w14:paraId="69CB0303" w14:textId="57F011D3" w:rsidR="001F2709" w:rsidRPr="002F6665" w:rsidRDefault="007C3488" w:rsidP="002E4F02">
      <w:pPr>
        <w:pStyle w:val="COMexecsumnumberedpara"/>
      </w:pPr>
      <w:r w:rsidRPr="002F6665">
        <w:t>The resubmission also presented results from an analysis of the sponsor’s compassionate access program (VCAP), and results from an updated key opinion leaders survey (KOL survey 2) to inform clinical practice and medicine use in the Australian setting.</w:t>
      </w:r>
    </w:p>
    <w:p w14:paraId="2B59ABAC" w14:textId="3F69042D" w:rsidR="00862502" w:rsidRPr="002F6665" w:rsidRDefault="00A73134" w:rsidP="002E4F02">
      <w:pPr>
        <w:pStyle w:val="COMexecsumnumberedpara"/>
      </w:pPr>
      <w:r w:rsidRPr="002F6665">
        <w:rPr>
          <w:snapToGrid/>
        </w:rPr>
        <w:lastRenderedPageBreak/>
        <w:t xml:space="preserve">Details of the </w:t>
      </w:r>
      <w:r w:rsidR="00D5243B" w:rsidRPr="002F6665">
        <w:rPr>
          <w:snapToGrid/>
        </w:rPr>
        <w:t>studies</w:t>
      </w:r>
      <w:r w:rsidRPr="002F6665">
        <w:rPr>
          <w:snapToGrid/>
        </w:rPr>
        <w:t xml:space="preserve"> presented in the submission are provided in </w:t>
      </w:r>
      <w:r w:rsidR="00696EF9" w:rsidRPr="002F6665">
        <w:rPr>
          <w:snapToGrid/>
        </w:rPr>
        <w:fldChar w:fldCharType="begin"/>
      </w:r>
      <w:r w:rsidR="00696EF9" w:rsidRPr="002F6665">
        <w:rPr>
          <w:snapToGrid/>
        </w:rPr>
        <w:instrText xml:space="preserve"> REF _Ref104803956 \h </w:instrText>
      </w:r>
      <w:r w:rsidR="002F6665" w:rsidRPr="002F6665">
        <w:rPr>
          <w:snapToGrid/>
        </w:rPr>
        <w:instrText xml:space="preserve"> \* MERGEFORMAT </w:instrText>
      </w:r>
      <w:r w:rsidR="00696EF9" w:rsidRPr="002F6665">
        <w:rPr>
          <w:snapToGrid/>
        </w:rPr>
      </w:r>
      <w:r w:rsidR="00696EF9" w:rsidRPr="002F6665">
        <w:rPr>
          <w:snapToGrid/>
        </w:rPr>
        <w:fldChar w:fldCharType="separate"/>
      </w:r>
      <w:r w:rsidR="00565456" w:rsidRPr="001159D0">
        <w:t xml:space="preserve">Table </w:t>
      </w:r>
      <w:r w:rsidR="00565456">
        <w:rPr>
          <w:noProof/>
        </w:rPr>
        <w:t>3</w:t>
      </w:r>
      <w:r w:rsidR="00696EF9" w:rsidRPr="002F6665">
        <w:rPr>
          <w:snapToGrid/>
        </w:rPr>
        <w:fldChar w:fldCharType="end"/>
      </w:r>
      <w:r w:rsidRPr="002F6665">
        <w:rPr>
          <w:snapToGrid/>
        </w:rPr>
        <w:t>.</w:t>
      </w:r>
      <w:r w:rsidR="00BC591F" w:rsidRPr="002F6665">
        <w:rPr>
          <w:snapToGrid/>
        </w:rPr>
        <w:t xml:space="preserve"> </w:t>
      </w:r>
    </w:p>
    <w:p w14:paraId="028552E1" w14:textId="1E1F7277" w:rsidR="00350282" w:rsidRPr="001159D0" w:rsidRDefault="00696EF9" w:rsidP="00350282">
      <w:pPr>
        <w:pStyle w:val="COMtablefigcaption"/>
      </w:pPr>
      <w:bookmarkStart w:id="21" w:name="_Ref104803956"/>
      <w:r w:rsidRPr="001159D0">
        <w:t xml:space="preserve">Table </w:t>
      </w:r>
      <w:r w:rsidR="005F4857">
        <w:fldChar w:fldCharType="begin"/>
      </w:r>
      <w:r w:rsidR="005F4857">
        <w:instrText xml:space="preserve"> SEQ Table \* ARABIC </w:instrText>
      </w:r>
      <w:r w:rsidR="005F4857">
        <w:fldChar w:fldCharType="separate"/>
      </w:r>
      <w:r w:rsidR="00565456">
        <w:rPr>
          <w:noProof/>
        </w:rPr>
        <w:t>3</w:t>
      </w:r>
      <w:r w:rsidR="005F4857">
        <w:rPr>
          <w:noProof/>
        </w:rPr>
        <w:fldChar w:fldCharType="end"/>
      </w:r>
      <w:bookmarkEnd w:id="21"/>
      <w:r w:rsidRPr="001159D0">
        <w:t>:</w:t>
      </w:r>
      <w:r w:rsidR="00BC591F" w:rsidRPr="001159D0">
        <w:t xml:space="preserve"> </w:t>
      </w:r>
      <w:r w:rsidR="008E0D3C" w:rsidRPr="001159D0">
        <w:t>Trials</w:t>
      </w:r>
      <w:r w:rsidR="00350282" w:rsidRPr="001159D0">
        <w:t xml:space="preserve">, </w:t>
      </w:r>
      <w:r w:rsidR="00D5243B" w:rsidRPr="001159D0">
        <w:t>studies</w:t>
      </w:r>
      <w:r w:rsidR="00350282" w:rsidRPr="001159D0">
        <w:t xml:space="preserve"> </w:t>
      </w:r>
      <w:r w:rsidR="008E0D3C" w:rsidRPr="001159D0">
        <w:t xml:space="preserve">and </w:t>
      </w:r>
      <w:r w:rsidR="00350282" w:rsidRPr="001159D0">
        <w:t>meta-analyses</w:t>
      </w:r>
      <w:r w:rsidR="008E0D3C" w:rsidRPr="001159D0">
        <w:t xml:space="preserve"> presented in the </w:t>
      </w:r>
      <w:r w:rsidR="00543A69" w:rsidRPr="001159D0">
        <w:t>re</w:t>
      </w:r>
      <w:r w:rsidR="008E0D3C" w:rsidRPr="001159D0">
        <w:t>submission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272"/>
        <w:gridCol w:w="5244"/>
        <w:gridCol w:w="2501"/>
      </w:tblGrid>
      <w:tr w:rsidR="00EF7F4C" w:rsidRPr="001159D0" w14:paraId="19AE7ED9" w14:textId="77777777" w:rsidTr="0053265E">
        <w:trPr>
          <w:tblHeader/>
        </w:trPr>
        <w:tc>
          <w:tcPr>
            <w:tcW w:w="705" w:type="pct"/>
            <w:tcBorders>
              <w:top w:val="single" w:sz="4" w:space="0" w:color="auto"/>
              <w:bottom w:val="single" w:sz="4" w:space="0" w:color="auto"/>
            </w:tcBorders>
            <w:vAlign w:val="center"/>
          </w:tcPr>
          <w:p w14:paraId="1BC67B7F" w14:textId="77777777" w:rsidR="00EF7F4C" w:rsidRPr="001159D0" w:rsidRDefault="00EF7F4C" w:rsidP="00DF2669">
            <w:pPr>
              <w:pStyle w:val="Tabletext"/>
              <w:keepNext w:val="0"/>
              <w:widowControl w:val="0"/>
              <w:spacing w:before="0" w:after="0"/>
            </w:pPr>
            <w:r w:rsidRPr="001159D0">
              <w:rPr>
                <w:b/>
              </w:rPr>
              <w:t>Trial ID</w:t>
            </w:r>
          </w:p>
        </w:tc>
        <w:tc>
          <w:tcPr>
            <w:tcW w:w="2908" w:type="pct"/>
            <w:tcBorders>
              <w:top w:val="single" w:sz="4" w:space="0" w:color="auto"/>
              <w:bottom w:val="single" w:sz="4" w:space="0" w:color="auto"/>
            </w:tcBorders>
            <w:vAlign w:val="center"/>
          </w:tcPr>
          <w:p w14:paraId="287C837E" w14:textId="77777777" w:rsidR="00EF7F4C" w:rsidRPr="001159D0" w:rsidRDefault="00EF7F4C" w:rsidP="00DF2669">
            <w:pPr>
              <w:pStyle w:val="COMTableheadingrow"/>
              <w:keepNext w:val="0"/>
              <w:widowControl w:val="0"/>
              <w:rPr>
                <w:b w:val="0"/>
                <w:szCs w:val="18"/>
                <w:lang w:val="en-AU"/>
              </w:rPr>
            </w:pPr>
            <w:r w:rsidRPr="001159D0">
              <w:rPr>
                <w:lang w:val="en-AU"/>
              </w:rPr>
              <w:t>Protocol title/ Publication title</w:t>
            </w:r>
          </w:p>
        </w:tc>
        <w:tc>
          <w:tcPr>
            <w:tcW w:w="1387" w:type="pct"/>
            <w:tcBorders>
              <w:top w:val="single" w:sz="4" w:space="0" w:color="auto"/>
              <w:bottom w:val="single" w:sz="4" w:space="0" w:color="auto"/>
            </w:tcBorders>
            <w:vAlign w:val="center"/>
          </w:tcPr>
          <w:p w14:paraId="4BCD2FC5" w14:textId="77777777" w:rsidR="00EF7F4C" w:rsidRPr="001159D0" w:rsidRDefault="00EF7F4C" w:rsidP="00DF2669">
            <w:pPr>
              <w:pStyle w:val="COMTableheadingrow"/>
              <w:keepNext w:val="0"/>
              <w:widowControl w:val="0"/>
              <w:rPr>
                <w:b w:val="0"/>
                <w:lang w:val="en-AU"/>
              </w:rPr>
            </w:pPr>
            <w:r w:rsidRPr="001159D0">
              <w:rPr>
                <w:lang w:val="en-AU"/>
              </w:rPr>
              <w:t>Publication citation</w:t>
            </w:r>
          </w:p>
        </w:tc>
      </w:tr>
      <w:tr w:rsidR="00EF7F4C" w:rsidRPr="001159D0" w14:paraId="2F83D262" w14:textId="77777777" w:rsidTr="0089161F">
        <w:tc>
          <w:tcPr>
            <w:tcW w:w="5000" w:type="pct"/>
            <w:gridSpan w:val="3"/>
            <w:tcBorders>
              <w:bottom w:val="single" w:sz="4" w:space="0" w:color="auto"/>
            </w:tcBorders>
          </w:tcPr>
          <w:p w14:paraId="5644FBFC" w14:textId="77777777" w:rsidR="00EF7F4C" w:rsidRPr="001159D0" w:rsidRDefault="00EF7F4C" w:rsidP="00DF2669">
            <w:pPr>
              <w:pStyle w:val="COMTableheadingrow"/>
              <w:keepNext w:val="0"/>
              <w:widowControl w:val="0"/>
              <w:rPr>
                <w:bCs/>
                <w:lang w:val="en-AU"/>
              </w:rPr>
            </w:pPr>
            <w:r w:rsidRPr="001159D0">
              <w:rPr>
                <w:bCs/>
                <w:lang w:val="en-AU"/>
              </w:rPr>
              <w:t>Patiromer randomised controlled trials</w:t>
            </w:r>
          </w:p>
        </w:tc>
      </w:tr>
      <w:tr w:rsidR="00EF7F4C" w:rsidRPr="001159D0" w14:paraId="40FE3310" w14:textId="77777777" w:rsidTr="0089161F">
        <w:trPr>
          <w:tblHeader/>
        </w:trPr>
        <w:tc>
          <w:tcPr>
            <w:tcW w:w="705" w:type="pct"/>
            <w:tcBorders>
              <w:top w:val="single" w:sz="4" w:space="0" w:color="auto"/>
              <w:bottom w:val="nil"/>
            </w:tcBorders>
          </w:tcPr>
          <w:p w14:paraId="6F2AB94A" w14:textId="77777777" w:rsidR="00EF7F4C" w:rsidRPr="001159D0" w:rsidRDefault="00EF7F4C" w:rsidP="00DF2669">
            <w:pPr>
              <w:pStyle w:val="Tabletext"/>
              <w:keepNext w:val="0"/>
              <w:widowControl w:val="0"/>
              <w:spacing w:before="0" w:after="0"/>
            </w:pPr>
            <w:r w:rsidRPr="001159D0">
              <w:t>OPAL-HK</w:t>
            </w:r>
          </w:p>
          <w:p w14:paraId="551334DB" w14:textId="77777777" w:rsidR="00EF7F4C" w:rsidRPr="001159D0" w:rsidRDefault="00EF7F4C" w:rsidP="00DF2669">
            <w:pPr>
              <w:pStyle w:val="COMTableheadingrow"/>
              <w:keepNext w:val="0"/>
              <w:widowControl w:val="0"/>
              <w:rPr>
                <w:b w:val="0"/>
                <w:lang w:val="en-AU"/>
              </w:rPr>
            </w:pPr>
            <w:r w:rsidRPr="001159D0">
              <w:rPr>
                <w:b w:val="0"/>
                <w:lang w:val="en-AU"/>
              </w:rPr>
              <w:t>(NCT01810939)</w:t>
            </w:r>
          </w:p>
        </w:tc>
        <w:tc>
          <w:tcPr>
            <w:tcW w:w="2908" w:type="pct"/>
            <w:tcBorders>
              <w:top w:val="single" w:sz="4" w:space="0" w:color="auto"/>
              <w:bottom w:val="nil"/>
            </w:tcBorders>
          </w:tcPr>
          <w:p w14:paraId="5CDFA1D4" w14:textId="77777777" w:rsidR="00EF7F4C" w:rsidRPr="001159D0" w:rsidRDefault="00EF7F4C" w:rsidP="00DF2669">
            <w:pPr>
              <w:pStyle w:val="COMTableheadingrow"/>
              <w:keepNext w:val="0"/>
              <w:widowControl w:val="0"/>
              <w:rPr>
                <w:b w:val="0"/>
                <w:lang w:val="en-AU"/>
              </w:rPr>
            </w:pPr>
            <w:r w:rsidRPr="001159D0">
              <w:rPr>
                <w:b w:val="0"/>
                <w:szCs w:val="18"/>
                <w:lang w:val="en-AU"/>
              </w:rPr>
              <w:t>A two-part, single-blind, phase 3 study evaluating the efficacy and safety of patiromer for the treatment of hyperkalaemia.</w:t>
            </w:r>
          </w:p>
        </w:tc>
        <w:tc>
          <w:tcPr>
            <w:tcW w:w="1387" w:type="pct"/>
            <w:tcBorders>
              <w:top w:val="single" w:sz="4" w:space="0" w:color="auto"/>
              <w:bottom w:val="nil"/>
            </w:tcBorders>
          </w:tcPr>
          <w:p w14:paraId="0A502DEA" w14:textId="77777777" w:rsidR="00EF7F4C" w:rsidRPr="001159D0" w:rsidRDefault="00EF7F4C" w:rsidP="00DF2669">
            <w:pPr>
              <w:pStyle w:val="COMTableheadingrow"/>
              <w:keepNext w:val="0"/>
              <w:widowControl w:val="0"/>
              <w:rPr>
                <w:b w:val="0"/>
                <w:lang w:val="en-AU"/>
              </w:rPr>
            </w:pPr>
            <w:r w:rsidRPr="001159D0">
              <w:rPr>
                <w:b w:val="0"/>
                <w:lang w:val="en-AU"/>
              </w:rPr>
              <w:t>18 September 2014.</w:t>
            </w:r>
          </w:p>
        </w:tc>
      </w:tr>
      <w:tr w:rsidR="00EF7F4C" w:rsidRPr="001159D0" w14:paraId="701C6F25" w14:textId="77777777" w:rsidTr="0089161F">
        <w:trPr>
          <w:tblHeader/>
        </w:trPr>
        <w:tc>
          <w:tcPr>
            <w:tcW w:w="705" w:type="pct"/>
            <w:tcBorders>
              <w:top w:val="nil"/>
              <w:bottom w:val="nil"/>
            </w:tcBorders>
          </w:tcPr>
          <w:p w14:paraId="72F9CA78" w14:textId="77777777" w:rsidR="00EF7F4C" w:rsidRPr="001159D0" w:rsidRDefault="00EF7F4C" w:rsidP="00DF2669">
            <w:pPr>
              <w:pStyle w:val="Tabletext"/>
              <w:keepNext w:val="0"/>
              <w:widowControl w:val="0"/>
              <w:spacing w:before="0" w:after="0"/>
            </w:pPr>
          </w:p>
        </w:tc>
        <w:tc>
          <w:tcPr>
            <w:tcW w:w="2908" w:type="pct"/>
            <w:tcBorders>
              <w:top w:val="nil"/>
              <w:bottom w:val="nil"/>
            </w:tcBorders>
          </w:tcPr>
          <w:p w14:paraId="73D95FBE" w14:textId="331D64C2" w:rsidR="00EF7F4C" w:rsidRPr="001159D0" w:rsidRDefault="00EF7F4C" w:rsidP="00DF2669">
            <w:pPr>
              <w:pStyle w:val="COMTableheadingrow"/>
              <w:keepNext w:val="0"/>
              <w:widowControl w:val="0"/>
              <w:rPr>
                <w:b w:val="0"/>
                <w:szCs w:val="18"/>
                <w:lang w:val="en-AU"/>
              </w:rPr>
            </w:pPr>
            <w:r w:rsidRPr="001159D0">
              <w:rPr>
                <w:b w:val="0"/>
                <w:szCs w:val="18"/>
                <w:lang w:val="en-AU"/>
              </w:rPr>
              <w:t>Piña IL</w:t>
            </w:r>
            <w:r w:rsidR="0089161F" w:rsidRPr="001159D0">
              <w:rPr>
                <w:b w:val="0"/>
                <w:szCs w:val="18"/>
                <w:lang w:val="en-AU"/>
              </w:rPr>
              <w:t>,</w:t>
            </w:r>
            <w:r w:rsidRPr="001159D0">
              <w:rPr>
                <w:b w:val="0"/>
                <w:szCs w:val="18"/>
                <w:lang w:val="en-AU"/>
              </w:rPr>
              <w:t xml:space="preserve"> et al. Effect of patiromer on serum potassium in hyperkalemic patients with heart failure: Pooled analysis of 3 randomized trials.</w:t>
            </w:r>
          </w:p>
        </w:tc>
        <w:tc>
          <w:tcPr>
            <w:tcW w:w="1387" w:type="pct"/>
            <w:tcBorders>
              <w:top w:val="nil"/>
              <w:bottom w:val="nil"/>
            </w:tcBorders>
          </w:tcPr>
          <w:p w14:paraId="753AE97E" w14:textId="77777777" w:rsidR="00EF7F4C" w:rsidRPr="001159D0" w:rsidRDefault="00EF7F4C" w:rsidP="00DF2669">
            <w:pPr>
              <w:pStyle w:val="COMTableheadingrow"/>
              <w:keepNext w:val="0"/>
              <w:widowControl w:val="0"/>
              <w:rPr>
                <w:b w:val="0"/>
                <w:lang w:val="en-AU"/>
              </w:rPr>
            </w:pPr>
            <w:r w:rsidRPr="001159D0">
              <w:rPr>
                <w:b w:val="0"/>
                <w:i/>
                <w:iCs/>
                <w:lang w:val="en-AU"/>
              </w:rPr>
              <w:t>Progressive Cardiovasc Disease.</w:t>
            </w:r>
            <w:r w:rsidRPr="001159D0">
              <w:rPr>
                <w:b w:val="0"/>
                <w:lang w:val="en-AU"/>
              </w:rPr>
              <w:t xml:space="preserve"> 2020; 63(5):656-661</w:t>
            </w:r>
          </w:p>
        </w:tc>
      </w:tr>
      <w:tr w:rsidR="00EF7F4C" w:rsidRPr="001159D0" w14:paraId="23F4498E" w14:textId="77777777" w:rsidTr="0089161F">
        <w:tc>
          <w:tcPr>
            <w:tcW w:w="705" w:type="pct"/>
            <w:tcBorders>
              <w:top w:val="nil"/>
              <w:bottom w:val="nil"/>
            </w:tcBorders>
          </w:tcPr>
          <w:p w14:paraId="0DE0DFB2" w14:textId="77777777" w:rsidR="00EF7F4C" w:rsidRPr="001159D0" w:rsidRDefault="00EF7F4C" w:rsidP="00DF2669">
            <w:pPr>
              <w:pStyle w:val="COMTabletext"/>
              <w:keepNext w:val="0"/>
              <w:widowControl w:val="0"/>
            </w:pPr>
          </w:p>
        </w:tc>
        <w:tc>
          <w:tcPr>
            <w:tcW w:w="2908" w:type="pct"/>
            <w:tcBorders>
              <w:top w:val="nil"/>
              <w:bottom w:val="nil"/>
            </w:tcBorders>
          </w:tcPr>
          <w:p w14:paraId="06F26FE2" w14:textId="21324CE5" w:rsidR="00EF7F4C" w:rsidRPr="001159D0" w:rsidRDefault="00EF7F4C" w:rsidP="00DF2669">
            <w:pPr>
              <w:pStyle w:val="COMTabletext"/>
              <w:keepNext w:val="0"/>
              <w:widowControl w:val="0"/>
              <w:rPr>
                <w:szCs w:val="18"/>
              </w:rPr>
            </w:pPr>
            <w:r w:rsidRPr="001159D0">
              <w:rPr>
                <w:szCs w:val="18"/>
              </w:rPr>
              <w:t>Pitt B</w:t>
            </w:r>
            <w:r w:rsidR="0089161F" w:rsidRPr="001159D0">
              <w:rPr>
                <w:szCs w:val="18"/>
              </w:rPr>
              <w:t>,</w:t>
            </w:r>
            <w:r w:rsidRPr="001159D0">
              <w:rPr>
                <w:szCs w:val="18"/>
              </w:rPr>
              <w:t xml:space="preserve"> et al. Effect of patiromer on reducing serum potassium and preventing recurrent hyperkalaemia in patients with heart failure and chronic kidney disease on RAAS inhibitors.</w:t>
            </w:r>
          </w:p>
        </w:tc>
        <w:tc>
          <w:tcPr>
            <w:tcW w:w="1387" w:type="pct"/>
            <w:tcBorders>
              <w:top w:val="nil"/>
              <w:bottom w:val="nil"/>
            </w:tcBorders>
          </w:tcPr>
          <w:p w14:paraId="1DBAD7C4" w14:textId="77777777" w:rsidR="00EF7F4C" w:rsidRPr="001159D0" w:rsidRDefault="00EF7F4C" w:rsidP="00DF2669">
            <w:pPr>
              <w:pStyle w:val="COMTabletext"/>
              <w:keepNext w:val="0"/>
              <w:widowControl w:val="0"/>
            </w:pPr>
            <w:r w:rsidRPr="001159D0">
              <w:rPr>
                <w:i/>
                <w:szCs w:val="18"/>
              </w:rPr>
              <w:t>European Journal of Heart Failure.</w:t>
            </w:r>
            <w:r w:rsidRPr="001159D0">
              <w:rPr>
                <w:szCs w:val="18"/>
              </w:rPr>
              <w:t xml:space="preserve"> 2015; 17(10):1057-1065.</w:t>
            </w:r>
          </w:p>
        </w:tc>
      </w:tr>
      <w:tr w:rsidR="00EF7F4C" w:rsidRPr="001159D0" w14:paraId="378A70E4" w14:textId="77777777" w:rsidTr="0089161F">
        <w:tc>
          <w:tcPr>
            <w:tcW w:w="705" w:type="pct"/>
            <w:tcBorders>
              <w:top w:val="nil"/>
              <w:bottom w:val="nil"/>
            </w:tcBorders>
          </w:tcPr>
          <w:p w14:paraId="6DB68DC5" w14:textId="77777777" w:rsidR="00EF7F4C" w:rsidRPr="001159D0" w:rsidRDefault="00EF7F4C" w:rsidP="00DF2669">
            <w:pPr>
              <w:pStyle w:val="COMTabletext"/>
              <w:keepNext w:val="0"/>
              <w:widowControl w:val="0"/>
            </w:pPr>
          </w:p>
        </w:tc>
        <w:tc>
          <w:tcPr>
            <w:tcW w:w="2908" w:type="pct"/>
            <w:tcBorders>
              <w:top w:val="nil"/>
              <w:bottom w:val="nil"/>
            </w:tcBorders>
          </w:tcPr>
          <w:p w14:paraId="0F69BFD2" w14:textId="124D9BEF" w:rsidR="00EF7F4C" w:rsidRPr="001159D0" w:rsidRDefault="00EF7F4C" w:rsidP="00DF2669">
            <w:pPr>
              <w:pStyle w:val="COMTabletext"/>
              <w:keepNext w:val="0"/>
              <w:widowControl w:val="0"/>
              <w:rPr>
                <w:szCs w:val="18"/>
              </w:rPr>
            </w:pPr>
            <w:r w:rsidRPr="001159D0">
              <w:rPr>
                <w:szCs w:val="18"/>
              </w:rPr>
              <w:t>Pitt B</w:t>
            </w:r>
            <w:r w:rsidR="0089161F" w:rsidRPr="001159D0">
              <w:rPr>
                <w:szCs w:val="18"/>
              </w:rPr>
              <w:t>,</w:t>
            </w:r>
            <w:r w:rsidRPr="001159D0">
              <w:rPr>
                <w:szCs w:val="18"/>
              </w:rPr>
              <w:t xml:space="preserve"> et al. Patiromer lowers serum potassium and prevents recurrent hyperkalemia in patients with heart failure and CKD when treated with RAAS inhibitors: Results from OPAL-HK.</w:t>
            </w:r>
          </w:p>
        </w:tc>
        <w:tc>
          <w:tcPr>
            <w:tcW w:w="1387" w:type="pct"/>
            <w:tcBorders>
              <w:top w:val="nil"/>
              <w:bottom w:val="nil"/>
            </w:tcBorders>
          </w:tcPr>
          <w:p w14:paraId="66F09B80" w14:textId="77777777" w:rsidR="00EF7F4C" w:rsidRPr="001159D0" w:rsidRDefault="00EF7F4C" w:rsidP="00DF2669">
            <w:pPr>
              <w:pStyle w:val="COMTabletext"/>
              <w:keepNext w:val="0"/>
              <w:widowControl w:val="0"/>
              <w:rPr>
                <w:szCs w:val="18"/>
              </w:rPr>
            </w:pPr>
            <w:r w:rsidRPr="001159D0">
              <w:rPr>
                <w:szCs w:val="18"/>
              </w:rPr>
              <w:t>Euro</w:t>
            </w:r>
            <w:r w:rsidRPr="001159D0">
              <w:rPr>
                <w:i/>
                <w:szCs w:val="18"/>
              </w:rPr>
              <w:t>pean Journal of Heart Failure.</w:t>
            </w:r>
            <w:r w:rsidRPr="001159D0">
              <w:rPr>
                <w:szCs w:val="18"/>
              </w:rPr>
              <w:t xml:space="preserve"> 2015; 17(SUPPL.1):90.</w:t>
            </w:r>
          </w:p>
        </w:tc>
      </w:tr>
      <w:tr w:rsidR="00EF7F4C" w:rsidRPr="001159D0" w14:paraId="34087E8E" w14:textId="77777777" w:rsidTr="0089161F">
        <w:tc>
          <w:tcPr>
            <w:tcW w:w="705" w:type="pct"/>
            <w:tcBorders>
              <w:top w:val="nil"/>
              <w:bottom w:val="nil"/>
            </w:tcBorders>
          </w:tcPr>
          <w:p w14:paraId="5519AA2D" w14:textId="77777777" w:rsidR="00EF7F4C" w:rsidRPr="001159D0" w:rsidRDefault="00EF7F4C" w:rsidP="00DF2669">
            <w:pPr>
              <w:pStyle w:val="COMTabletext"/>
              <w:keepNext w:val="0"/>
              <w:widowControl w:val="0"/>
            </w:pPr>
          </w:p>
        </w:tc>
        <w:tc>
          <w:tcPr>
            <w:tcW w:w="2908" w:type="pct"/>
            <w:tcBorders>
              <w:top w:val="nil"/>
              <w:bottom w:val="nil"/>
            </w:tcBorders>
          </w:tcPr>
          <w:p w14:paraId="54A267E6" w14:textId="0BEA6492" w:rsidR="00EF7F4C" w:rsidRPr="001159D0" w:rsidRDefault="00EF7F4C" w:rsidP="00DF2669">
            <w:pPr>
              <w:pStyle w:val="COMTabletext"/>
              <w:keepNext w:val="0"/>
              <w:widowControl w:val="0"/>
              <w:rPr>
                <w:szCs w:val="18"/>
              </w:rPr>
            </w:pPr>
            <w:r w:rsidRPr="001159D0">
              <w:rPr>
                <w:szCs w:val="18"/>
              </w:rPr>
              <w:t>Weir MR</w:t>
            </w:r>
            <w:r w:rsidR="0089161F" w:rsidRPr="001159D0">
              <w:rPr>
                <w:szCs w:val="18"/>
              </w:rPr>
              <w:t>,</w:t>
            </w:r>
            <w:r w:rsidRPr="001159D0">
              <w:rPr>
                <w:szCs w:val="18"/>
              </w:rPr>
              <w:t xml:space="preserve"> et al. Treatment with patiromer decreases aldosterone in patients with chronic kidney disease and hyperkalemia on renin-angiotensin system inhibitors. </w:t>
            </w:r>
          </w:p>
        </w:tc>
        <w:tc>
          <w:tcPr>
            <w:tcW w:w="1387" w:type="pct"/>
            <w:tcBorders>
              <w:top w:val="nil"/>
              <w:bottom w:val="nil"/>
            </w:tcBorders>
          </w:tcPr>
          <w:p w14:paraId="7578BD71" w14:textId="77777777" w:rsidR="00EF7F4C" w:rsidRPr="001159D0" w:rsidRDefault="00EF7F4C" w:rsidP="00DF2669">
            <w:pPr>
              <w:pStyle w:val="COMTabletext"/>
              <w:keepNext w:val="0"/>
              <w:widowControl w:val="0"/>
              <w:rPr>
                <w:i/>
                <w:szCs w:val="18"/>
              </w:rPr>
            </w:pPr>
            <w:r w:rsidRPr="001159D0">
              <w:rPr>
                <w:i/>
                <w:szCs w:val="18"/>
              </w:rPr>
              <w:t>Kidney International.</w:t>
            </w:r>
            <w:r w:rsidRPr="001159D0">
              <w:rPr>
                <w:szCs w:val="18"/>
              </w:rPr>
              <w:t xml:space="preserve"> 2016; 90(3):696-704.</w:t>
            </w:r>
          </w:p>
        </w:tc>
      </w:tr>
      <w:tr w:rsidR="00EF7F4C" w:rsidRPr="001159D0" w14:paraId="6FBA3332" w14:textId="77777777" w:rsidTr="0089161F">
        <w:tc>
          <w:tcPr>
            <w:tcW w:w="705" w:type="pct"/>
            <w:tcBorders>
              <w:top w:val="nil"/>
              <w:bottom w:val="nil"/>
            </w:tcBorders>
          </w:tcPr>
          <w:p w14:paraId="44EBD3A5" w14:textId="77777777" w:rsidR="00EF7F4C" w:rsidRPr="001159D0" w:rsidRDefault="00EF7F4C" w:rsidP="00DF2669">
            <w:pPr>
              <w:pStyle w:val="COMTabletext"/>
              <w:keepNext w:val="0"/>
              <w:widowControl w:val="0"/>
            </w:pPr>
          </w:p>
        </w:tc>
        <w:tc>
          <w:tcPr>
            <w:tcW w:w="2908" w:type="pct"/>
            <w:tcBorders>
              <w:top w:val="nil"/>
              <w:bottom w:val="nil"/>
            </w:tcBorders>
          </w:tcPr>
          <w:p w14:paraId="2623346A" w14:textId="1AB6E8F4" w:rsidR="00EF7F4C" w:rsidRPr="001159D0" w:rsidRDefault="00EF7F4C" w:rsidP="00DF2669">
            <w:pPr>
              <w:pStyle w:val="COMTabletext"/>
              <w:keepNext w:val="0"/>
              <w:widowControl w:val="0"/>
            </w:pPr>
            <w:r w:rsidRPr="001159D0">
              <w:rPr>
                <w:szCs w:val="18"/>
              </w:rPr>
              <w:t>Weir MR</w:t>
            </w:r>
            <w:r w:rsidR="0089161F" w:rsidRPr="001159D0">
              <w:rPr>
                <w:szCs w:val="18"/>
              </w:rPr>
              <w:t>,</w:t>
            </w:r>
            <w:r w:rsidRPr="001159D0">
              <w:rPr>
                <w:szCs w:val="18"/>
              </w:rPr>
              <w:t xml:space="preserve"> et al. Patiromer in patients with kidney disease and hyperkalaemia receiving RAAS inhibitors.</w:t>
            </w:r>
          </w:p>
        </w:tc>
        <w:tc>
          <w:tcPr>
            <w:tcW w:w="1387" w:type="pct"/>
            <w:tcBorders>
              <w:top w:val="nil"/>
              <w:bottom w:val="nil"/>
            </w:tcBorders>
          </w:tcPr>
          <w:p w14:paraId="2F9E8752" w14:textId="77777777" w:rsidR="00EF7F4C" w:rsidRPr="001159D0" w:rsidRDefault="00EF7F4C" w:rsidP="00DF2669">
            <w:pPr>
              <w:pStyle w:val="COMTabletext"/>
              <w:keepNext w:val="0"/>
              <w:widowControl w:val="0"/>
            </w:pPr>
            <w:r w:rsidRPr="001159D0">
              <w:rPr>
                <w:i/>
                <w:szCs w:val="18"/>
              </w:rPr>
              <w:t xml:space="preserve">New England Journal of Medicine. </w:t>
            </w:r>
            <w:r w:rsidRPr="001159D0">
              <w:rPr>
                <w:szCs w:val="18"/>
              </w:rPr>
              <w:t>2015; 372(3): 211-221.</w:t>
            </w:r>
          </w:p>
        </w:tc>
      </w:tr>
      <w:tr w:rsidR="00EF7F4C" w:rsidRPr="001159D0" w14:paraId="7F50E289" w14:textId="77777777" w:rsidTr="0089161F">
        <w:tc>
          <w:tcPr>
            <w:tcW w:w="705" w:type="pct"/>
            <w:tcBorders>
              <w:top w:val="nil"/>
              <w:bottom w:val="nil"/>
            </w:tcBorders>
          </w:tcPr>
          <w:p w14:paraId="554B0045" w14:textId="77777777" w:rsidR="00EF7F4C" w:rsidRPr="001159D0" w:rsidRDefault="00EF7F4C" w:rsidP="00DF2669">
            <w:pPr>
              <w:pStyle w:val="COMTabletext"/>
              <w:keepNext w:val="0"/>
              <w:widowControl w:val="0"/>
            </w:pPr>
          </w:p>
        </w:tc>
        <w:tc>
          <w:tcPr>
            <w:tcW w:w="2908" w:type="pct"/>
            <w:tcBorders>
              <w:top w:val="nil"/>
              <w:bottom w:val="nil"/>
            </w:tcBorders>
          </w:tcPr>
          <w:p w14:paraId="395641B1" w14:textId="4BCA0CDB" w:rsidR="00EF7F4C" w:rsidRPr="001159D0" w:rsidRDefault="00EF7F4C" w:rsidP="00DF2669">
            <w:pPr>
              <w:pStyle w:val="COMTabletext"/>
              <w:keepNext w:val="0"/>
              <w:widowControl w:val="0"/>
              <w:rPr>
                <w:szCs w:val="18"/>
              </w:rPr>
            </w:pPr>
            <w:r w:rsidRPr="001159D0">
              <w:rPr>
                <w:szCs w:val="18"/>
              </w:rPr>
              <w:t>Weir MR</w:t>
            </w:r>
            <w:r w:rsidR="0089161F" w:rsidRPr="001159D0">
              <w:rPr>
                <w:szCs w:val="18"/>
              </w:rPr>
              <w:t>,</w:t>
            </w:r>
            <w:r w:rsidRPr="001159D0">
              <w:rPr>
                <w:szCs w:val="18"/>
              </w:rPr>
              <w:t xml:space="preserve"> et al., Effect of </w:t>
            </w:r>
            <w:r w:rsidR="0089161F" w:rsidRPr="001159D0">
              <w:rPr>
                <w:szCs w:val="18"/>
              </w:rPr>
              <w:t>p</w:t>
            </w:r>
            <w:r w:rsidRPr="001159D0">
              <w:rPr>
                <w:szCs w:val="18"/>
              </w:rPr>
              <w:t xml:space="preserve">atiromer on </w:t>
            </w:r>
            <w:r w:rsidR="0089161F" w:rsidRPr="001159D0">
              <w:rPr>
                <w:szCs w:val="18"/>
              </w:rPr>
              <w:t>h</w:t>
            </w:r>
            <w:r w:rsidRPr="001159D0">
              <w:rPr>
                <w:szCs w:val="18"/>
              </w:rPr>
              <w:t xml:space="preserve">yperkalemia </w:t>
            </w:r>
            <w:r w:rsidR="0089161F" w:rsidRPr="001159D0">
              <w:rPr>
                <w:szCs w:val="18"/>
              </w:rPr>
              <w:t>r</w:t>
            </w:r>
            <w:r w:rsidRPr="001159D0">
              <w:rPr>
                <w:szCs w:val="18"/>
              </w:rPr>
              <w:t xml:space="preserve">ecurrence in </w:t>
            </w:r>
            <w:r w:rsidR="0089161F" w:rsidRPr="001159D0">
              <w:rPr>
                <w:szCs w:val="18"/>
              </w:rPr>
              <w:t>o</w:t>
            </w:r>
            <w:r w:rsidRPr="001159D0">
              <w:rPr>
                <w:szCs w:val="18"/>
              </w:rPr>
              <w:t xml:space="preserve">lder </w:t>
            </w:r>
            <w:r w:rsidR="0089161F" w:rsidRPr="001159D0">
              <w:rPr>
                <w:szCs w:val="18"/>
              </w:rPr>
              <w:t>c</w:t>
            </w:r>
            <w:r w:rsidRPr="001159D0">
              <w:rPr>
                <w:szCs w:val="18"/>
              </w:rPr>
              <w:t xml:space="preserve">hronic </w:t>
            </w:r>
            <w:r w:rsidR="0089161F" w:rsidRPr="001159D0">
              <w:rPr>
                <w:szCs w:val="18"/>
              </w:rPr>
              <w:t>k</w:t>
            </w:r>
            <w:r w:rsidRPr="001159D0">
              <w:rPr>
                <w:szCs w:val="18"/>
              </w:rPr>
              <w:t xml:space="preserve">idney </w:t>
            </w:r>
            <w:r w:rsidR="0089161F" w:rsidRPr="001159D0">
              <w:rPr>
                <w:szCs w:val="18"/>
              </w:rPr>
              <w:t>d</w:t>
            </w:r>
            <w:r w:rsidRPr="001159D0">
              <w:rPr>
                <w:szCs w:val="18"/>
              </w:rPr>
              <w:t xml:space="preserve">isease </w:t>
            </w:r>
            <w:r w:rsidR="0089161F" w:rsidRPr="001159D0">
              <w:rPr>
                <w:szCs w:val="18"/>
              </w:rPr>
              <w:t>p</w:t>
            </w:r>
            <w:r w:rsidRPr="001159D0">
              <w:rPr>
                <w:szCs w:val="18"/>
              </w:rPr>
              <w:t xml:space="preserve">atients </w:t>
            </w:r>
            <w:r w:rsidR="0089161F" w:rsidRPr="001159D0">
              <w:rPr>
                <w:szCs w:val="18"/>
              </w:rPr>
              <w:t>t</w:t>
            </w:r>
            <w:r w:rsidRPr="001159D0">
              <w:rPr>
                <w:szCs w:val="18"/>
              </w:rPr>
              <w:t xml:space="preserve">aking RAAS </w:t>
            </w:r>
            <w:r w:rsidR="0089161F" w:rsidRPr="001159D0">
              <w:rPr>
                <w:szCs w:val="18"/>
              </w:rPr>
              <w:t>i</w:t>
            </w:r>
            <w:r w:rsidRPr="001159D0">
              <w:rPr>
                <w:szCs w:val="18"/>
              </w:rPr>
              <w:t xml:space="preserve">nhibitors. </w:t>
            </w:r>
          </w:p>
        </w:tc>
        <w:tc>
          <w:tcPr>
            <w:tcW w:w="1387" w:type="pct"/>
            <w:tcBorders>
              <w:top w:val="nil"/>
              <w:bottom w:val="nil"/>
            </w:tcBorders>
          </w:tcPr>
          <w:p w14:paraId="3D22E8FC" w14:textId="77777777" w:rsidR="00EF7F4C" w:rsidRPr="001159D0" w:rsidRDefault="00EF7F4C" w:rsidP="00DF2669">
            <w:pPr>
              <w:pStyle w:val="COMTabletext"/>
              <w:keepNext w:val="0"/>
              <w:widowControl w:val="0"/>
              <w:rPr>
                <w:i/>
              </w:rPr>
            </w:pPr>
            <w:r w:rsidRPr="001159D0">
              <w:rPr>
                <w:i/>
                <w:szCs w:val="18"/>
              </w:rPr>
              <w:t>American Journal of Medicine.</w:t>
            </w:r>
            <w:r w:rsidRPr="001159D0">
              <w:rPr>
                <w:szCs w:val="18"/>
              </w:rPr>
              <w:t xml:space="preserve"> 2018; 131(5):555-564, e3.</w:t>
            </w:r>
          </w:p>
        </w:tc>
      </w:tr>
      <w:tr w:rsidR="00EF7F4C" w:rsidRPr="001159D0" w14:paraId="47AA7180" w14:textId="77777777" w:rsidTr="0089161F">
        <w:tc>
          <w:tcPr>
            <w:tcW w:w="705" w:type="pct"/>
            <w:tcBorders>
              <w:top w:val="nil"/>
              <w:bottom w:val="nil"/>
            </w:tcBorders>
          </w:tcPr>
          <w:p w14:paraId="5D0F9D8D" w14:textId="77777777" w:rsidR="00EF7F4C" w:rsidRPr="001159D0" w:rsidRDefault="00EF7F4C" w:rsidP="00DF2669">
            <w:pPr>
              <w:pStyle w:val="COMTabletext"/>
              <w:keepNext w:val="0"/>
              <w:widowControl w:val="0"/>
            </w:pPr>
          </w:p>
        </w:tc>
        <w:tc>
          <w:tcPr>
            <w:tcW w:w="2908" w:type="pct"/>
            <w:tcBorders>
              <w:top w:val="nil"/>
              <w:bottom w:val="nil"/>
            </w:tcBorders>
          </w:tcPr>
          <w:p w14:paraId="3B1C06C2" w14:textId="3A1958A6" w:rsidR="00EF7F4C" w:rsidRPr="001159D0" w:rsidRDefault="00EF7F4C" w:rsidP="00DF2669">
            <w:pPr>
              <w:pStyle w:val="COMTabletext"/>
              <w:keepNext w:val="0"/>
              <w:widowControl w:val="0"/>
              <w:rPr>
                <w:szCs w:val="18"/>
              </w:rPr>
            </w:pPr>
            <w:r w:rsidRPr="001159D0">
              <w:rPr>
                <w:szCs w:val="18"/>
              </w:rPr>
              <w:t>Weir MR</w:t>
            </w:r>
            <w:r w:rsidR="0089161F" w:rsidRPr="001159D0">
              <w:rPr>
                <w:szCs w:val="18"/>
              </w:rPr>
              <w:t>,</w:t>
            </w:r>
            <w:r w:rsidRPr="001159D0">
              <w:rPr>
                <w:szCs w:val="18"/>
              </w:rPr>
              <w:t xml:space="preserve"> et al. Effectiveness of patiromer in the treatment of hyperkalemia in chronic kidney disease patients with hypertension on diuretics.</w:t>
            </w:r>
          </w:p>
        </w:tc>
        <w:tc>
          <w:tcPr>
            <w:tcW w:w="1387" w:type="pct"/>
            <w:tcBorders>
              <w:top w:val="nil"/>
              <w:bottom w:val="nil"/>
            </w:tcBorders>
          </w:tcPr>
          <w:p w14:paraId="3D3C26D4" w14:textId="77777777" w:rsidR="00EF7F4C" w:rsidRPr="001159D0" w:rsidRDefault="00EF7F4C" w:rsidP="00DF2669">
            <w:pPr>
              <w:pStyle w:val="COMTabletext"/>
              <w:keepNext w:val="0"/>
              <w:widowControl w:val="0"/>
            </w:pPr>
            <w:r w:rsidRPr="001159D0">
              <w:rPr>
                <w:i/>
                <w:szCs w:val="18"/>
              </w:rPr>
              <w:t>Journal of Hypertension.</w:t>
            </w:r>
            <w:r w:rsidRPr="001159D0">
              <w:rPr>
                <w:szCs w:val="18"/>
              </w:rPr>
              <w:t xml:space="preserve"> 2017; 35(Suppl.1):S57-S63.</w:t>
            </w:r>
          </w:p>
        </w:tc>
      </w:tr>
      <w:tr w:rsidR="00EF7F4C" w:rsidRPr="001159D0" w14:paraId="601A533D" w14:textId="77777777" w:rsidTr="0089161F">
        <w:tc>
          <w:tcPr>
            <w:tcW w:w="705" w:type="pct"/>
            <w:tcBorders>
              <w:top w:val="nil"/>
              <w:bottom w:val="nil"/>
            </w:tcBorders>
          </w:tcPr>
          <w:p w14:paraId="70D11736" w14:textId="77777777" w:rsidR="00EF7F4C" w:rsidRPr="001159D0" w:rsidRDefault="00EF7F4C" w:rsidP="00DF2669">
            <w:pPr>
              <w:pStyle w:val="COMTabletext"/>
              <w:keepNext w:val="0"/>
              <w:widowControl w:val="0"/>
            </w:pPr>
          </w:p>
        </w:tc>
        <w:tc>
          <w:tcPr>
            <w:tcW w:w="2908" w:type="pct"/>
            <w:tcBorders>
              <w:top w:val="nil"/>
              <w:bottom w:val="nil"/>
            </w:tcBorders>
          </w:tcPr>
          <w:p w14:paraId="2074590C" w14:textId="42B810CB" w:rsidR="00EF7F4C" w:rsidRPr="001159D0" w:rsidRDefault="00EF7F4C" w:rsidP="00DF2669">
            <w:pPr>
              <w:pStyle w:val="COMTabletext"/>
              <w:keepNext w:val="0"/>
              <w:widowControl w:val="0"/>
            </w:pPr>
            <w:r w:rsidRPr="001159D0">
              <w:rPr>
                <w:szCs w:val="18"/>
              </w:rPr>
              <w:t>Weir MR</w:t>
            </w:r>
            <w:r w:rsidR="0089161F" w:rsidRPr="001159D0">
              <w:rPr>
                <w:szCs w:val="18"/>
              </w:rPr>
              <w:t>,</w:t>
            </w:r>
            <w:r w:rsidRPr="001159D0">
              <w:rPr>
                <w:szCs w:val="18"/>
              </w:rPr>
              <w:t xml:space="preserve"> et al. Patiromer reduced recurrent hyperkalemia in advanced CKD patients on RAASI.</w:t>
            </w:r>
          </w:p>
        </w:tc>
        <w:tc>
          <w:tcPr>
            <w:tcW w:w="1387" w:type="pct"/>
            <w:tcBorders>
              <w:top w:val="nil"/>
              <w:bottom w:val="nil"/>
            </w:tcBorders>
          </w:tcPr>
          <w:p w14:paraId="2A88E087" w14:textId="77777777" w:rsidR="00EF7F4C" w:rsidRPr="001159D0" w:rsidRDefault="00EF7F4C" w:rsidP="00DF2669">
            <w:pPr>
              <w:pStyle w:val="COMTabletext"/>
              <w:keepNext w:val="0"/>
              <w:widowControl w:val="0"/>
            </w:pPr>
            <w:r w:rsidRPr="001159D0">
              <w:rPr>
                <w:i/>
                <w:szCs w:val="18"/>
              </w:rPr>
              <w:t>American Journal of Kidney Diseases.</w:t>
            </w:r>
            <w:r w:rsidRPr="001159D0">
              <w:rPr>
                <w:szCs w:val="18"/>
              </w:rPr>
              <w:t xml:space="preserve"> 2015; 65(4):A90.</w:t>
            </w:r>
          </w:p>
        </w:tc>
      </w:tr>
      <w:tr w:rsidR="00EF7F4C" w:rsidRPr="001159D0" w14:paraId="581AEC87" w14:textId="77777777" w:rsidTr="0089161F">
        <w:tc>
          <w:tcPr>
            <w:tcW w:w="705" w:type="pct"/>
            <w:tcBorders>
              <w:top w:val="nil"/>
              <w:bottom w:val="nil"/>
            </w:tcBorders>
          </w:tcPr>
          <w:p w14:paraId="6CF82DD7" w14:textId="77777777" w:rsidR="00EF7F4C" w:rsidRPr="001159D0" w:rsidRDefault="00EF7F4C" w:rsidP="00DF2669">
            <w:pPr>
              <w:pStyle w:val="COMTabletext"/>
              <w:keepNext w:val="0"/>
              <w:widowControl w:val="0"/>
            </w:pPr>
          </w:p>
        </w:tc>
        <w:tc>
          <w:tcPr>
            <w:tcW w:w="2908" w:type="pct"/>
            <w:tcBorders>
              <w:top w:val="nil"/>
              <w:bottom w:val="nil"/>
            </w:tcBorders>
          </w:tcPr>
          <w:p w14:paraId="0803736A" w14:textId="11157ED6" w:rsidR="00EF7F4C" w:rsidRPr="001159D0" w:rsidRDefault="00EF7F4C" w:rsidP="00DF2669">
            <w:pPr>
              <w:pStyle w:val="COMTabletext"/>
              <w:keepNext w:val="0"/>
              <w:widowControl w:val="0"/>
              <w:rPr>
                <w:szCs w:val="18"/>
              </w:rPr>
            </w:pPr>
            <w:r w:rsidRPr="001159D0">
              <w:rPr>
                <w:szCs w:val="18"/>
              </w:rPr>
              <w:t>Weir MR</w:t>
            </w:r>
            <w:r w:rsidR="0089161F" w:rsidRPr="001159D0">
              <w:rPr>
                <w:szCs w:val="18"/>
              </w:rPr>
              <w:t>,</w:t>
            </w:r>
            <w:r w:rsidRPr="001159D0">
              <w:rPr>
                <w:szCs w:val="18"/>
              </w:rPr>
              <w:t xml:space="preserve"> et al. Patiromer decreased aldosterone, urine albumin/creatinine ratio, and blood pressure in patients with chronic kidney disease and hyperkalemia on RAAS inhibitors: Results from OPAL-HK.</w:t>
            </w:r>
          </w:p>
        </w:tc>
        <w:tc>
          <w:tcPr>
            <w:tcW w:w="1387" w:type="pct"/>
            <w:tcBorders>
              <w:top w:val="nil"/>
              <w:bottom w:val="nil"/>
            </w:tcBorders>
          </w:tcPr>
          <w:p w14:paraId="076F68FA" w14:textId="77777777" w:rsidR="00EF7F4C" w:rsidRPr="001159D0" w:rsidRDefault="00EF7F4C" w:rsidP="00DF2669">
            <w:pPr>
              <w:pStyle w:val="COMTabletext"/>
              <w:keepNext w:val="0"/>
              <w:widowControl w:val="0"/>
            </w:pPr>
            <w:r w:rsidRPr="001159D0">
              <w:rPr>
                <w:i/>
                <w:szCs w:val="18"/>
              </w:rPr>
              <w:t>Hypertension.</w:t>
            </w:r>
            <w:r w:rsidRPr="001159D0">
              <w:rPr>
                <w:szCs w:val="18"/>
              </w:rPr>
              <w:t xml:space="preserve"> 2015; 66(SUPPL.1).</w:t>
            </w:r>
          </w:p>
        </w:tc>
      </w:tr>
      <w:tr w:rsidR="00EF7F4C" w:rsidRPr="001159D0" w14:paraId="76EFEB67" w14:textId="77777777" w:rsidTr="0089161F">
        <w:tc>
          <w:tcPr>
            <w:tcW w:w="705" w:type="pct"/>
            <w:tcBorders>
              <w:top w:val="nil"/>
              <w:bottom w:val="single" w:sz="4" w:space="0" w:color="auto"/>
            </w:tcBorders>
          </w:tcPr>
          <w:p w14:paraId="1BF0C93E" w14:textId="77777777" w:rsidR="00EF7F4C" w:rsidRPr="001159D0" w:rsidRDefault="00EF7F4C" w:rsidP="00DF2669">
            <w:pPr>
              <w:pStyle w:val="COMTabletext"/>
              <w:keepNext w:val="0"/>
              <w:widowControl w:val="0"/>
            </w:pPr>
          </w:p>
        </w:tc>
        <w:tc>
          <w:tcPr>
            <w:tcW w:w="2908" w:type="pct"/>
            <w:tcBorders>
              <w:top w:val="nil"/>
              <w:bottom w:val="single" w:sz="4" w:space="0" w:color="auto"/>
            </w:tcBorders>
          </w:tcPr>
          <w:p w14:paraId="7F650CF6" w14:textId="0DBF0263" w:rsidR="00EF7F4C" w:rsidRPr="001159D0" w:rsidRDefault="00EF7F4C" w:rsidP="00DF2669">
            <w:pPr>
              <w:pStyle w:val="COMTabletext"/>
              <w:keepNext w:val="0"/>
              <w:widowControl w:val="0"/>
              <w:rPr>
                <w:szCs w:val="18"/>
              </w:rPr>
            </w:pPr>
            <w:r w:rsidRPr="001159D0">
              <w:rPr>
                <w:szCs w:val="18"/>
              </w:rPr>
              <w:t>Weir MR</w:t>
            </w:r>
            <w:r w:rsidR="0089161F" w:rsidRPr="001159D0">
              <w:rPr>
                <w:szCs w:val="18"/>
              </w:rPr>
              <w:t>,</w:t>
            </w:r>
            <w:r w:rsidRPr="001159D0">
              <w:rPr>
                <w:szCs w:val="18"/>
              </w:rPr>
              <w:t xml:space="preserve"> et al. Patiromer increased time to RAAS inhibitor discontinuation compared with placebo in advanced CKD patients with hyperkalemia. </w:t>
            </w:r>
          </w:p>
        </w:tc>
        <w:tc>
          <w:tcPr>
            <w:tcW w:w="1387" w:type="pct"/>
            <w:tcBorders>
              <w:top w:val="nil"/>
              <w:bottom w:val="single" w:sz="4" w:space="0" w:color="auto"/>
            </w:tcBorders>
          </w:tcPr>
          <w:p w14:paraId="62AF3778" w14:textId="77777777" w:rsidR="00EF7F4C" w:rsidRPr="001159D0" w:rsidRDefault="00EF7F4C" w:rsidP="00DF2669">
            <w:pPr>
              <w:pStyle w:val="COMTabletext"/>
              <w:keepNext w:val="0"/>
              <w:widowControl w:val="0"/>
              <w:rPr>
                <w:i/>
                <w:szCs w:val="18"/>
              </w:rPr>
            </w:pPr>
            <w:r w:rsidRPr="001159D0">
              <w:rPr>
                <w:i/>
                <w:szCs w:val="18"/>
              </w:rPr>
              <w:t>Journal of the American Society of Hypertension.</w:t>
            </w:r>
            <w:r w:rsidRPr="001159D0">
              <w:rPr>
                <w:szCs w:val="18"/>
              </w:rPr>
              <w:t xml:space="preserve"> 2015; 9(4 SUPPL.1):e57-e58.</w:t>
            </w:r>
          </w:p>
        </w:tc>
      </w:tr>
      <w:tr w:rsidR="00EF7F4C" w:rsidRPr="001159D0" w14:paraId="35909062" w14:textId="77777777" w:rsidTr="0089161F">
        <w:tc>
          <w:tcPr>
            <w:tcW w:w="705" w:type="pct"/>
            <w:tcBorders>
              <w:top w:val="single" w:sz="4" w:space="0" w:color="auto"/>
              <w:left w:val="single" w:sz="4" w:space="0" w:color="auto"/>
              <w:bottom w:val="nil"/>
              <w:right w:val="single" w:sz="4" w:space="0" w:color="auto"/>
            </w:tcBorders>
          </w:tcPr>
          <w:p w14:paraId="6D26D570" w14:textId="77777777" w:rsidR="00EF7F4C" w:rsidRPr="001159D0" w:rsidRDefault="00EF7F4C" w:rsidP="00DF2669">
            <w:pPr>
              <w:pStyle w:val="COMTabletext"/>
              <w:keepNext w:val="0"/>
              <w:widowControl w:val="0"/>
            </w:pPr>
            <w:r w:rsidRPr="001159D0">
              <w:t>AMETHYST-DN</w:t>
            </w:r>
          </w:p>
          <w:p w14:paraId="05D70FD2" w14:textId="77777777" w:rsidR="00EF7F4C" w:rsidRPr="001159D0" w:rsidRDefault="00EF7F4C" w:rsidP="00DF2669">
            <w:pPr>
              <w:pStyle w:val="COMTabletext"/>
              <w:keepNext w:val="0"/>
              <w:widowControl w:val="0"/>
            </w:pPr>
            <w:r w:rsidRPr="001159D0">
              <w:t>(NCT01371747)</w:t>
            </w:r>
          </w:p>
        </w:tc>
        <w:tc>
          <w:tcPr>
            <w:tcW w:w="2908" w:type="pct"/>
            <w:tcBorders>
              <w:top w:val="single" w:sz="4" w:space="0" w:color="auto"/>
              <w:left w:val="single" w:sz="4" w:space="0" w:color="auto"/>
              <w:bottom w:val="nil"/>
              <w:right w:val="single" w:sz="4" w:space="0" w:color="auto"/>
            </w:tcBorders>
          </w:tcPr>
          <w:p w14:paraId="26868E95" w14:textId="56AB16CF" w:rsidR="00EF7F4C" w:rsidRPr="001159D0" w:rsidRDefault="00EF7F4C" w:rsidP="00DF2669">
            <w:pPr>
              <w:pStyle w:val="COMTabletext"/>
              <w:keepNext w:val="0"/>
              <w:widowControl w:val="0"/>
              <w:rPr>
                <w:szCs w:val="18"/>
              </w:rPr>
            </w:pPr>
            <w:r w:rsidRPr="001159D0">
              <w:rPr>
                <w:szCs w:val="18"/>
              </w:rPr>
              <w:t>A multicenter, randomized, open-label, dose ranging study to evaluate the efficacy and safety of RLY5016 (Patiromer) in the treatment of hyperkalemia in patients with hypertension and diabetic nephropathy receiving ACEI and/or ARB drugs, with or without spironolactone (AMETHYST-DN)</w:t>
            </w:r>
            <w:r w:rsidR="00A87ABD" w:rsidRPr="001159D0">
              <w:rPr>
                <w:szCs w:val="18"/>
              </w:rPr>
              <w:t>.</w:t>
            </w:r>
          </w:p>
        </w:tc>
        <w:tc>
          <w:tcPr>
            <w:tcW w:w="1387" w:type="pct"/>
            <w:tcBorders>
              <w:top w:val="single" w:sz="4" w:space="0" w:color="auto"/>
              <w:left w:val="single" w:sz="4" w:space="0" w:color="auto"/>
              <w:bottom w:val="nil"/>
              <w:right w:val="single" w:sz="4" w:space="0" w:color="auto"/>
            </w:tcBorders>
          </w:tcPr>
          <w:p w14:paraId="1318B2D0" w14:textId="77777777" w:rsidR="00EF7F4C" w:rsidRPr="001159D0" w:rsidRDefault="00EF7F4C" w:rsidP="00DF2669">
            <w:pPr>
              <w:pStyle w:val="COMTabletext"/>
              <w:keepNext w:val="0"/>
              <w:widowControl w:val="0"/>
              <w:rPr>
                <w:iCs/>
                <w:szCs w:val="18"/>
              </w:rPr>
            </w:pPr>
            <w:r w:rsidRPr="001159D0">
              <w:rPr>
                <w:iCs/>
                <w:szCs w:val="18"/>
              </w:rPr>
              <w:t>24 September 2014.</w:t>
            </w:r>
          </w:p>
        </w:tc>
      </w:tr>
      <w:tr w:rsidR="00EF7F4C" w:rsidRPr="001159D0" w14:paraId="2249A807" w14:textId="77777777" w:rsidTr="0089161F">
        <w:tc>
          <w:tcPr>
            <w:tcW w:w="705" w:type="pct"/>
            <w:tcBorders>
              <w:top w:val="nil"/>
              <w:left w:val="single" w:sz="4" w:space="0" w:color="auto"/>
              <w:bottom w:val="nil"/>
              <w:right w:val="single" w:sz="4" w:space="0" w:color="auto"/>
            </w:tcBorders>
          </w:tcPr>
          <w:p w14:paraId="05FFC9A2" w14:textId="77777777" w:rsidR="00EF7F4C" w:rsidRPr="001159D0" w:rsidRDefault="00EF7F4C" w:rsidP="00DF2669">
            <w:pPr>
              <w:pStyle w:val="COMTabletext"/>
              <w:keepNext w:val="0"/>
              <w:widowControl w:val="0"/>
            </w:pPr>
          </w:p>
        </w:tc>
        <w:tc>
          <w:tcPr>
            <w:tcW w:w="2908" w:type="pct"/>
            <w:tcBorders>
              <w:top w:val="nil"/>
              <w:left w:val="single" w:sz="4" w:space="0" w:color="auto"/>
              <w:bottom w:val="nil"/>
              <w:right w:val="single" w:sz="4" w:space="0" w:color="auto"/>
            </w:tcBorders>
          </w:tcPr>
          <w:p w14:paraId="40E71103" w14:textId="4A1D073A" w:rsidR="00EF7F4C" w:rsidRPr="001159D0" w:rsidRDefault="00EF7F4C" w:rsidP="00DF2669">
            <w:pPr>
              <w:pStyle w:val="COMTabletext"/>
              <w:keepNext w:val="0"/>
              <w:widowControl w:val="0"/>
              <w:rPr>
                <w:szCs w:val="18"/>
              </w:rPr>
            </w:pPr>
            <w:r w:rsidRPr="001159D0">
              <w:rPr>
                <w:szCs w:val="18"/>
              </w:rPr>
              <w:t>Bakris GL</w:t>
            </w:r>
            <w:r w:rsidR="0089161F" w:rsidRPr="001159D0">
              <w:rPr>
                <w:szCs w:val="18"/>
              </w:rPr>
              <w:t>,</w:t>
            </w:r>
            <w:r w:rsidRPr="001159D0">
              <w:rPr>
                <w:szCs w:val="18"/>
              </w:rPr>
              <w:t xml:space="preserve"> et al. Effect of patiromer on serum potassium level in patients with hyperkalemia and diabetic kidney disease: the AMETHYST-DN randomized clinical trial</w:t>
            </w:r>
            <w:r w:rsidR="00A87ABD" w:rsidRPr="001159D0">
              <w:rPr>
                <w:szCs w:val="18"/>
              </w:rPr>
              <w:t>.</w:t>
            </w:r>
          </w:p>
        </w:tc>
        <w:tc>
          <w:tcPr>
            <w:tcW w:w="1387" w:type="pct"/>
            <w:tcBorders>
              <w:top w:val="nil"/>
              <w:left w:val="single" w:sz="4" w:space="0" w:color="auto"/>
              <w:bottom w:val="nil"/>
              <w:right w:val="single" w:sz="4" w:space="0" w:color="auto"/>
            </w:tcBorders>
          </w:tcPr>
          <w:p w14:paraId="7B846CAA" w14:textId="77777777" w:rsidR="00EF7F4C" w:rsidRPr="001159D0" w:rsidRDefault="00EF7F4C" w:rsidP="00DF2669">
            <w:pPr>
              <w:pStyle w:val="COMTabletext"/>
              <w:keepNext w:val="0"/>
              <w:widowControl w:val="0"/>
              <w:rPr>
                <w:i/>
                <w:szCs w:val="18"/>
              </w:rPr>
            </w:pPr>
            <w:r w:rsidRPr="001159D0">
              <w:rPr>
                <w:i/>
                <w:szCs w:val="18"/>
              </w:rPr>
              <w:t xml:space="preserve">JAMA. </w:t>
            </w:r>
            <w:r w:rsidRPr="001159D0">
              <w:rPr>
                <w:iCs/>
                <w:szCs w:val="18"/>
              </w:rPr>
              <w:t>2015; 314(2):151</w:t>
            </w:r>
            <w:r w:rsidRPr="001159D0">
              <w:rPr>
                <w:rFonts w:ascii="Cambria Math" w:hAnsi="Cambria Math" w:cs="Cambria Math"/>
                <w:iCs/>
                <w:szCs w:val="18"/>
              </w:rPr>
              <w:t>‐</w:t>
            </w:r>
            <w:r w:rsidRPr="001159D0">
              <w:rPr>
                <w:iCs/>
                <w:szCs w:val="18"/>
              </w:rPr>
              <w:t>161.</w:t>
            </w:r>
          </w:p>
        </w:tc>
      </w:tr>
      <w:tr w:rsidR="00EF7F4C" w:rsidRPr="001159D0" w14:paraId="42E7AC1A" w14:textId="77777777" w:rsidTr="0089161F">
        <w:tc>
          <w:tcPr>
            <w:tcW w:w="705" w:type="pct"/>
            <w:tcBorders>
              <w:top w:val="nil"/>
              <w:left w:val="single" w:sz="4" w:space="0" w:color="auto"/>
              <w:bottom w:val="nil"/>
              <w:right w:val="single" w:sz="4" w:space="0" w:color="auto"/>
            </w:tcBorders>
          </w:tcPr>
          <w:p w14:paraId="7EBFC82A" w14:textId="77777777" w:rsidR="00EF7F4C" w:rsidRPr="001159D0" w:rsidRDefault="00EF7F4C" w:rsidP="00DF2669">
            <w:pPr>
              <w:pStyle w:val="COMTabletext"/>
              <w:keepNext w:val="0"/>
              <w:widowControl w:val="0"/>
            </w:pPr>
          </w:p>
        </w:tc>
        <w:tc>
          <w:tcPr>
            <w:tcW w:w="2908" w:type="pct"/>
            <w:tcBorders>
              <w:top w:val="nil"/>
              <w:left w:val="single" w:sz="4" w:space="0" w:color="auto"/>
              <w:bottom w:val="nil"/>
              <w:right w:val="single" w:sz="4" w:space="0" w:color="auto"/>
            </w:tcBorders>
          </w:tcPr>
          <w:p w14:paraId="1E6EF93B" w14:textId="534173A8" w:rsidR="00EF7F4C" w:rsidRPr="001159D0" w:rsidRDefault="00EF7F4C" w:rsidP="00DF2669">
            <w:pPr>
              <w:pStyle w:val="COMTabletext"/>
              <w:keepNext w:val="0"/>
              <w:widowControl w:val="0"/>
              <w:rPr>
                <w:szCs w:val="18"/>
              </w:rPr>
            </w:pPr>
            <w:r w:rsidRPr="001159D0">
              <w:rPr>
                <w:szCs w:val="18"/>
              </w:rPr>
              <w:t>Epstein M</w:t>
            </w:r>
            <w:r w:rsidR="00A87ABD" w:rsidRPr="001159D0">
              <w:rPr>
                <w:szCs w:val="18"/>
              </w:rPr>
              <w:t>,</w:t>
            </w:r>
            <w:r w:rsidRPr="001159D0">
              <w:rPr>
                <w:szCs w:val="18"/>
              </w:rPr>
              <w:t xml:space="preserve"> et al. Patiromer enables sustained RAAS inhibitor therapy over 52 weeks: A post hoc analysis of 246 patients who completed the amethyst-DN study (Abstract PO2370).</w:t>
            </w:r>
          </w:p>
        </w:tc>
        <w:tc>
          <w:tcPr>
            <w:tcW w:w="1387" w:type="pct"/>
            <w:tcBorders>
              <w:top w:val="nil"/>
              <w:left w:val="single" w:sz="4" w:space="0" w:color="auto"/>
              <w:bottom w:val="nil"/>
              <w:right w:val="single" w:sz="4" w:space="0" w:color="auto"/>
            </w:tcBorders>
          </w:tcPr>
          <w:p w14:paraId="225C1D95" w14:textId="77777777" w:rsidR="00EF7F4C" w:rsidRPr="001159D0" w:rsidRDefault="00EF7F4C" w:rsidP="00DF2669">
            <w:pPr>
              <w:pStyle w:val="COMTabletext"/>
              <w:keepNext w:val="0"/>
              <w:widowControl w:val="0"/>
              <w:rPr>
                <w:i/>
                <w:szCs w:val="18"/>
              </w:rPr>
            </w:pPr>
            <w:r w:rsidRPr="001159D0">
              <w:rPr>
                <w:i/>
                <w:szCs w:val="18"/>
              </w:rPr>
              <w:t xml:space="preserve">Journal of the American Society of Nephrology. </w:t>
            </w:r>
            <w:r w:rsidRPr="001159D0">
              <w:rPr>
                <w:iCs/>
                <w:szCs w:val="18"/>
              </w:rPr>
              <w:t>2021a; Kidney Week Abstracts:726-727.</w:t>
            </w:r>
          </w:p>
        </w:tc>
      </w:tr>
      <w:tr w:rsidR="00EF7F4C" w:rsidRPr="001159D0" w14:paraId="54047AA9" w14:textId="77777777" w:rsidTr="0089161F">
        <w:tc>
          <w:tcPr>
            <w:tcW w:w="705" w:type="pct"/>
            <w:tcBorders>
              <w:top w:val="nil"/>
              <w:left w:val="single" w:sz="4" w:space="0" w:color="auto"/>
              <w:bottom w:val="single" w:sz="4" w:space="0" w:color="auto"/>
              <w:right w:val="single" w:sz="4" w:space="0" w:color="auto"/>
            </w:tcBorders>
          </w:tcPr>
          <w:p w14:paraId="4CC24C84" w14:textId="77777777" w:rsidR="00EF7F4C" w:rsidRPr="001159D0" w:rsidRDefault="00EF7F4C" w:rsidP="00DF2669">
            <w:pPr>
              <w:pStyle w:val="COMTabletext"/>
              <w:keepNext w:val="0"/>
              <w:widowControl w:val="0"/>
            </w:pPr>
          </w:p>
        </w:tc>
        <w:tc>
          <w:tcPr>
            <w:tcW w:w="2908" w:type="pct"/>
            <w:tcBorders>
              <w:top w:val="nil"/>
              <w:left w:val="single" w:sz="4" w:space="0" w:color="auto"/>
              <w:bottom w:val="single" w:sz="4" w:space="0" w:color="auto"/>
              <w:right w:val="single" w:sz="4" w:space="0" w:color="auto"/>
            </w:tcBorders>
          </w:tcPr>
          <w:p w14:paraId="54FE5372" w14:textId="1E45E67B" w:rsidR="00EF7F4C" w:rsidRPr="001159D0" w:rsidRDefault="00EF7F4C" w:rsidP="00DF2669">
            <w:pPr>
              <w:pStyle w:val="COMTabletext"/>
              <w:keepNext w:val="0"/>
              <w:widowControl w:val="0"/>
              <w:rPr>
                <w:szCs w:val="18"/>
              </w:rPr>
            </w:pPr>
            <w:r w:rsidRPr="001159D0">
              <w:rPr>
                <w:szCs w:val="18"/>
              </w:rPr>
              <w:t>Epstein M</w:t>
            </w:r>
            <w:r w:rsidR="00A87ABD" w:rsidRPr="001159D0">
              <w:rPr>
                <w:szCs w:val="18"/>
              </w:rPr>
              <w:t>,</w:t>
            </w:r>
            <w:r w:rsidR="00543A69" w:rsidRPr="001159D0">
              <w:rPr>
                <w:szCs w:val="18"/>
              </w:rPr>
              <w:t xml:space="preserve"> et al. </w:t>
            </w:r>
            <w:r w:rsidRPr="001159D0">
              <w:rPr>
                <w:szCs w:val="18"/>
              </w:rPr>
              <w:t xml:space="preserve">A comparison of the efficacy of patiromer plus raas inhibitor therapy in patients with CKD and diabetes to a cohort of patients not using patiromer: A real-world analysis using propensity score matching (Abstract PO2369). </w:t>
            </w:r>
          </w:p>
        </w:tc>
        <w:tc>
          <w:tcPr>
            <w:tcW w:w="1387" w:type="pct"/>
            <w:tcBorders>
              <w:top w:val="nil"/>
              <w:left w:val="single" w:sz="4" w:space="0" w:color="auto"/>
              <w:bottom w:val="single" w:sz="4" w:space="0" w:color="auto"/>
              <w:right w:val="single" w:sz="4" w:space="0" w:color="auto"/>
            </w:tcBorders>
          </w:tcPr>
          <w:p w14:paraId="3BD4210B" w14:textId="77777777" w:rsidR="00EF7F4C" w:rsidRPr="001159D0" w:rsidRDefault="00EF7F4C" w:rsidP="00DF2669">
            <w:pPr>
              <w:pStyle w:val="COMTabletext"/>
              <w:keepNext w:val="0"/>
              <w:widowControl w:val="0"/>
              <w:rPr>
                <w:i/>
                <w:szCs w:val="18"/>
              </w:rPr>
            </w:pPr>
            <w:r w:rsidRPr="001159D0">
              <w:rPr>
                <w:i/>
                <w:szCs w:val="18"/>
              </w:rPr>
              <w:t xml:space="preserve">Journal of the American Society of Nephrology. </w:t>
            </w:r>
            <w:r w:rsidRPr="001159D0">
              <w:rPr>
                <w:iCs/>
                <w:szCs w:val="18"/>
              </w:rPr>
              <w:t>2021b; Kidney Week Abstracts:726-727.</w:t>
            </w:r>
          </w:p>
        </w:tc>
      </w:tr>
      <w:tr w:rsidR="00EF7F4C" w:rsidRPr="001159D0" w14:paraId="0EFA6E60" w14:textId="77777777" w:rsidTr="0089161F">
        <w:trPr>
          <w:tblHeader/>
        </w:trPr>
        <w:tc>
          <w:tcPr>
            <w:tcW w:w="5000" w:type="pct"/>
            <w:gridSpan w:val="3"/>
            <w:tcBorders>
              <w:bottom w:val="single" w:sz="4" w:space="0" w:color="auto"/>
            </w:tcBorders>
          </w:tcPr>
          <w:p w14:paraId="3B999BCA" w14:textId="6C719CE5" w:rsidR="00EF7F4C" w:rsidRPr="001159D0" w:rsidRDefault="00EF7F4C" w:rsidP="00DF2669">
            <w:pPr>
              <w:pStyle w:val="COMTableheadingrow"/>
              <w:keepNext w:val="0"/>
              <w:widowControl w:val="0"/>
              <w:rPr>
                <w:bCs/>
                <w:lang w:val="en-AU"/>
              </w:rPr>
            </w:pPr>
            <w:r w:rsidRPr="001159D0">
              <w:rPr>
                <w:bCs/>
                <w:lang w:val="en-AU"/>
              </w:rPr>
              <w:t>Patiromer observational studies</w:t>
            </w:r>
          </w:p>
        </w:tc>
      </w:tr>
      <w:tr w:rsidR="00EF7F4C" w:rsidRPr="001159D0" w14:paraId="6602E8F8" w14:textId="77777777" w:rsidTr="0089161F">
        <w:tc>
          <w:tcPr>
            <w:tcW w:w="705" w:type="pct"/>
            <w:tcBorders>
              <w:top w:val="nil"/>
              <w:left w:val="single" w:sz="4" w:space="0" w:color="auto"/>
              <w:bottom w:val="nil"/>
              <w:right w:val="single" w:sz="4" w:space="0" w:color="auto"/>
            </w:tcBorders>
          </w:tcPr>
          <w:p w14:paraId="3869121F" w14:textId="77777777" w:rsidR="00EF7F4C" w:rsidRPr="001159D0" w:rsidRDefault="00EF7F4C" w:rsidP="00DF2669">
            <w:pPr>
              <w:pStyle w:val="COMTabletext"/>
              <w:keepNext w:val="0"/>
              <w:widowControl w:val="0"/>
              <w:rPr>
                <w:szCs w:val="18"/>
              </w:rPr>
            </w:pPr>
            <w:r w:rsidRPr="001159D0">
              <w:rPr>
                <w:szCs w:val="18"/>
              </w:rPr>
              <w:t>German CKDopps</w:t>
            </w:r>
          </w:p>
        </w:tc>
        <w:tc>
          <w:tcPr>
            <w:tcW w:w="2908" w:type="pct"/>
            <w:tcBorders>
              <w:top w:val="nil"/>
              <w:left w:val="single" w:sz="4" w:space="0" w:color="auto"/>
              <w:bottom w:val="nil"/>
              <w:right w:val="single" w:sz="4" w:space="0" w:color="auto"/>
            </w:tcBorders>
          </w:tcPr>
          <w:p w14:paraId="31E90069" w14:textId="7ED2952C" w:rsidR="00EF7F4C" w:rsidRPr="001159D0" w:rsidRDefault="00EF7F4C" w:rsidP="00DF2669">
            <w:pPr>
              <w:pStyle w:val="COMTabletext"/>
              <w:keepNext w:val="0"/>
              <w:widowControl w:val="0"/>
              <w:rPr>
                <w:szCs w:val="18"/>
              </w:rPr>
            </w:pPr>
            <w:r w:rsidRPr="001159D0">
              <w:rPr>
                <w:szCs w:val="18"/>
              </w:rPr>
              <w:t>Pecoits-Filho R</w:t>
            </w:r>
            <w:r w:rsidR="00A87ABD" w:rsidRPr="001159D0">
              <w:rPr>
                <w:szCs w:val="18"/>
              </w:rPr>
              <w:t>,</w:t>
            </w:r>
            <w:r w:rsidRPr="001159D0">
              <w:rPr>
                <w:szCs w:val="18"/>
              </w:rPr>
              <w:t xml:space="preserve"> et al. Time on patiromer therapy and impact on serum potassium levels in real-world German CKD patients (Abstract PO2258). </w:t>
            </w:r>
          </w:p>
        </w:tc>
        <w:tc>
          <w:tcPr>
            <w:tcW w:w="1387" w:type="pct"/>
            <w:tcBorders>
              <w:top w:val="nil"/>
              <w:left w:val="single" w:sz="4" w:space="0" w:color="auto"/>
              <w:bottom w:val="nil"/>
              <w:right w:val="single" w:sz="4" w:space="0" w:color="auto"/>
            </w:tcBorders>
          </w:tcPr>
          <w:p w14:paraId="52C18B1E" w14:textId="77777777" w:rsidR="00EF7F4C" w:rsidRPr="001159D0" w:rsidRDefault="00EF7F4C" w:rsidP="00DF2669">
            <w:pPr>
              <w:pStyle w:val="COMTabletext"/>
              <w:keepNext w:val="0"/>
              <w:widowControl w:val="0"/>
              <w:rPr>
                <w:i/>
                <w:szCs w:val="18"/>
              </w:rPr>
            </w:pPr>
            <w:r w:rsidRPr="001159D0">
              <w:rPr>
                <w:i/>
                <w:szCs w:val="18"/>
              </w:rPr>
              <w:t xml:space="preserve">Journal of the American Society of Nephrology. </w:t>
            </w:r>
            <w:r w:rsidRPr="001159D0">
              <w:rPr>
                <w:iCs/>
                <w:szCs w:val="18"/>
              </w:rPr>
              <w:t>2021a; Kidney Week Abstracts:726-727.</w:t>
            </w:r>
          </w:p>
        </w:tc>
      </w:tr>
      <w:tr w:rsidR="00EF7F4C" w:rsidRPr="001159D0" w14:paraId="1014F9DF" w14:textId="77777777" w:rsidTr="0089161F">
        <w:tc>
          <w:tcPr>
            <w:tcW w:w="705" w:type="pct"/>
            <w:tcBorders>
              <w:top w:val="nil"/>
              <w:left w:val="single" w:sz="4" w:space="0" w:color="auto"/>
              <w:bottom w:val="nil"/>
              <w:right w:val="single" w:sz="4" w:space="0" w:color="auto"/>
            </w:tcBorders>
          </w:tcPr>
          <w:p w14:paraId="18B06197" w14:textId="77777777" w:rsidR="00EF7F4C" w:rsidRPr="001159D0" w:rsidRDefault="00EF7F4C" w:rsidP="00DF2669">
            <w:pPr>
              <w:pStyle w:val="COMTabletext"/>
              <w:keepNext w:val="0"/>
              <w:widowControl w:val="0"/>
              <w:rPr>
                <w:szCs w:val="18"/>
              </w:rPr>
            </w:pPr>
          </w:p>
        </w:tc>
        <w:tc>
          <w:tcPr>
            <w:tcW w:w="2908" w:type="pct"/>
            <w:tcBorders>
              <w:top w:val="nil"/>
              <w:left w:val="single" w:sz="4" w:space="0" w:color="auto"/>
              <w:bottom w:val="nil"/>
              <w:right w:val="single" w:sz="4" w:space="0" w:color="auto"/>
            </w:tcBorders>
          </w:tcPr>
          <w:p w14:paraId="419C9C1F" w14:textId="0F84BEEA" w:rsidR="00EF7F4C" w:rsidRPr="001159D0" w:rsidRDefault="00EF7F4C" w:rsidP="00DF2669">
            <w:pPr>
              <w:pStyle w:val="COMTabletext"/>
              <w:keepNext w:val="0"/>
              <w:widowControl w:val="0"/>
              <w:rPr>
                <w:szCs w:val="18"/>
              </w:rPr>
            </w:pPr>
            <w:r w:rsidRPr="001159D0">
              <w:rPr>
                <w:szCs w:val="18"/>
              </w:rPr>
              <w:t>Pecoits-Filho R</w:t>
            </w:r>
            <w:r w:rsidR="00A87ABD" w:rsidRPr="001159D0">
              <w:rPr>
                <w:szCs w:val="18"/>
              </w:rPr>
              <w:t>,</w:t>
            </w:r>
            <w:r w:rsidRPr="001159D0">
              <w:rPr>
                <w:szCs w:val="18"/>
              </w:rPr>
              <w:t xml:space="preserve"> et al. Patiromer pharmacoutilization in real-world </w:t>
            </w:r>
            <w:r w:rsidRPr="001159D0">
              <w:rPr>
                <w:szCs w:val="18"/>
              </w:rPr>
              <w:lastRenderedPageBreak/>
              <w:t xml:space="preserve">German CKD patients with moderately to severely reduced eGFR (Abstract M470). </w:t>
            </w:r>
          </w:p>
        </w:tc>
        <w:tc>
          <w:tcPr>
            <w:tcW w:w="1387" w:type="pct"/>
            <w:tcBorders>
              <w:top w:val="nil"/>
              <w:left w:val="single" w:sz="4" w:space="0" w:color="auto"/>
              <w:bottom w:val="nil"/>
              <w:right w:val="single" w:sz="4" w:space="0" w:color="auto"/>
            </w:tcBorders>
          </w:tcPr>
          <w:p w14:paraId="301E28EE" w14:textId="77777777" w:rsidR="00EF7F4C" w:rsidRPr="001159D0" w:rsidRDefault="00EF7F4C" w:rsidP="00DF2669">
            <w:pPr>
              <w:pStyle w:val="COMTabletext"/>
              <w:keepNext w:val="0"/>
              <w:widowControl w:val="0"/>
              <w:rPr>
                <w:i/>
                <w:iCs/>
                <w:szCs w:val="18"/>
              </w:rPr>
            </w:pPr>
            <w:r w:rsidRPr="001159D0">
              <w:rPr>
                <w:i/>
                <w:iCs/>
                <w:szCs w:val="18"/>
              </w:rPr>
              <w:lastRenderedPageBreak/>
              <w:t xml:space="preserve">Nephrology Dialysis </w:t>
            </w:r>
            <w:r w:rsidRPr="001159D0">
              <w:rPr>
                <w:i/>
                <w:iCs/>
                <w:szCs w:val="18"/>
              </w:rPr>
              <w:lastRenderedPageBreak/>
              <w:t>Transplantation.</w:t>
            </w:r>
            <w:r w:rsidRPr="001159D0">
              <w:rPr>
                <w:szCs w:val="18"/>
              </w:rPr>
              <w:t xml:space="preserve"> 2021b; 36(SUPPL. 1):i295.</w:t>
            </w:r>
          </w:p>
        </w:tc>
      </w:tr>
      <w:tr w:rsidR="00EF7F4C" w:rsidRPr="001159D0" w14:paraId="0CF2994F" w14:textId="77777777" w:rsidTr="0089161F">
        <w:tc>
          <w:tcPr>
            <w:tcW w:w="705" w:type="pct"/>
            <w:tcBorders>
              <w:top w:val="nil"/>
              <w:left w:val="single" w:sz="4" w:space="0" w:color="auto"/>
              <w:bottom w:val="nil"/>
              <w:right w:val="single" w:sz="4" w:space="0" w:color="auto"/>
            </w:tcBorders>
          </w:tcPr>
          <w:p w14:paraId="0FC29776" w14:textId="77777777" w:rsidR="00EF7F4C" w:rsidRPr="001159D0" w:rsidRDefault="00EF7F4C" w:rsidP="00DF2669">
            <w:pPr>
              <w:pStyle w:val="COMTabletext"/>
              <w:keepNext w:val="0"/>
              <w:widowControl w:val="0"/>
              <w:rPr>
                <w:szCs w:val="18"/>
              </w:rPr>
            </w:pPr>
          </w:p>
        </w:tc>
        <w:tc>
          <w:tcPr>
            <w:tcW w:w="2908" w:type="pct"/>
            <w:tcBorders>
              <w:top w:val="nil"/>
              <w:left w:val="single" w:sz="4" w:space="0" w:color="auto"/>
              <w:bottom w:val="nil"/>
              <w:right w:val="single" w:sz="4" w:space="0" w:color="auto"/>
            </w:tcBorders>
          </w:tcPr>
          <w:p w14:paraId="37394D3B" w14:textId="02AC58C2" w:rsidR="00EF7F4C" w:rsidRPr="001159D0" w:rsidRDefault="00EF7F4C" w:rsidP="00DF2669">
            <w:pPr>
              <w:pStyle w:val="COMTabletext"/>
              <w:keepNext w:val="0"/>
              <w:widowControl w:val="0"/>
              <w:rPr>
                <w:szCs w:val="18"/>
              </w:rPr>
            </w:pPr>
            <w:r w:rsidRPr="001159D0">
              <w:rPr>
                <w:szCs w:val="18"/>
              </w:rPr>
              <w:t>Pecoits-Filho R</w:t>
            </w:r>
            <w:r w:rsidR="00A87ABD" w:rsidRPr="001159D0">
              <w:rPr>
                <w:szCs w:val="18"/>
              </w:rPr>
              <w:t>,</w:t>
            </w:r>
            <w:r w:rsidRPr="001159D0">
              <w:rPr>
                <w:szCs w:val="18"/>
              </w:rPr>
              <w:t xml:space="preserve"> et al. Patiromer pharmacoutilization in real-world German patients with moderately to advanced CKD (unpublished; </w:t>
            </w:r>
            <w:r w:rsidRPr="001159D0">
              <w:rPr>
                <w:i/>
                <w:iCs/>
                <w:szCs w:val="18"/>
              </w:rPr>
              <w:t>not provided</w:t>
            </w:r>
            <w:r w:rsidRPr="001159D0">
              <w:rPr>
                <w:szCs w:val="18"/>
              </w:rPr>
              <w:t>).</w:t>
            </w:r>
          </w:p>
        </w:tc>
        <w:tc>
          <w:tcPr>
            <w:tcW w:w="1387" w:type="pct"/>
            <w:tcBorders>
              <w:top w:val="nil"/>
              <w:left w:val="single" w:sz="4" w:space="0" w:color="auto"/>
              <w:bottom w:val="nil"/>
              <w:right w:val="single" w:sz="4" w:space="0" w:color="auto"/>
            </w:tcBorders>
          </w:tcPr>
          <w:p w14:paraId="2C548F3A" w14:textId="77777777" w:rsidR="00EF7F4C" w:rsidRPr="001159D0" w:rsidRDefault="00EF7F4C" w:rsidP="00DF2669">
            <w:pPr>
              <w:pStyle w:val="COMTabletext"/>
              <w:keepNext w:val="0"/>
              <w:widowControl w:val="0"/>
              <w:rPr>
                <w:szCs w:val="18"/>
              </w:rPr>
            </w:pPr>
            <w:r w:rsidRPr="001159D0">
              <w:rPr>
                <w:szCs w:val="18"/>
              </w:rPr>
              <w:t>2021c.</w:t>
            </w:r>
          </w:p>
          <w:p w14:paraId="43075FCA" w14:textId="77777777" w:rsidR="00EF7F4C" w:rsidRPr="001159D0" w:rsidRDefault="00EF7F4C" w:rsidP="00DF2669">
            <w:pPr>
              <w:pStyle w:val="COMTabletext"/>
              <w:keepNext w:val="0"/>
              <w:widowControl w:val="0"/>
              <w:rPr>
                <w:i/>
                <w:iCs/>
                <w:szCs w:val="18"/>
              </w:rPr>
            </w:pPr>
            <w:r w:rsidRPr="001159D0">
              <w:rPr>
                <w:i/>
                <w:iCs/>
                <w:szCs w:val="18"/>
              </w:rPr>
              <w:t>(Not found)</w:t>
            </w:r>
          </w:p>
        </w:tc>
      </w:tr>
      <w:tr w:rsidR="00EF7F4C" w:rsidRPr="001159D0" w14:paraId="1D52E5E9" w14:textId="77777777" w:rsidTr="0089161F">
        <w:tc>
          <w:tcPr>
            <w:tcW w:w="705" w:type="pct"/>
            <w:tcBorders>
              <w:top w:val="nil"/>
              <w:left w:val="single" w:sz="4" w:space="0" w:color="auto"/>
              <w:bottom w:val="single" w:sz="4" w:space="0" w:color="auto"/>
              <w:right w:val="single" w:sz="4" w:space="0" w:color="auto"/>
            </w:tcBorders>
          </w:tcPr>
          <w:p w14:paraId="51F025C5" w14:textId="77777777" w:rsidR="00EF7F4C" w:rsidRPr="001159D0" w:rsidRDefault="00EF7F4C" w:rsidP="00DF2669">
            <w:pPr>
              <w:pStyle w:val="COMTabletext"/>
              <w:keepNext w:val="0"/>
              <w:widowControl w:val="0"/>
              <w:rPr>
                <w:szCs w:val="18"/>
              </w:rPr>
            </w:pPr>
          </w:p>
        </w:tc>
        <w:tc>
          <w:tcPr>
            <w:tcW w:w="2908" w:type="pct"/>
            <w:tcBorders>
              <w:top w:val="nil"/>
              <w:left w:val="single" w:sz="4" w:space="0" w:color="auto"/>
              <w:bottom w:val="single" w:sz="4" w:space="0" w:color="auto"/>
              <w:right w:val="single" w:sz="4" w:space="0" w:color="auto"/>
            </w:tcBorders>
          </w:tcPr>
          <w:p w14:paraId="04E5C7A5" w14:textId="2CB0F6A0" w:rsidR="00EF7F4C" w:rsidRPr="001159D0" w:rsidRDefault="00EF7F4C" w:rsidP="00DF2669">
            <w:pPr>
              <w:pStyle w:val="COMTabletext"/>
              <w:keepNext w:val="0"/>
              <w:widowControl w:val="0"/>
              <w:rPr>
                <w:szCs w:val="18"/>
              </w:rPr>
            </w:pPr>
            <w:r w:rsidRPr="001159D0">
              <w:rPr>
                <w:szCs w:val="18"/>
              </w:rPr>
              <w:t>Pecoits-Filho R</w:t>
            </w:r>
            <w:r w:rsidR="00A87ABD" w:rsidRPr="001159D0">
              <w:rPr>
                <w:szCs w:val="18"/>
              </w:rPr>
              <w:t>,</w:t>
            </w:r>
            <w:r w:rsidRPr="001159D0">
              <w:rPr>
                <w:szCs w:val="18"/>
              </w:rPr>
              <w:t xml:space="preserve"> et al. Patiromer utilization patients with advanced chronic kidney disease under nephrology care in Germany (unpublished; </w:t>
            </w:r>
            <w:r w:rsidRPr="001159D0">
              <w:rPr>
                <w:i/>
                <w:iCs/>
                <w:szCs w:val="18"/>
              </w:rPr>
              <w:t>not provided</w:t>
            </w:r>
            <w:r w:rsidRPr="001159D0">
              <w:rPr>
                <w:szCs w:val="18"/>
              </w:rPr>
              <w:t>).</w:t>
            </w:r>
          </w:p>
        </w:tc>
        <w:tc>
          <w:tcPr>
            <w:tcW w:w="1387" w:type="pct"/>
            <w:tcBorders>
              <w:top w:val="nil"/>
              <w:left w:val="single" w:sz="4" w:space="0" w:color="auto"/>
              <w:bottom w:val="single" w:sz="4" w:space="0" w:color="auto"/>
              <w:right w:val="single" w:sz="4" w:space="0" w:color="auto"/>
            </w:tcBorders>
          </w:tcPr>
          <w:p w14:paraId="7E28A695" w14:textId="77777777" w:rsidR="00EF7F4C" w:rsidRPr="001159D0" w:rsidRDefault="00EF7F4C" w:rsidP="00DF2669">
            <w:pPr>
              <w:pStyle w:val="COMTabletext"/>
              <w:keepNext w:val="0"/>
              <w:widowControl w:val="0"/>
              <w:rPr>
                <w:szCs w:val="18"/>
              </w:rPr>
            </w:pPr>
            <w:r w:rsidRPr="001159D0">
              <w:rPr>
                <w:szCs w:val="18"/>
              </w:rPr>
              <w:t>2022.</w:t>
            </w:r>
          </w:p>
          <w:p w14:paraId="788B9152" w14:textId="77777777" w:rsidR="00EF7F4C" w:rsidRPr="001159D0" w:rsidRDefault="00EF7F4C" w:rsidP="00DF2669">
            <w:pPr>
              <w:pStyle w:val="COMTabletext"/>
              <w:keepNext w:val="0"/>
              <w:widowControl w:val="0"/>
              <w:rPr>
                <w:i/>
                <w:iCs/>
                <w:szCs w:val="18"/>
              </w:rPr>
            </w:pPr>
            <w:r w:rsidRPr="001159D0">
              <w:rPr>
                <w:i/>
                <w:iCs/>
                <w:szCs w:val="18"/>
              </w:rPr>
              <w:t>(Not found)</w:t>
            </w:r>
          </w:p>
        </w:tc>
      </w:tr>
      <w:tr w:rsidR="00EF7F4C" w:rsidRPr="001159D0" w14:paraId="3D3CA623" w14:textId="77777777" w:rsidTr="0089161F">
        <w:tc>
          <w:tcPr>
            <w:tcW w:w="705" w:type="pct"/>
            <w:tcBorders>
              <w:top w:val="nil"/>
              <w:left w:val="single" w:sz="4" w:space="0" w:color="auto"/>
              <w:bottom w:val="single" w:sz="4" w:space="0" w:color="auto"/>
              <w:right w:val="single" w:sz="4" w:space="0" w:color="auto"/>
            </w:tcBorders>
          </w:tcPr>
          <w:p w14:paraId="104ADD82" w14:textId="77777777" w:rsidR="00EF7F4C" w:rsidRPr="001159D0" w:rsidRDefault="00EF7F4C" w:rsidP="00DF2669">
            <w:pPr>
              <w:pStyle w:val="COMTabletext"/>
              <w:keepNext w:val="0"/>
              <w:widowControl w:val="0"/>
              <w:rPr>
                <w:szCs w:val="18"/>
              </w:rPr>
            </w:pPr>
            <w:r w:rsidRPr="001159D0">
              <w:rPr>
                <w:szCs w:val="18"/>
              </w:rPr>
              <w:t>US Cohort Study</w:t>
            </w:r>
          </w:p>
        </w:tc>
        <w:tc>
          <w:tcPr>
            <w:tcW w:w="2908" w:type="pct"/>
            <w:tcBorders>
              <w:top w:val="nil"/>
              <w:left w:val="single" w:sz="4" w:space="0" w:color="auto"/>
              <w:bottom w:val="single" w:sz="4" w:space="0" w:color="auto"/>
              <w:right w:val="single" w:sz="4" w:space="0" w:color="auto"/>
            </w:tcBorders>
          </w:tcPr>
          <w:p w14:paraId="2320911B" w14:textId="71B9265F" w:rsidR="00EF7F4C" w:rsidRPr="001159D0" w:rsidRDefault="00EF7F4C" w:rsidP="00DF2669">
            <w:pPr>
              <w:pStyle w:val="COMTabletext"/>
              <w:keepNext w:val="0"/>
              <w:widowControl w:val="0"/>
              <w:rPr>
                <w:szCs w:val="18"/>
              </w:rPr>
            </w:pPr>
            <w:r w:rsidRPr="001159D0">
              <w:rPr>
                <w:szCs w:val="18"/>
              </w:rPr>
              <w:t>Desai NR</w:t>
            </w:r>
            <w:r w:rsidR="00A87ABD" w:rsidRPr="001159D0">
              <w:rPr>
                <w:szCs w:val="18"/>
              </w:rPr>
              <w:t>,</w:t>
            </w:r>
            <w:r w:rsidRPr="001159D0">
              <w:rPr>
                <w:szCs w:val="18"/>
              </w:rPr>
              <w:t xml:space="preserve"> et al. Hyperkalemia treatment modalities: A descriptive observational study focused on medication and healthcare resource utilization. </w:t>
            </w:r>
          </w:p>
        </w:tc>
        <w:tc>
          <w:tcPr>
            <w:tcW w:w="1387" w:type="pct"/>
            <w:tcBorders>
              <w:top w:val="nil"/>
              <w:left w:val="single" w:sz="4" w:space="0" w:color="auto"/>
              <w:bottom w:val="single" w:sz="4" w:space="0" w:color="auto"/>
              <w:right w:val="single" w:sz="4" w:space="0" w:color="auto"/>
            </w:tcBorders>
          </w:tcPr>
          <w:p w14:paraId="336B7A39" w14:textId="77777777" w:rsidR="00EF7F4C" w:rsidRPr="001159D0" w:rsidRDefault="00EF7F4C" w:rsidP="00DF2669">
            <w:pPr>
              <w:pStyle w:val="COMTabletext"/>
              <w:keepNext w:val="0"/>
              <w:widowControl w:val="0"/>
              <w:rPr>
                <w:i/>
                <w:iCs/>
                <w:szCs w:val="18"/>
              </w:rPr>
            </w:pPr>
            <w:r w:rsidRPr="001159D0">
              <w:rPr>
                <w:i/>
                <w:iCs/>
                <w:szCs w:val="18"/>
              </w:rPr>
              <w:t>PLoS One.</w:t>
            </w:r>
            <w:r w:rsidRPr="001159D0">
              <w:rPr>
                <w:szCs w:val="18"/>
              </w:rPr>
              <w:t xml:space="preserve"> 2020; 15(1): e0226844.</w:t>
            </w:r>
          </w:p>
        </w:tc>
      </w:tr>
      <w:tr w:rsidR="00EF7F4C" w:rsidRPr="001159D0" w14:paraId="183F6D30" w14:textId="77777777" w:rsidTr="0089161F">
        <w:tc>
          <w:tcPr>
            <w:tcW w:w="705" w:type="pct"/>
            <w:tcBorders>
              <w:top w:val="single" w:sz="4" w:space="0" w:color="auto"/>
              <w:left w:val="single" w:sz="4" w:space="0" w:color="auto"/>
              <w:bottom w:val="nil"/>
              <w:right w:val="single" w:sz="4" w:space="0" w:color="auto"/>
            </w:tcBorders>
          </w:tcPr>
          <w:p w14:paraId="5ABE66DA" w14:textId="77777777" w:rsidR="00EF7F4C" w:rsidRPr="001159D0" w:rsidRDefault="00EF7F4C" w:rsidP="00DF2669">
            <w:pPr>
              <w:pStyle w:val="COMTabletext"/>
              <w:keepNext w:val="0"/>
              <w:widowControl w:val="0"/>
              <w:rPr>
                <w:szCs w:val="18"/>
              </w:rPr>
            </w:pPr>
            <w:r w:rsidRPr="001159D0">
              <w:rPr>
                <w:szCs w:val="18"/>
              </w:rPr>
              <w:t>US Veterans Cohort Study</w:t>
            </w:r>
          </w:p>
        </w:tc>
        <w:tc>
          <w:tcPr>
            <w:tcW w:w="2908" w:type="pct"/>
            <w:tcBorders>
              <w:top w:val="single" w:sz="4" w:space="0" w:color="auto"/>
              <w:left w:val="single" w:sz="4" w:space="0" w:color="auto"/>
              <w:bottom w:val="nil"/>
              <w:right w:val="single" w:sz="4" w:space="0" w:color="auto"/>
            </w:tcBorders>
          </w:tcPr>
          <w:p w14:paraId="557CA6BD" w14:textId="73883E43" w:rsidR="00EF7F4C" w:rsidRPr="001159D0" w:rsidRDefault="00EF7F4C" w:rsidP="00DF2669">
            <w:pPr>
              <w:pStyle w:val="COMTabletext"/>
              <w:keepNext w:val="0"/>
              <w:widowControl w:val="0"/>
              <w:rPr>
                <w:szCs w:val="18"/>
              </w:rPr>
            </w:pPr>
            <w:r w:rsidRPr="001159D0">
              <w:rPr>
                <w:szCs w:val="18"/>
              </w:rPr>
              <w:t>Kovesdy CP</w:t>
            </w:r>
            <w:r w:rsidR="00A87ABD" w:rsidRPr="001159D0">
              <w:rPr>
                <w:szCs w:val="18"/>
              </w:rPr>
              <w:t>,</w:t>
            </w:r>
            <w:r w:rsidR="00543A69" w:rsidRPr="001159D0">
              <w:rPr>
                <w:szCs w:val="18"/>
              </w:rPr>
              <w:t xml:space="preserve"> et al</w:t>
            </w:r>
            <w:r w:rsidRPr="001159D0">
              <w:rPr>
                <w:szCs w:val="18"/>
              </w:rPr>
              <w:t>. Real-world management of hyperkalemia with patiromer among United States veterans.</w:t>
            </w:r>
          </w:p>
        </w:tc>
        <w:tc>
          <w:tcPr>
            <w:tcW w:w="1387" w:type="pct"/>
            <w:tcBorders>
              <w:top w:val="single" w:sz="4" w:space="0" w:color="auto"/>
              <w:left w:val="single" w:sz="4" w:space="0" w:color="auto"/>
              <w:bottom w:val="nil"/>
              <w:right w:val="single" w:sz="4" w:space="0" w:color="auto"/>
            </w:tcBorders>
          </w:tcPr>
          <w:p w14:paraId="2A158FEE" w14:textId="77777777" w:rsidR="00EF7F4C" w:rsidRPr="001159D0" w:rsidRDefault="00EF7F4C" w:rsidP="00DF2669">
            <w:pPr>
              <w:pStyle w:val="COMTabletext"/>
              <w:keepNext w:val="0"/>
              <w:widowControl w:val="0"/>
              <w:rPr>
                <w:i/>
                <w:iCs/>
                <w:szCs w:val="18"/>
              </w:rPr>
            </w:pPr>
            <w:r w:rsidRPr="001159D0">
              <w:rPr>
                <w:i/>
                <w:iCs/>
                <w:szCs w:val="18"/>
              </w:rPr>
              <w:t>Postgraduate Medicine.</w:t>
            </w:r>
            <w:r w:rsidRPr="001159D0">
              <w:rPr>
                <w:szCs w:val="18"/>
              </w:rPr>
              <w:t xml:space="preserve"> 2020; 132(2):176-183.</w:t>
            </w:r>
          </w:p>
        </w:tc>
      </w:tr>
      <w:tr w:rsidR="00EF7F4C" w:rsidRPr="001159D0" w14:paraId="3E731CBF" w14:textId="77777777" w:rsidTr="0089161F">
        <w:tc>
          <w:tcPr>
            <w:tcW w:w="705" w:type="pct"/>
            <w:tcBorders>
              <w:top w:val="nil"/>
              <w:left w:val="single" w:sz="4" w:space="0" w:color="auto"/>
              <w:bottom w:val="single" w:sz="4" w:space="0" w:color="auto"/>
              <w:right w:val="single" w:sz="4" w:space="0" w:color="auto"/>
            </w:tcBorders>
          </w:tcPr>
          <w:p w14:paraId="544C881A" w14:textId="77777777" w:rsidR="00EF7F4C" w:rsidRPr="001159D0" w:rsidRDefault="00EF7F4C" w:rsidP="00DF2669">
            <w:pPr>
              <w:pStyle w:val="COMTabletext"/>
              <w:keepNext w:val="0"/>
              <w:widowControl w:val="0"/>
              <w:rPr>
                <w:szCs w:val="18"/>
              </w:rPr>
            </w:pPr>
          </w:p>
        </w:tc>
        <w:tc>
          <w:tcPr>
            <w:tcW w:w="2908" w:type="pct"/>
            <w:tcBorders>
              <w:top w:val="nil"/>
              <w:left w:val="single" w:sz="4" w:space="0" w:color="auto"/>
              <w:bottom w:val="single" w:sz="4" w:space="0" w:color="auto"/>
              <w:right w:val="single" w:sz="4" w:space="0" w:color="auto"/>
            </w:tcBorders>
          </w:tcPr>
          <w:p w14:paraId="170E3A18" w14:textId="6C39708D" w:rsidR="00EF7F4C" w:rsidRPr="001159D0" w:rsidRDefault="00EF7F4C" w:rsidP="00DF2669">
            <w:pPr>
              <w:pStyle w:val="COMTabletext"/>
              <w:keepNext w:val="0"/>
              <w:widowControl w:val="0"/>
              <w:rPr>
                <w:szCs w:val="18"/>
              </w:rPr>
            </w:pPr>
            <w:r w:rsidRPr="001159D0">
              <w:rPr>
                <w:szCs w:val="18"/>
              </w:rPr>
              <w:t>Kovesdy C</w:t>
            </w:r>
            <w:r w:rsidR="00A87ABD" w:rsidRPr="001159D0">
              <w:rPr>
                <w:szCs w:val="18"/>
              </w:rPr>
              <w:t>,</w:t>
            </w:r>
            <w:r w:rsidR="00543A69" w:rsidRPr="001159D0">
              <w:rPr>
                <w:szCs w:val="18"/>
              </w:rPr>
              <w:t xml:space="preserve"> et al</w:t>
            </w:r>
            <w:r w:rsidRPr="001159D0">
              <w:rPr>
                <w:szCs w:val="18"/>
              </w:rPr>
              <w:t>. Patiromer and RAAS inhibitor utilization in U.S. veterans with hyperkalemia (Abstract).</w:t>
            </w:r>
          </w:p>
        </w:tc>
        <w:tc>
          <w:tcPr>
            <w:tcW w:w="1387" w:type="pct"/>
            <w:tcBorders>
              <w:top w:val="nil"/>
              <w:left w:val="single" w:sz="4" w:space="0" w:color="auto"/>
              <w:bottom w:val="single" w:sz="4" w:space="0" w:color="auto"/>
              <w:right w:val="single" w:sz="4" w:space="0" w:color="auto"/>
            </w:tcBorders>
          </w:tcPr>
          <w:p w14:paraId="17D76CBC" w14:textId="77777777" w:rsidR="00EF7F4C" w:rsidRPr="001159D0" w:rsidRDefault="00EF7F4C" w:rsidP="00DF2669">
            <w:pPr>
              <w:pStyle w:val="COMTabletext"/>
              <w:keepNext w:val="0"/>
              <w:widowControl w:val="0"/>
              <w:rPr>
                <w:i/>
                <w:iCs/>
                <w:szCs w:val="18"/>
              </w:rPr>
            </w:pPr>
            <w:r w:rsidRPr="001159D0">
              <w:rPr>
                <w:i/>
                <w:iCs/>
                <w:szCs w:val="18"/>
              </w:rPr>
              <w:t>Journal of Managed Care and Specialty Pharmacy.</w:t>
            </w:r>
            <w:r w:rsidRPr="001159D0">
              <w:rPr>
                <w:szCs w:val="18"/>
              </w:rPr>
              <w:t xml:space="preserve"> 2019a; 25(3a):S45.</w:t>
            </w:r>
          </w:p>
        </w:tc>
      </w:tr>
      <w:tr w:rsidR="00EF7F4C" w:rsidRPr="001159D0" w14:paraId="0A03E9EB" w14:textId="77777777" w:rsidTr="0089161F">
        <w:trPr>
          <w:tblHeader/>
        </w:trPr>
        <w:tc>
          <w:tcPr>
            <w:tcW w:w="5000" w:type="pct"/>
            <w:gridSpan w:val="3"/>
            <w:tcBorders>
              <w:bottom w:val="single" w:sz="4" w:space="0" w:color="auto"/>
            </w:tcBorders>
          </w:tcPr>
          <w:p w14:paraId="6122AAEB" w14:textId="77777777" w:rsidR="00EF7F4C" w:rsidRPr="001159D0" w:rsidRDefault="00EF7F4C" w:rsidP="00DF2669">
            <w:pPr>
              <w:pStyle w:val="COMTableheadingrow"/>
              <w:keepNext w:val="0"/>
              <w:widowControl w:val="0"/>
              <w:rPr>
                <w:bCs/>
                <w:lang w:val="en-AU"/>
              </w:rPr>
            </w:pPr>
            <w:r w:rsidRPr="001159D0">
              <w:rPr>
                <w:bCs/>
                <w:lang w:val="en-AU"/>
              </w:rPr>
              <w:t>SPS/CPS randomised controlled trials</w:t>
            </w:r>
          </w:p>
        </w:tc>
      </w:tr>
      <w:tr w:rsidR="00EF7F4C" w:rsidRPr="001159D0" w14:paraId="418D6097" w14:textId="77777777" w:rsidTr="0089161F">
        <w:tc>
          <w:tcPr>
            <w:tcW w:w="705" w:type="pct"/>
            <w:tcBorders>
              <w:top w:val="nil"/>
              <w:left w:val="single" w:sz="4" w:space="0" w:color="auto"/>
              <w:bottom w:val="single" w:sz="4" w:space="0" w:color="auto"/>
              <w:right w:val="single" w:sz="4" w:space="0" w:color="auto"/>
            </w:tcBorders>
          </w:tcPr>
          <w:p w14:paraId="5331891A" w14:textId="77777777" w:rsidR="00EF7F4C" w:rsidRPr="001159D0" w:rsidRDefault="00EF7F4C" w:rsidP="00DF2669">
            <w:pPr>
              <w:pStyle w:val="COMTabletext"/>
              <w:keepNext w:val="0"/>
              <w:widowControl w:val="0"/>
              <w:rPr>
                <w:szCs w:val="18"/>
              </w:rPr>
            </w:pPr>
            <w:r w:rsidRPr="001159D0">
              <w:rPr>
                <w:szCs w:val="18"/>
              </w:rPr>
              <w:t>Arnold 2017</w:t>
            </w:r>
          </w:p>
        </w:tc>
        <w:tc>
          <w:tcPr>
            <w:tcW w:w="2908" w:type="pct"/>
            <w:tcBorders>
              <w:top w:val="nil"/>
              <w:left w:val="single" w:sz="4" w:space="0" w:color="auto"/>
              <w:bottom w:val="single" w:sz="4" w:space="0" w:color="auto"/>
              <w:right w:val="single" w:sz="4" w:space="0" w:color="auto"/>
            </w:tcBorders>
          </w:tcPr>
          <w:p w14:paraId="2E659525" w14:textId="74FED946" w:rsidR="00EF7F4C" w:rsidRPr="001159D0" w:rsidRDefault="00EF7F4C" w:rsidP="00DF2669">
            <w:pPr>
              <w:pStyle w:val="COMTabletext"/>
              <w:keepNext w:val="0"/>
              <w:widowControl w:val="0"/>
              <w:rPr>
                <w:szCs w:val="18"/>
              </w:rPr>
            </w:pPr>
            <w:r w:rsidRPr="001159D0">
              <w:rPr>
                <w:szCs w:val="18"/>
              </w:rPr>
              <w:t>Arnold R</w:t>
            </w:r>
            <w:r w:rsidR="00A87ABD" w:rsidRPr="001159D0">
              <w:rPr>
                <w:szCs w:val="18"/>
              </w:rPr>
              <w:t>,</w:t>
            </w:r>
            <w:r w:rsidR="00543A69" w:rsidRPr="001159D0">
              <w:rPr>
                <w:szCs w:val="18"/>
              </w:rPr>
              <w:t xml:space="preserve"> et al</w:t>
            </w:r>
            <w:r w:rsidRPr="001159D0">
              <w:rPr>
                <w:szCs w:val="18"/>
              </w:rPr>
              <w:t xml:space="preserve">. Randomized, controlled trial of the effect of dietary potassium restriction on nerve function in CKD. </w:t>
            </w:r>
          </w:p>
        </w:tc>
        <w:tc>
          <w:tcPr>
            <w:tcW w:w="1387" w:type="pct"/>
            <w:tcBorders>
              <w:top w:val="nil"/>
              <w:left w:val="single" w:sz="4" w:space="0" w:color="auto"/>
              <w:bottom w:val="single" w:sz="4" w:space="0" w:color="auto"/>
              <w:right w:val="single" w:sz="4" w:space="0" w:color="auto"/>
            </w:tcBorders>
          </w:tcPr>
          <w:p w14:paraId="0A177919" w14:textId="77777777" w:rsidR="00EF7F4C" w:rsidRPr="001159D0" w:rsidRDefault="00EF7F4C" w:rsidP="00DF2669">
            <w:pPr>
              <w:pStyle w:val="COMTabletext"/>
              <w:keepNext w:val="0"/>
              <w:widowControl w:val="0"/>
              <w:rPr>
                <w:i/>
                <w:iCs/>
                <w:szCs w:val="18"/>
              </w:rPr>
            </w:pPr>
            <w:r w:rsidRPr="001159D0">
              <w:rPr>
                <w:i/>
                <w:iCs/>
                <w:szCs w:val="18"/>
              </w:rPr>
              <w:t>Clinical Journal of the American Society of Nephrology.</w:t>
            </w:r>
            <w:r w:rsidRPr="001159D0">
              <w:rPr>
                <w:szCs w:val="18"/>
              </w:rPr>
              <w:t xml:space="preserve"> 2017; 12(10):1569-1577.</w:t>
            </w:r>
          </w:p>
        </w:tc>
      </w:tr>
      <w:tr w:rsidR="00EF7F4C" w:rsidRPr="001159D0" w14:paraId="42622621" w14:textId="77777777" w:rsidTr="0089161F">
        <w:tc>
          <w:tcPr>
            <w:tcW w:w="705" w:type="pct"/>
            <w:tcBorders>
              <w:top w:val="single" w:sz="4" w:space="0" w:color="auto"/>
              <w:left w:val="single" w:sz="4" w:space="0" w:color="auto"/>
              <w:bottom w:val="single" w:sz="4" w:space="0" w:color="auto"/>
              <w:right w:val="single" w:sz="4" w:space="0" w:color="auto"/>
            </w:tcBorders>
          </w:tcPr>
          <w:p w14:paraId="67BF56A5" w14:textId="77777777" w:rsidR="00EF7F4C" w:rsidRPr="001159D0" w:rsidRDefault="00EF7F4C" w:rsidP="00DF2669">
            <w:pPr>
              <w:pStyle w:val="COMTabletext"/>
              <w:keepNext w:val="0"/>
              <w:widowControl w:val="0"/>
              <w:rPr>
                <w:szCs w:val="18"/>
              </w:rPr>
            </w:pPr>
            <w:r w:rsidRPr="001159D0">
              <w:rPr>
                <w:szCs w:val="18"/>
              </w:rPr>
              <w:t>NCT01866709</w:t>
            </w:r>
          </w:p>
        </w:tc>
        <w:tc>
          <w:tcPr>
            <w:tcW w:w="2908" w:type="pct"/>
            <w:tcBorders>
              <w:top w:val="single" w:sz="4" w:space="0" w:color="auto"/>
              <w:left w:val="single" w:sz="4" w:space="0" w:color="auto"/>
              <w:bottom w:val="single" w:sz="4" w:space="0" w:color="auto"/>
              <w:right w:val="single" w:sz="4" w:space="0" w:color="auto"/>
            </w:tcBorders>
          </w:tcPr>
          <w:p w14:paraId="326BF752" w14:textId="77777777" w:rsidR="00EF7F4C" w:rsidRPr="001159D0" w:rsidRDefault="00EF7F4C" w:rsidP="00DF2669">
            <w:pPr>
              <w:pStyle w:val="COMTabletext"/>
              <w:keepNext w:val="0"/>
              <w:widowControl w:val="0"/>
              <w:rPr>
                <w:szCs w:val="18"/>
              </w:rPr>
            </w:pPr>
            <w:r w:rsidRPr="001159D0">
              <w:rPr>
                <w:szCs w:val="18"/>
              </w:rPr>
              <w:t>Safety and efficacy of sodium polystyrene sulfonate in hyperkalemia.</w:t>
            </w:r>
          </w:p>
        </w:tc>
        <w:tc>
          <w:tcPr>
            <w:tcW w:w="1387" w:type="pct"/>
            <w:tcBorders>
              <w:top w:val="single" w:sz="4" w:space="0" w:color="auto"/>
              <w:left w:val="single" w:sz="4" w:space="0" w:color="auto"/>
              <w:bottom w:val="single" w:sz="4" w:space="0" w:color="auto"/>
              <w:right w:val="single" w:sz="4" w:space="0" w:color="auto"/>
            </w:tcBorders>
          </w:tcPr>
          <w:p w14:paraId="72FBD688" w14:textId="77777777" w:rsidR="00EF7F4C" w:rsidRPr="001159D0" w:rsidRDefault="00EF7F4C" w:rsidP="00DF2669">
            <w:pPr>
              <w:pStyle w:val="COMTabletext"/>
              <w:keepNext w:val="0"/>
              <w:widowControl w:val="0"/>
              <w:rPr>
                <w:szCs w:val="18"/>
              </w:rPr>
            </w:pPr>
            <w:r w:rsidRPr="001159D0">
              <w:rPr>
                <w:szCs w:val="18"/>
              </w:rPr>
              <w:t>3 September 2014.</w:t>
            </w:r>
          </w:p>
        </w:tc>
      </w:tr>
      <w:tr w:rsidR="00EF7F4C" w:rsidRPr="001159D0" w14:paraId="018D4697" w14:textId="77777777" w:rsidTr="0089161F">
        <w:trPr>
          <w:tblHeader/>
        </w:trPr>
        <w:tc>
          <w:tcPr>
            <w:tcW w:w="5000" w:type="pct"/>
            <w:gridSpan w:val="3"/>
            <w:tcBorders>
              <w:top w:val="single" w:sz="4" w:space="0" w:color="auto"/>
              <w:bottom w:val="single" w:sz="4" w:space="0" w:color="auto"/>
            </w:tcBorders>
          </w:tcPr>
          <w:p w14:paraId="4A5D8A3E" w14:textId="77777777" w:rsidR="00EF7F4C" w:rsidRPr="001159D0" w:rsidRDefault="00EF7F4C" w:rsidP="00DF2669">
            <w:pPr>
              <w:pStyle w:val="COMTableheadingrow"/>
              <w:keepNext w:val="0"/>
              <w:widowControl w:val="0"/>
              <w:rPr>
                <w:bCs/>
                <w:lang w:val="en-AU"/>
              </w:rPr>
            </w:pPr>
            <w:r w:rsidRPr="001159D0">
              <w:rPr>
                <w:bCs/>
                <w:lang w:val="en-AU"/>
              </w:rPr>
              <w:t>SPS/CPS non-randomised studies</w:t>
            </w:r>
          </w:p>
        </w:tc>
      </w:tr>
      <w:tr w:rsidR="00EF7F4C" w:rsidRPr="001159D0" w14:paraId="03B5EDFF" w14:textId="77777777" w:rsidTr="0089161F">
        <w:tc>
          <w:tcPr>
            <w:tcW w:w="705" w:type="pct"/>
            <w:tcBorders>
              <w:top w:val="nil"/>
              <w:left w:val="single" w:sz="4" w:space="0" w:color="auto"/>
              <w:bottom w:val="single" w:sz="4" w:space="0" w:color="auto"/>
              <w:right w:val="single" w:sz="4" w:space="0" w:color="auto"/>
            </w:tcBorders>
          </w:tcPr>
          <w:p w14:paraId="23D9CF12" w14:textId="77777777" w:rsidR="00EF7F4C" w:rsidRPr="001159D0" w:rsidRDefault="00EF7F4C" w:rsidP="00DF2669">
            <w:pPr>
              <w:pStyle w:val="COMTabletext"/>
              <w:keepNext w:val="0"/>
              <w:widowControl w:val="0"/>
              <w:rPr>
                <w:szCs w:val="18"/>
              </w:rPr>
            </w:pPr>
            <w:r w:rsidRPr="001159D0">
              <w:rPr>
                <w:szCs w:val="18"/>
              </w:rPr>
              <w:t>Bowden 2017</w:t>
            </w:r>
          </w:p>
        </w:tc>
        <w:tc>
          <w:tcPr>
            <w:tcW w:w="2908" w:type="pct"/>
            <w:tcBorders>
              <w:top w:val="nil"/>
              <w:left w:val="single" w:sz="4" w:space="0" w:color="auto"/>
              <w:bottom w:val="single" w:sz="4" w:space="0" w:color="auto"/>
              <w:right w:val="single" w:sz="4" w:space="0" w:color="auto"/>
            </w:tcBorders>
          </w:tcPr>
          <w:p w14:paraId="75E9B290" w14:textId="585AE4AB" w:rsidR="00EF7F4C" w:rsidRPr="001159D0" w:rsidRDefault="00EF7F4C" w:rsidP="00DF2669">
            <w:pPr>
              <w:pStyle w:val="COMTabletext"/>
              <w:keepNext w:val="0"/>
              <w:widowControl w:val="0"/>
              <w:rPr>
                <w:szCs w:val="18"/>
              </w:rPr>
            </w:pPr>
            <w:r w:rsidRPr="001159D0">
              <w:rPr>
                <w:szCs w:val="18"/>
              </w:rPr>
              <w:t>Bowden R</w:t>
            </w:r>
            <w:r w:rsidR="00A87ABD" w:rsidRPr="001159D0">
              <w:rPr>
                <w:szCs w:val="18"/>
              </w:rPr>
              <w:t>,</w:t>
            </w:r>
            <w:r w:rsidR="00543A69" w:rsidRPr="001159D0">
              <w:rPr>
                <w:szCs w:val="18"/>
              </w:rPr>
              <w:t xml:space="preserve"> </w:t>
            </w:r>
            <w:r w:rsidRPr="001159D0">
              <w:rPr>
                <w:szCs w:val="18"/>
              </w:rPr>
              <w:t>et al. Chronic use of sodium polystyrene sulfonate (resonium) enables wider implementation of renin-angiotensin-aldosterone inhibition in chronic kidney disease patients (Abstract).</w:t>
            </w:r>
          </w:p>
        </w:tc>
        <w:tc>
          <w:tcPr>
            <w:tcW w:w="1387" w:type="pct"/>
            <w:tcBorders>
              <w:top w:val="nil"/>
              <w:left w:val="single" w:sz="4" w:space="0" w:color="auto"/>
              <w:bottom w:val="single" w:sz="4" w:space="0" w:color="auto"/>
              <w:right w:val="single" w:sz="4" w:space="0" w:color="auto"/>
            </w:tcBorders>
          </w:tcPr>
          <w:p w14:paraId="21743F87" w14:textId="77777777" w:rsidR="00EF7F4C" w:rsidRPr="001159D0" w:rsidRDefault="00EF7F4C" w:rsidP="00DF2669">
            <w:pPr>
              <w:pStyle w:val="COMTabletext"/>
              <w:keepNext w:val="0"/>
              <w:widowControl w:val="0"/>
              <w:rPr>
                <w:szCs w:val="18"/>
              </w:rPr>
            </w:pPr>
            <w:r w:rsidRPr="001159D0">
              <w:rPr>
                <w:i/>
                <w:iCs/>
                <w:szCs w:val="18"/>
              </w:rPr>
              <w:t xml:space="preserve">Australian and New Zealand Society of Nephrology Annual Scientific Meeting. </w:t>
            </w:r>
            <w:r w:rsidRPr="001159D0">
              <w:rPr>
                <w:szCs w:val="18"/>
              </w:rPr>
              <w:t>2017; E37. https://anzsnasm.com/2891.</w:t>
            </w:r>
          </w:p>
        </w:tc>
      </w:tr>
      <w:tr w:rsidR="00EF7F4C" w:rsidRPr="001159D0" w14:paraId="10F36F5F" w14:textId="77777777" w:rsidTr="0089161F">
        <w:tc>
          <w:tcPr>
            <w:tcW w:w="705" w:type="pct"/>
            <w:tcBorders>
              <w:top w:val="nil"/>
              <w:left w:val="single" w:sz="4" w:space="0" w:color="auto"/>
              <w:bottom w:val="single" w:sz="4" w:space="0" w:color="auto"/>
              <w:right w:val="single" w:sz="4" w:space="0" w:color="auto"/>
            </w:tcBorders>
          </w:tcPr>
          <w:p w14:paraId="7577FBD7" w14:textId="77777777" w:rsidR="00EF7F4C" w:rsidRPr="001159D0" w:rsidRDefault="00EF7F4C" w:rsidP="00DF2669">
            <w:pPr>
              <w:pStyle w:val="COMTabletext"/>
              <w:keepNext w:val="0"/>
              <w:widowControl w:val="0"/>
              <w:rPr>
                <w:szCs w:val="18"/>
              </w:rPr>
            </w:pPr>
            <w:r w:rsidRPr="001159D0">
              <w:rPr>
                <w:szCs w:val="18"/>
              </w:rPr>
              <w:t>Chernin 2012</w:t>
            </w:r>
          </w:p>
        </w:tc>
        <w:tc>
          <w:tcPr>
            <w:tcW w:w="2908" w:type="pct"/>
            <w:tcBorders>
              <w:top w:val="nil"/>
              <w:left w:val="single" w:sz="4" w:space="0" w:color="auto"/>
              <w:bottom w:val="single" w:sz="4" w:space="0" w:color="auto"/>
              <w:right w:val="single" w:sz="4" w:space="0" w:color="auto"/>
            </w:tcBorders>
          </w:tcPr>
          <w:p w14:paraId="17056DC1" w14:textId="7636660C" w:rsidR="00EF7F4C" w:rsidRPr="001159D0" w:rsidRDefault="00EF7F4C" w:rsidP="00DF2669">
            <w:pPr>
              <w:pStyle w:val="COMTabletext"/>
              <w:keepNext w:val="0"/>
              <w:widowControl w:val="0"/>
              <w:rPr>
                <w:szCs w:val="18"/>
              </w:rPr>
            </w:pPr>
            <w:r w:rsidRPr="001159D0">
              <w:rPr>
                <w:szCs w:val="18"/>
              </w:rPr>
              <w:t>Chernin G</w:t>
            </w:r>
            <w:r w:rsidR="00A87ABD" w:rsidRPr="001159D0">
              <w:rPr>
                <w:szCs w:val="18"/>
              </w:rPr>
              <w:t>,</w:t>
            </w:r>
            <w:r w:rsidR="00543A69" w:rsidRPr="001159D0">
              <w:rPr>
                <w:szCs w:val="18"/>
              </w:rPr>
              <w:t xml:space="preserve"> </w:t>
            </w:r>
            <w:r w:rsidRPr="001159D0">
              <w:rPr>
                <w:szCs w:val="18"/>
              </w:rPr>
              <w:t xml:space="preserve">et al. Secondary prevention of hyperkalemia with sodium polystyrene sulfonate in cardiac and kidney patients on renin-angiotensin-aldosterone system inhibition therapy. </w:t>
            </w:r>
          </w:p>
        </w:tc>
        <w:tc>
          <w:tcPr>
            <w:tcW w:w="1387" w:type="pct"/>
            <w:tcBorders>
              <w:top w:val="nil"/>
              <w:left w:val="single" w:sz="4" w:space="0" w:color="auto"/>
              <w:bottom w:val="single" w:sz="4" w:space="0" w:color="auto"/>
              <w:right w:val="single" w:sz="4" w:space="0" w:color="auto"/>
            </w:tcBorders>
          </w:tcPr>
          <w:p w14:paraId="46504853" w14:textId="77777777" w:rsidR="00EF7F4C" w:rsidRPr="001159D0" w:rsidRDefault="00EF7F4C" w:rsidP="00DF2669">
            <w:pPr>
              <w:pStyle w:val="COMTabletext"/>
              <w:keepNext w:val="0"/>
              <w:widowControl w:val="0"/>
              <w:rPr>
                <w:szCs w:val="18"/>
              </w:rPr>
            </w:pPr>
            <w:r w:rsidRPr="001159D0">
              <w:rPr>
                <w:i/>
                <w:iCs/>
                <w:szCs w:val="18"/>
              </w:rPr>
              <w:t xml:space="preserve">Clinical Cardiolog. </w:t>
            </w:r>
            <w:r w:rsidRPr="001159D0">
              <w:rPr>
                <w:szCs w:val="18"/>
              </w:rPr>
              <w:t>2012; 35(1):32-36.</w:t>
            </w:r>
          </w:p>
        </w:tc>
      </w:tr>
      <w:tr w:rsidR="00EF7F4C" w:rsidRPr="001159D0" w14:paraId="10B41F27" w14:textId="77777777" w:rsidTr="0089161F">
        <w:tc>
          <w:tcPr>
            <w:tcW w:w="705" w:type="pct"/>
            <w:tcBorders>
              <w:top w:val="nil"/>
              <w:left w:val="single" w:sz="4" w:space="0" w:color="auto"/>
              <w:bottom w:val="single" w:sz="4" w:space="0" w:color="auto"/>
              <w:right w:val="single" w:sz="4" w:space="0" w:color="auto"/>
            </w:tcBorders>
          </w:tcPr>
          <w:p w14:paraId="66045378" w14:textId="77777777" w:rsidR="00EF7F4C" w:rsidRPr="001159D0" w:rsidRDefault="00EF7F4C" w:rsidP="00DF2669">
            <w:pPr>
              <w:pStyle w:val="COMTabletext"/>
              <w:keepNext w:val="0"/>
              <w:widowControl w:val="0"/>
              <w:rPr>
                <w:szCs w:val="18"/>
              </w:rPr>
            </w:pPr>
            <w:r w:rsidRPr="001159D0">
              <w:rPr>
                <w:szCs w:val="18"/>
              </w:rPr>
              <w:t>Georgianos 2017</w:t>
            </w:r>
          </w:p>
        </w:tc>
        <w:tc>
          <w:tcPr>
            <w:tcW w:w="2908" w:type="pct"/>
            <w:tcBorders>
              <w:top w:val="nil"/>
              <w:left w:val="single" w:sz="4" w:space="0" w:color="auto"/>
              <w:bottom w:val="single" w:sz="4" w:space="0" w:color="auto"/>
              <w:right w:val="single" w:sz="4" w:space="0" w:color="auto"/>
            </w:tcBorders>
          </w:tcPr>
          <w:p w14:paraId="4F031921" w14:textId="251A455D" w:rsidR="00EF7F4C" w:rsidRPr="001159D0" w:rsidRDefault="00EF7F4C" w:rsidP="00DF2669">
            <w:pPr>
              <w:pStyle w:val="COMTabletext"/>
              <w:keepNext w:val="0"/>
              <w:widowControl w:val="0"/>
              <w:rPr>
                <w:szCs w:val="18"/>
              </w:rPr>
            </w:pPr>
            <w:r w:rsidRPr="001159D0">
              <w:rPr>
                <w:szCs w:val="18"/>
              </w:rPr>
              <w:t>Georgianos PI</w:t>
            </w:r>
            <w:r w:rsidR="00A87ABD" w:rsidRPr="001159D0">
              <w:rPr>
                <w:szCs w:val="18"/>
              </w:rPr>
              <w:t>,</w:t>
            </w:r>
            <w:r w:rsidR="00543A69" w:rsidRPr="001159D0">
              <w:rPr>
                <w:szCs w:val="18"/>
              </w:rPr>
              <w:t xml:space="preserve"> </w:t>
            </w:r>
            <w:r w:rsidRPr="001159D0">
              <w:rPr>
                <w:szCs w:val="18"/>
              </w:rPr>
              <w:t xml:space="preserve">et al. Evaluation of the tolerability and efficacy of sodium polystyrene sulfonate for long-term management of hyperkalemia in patients with chronic kidney disease. </w:t>
            </w:r>
          </w:p>
        </w:tc>
        <w:tc>
          <w:tcPr>
            <w:tcW w:w="1387" w:type="pct"/>
            <w:tcBorders>
              <w:top w:val="nil"/>
              <w:left w:val="single" w:sz="4" w:space="0" w:color="auto"/>
              <w:bottom w:val="single" w:sz="4" w:space="0" w:color="auto"/>
              <w:right w:val="single" w:sz="4" w:space="0" w:color="auto"/>
            </w:tcBorders>
          </w:tcPr>
          <w:p w14:paraId="44E7EE77" w14:textId="77777777" w:rsidR="00EF7F4C" w:rsidRPr="001159D0" w:rsidRDefault="00EF7F4C" w:rsidP="00DF2669">
            <w:pPr>
              <w:pStyle w:val="COMTabletext"/>
              <w:keepNext w:val="0"/>
              <w:widowControl w:val="0"/>
              <w:rPr>
                <w:szCs w:val="18"/>
              </w:rPr>
            </w:pPr>
            <w:r w:rsidRPr="001159D0">
              <w:rPr>
                <w:i/>
                <w:iCs/>
                <w:szCs w:val="18"/>
              </w:rPr>
              <w:t>International Urology and Nephrology.</w:t>
            </w:r>
            <w:r w:rsidRPr="001159D0">
              <w:rPr>
                <w:szCs w:val="18"/>
              </w:rPr>
              <w:t xml:space="preserve"> 2017; 49(12):2217-2221. </w:t>
            </w:r>
          </w:p>
        </w:tc>
      </w:tr>
      <w:tr w:rsidR="00EF7F4C" w:rsidRPr="001159D0" w14:paraId="0DEE5A52" w14:textId="77777777" w:rsidTr="0089161F">
        <w:tc>
          <w:tcPr>
            <w:tcW w:w="705" w:type="pct"/>
            <w:tcBorders>
              <w:top w:val="nil"/>
              <w:left w:val="single" w:sz="4" w:space="0" w:color="auto"/>
              <w:bottom w:val="single" w:sz="4" w:space="0" w:color="auto"/>
              <w:right w:val="single" w:sz="4" w:space="0" w:color="auto"/>
            </w:tcBorders>
          </w:tcPr>
          <w:p w14:paraId="691BDF6D" w14:textId="77777777" w:rsidR="00EF7F4C" w:rsidRPr="001159D0" w:rsidRDefault="00EF7F4C" w:rsidP="00DF2669">
            <w:pPr>
              <w:pStyle w:val="COMTabletext"/>
              <w:keepNext w:val="0"/>
              <w:widowControl w:val="0"/>
              <w:rPr>
                <w:szCs w:val="18"/>
              </w:rPr>
            </w:pPr>
            <w:r w:rsidRPr="001159D0">
              <w:rPr>
                <w:szCs w:val="18"/>
              </w:rPr>
              <w:t xml:space="preserve">Laureati 2020 </w:t>
            </w:r>
          </w:p>
        </w:tc>
        <w:tc>
          <w:tcPr>
            <w:tcW w:w="2908" w:type="pct"/>
            <w:tcBorders>
              <w:top w:val="nil"/>
              <w:left w:val="single" w:sz="4" w:space="0" w:color="auto"/>
              <w:bottom w:val="single" w:sz="4" w:space="0" w:color="auto"/>
              <w:right w:val="single" w:sz="4" w:space="0" w:color="auto"/>
            </w:tcBorders>
          </w:tcPr>
          <w:p w14:paraId="6D5744A4" w14:textId="6A809A84" w:rsidR="00EF7F4C" w:rsidRPr="001159D0" w:rsidRDefault="00EF7F4C" w:rsidP="00DF2669">
            <w:pPr>
              <w:pStyle w:val="COMTabletext"/>
              <w:keepNext w:val="0"/>
              <w:widowControl w:val="0"/>
              <w:rPr>
                <w:szCs w:val="18"/>
              </w:rPr>
            </w:pPr>
            <w:r w:rsidRPr="001159D0">
              <w:rPr>
                <w:szCs w:val="18"/>
              </w:rPr>
              <w:t>Laureati P</w:t>
            </w:r>
            <w:r w:rsidR="00A87ABD" w:rsidRPr="001159D0">
              <w:rPr>
                <w:szCs w:val="18"/>
              </w:rPr>
              <w:t>,</w:t>
            </w:r>
            <w:r w:rsidR="00543A69" w:rsidRPr="001159D0">
              <w:rPr>
                <w:szCs w:val="18"/>
              </w:rPr>
              <w:t xml:space="preserve"> </w:t>
            </w:r>
            <w:r w:rsidRPr="001159D0">
              <w:rPr>
                <w:szCs w:val="18"/>
              </w:rPr>
              <w:t>et al. Initiation of sodium polystyrene sulphonate and the risk of gastrointestinal adverse events in advanced chronic kidney disease: a nationwide study’.</w:t>
            </w:r>
          </w:p>
        </w:tc>
        <w:tc>
          <w:tcPr>
            <w:tcW w:w="1387" w:type="pct"/>
            <w:tcBorders>
              <w:top w:val="nil"/>
              <w:left w:val="single" w:sz="4" w:space="0" w:color="auto"/>
              <w:bottom w:val="single" w:sz="4" w:space="0" w:color="auto"/>
              <w:right w:val="single" w:sz="4" w:space="0" w:color="auto"/>
            </w:tcBorders>
          </w:tcPr>
          <w:p w14:paraId="47F144EF" w14:textId="77777777" w:rsidR="00EF7F4C" w:rsidRPr="001159D0" w:rsidRDefault="00EF7F4C" w:rsidP="00DF2669">
            <w:pPr>
              <w:pStyle w:val="COMTabletext"/>
              <w:keepNext w:val="0"/>
              <w:widowControl w:val="0"/>
              <w:rPr>
                <w:szCs w:val="18"/>
              </w:rPr>
            </w:pPr>
            <w:r w:rsidRPr="001159D0">
              <w:rPr>
                <w:i/>
                <w:iCs/>
                <w:szCs w:val="18"/>
              </w:rPr>
              <w:t>Nephrology Dialysis Transplantation.</w:t>
            </w:r>
            <w:r w:rsidRPr="001159D0">
              <w:rPr>
                <w:szCs w:val="18"/>
              </w:rPr>
              <w:t xml:space="preserve"> 2020; 35(9):1518-1526. </w:t>
            </w:r>
          </w:p>
        </w:tc>
      </w:tr>
      <w:tr w:rsidR="00EF7F4C" w:rsidRPr="001159D0" w14:paraId="01D53217" w14:textId="77777777" w:rsidTr="0053265E">
        <w:tc>
          <w:tcPr>
            <w:tcW w:w="705" w:type="pct"/>
            <w:tcBorders>
              <w:top w:val="nil"/>
              <w:left w:val="single" w:sz="4" w:space="0" w:color="auto"/>
              <w:bottom w:val="single" w:sz="4" w:space="0" w:color="auto"/>
              <w:right w:val="single" w:sz="4" w:space="0" w:color="auto"/>
            </w:tcBorders>
          </w:tcPr>
          <w:p w14:paraId="0C0BB8EF" w14:textId="77777777" w:rsidR="00EF7F4C" w:rsidRPr="001159D0" w:rsidRDefault="00EF7F4C" w:rsidP="00DF2669">
            <w:pPr>
              <w:pStyle w:val="COMTabletext"/>
              <w:keepNext w:val="0"/>
              <w:widowControl w:val="0"/>
              <w:rPr>
                <w:szCs w:val="18"/>
              </w:rPr>
            </w:pPr>
            <w:r w:rsidRPr="001159D0">
              <w:rPr>
                <w:szCs w:val="18"/>
              </w:rPr>
              <w:t>Li 2013</w:t>
            </w:r>
          </w:p>
        </w:tc>
        <w:tc>
          <w:tcPr>
            <w:tcW w:w="2908" w:type="pct"/>
            <w:tcBorders>
              <w:top w:val="nil"/>
              <w:left w:val="single" w:sz="4" w:space="0" w:color="auto"/>
              <w:bottom w:val="single" w:sz="4" w:space="0" w:color="auto"/>
              <w:right w:val="single" w:sz="4" w:space="0" w:color="auto"/>
            </w:tcBorders>
          </w:tcPr>
          <w:p w14:paraId="38C264B1" w14:textId="685F0F05" w:rsidR="00EF7F4C" w:rsidRPr="001159D0" w:rsidRDefault="00EF7F4C" w:rsidP="00DF2669">
            <w:pPr>
              <w:pStyle w:val="COMTabletext"/>
              <w:keepNext w:val="0"/>
              <w:widowControl w:val="0"/>
              <w:rPr>
                <w:szCs w:val="18"/>
              </w:rPr>
            </w:pPr>
            <w:r w:rsidRPr="001159D0">
              <w:rPr>
                <w:szCs w:val="18"/>
              </w:rPr>
              <w:t>Li X</w:t>
            </w:r>
            <w:r w:rsidR="00A87ABD" w:rsidRPr="001159D0">
              <w:rPr>
                <w:szCs w:val="18"/>
              </w:rPr>
              <w:t>,</w:t>
            </w:r>
            <w:r w:rsidR="00543A69" w:rsidRPr="001159D0">
              <w:rPr>
                <w:szCs w:val="18"/>
              </w:rPr>
              <w:t xml:space="preserve"> </w:t>
            </w:r>
            <w:r w:rsidRPr="001159D0">
              <w:rPr>
                <w:szCs w:val="18"/>
              </w:rPr>
              <w:t xml:space="preserve">et al. Calcium polystyrene sulfonate in treating hyperkalemia patients with renal insufficiency. </w:t>
            </w:r>
          </w:p>
        </w:tc>
        <w:tc>
          <w:tcPr>
            <w:tcW w:w="1387" w:type="pct"/>
            <w:tcBorders>
              <w:top w:val="nil"/>
              <w:left w:val="single" w:sz="4" w:space="0" w:color="auto"/>
              <w:bottom w:val="single" w:sz="4" w:space="0" w:color="auto"/>
              <w:right w:val="single" w:sz="4" w:space="0" w:color="auto"/>
            </w:tcBorders>
          </w:tcPr>
          <w:p w14:paraId="149DB92A" w14:textId="77777777" w:rsidR="00EF7F4C" w:rsidRPr="001159D0" w:rsidRDefault="00EF7F4C" w:rsidP="00DF2669">
            <w:pPr>
              <w:pStyle w:val="COMTabletext"/>
              <w:keepNext w:val="0"/>
              <w:widowControl w:val="0"/>
              <w:rPr>
                <w:szCs w:val="18"/>
              </w:rPr>
            </w:pPr>
            <w:r w:rsidRPr="001159D0">
              <w:rPr>
                <w:i/>
                <w:iCs/>
                <w:szCs w:val="18"/>
              </w:rPr>
              <w:t>Nephrology Dialysis Transplantation</w:t>
            </w:r>
            <w:r w:rsidRPr="001159D0">
              <w:rPr>
                <w:szCs w:val="18"/>
              </w:rPr>
              <w:t>. 2013; 28(SUPPL. 1):i405.</w:t>
            </w:r>
          </w:p>
        </w:tc>
      </w:tr>
      <w:tr w:rsidR="00EF7F4C" w:rsidRPr="001159D0" w14:paraId="4E542570" w14:textId="77777777" w:rsidTr="0053265E">
        <w:tc>
          <w:tcPr>
            <w:tcW w:w="705" w:type="pct"/>
            <w:tcBorders>
              <w:top w:val="single" w:sz="4" w:space="0" w:color="auto"/>
              <w:left w:val="single" w:sz="4" w:space="0" w:color="auto"/>
              <w:bottom w:val="single" w:sz="4" w:space="0" w:color="auto"/>
              <w:right w:val="single" w:sz="4" w:space="0" w:color="auto"/>
            </w:tcBorders>
          </w:tcPr>
          <w:p w14:paraId="6AEF47D0" w14:textId="77777777" w:rsidR="00EF7F4C" w:rsidRPr="001159D0" w:rsidRDefault="00EF7F4C" w:rsidP="00DF2669">
            <w:pPr>
              <w:pStyle w:val="COMTabletext"/>
              <w:keepNext w:val="0"/>
              <w:widowControl w:val="0"/>
              <w:rPr>
                <w:szCs w:val="18"/>
              </w:rPr>
            </w:pPr>
            <w:r w:rsidRPr="001159D0">
              <w:rPr>
                <w:szCs w:val="18"/>
              </w:rPr>
              <w:t>Yu 2017</w:t>
            </w:r>
          </w:p>
        </w:tc>
        <w:tc>
          <w:tcPr>
            <w:tcW w:w="2908" w:type="pct"/>
            <w:tcBorders>
              <w:top w:val="single" w:sz="4" w:space="0" w:color="auto"/>
              <w:left w:val="single" w:sz="4" w:space="0" w:color="auto"/>
              <w:bottom w:val="single" w:sz="4" w:space="0" w:color="auto"/>
              <w:right w:val="single" w:sz="4" w:space="0" w:color="auto"/>
            </w:tcBorders>
          </w:tcPr>
          <w:p w14:paraId="78A2DDE3" w14:textId="1DCD4811" w:rsidR="00EF7F4C" w:rsidRPr="001159D0" w:rsidRDefault="00EF7F4C" w:rsidP="00DF2669">
            <w:pPr>
              <w:pStyle w:val="COMTabletext"/>
              <w:keepNext w:val="0"/>
              <w:widowControl w:val="0"/>
              <w:rPr>
                <w:szCs w:val="18"/>
              </w:rPr>
            </w:pPr>
            <w:r w:rsidRPr="001159D0">
              <w:rPr>
                <w:szCs w:val="18"/>
              </w:rPr>
              <w:t>Yu MY</w:t>
            </w:r>
            <w:r w:rsidR="0053265E" w:rsidRPr="001159D0">
              <w:rPr>
                <w:szCs w:val="18"/>
              </w:rPr>
              <w:t>,</w:t>
            </w:r>
            <w:r w:rsidR="00543A69" w:rsidRPr="001159D0">
              <w:rPr>
                <w:szCs w:val="18"/>
              </w:rPr>
              <w:t xml:space="preserve"> </w:t>
            </w:r>
            <w:r w:rsidRPr="001159D0">
              <w:rPr>
                <w:szCs w:val="18"/>
              </w:rPr>
              <w:t xml:space="preserve">et al. Long-term efficacy of oral calcium polystyrene sulfonate for hyperkalemia in CKD patients. </w:t>
            </w:r>
          </w:p>
        </w:tc>
        <w:tc>
          <w:tcPr>
            <w:tcW w:w="1387" w:type="pct"/>
            <w:tcBorders>
              <w:top w:val="single" w:sz="4" w:space="0" w:color="auto"/>
              <w:left w:val="single" w:sz="4" w:space="0" w:color="auto"/>
              <w:bottom w:val="single" w:sz="4" w:space="0" w:color="auto"/>
              <w:right w:val="single" w:sz="4" w:space="0" w:color="auto"/>
            </w:tcBorders>
          </w:tcPr>
          <w:p w14:paraId="1B2750D1" w14:textId="77777777" w:rsidR="00EF7F4C" w:rsidRPr="001159D0" w:rsidRDefault="00EF7F4C" w:rsidP="00DF2669">
            <w:pPr>
              <w:pStyle w:val="COMTabletext"/>
              <w:keepNext w:val="0"/>
              <w:widowControl w:val="0"/>
              <w:rPr>
                <w:szCs w:val="18"/>
              </w:rPr>
            </w:pPr>
            <w:r w:rsidRPr="001159D0">
              <w:rPr>
                <w:i/>
                <w:iCs/>
                <w:szCs w:val="18"/>
              </w:rPr>
              <w:t>PLoS One.</w:t>
            </w:r>
            <w:r w:rsidRPr="001159D0">
              <w:rPr>
                <w:szCs w:val="18"/>
              </w:rPr>
              <w:t xml:space="preserve"> 2017; 12(3): e0173542.</w:t>
            </w:r>
          </w:p>
        </w:tc>
      </w:tr>
    </w:tbl>
    <w:p w14:paraId="26D989B9" w14:textId="7533986E" w:rsidR="00350282" w:rsidRPr="001159D0" w:rsidRDefault="00350282" w:rsidP="00350282">
      <w:pPr>
        <w:pStyle w:val="COMTablefooter"/>
        <w:widowControl w:val="0"/>
        <w:rPr>
          <w:sz w:val="20"/>
        </w:rPr>
      </w:pPr>
      <w:r w:rsidRPr="001159D0">
        <w:t>Source: Table 2.2.1, pp65-67 of the resubmission; Table 2.2.5, pp19-21 and Section 2.2.5.1, pp21-22 of Patiromer vs SPS,CPS evaluation, Attachment 11 to the resubmission.</w:t>
      </w:r>
    </w:p>
    <w:p w14:paraId="1DD06D7D" w14:textId="1F9006DD" w:rsidR="007F1017" w:rsidRPr="001159D0" w:rsidRDefault="008F120A" w:rsidP="00EC5836">
      <w:pPr>
        <w:pStyle w:val="COMexecsumnumberedpara"/>
        <w:rPr>
          <w:color w:val="0066FF"/>
        </w:rPr>
      </w:pPr>
      <w:r w:rsidRPr="001159D0">
        <w:t xml:space="preserve">The key features of the </w:t>
      </w:r>
      <w:r w:rsidR="00B74FA3" w:rsidRPr="001159D0">
        <w:t>included studies</w:t>
      </w:r>
      <w:r w:rsidRPr="001159D0">
        <w:t xml:space="preserve"> are summarised in</w:t>
      </w:r>
      <w:r w:rsidR="00D6076E" w:rsidRPr="001159D0">
        <w:t xml:space="preserve"> </w:t>
      </w:r>
      <w:r w:rsidR="00D6076E" w:rsidRPr="001159D0">
        <w:fldChar w:fldCharType="begin"/>
      </w:r>
      <w:r w:rsidR="00D6076E" w:rsidRPr="001159D0">
        <w:instrText xml:space="preserve"> REF _Ref104804098 \h  \* MERGEFORMAT </w:instrText>
      </w:r>
      <w:r w:rsidR="00D6076E" w:rsidRPr="001159D0">
        <w:fldChar w:fldCharType="separate"/>
      </w:r>
      <w:r w:rsidR="00565456" w:rsidRPr="001159D0">
        <w:t xml:space="preserve">Table </w:t>
      </w:r>
      <w:r w:rsidR="00565456">
        <w:t>4</w:t>
      </w:r>
      <w:r w:rsidR="00D6076E" w:rsidRPr="001159D0">
        <w:fldChar w:fldCharType="end"/>
      </w:r>
      <w:r w:rsidRPr="001159D0">
        <w:t>.</w:t>
      </w:r>
      <w:r w:rsidR="00BC591F" w:rsidRPr="001159D0">
        <w:t xml:space="preserve"> </w:t>
      </w:r>
    </w:p>
    <w:p w14:paraId="5B2B3E60" w14:textId="39D25BB6" w:rsidR="007A7495" w:rsidRPr="001159D0" w:rsidRDefault="00696EF9" w:rsidP="00191738">
      <w:pPr>
        <w:pStyle w:val="COMtablefigcaption"/>
        <w:keepLines/>
      </w:pPr>
      <w:bookmarkStart w:id="22" w:name="_Ref104804098"/>
      <w:r w:rsidRPr="001159D0">
        <w:lastRenderedPageBreak/>
        <w:t xml:space="preserve">Table </w:t>
      </w:r>
      <w:r w:rsidR="005F4857">
        <w:fldChar w:fldCharType="begin"/>
      </w:r>
      <w:r w:rsidR="005F4857">
        <w:instrText xml:space="preserve"> SEQ Table \* ARABIC </w:instrText>
      </w:r>
      <w:r w:rsidR="005F4857">
        <w:fldChar w:fldCharType="separate"/>
      </w:r>
      <w:r w:rsidR="00565456">
        <w:rPr>
          <w:noProof/>
        </w:rPr>
        <w:t>4</w:t>
      </w:r>
      <w:r w:rsidR="005F4857">
        <w:rPr>
          <w:noProof/>
        </w:rPr>
        <w:fldChar w:fldCharType="end"/>
      </w:r>
      <w:bookmarkEnd w:id="22"/>
      <w:r w:rsidR="00D6076E" w:rsidRPr="001159D0">
        <w:t xml:space="preserve">: </w:t>
      </w:r>
      <w:r w:rsidR="007F1017" w:rsidRPr="001159D0">
        <w:t>Key features of the included evidence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542"/>
        <w:gridCol w:w="467"/>
        <w:gridCol w:w="1149"/>
        <w:gridCol w:w="519"/>
        <w:gridCol w:w="2296"/>
        <w:gridCol w:w="1618"/>
        <w:gridCol w:w="1426"/>
      </w:tblGrid>
      <w:tr w:rsidR="00B63238" w:rsidRPr="001159D0" w14:paraId="585569B8" w14:textId="77777777" w:rsidTr="006B71ED">
        <w:trPr>
          <w:cantSplit/>
          <w:tblHeader/>
        </w:trPr>
        <w:tc>
          <w:tcPr>
            <w:tcW w:w="855" w:type="pct"/>
            <w:shd w:val="clear" w:color="auto" w:fill="auto"/>
            <w:vAlign w:val="center"/>
          </w:tcPr>
          <w:p w14:paraId="2504DBE5" w14:textId="77777777" w:rsidR="007A7495" w:rsidRPr="001159D0" w:rsidRDefault="007A7495" w:rsidP="00191738">
            <w:pPr>
              <w:pStyle w:val="Tabletext"/>
              <w:keepLines/>
              <w:spacing w:before="0" w:after="0"/>
              <w:rPr>
                <w:b/>
              </w:rPr>
            </w:pPr>
            <w:r w:rsidRPr="001159D0">
              <w:rPr>
                <w:b/>
              </w:rPr>
              <w:t>Trial</w:t>
            </w:r>
          </w:p>
        </w:tc>
        <w:tc>
          <w:tcPr>
            <w:tcW w:w="259" w:type="pct"/>
            <w:shd w:val="clear" w:color="auto" w:fill="auto"/>
            <w:vAlign w:val="center"/>
          </w:tcPr>
          <w:p w14:paraId="4674982A" w14:textId="77777777" w:rsidR="007A7495" w:rsidRPr="001159D0" w:rsidRDefault="007A7495" w:rsidP="00191738">
            <w:pPr>
              <w:pStyle w:val="Tabletext"/>
              <w:keepLines/>
              <w:spacing w:before="0" w:after="0"/>
              <w:jc w:val="center"/>
              <w:rPr>
                <w:b/>
              </w:rPr>
            </w:pPr>
            <w:r w:rsidRPr="001159D0">
              <w:rPr>
                <w:b/>
              </w:rPr>
              <w:t>N</w:t>
            </w:r>
          </w:p>
        </w:tc>
        <w:tc>
          <w:tcPr>
            <w:tcW w:w="637" w:type="pct"/>
            <w:shd w:val="clear" w:color="auto" w:fill="auto"/>
            <w:vAlign w:val="center"/>
          </w:tcPr>
          <w:p w14:paraId="01FE510A" w14:textId="77777777" w:rsidR="007A7495" w:rsidRPr="001159D0" w:rsidRDefault="007A7495" w:rsidP="00191738">
            <w:pPr>
              <w:pStyle w:val="Tabletext"/>
              <w:keepLines/>
              <w:spacing w:before="0" w:after="0"/>
              <w:jc w:val="center"/>
              <w:rPr>
                <w:b/>
              </w:rPr>
            </w:pPr>
            <w:r w:rsidRPr="001159D0">
              <w:rPr>
                <w:b/>
              </w:rPr>
              <w:t>Design/ duration</w:t>
            </w:r>
          </w:p>
        </w:tc>
        <w:tc>
          <w:tcPr>
            <w:tcW w:w="288" w:type="pct"/>
            <w:shd w:val="clear" w:color="auto" w:fill="auto"/>
            <w:vAlign w:val="center"/>
          </w:tcPr>
          <w:p w14:paraId="14778E94" w14:textId="77777777" w:rsidR="007A7495" w:rsidRPr="001159D0" w:rsidRDefault="007A7495" w:rsidP="00191738">
            <w:pPr>
              <w:pStyle w:val="Tabletext"/>
              <w:keepLines/>
              <w:spacing w:before="0" w:after="0"/>
              <w:jc w:val="center"/>
              <w:rPr>
                <w:b/>
              </w:rPr>
            </w:pPr>
            <w:r w:rsidRPr="001159D0">
              <w:rPr>
                <w:b/>
              </w:rPr>
              <w:t>Risk of bias</w:t>
            </w:r>
          </w:p>
        </w:tc>
        <w:tc>
          <w:tcPr>
            <w:tcW w:w="1273" w:type="pct"/>
            <w:shd w:val="clear" w:color="auto" w:fill="auto"/>
            <w:vAlign w:val="center"/>
          </w:tcPr>
          <w:p w14:paraId="49A5821C" w14:textId="77777777" w:rsidR="007A7495" w:rsidRPr="001159D0" w:rsidRDefault="007A7495" w:rsidP="00191738">
            <w:pPr>
              <w:pStyle w:val="Tabletext"/>
              <w:keepLines/>
              <w:spacing w:before="0" w:after="0"/>
              <w:jc w:val="center"/>
              <w:rPr>
                <w:b/>
                <w:vertAlign w:val="superscript"/>
              </w:rPr>
            </w:pPr>
            <w:r w:rsidRPr="001159D0">
              <w:rPr>
                <w:b/>
              </w:rPr>
              <w:t>Patient population</w:t>
            </w:r>
          </w:p>
        </w:tc>
        <w:tc>
          <w:tcPr>
            <w:tcW w:w="897" w:type="pct"/>
            <w:shd w:val="clear" w:color="auto" w:fill="auto"/>
            <w:vAlign w:val="center"/>
          </w:tcPr>
          <w:p w14:paraId="6D7D3B72" w14:textId="77777777" w:rsidR="007A7495" w:rsidRPr="001159D0" w:rsidRDefault="007A7495" w:rsidP="00191738">
            <w:pPr>
              <w:pStyle w:val="Tabletext"/>
              <w:keepLines/>
              <w:spacing w:before="0" w:after="0"/>
              <w:jc w:val="center"/>
              <w:rPr>
                <w:b/>
              </w:rPr>
            </w:pPr>
            <w:r w:rsidRPr="001159D0">
              <w:rPr>
                <w:b/>
              </w:rPr>
              <w:t>Outcomes</w:t>
            </w:r>
          </w:p>
        </w:tc>
        <w:tc>
          <w:tcPr>
            <w:tcW w:w="791" w:type="pct"/>
            <w:shd w:val="clear" w:color="auto" w:fill="auto"/>
            <w:vAlign w:val="center"/>
          </w:tcPr>
          <w:p w14:paraId="785E64FE" w14:textId="77777777" w:rsidR="007A7495" w:rsidRPr="001159D0" w:rsidRDefault="007A7495" w:rsidP="00191738">
            <w:pPr>
              <w:pStyle w:val="Tabletext"/>
              <w:keepLines/>
              <w:spacing w:before="0" w:after="0"/>
              <w:jc w:val="center"/>
              <w:rPr>
                <w:b/>
              </w:rPr>
            </w:pPr>
            <w:r w:rsidRPr="001159D0">
              <w:rPr>
                <w:b/>
              </w:rPr>
              <w:t>Use in model</w:t>
            </w:r>
          </w:p>
        </w:tc>
      </w:tr>
      <w:tr w:rsidR="007A7495" w:rsidRPr="001159D0" w14:paraId="3C5856E1" w14:textId="77777777" w:rsidTr="00A96C12">
        <w:trPr>
          <w:cantSplit/>
        </w:trPr>
        <w:tc>
          <w:tcPr>
            <w:tcW w:w="5000" w:type="pct"/>
            <w:gridSpan w:val="7"/>
            <w:tcBorders>
              <w:bottom w:val="single" w:sz="4" w:space="0" w:color="auto"/>
            </w:tcBorders>
            <w:shd w:val="clear" w:color="auto" w:fill="auto"/>
            <w:vAlign w:val="center"/>
          </w:tcPr>
          <w:p w14:paraId="5FC5A503" w14:textId="77777777" w:rsidR="007A7495" w:rsidRPr="001159D0" w:rsidRDefault="007A7495" w:rsidP="00191738">
            <w:pPr>
              <w:pStyle w:val="Tabletext"/>
              <w:keepLines/>
              <w:spacing w:before="0" w:after="0"/>
              <w:rPr>
                <w:b/>
              </w:rPr>
            </w:pPr>
            <w:r w:rsidRPr="001159D0">
              <w:rPr>
                <w:b/>
              </w:rPr>
              <w:t>Randomised trials (patiromer versus placebo)</w:t>
            </w:r>
          </w:p>
        </w:tc>
      </w:tr>
      <w:tr w:rsidR="00D64071" w:rsidRPr="001159D0" w14:paraId="62260500" w14:textId="77777777" w:rsidTr="006B71ED">
        <w:trPr>
          <w:cantSplit/>
        </w:trPr>
        <w:tc>
          <w:tcPr>
            <w:tcW w:w="855" w:type="pct"/>
            <w:tcBorders>
              <w:bottom w:val="single" w:sz="4" w:space="0" w:color="auto"/>
            </w:tcBorders>
            <w:shd w:val="clear" w:color="auto" w:fill="auto"/>
            <w:vAlign w:val="center"/>
          </w:tcPr>
          <w:p w14:paraId="2409DA12" w14:textId="77777777" w:rsidR="00D64071" w:rsidRPr="001159D0" w:rsidRDefault="00D64071" w:rsidP="00191738">
            <w:pPr>
              <w:pStyle w:val="Tabletext"/>
              <w:keepLines/>
              <w:spacing w:before="0" w:after="0"/>
            </w:pPr>
            <w:r w:rsidRPr="001159D0">
              <w:t xml:space="preserve">OPAL-HK </w:t>
            </w:r>
          </w:p>
          <w:p w14:paraId="28FFA055" w14:textId="77777777" w:rsidR="00D64071" w:rsidRPr="001159D0" w:rsidRDefault="00D64071" w:rsidP="00191738">
            <w:pPr>
              <w:pStyle w:val="Tabletext"/>
              <w:keepLines/>
              <w:spacing w:before="0" w:after="0"/>
            </w:pPr>
            <w:r w:rsidRPr="001159D0">
              <w:t>Part A</w:t>
            </w:r>
          </w:p>
        </w:tc>
        <w:tc>
          <w:tcPr>
            <w:tcW w:w="259" w:type="pct"/>
            <w:tcBorders>
              <w:bottom w:val="single" w:sz="4" w:space="0" w:color="auto"/>
            </w:tcBorders>
            <w:shd w:val="clear" w:color="auto" w:fill="auto"/>
            <w:vAlign w:val="center"/>
          </w:tcPr>
          <w:p w14:paraId="71B6B4C4" w14:textId="77777777" w:rsidR="00D64071" w:rsidRPr="001159D0" w:rsidRDefault="00D64071" w:rsidP="00191738">
            <w:pPr>
              <w:pStyle w:val="Tabletext"/>
              <w:keepLines/>
              <w:spacing w:before="0" w:after="0"/>
              <w:jc w:val="center"/>
            </w:pPr>
            <w:r w:rsidRPr="001159D0">
              <w:t>243</w:t>
            </w:r>
          </w:p>
        </w:tc>
        <w:tc>
          <w:tcPr>
            <w:tcW w:w="637" w:type="pct"/>
            <w:tcBorders>
              <w:bottom w:val="single" w:sz="4" w:space="0" w:color="auto"/>
            </w:tcBorders>
            <w:shd w:val="clear" w:color="auto" w:fill="auto"/>
            <w:vAlign w:val="center"/>
          </w:tcPr>
          <w:p w14:paraId="0941C5E2" w14:textId="77777777" w:rsidR="00D64071" w:rsidRPr="001159D0" w:rsidRDefault="00D64071" w:rsidP="00191738">
            <w:pPr>
              <w:pStyle w:val="Tabletext"/>
              <w:keepLines/>
              <w:spacing w:before="0" w:after="0"/>
              <w:jc w:val="center"/>
            </w:pPr>
            <w:r w:rsidRPr="001159D0">
              <w:t xml:space="preserve">SA, SB, MC, </w:t>
            </w:r>
          </w:p>
          <w:p w14:paraId="3B511A30" w14:textId="1F25A539" w:rsidR="00D64071" w:rsidRPr="001159D0" w:rsidRDefault="00D64071" w:rsidP="00191738">
            <w:pPr>
              <w:pStyle w:val="Tabletext"/>
              <w:keepLines/>
              <w:spacing w:before="0" w:after="0"/>
              <w:jc w:val="center"/>
            </w:pPr>
            <w:r w:rsidRPr="001159D0">
              <w:t>4 week</w:t>
            </w:r>
            <w:r w:rsidR="00E70E85" w:rsidRPr="001159D0">
              <w:t xml:space="preserve"> </w:t>
            </w:r>
            <w:r w:rsidRPr="001159D0">
              <w:t>dosing study.</w:t>
            </w:r>
          </w:p>
        </w:tc>
        <w:tc>
          <w:tcPr>
            <w:tcW w:w="288" w:type="pct"/>
            <w:tcBorders>
              <w:bottom w:val="single" w:sz="4" w:space="0" w:color="auto"/>
            </w:tcBorders>
            <w:shd w:val="clear" w:color="auto" w:fill="auto"/>
            <w:vAlign w:val="center"/>
          </w:tcPr>
          <w:p w14:paraId="316667EC" w14:textId="77777777" w:rsidR="00D64071" w:rsidRPr="001159D0" w:rsidRDefault="00D64071" w:rsidP="00191738">
            <w:pPr>
              <w:pStyle w:val="Tabletext"/>
              <w:keepLines/>
              <w:spacing w:before="0" w:after="0"/>
              <w:jc w:val="center"/>
            </w:pPr>
            <w:r w:rsidRPr="001159D0">
              <w:t>High</w:t>
            </w:r>
          </w:p>
        </w:tc>
        <w:tc>
          <w:tcPr>
            <w:tcW w:w="1273" w:type="pct"/>
            <w:tcBorders>
              <w:bottom w:val="single" w:sz="4" w:space="0" w:color="auto"/>
            </w:tcBorders>
            <w:shd w:val="clear" w:color="auto" w:fill="auto"/>
            <w:vAlign w:val="center"/>
          </w:tcPr>
          <w:p w14:paraId="44B86280" w14:textId="643CB2CA" w:rsidR="00D64071" w:rsidRPr="001159D0" w:rsidRDefault="00D64071" w:rsidP="00191738">
            <w:pPr>
              <w:pStyle w:val="Tabletext"/>
              <w:keepLines/>
              <w:spacing w:before="0" w:after="0"/>
              <w:jc w:val="center"/>
            </w:pPr>
            <w:r w:rsidRPr="001159D0">
              <w:t>Adults 18-80 years, CKD Stage 3-4, K+ 5.1 to &lt; 6.5 mmol/L, ≥ 1 RAASi therapy.</w:t>
            </w:r>
          </w:p>
        </w:tc>
        <w:tc>
          <w:tcPr>
            <w:tcW w:w="897" w:type="pct"/>
            <w:tcBorders>
              <w:bottom w:val="single" w:sz="4" w:space="0" w:color="auto"/>
            </w:tcBorders>
            <w:shd w:val="clear" w:color="auto" w:fill="auto"/>
            <w:vAlign w:val="center"/>
          </w:tcPr>
          <w:p w14:paraId="70A79766" w14:textId="0A7DB20D" w:rsidR="00D64071" w:rsidRPr="001159D0" w:rsidRDefault="00D64071" w:rsidP="00191738">
            <w:pPr>
              <w:pStyle w:val="Tabletext"/>
              <w:keepLines/>
              <w:spacing w:before="0" w:after="0"/>
              <w:jc w:val="center"/>
            </w:pPr>
            <w:r w:rsidRPr="001159D0">
              <w:t>Change in K+,</w:t>
            </w:r>
          </w:p>
          <w:p w14:paraId="7A0DDA24" w14:textId="2F4B57AB" w:rsidR="00D64071" w:rsidRPr="001159D0" w:rsidRDefault="00D64071" w:rsidP="00191738">
            <w:pPr>
              <w:pStyle w:val="Tabletext"/>
              <w:keepLines/>
              <w:spacing w:before="0" w:after="0"/>
              <w:jc w:val="center"/>
            </w:pPr>
            <w:r w:rsidRPr="001159D0">
              <w:t>patients achieving K+ thresholds,</w:t>
            </w:r>
            <w:r w:rsidR="00B63238" w:rsidRPr="001159D0">
              <w:t xml:space="preserve"> s</w:t>
            </w:r>
            <w:r w:rsidRPr="001159D0">
              <w:t>afety.</w:t>
            </w:r>
          </w:p>
        </w:tc>
        <w:tc>
          <w:tcPr>
            <w:tcW w:w="791" w:type="pct"/>
            <w:vMerge w:val="restart"/>
            <w:shd w:val="clear" w:color="auto" w:fill="auto"/>
            <w:vAlign w:val="center"/>
          </w:tcPr>
          <w:p w14:paraId="0076A1B3" w14:textId="6227226D" w:rsidR="00D64071" w:rsidRPr="001159D0" w:rsidRDefault="00BA6386" w:rsidP="00191738">
            <w:pPr>
              <w:pStyle w:val="Tabletext"/>
              <w:keepLines/>
              <w:spacing w:before="0" w:after="0"/>
              <w:jc w:val="center"/>
            </w:pPr>
            <w:r w:rsidRPr="001159D0">
              <w:t>I</w:t>
            </w:r>
            <w:r w:rsidR="000A4F2A" w:rsidRPr="001159D0">
              <w:t>nform</w:t>
            </w:r>
            <w:r w:rsidRPr="001159D0">
              <w:t xml:space="preserve">s </w:t>
            </w:r>
            <w:r w:rsidR="000A4F2A" w:rsidRPr="001159D0">
              <w:t xml:space="preserve">hyperkalaemia and patiromer/ </w:t>
            </w:r>
            <w:r w:rsidR="009B74C2">
              <w:t>RAASi</w:t>
            </w:r>
            <w:r w:rsidR="000A4F2A" w:rsidRPr="001159D0">
              <w:t xml:space="preserve"> transitions in the first 3 months; and subsequent patiromer treatment effects</w:t>
            </w:r>
          </w:p>
        </w:tc>
      </w:tr>
      <w:tr w:rsidR="00D64071" w:rsidRPr="001159D0" w14:paraId="61D949B1" w14:textId="77777777" w:rsidTr="006B71ED">
        <w:trPr>
          <w:cantSplit/>
        </w:trPr>
        <w:tc>
          <w:tcPr>
            <w:tcW w:w="855" w:type="pct"/>
            <w:tcBorders>
              <w:top w:val="single" w:sz="4" w:space="0" w:color="auto"/>
            </w:tcBorders>
            <w:shd w:val="clear" w:color="auto" w:fill="auto"/>
            <w:vAlign w:val="center"/>
          </w:tcPr>
          <w:p w14:paraId="679ABAF3" w14:textId="77777777" w:rsidR="00D64071" w:rsidRPr="001159D0" w:rsidRDefault="00D64071" w:rsidP="00191738">
            <w:pPr>
              <w:pStyle w:val="Tabletext"/>
              <w:keepLines/>
              <w:spacing w:before="0" w:after="0"/>
            </w:pPr>
            <w:r w:rsidRPr="001159D0">
              <w:t xml:space="preserve">OPAL-HK </w:t>
            </w:r>
          </w:p>
          <w:p w14:paraId="3602DB70" w14:textId="77777777" w:rsidR="00D64071" w:rsidRPr="001159D0" w:rsidRDefault="00D64071" w:rsidP="00191738">
            <w:pPr>
              <w:pStyle w:val="Tabletext"/>
              <w:keepLines/>
              <w:spacing w:before="0" w:after="0"/>
            </w:pPr>
            <w:r w:rsidRPr="001159D0">
              <w:t>Part B</w:t>
            </w:r>
          </w:p>
        </w:tc>
        <w:tc>
          <w:tcPr>
            <w:tcW w:w="259" w:type="pct"/>
            <w:tcBorders>
              <w:top w:val="nil"/>
            </w:tcBorders>
            <w:shd w:val="clear" w:color="auto" w:fill="auto"/>
            <w:vAlign w:val="center"/>
          </w:tcPr>
          <w:p w14:paraId="26A92564" w14:textId="77777777" w:rsidR="00D64071" w:rsidRPr="001159D0" w:rsidRDefault="00D64071" w:rsidP="00191738">
            <w:pPr>
              <w:pStyle w:val="Tabletext"/>
              <w:keepLines/>
              <w:spacing w:before="0" w:after="0"/>
              <w:jc w:val="center"/>
            </w:pPr>
            <w:r w:rsidRPr="001159D0">
              <w:t>104</w:t>
            </w:r>
          </w:p>
        </w:tc>
        <w:tc>
          <w:tcPr>
            <w:tcW w:w="637" w:type="pct"/>
            <w:tcBorders>
              <w:top w:val="nil"/>
            </w:tcBorders>
            <w:shd w:val="clear" w:color="auto" w:fill="auto"/>
            <w:vAlign w:val="center"/>
          </w:tcPr>
          <w:p w14:paraId="420C2EAA" w14:textId="77777777" w:rsidR="00D64071" w:rsidRPr="001159D0" w:rsidRDefault="00D64071" w:rsidP="00191738">
            <w:pPr>
              <w:pStyle w:val="Tabletext"/>
              <w:keepLines/>
              <w:spacing w:before="0" w:after="0"/>
              <w:jc w:val="center"/>
            </w:pPr>
            <w:r w:rsidRPr="001159D0">
              <w:t xml:space="preserve">R, PC, SB, MC, </w:t>
            </w:r>
          </w:p>
          <w:p w14:paraId="68671895" w14:textId="73986D28" w:rsidR="00D64071" w:rsidRPr="001159D0" w:rsidRDefault="00D64071" w:rsidP="00191738">
            <w:pPr>
              <w:pStyle w:val="Tabletext"/>
              <w:keepLines/>
              <w:spacing w:before="0" w:after="0"/>
              <w:jc w:val="center"/>
            </w:pPr>
            <w:r w:rsidRPr="001159D0">
              <w:t>8 week</w:t>
            </w:r>
            <w:r w:rsidR="00E70E85" w:rsidRPr="001159D0">
              <w:t xml:space="preserve"> </w:t>
            </w:r>
            <w:r w:rsidRPr="001159D0">
              <w:t>withdrawal study.</w:t>
            </w:r>
          </w:p>
        </w:tc>
        <w:tc>
          <w:tcPr>
            <w:tcW w:w="288" w:type="pct"/>
            <w:tcBorders>
              <w:top w:val="nil"/>
            </w:tcBorders>
            <w:shd w:val="clear" w:color="auto" w:fill="auto"/>
            <w:vAlign w:val="center"/>
          </w:tcPr>
          <w:p w14:paraId="5626EA63" w14:textId="77777777" w:rsidR="00D64071" w:rsidRPr="001159D0" w:rsidRDefault="00D64071" w:rsidP="00191738">
            <w:pPr>
              <w:pStyle w:val="Tabletext"/>
              <w:keepLines/>
              <w:spacing w:before="0" w:after="0"/>
              <w:jc w:val="center"/>
            </w:pPr>
            <w:r w:rsidRPr="001159D0">
              <w:t>High</w:t>
            </w:r>
          </w:p>
        </w:tc>
        <w:tc>
          <w:tcPr>
            <w:tcW w:w="1273" w:type="pct"/>
            <w:tcBorders>
              <w:top w:val="nil"/>
            </w:tcBorders>
            <w:shd w:val="clear" w:color="auto" w:fill="auto"/>
            <w:vAlign w:val="center"/>
          </w:tcPr>
          <w:p w14:paraId="26626715" w14:textId="0F02F543" w:rsidR="00D64071" w:rsidRPr="001159D0" w:rsidRDefault="00D64071" w:rsidP="00191738">
            <w:pPr>
              <w:pStyle w:val="Tabletext"/>
              <w:keepLines/>
              <w:spacing w:before="0" w:after="0"/>
              <w:jc w:val="center"/>
            </w:pPr>
            <w:r w:rsidRPr="001159D0">
              <w:t>Completed Part A with K+ 3.8 to &lt; 5.1 mmol/L,</w:t>
            </w:r>
            <w:r w:rsidR="00B63238" w:rsidRPr="001159D0">
              <w:t xml:space="preserve"> </w:t>
            </w:r>
            <w:r w:rsidRPr="001159D0">
              <w:t>Part A baseline K+ ≥ 5.5 mmol/L,</w:t>
            </w:r>
            <w:r w:rsidR="00B63238" w:rsidRPr="001159D0">
              <w:t xml:space="preserve"> </w:t>
            </w:r>
            <w:r w:rsidRPr="001159D0">
              <w:t>≥ 1 RAASi at Part A week 4.</w:t>
            </w:r>
          </w:p>
        </w:tc>
        <w:tc>
          <w:tcPr>
            <w:tcW w:w="897" w:type="pct"/>
            <w:tcBorders>
              <w:top w:val="nil"/>
            </w:tcBorders>
            <w:shd w:val="clear" w:color="auto" w:fill="auto"/>
            <w:vAlign w:val="center"/>
          </w:tcPr>
          <w:p w14:paraId="28194694" w14:textId="68CE8A50" w:rsidR="00D64071" w:rsidRPr="001159D0" w:rsidRDefault="00D64071" w:rsidP="00191738">
            <w:pPr>
              <w:pStyle w:val="Tabletext"/>
              <w:keepLines/>
              <w:spacing w:before="0" w:after="0"/>
              <w:jc w:val="center"/>
            </w:pPr>
            <w:r w:rsidRPr="001159D0">
              <w:t>Change in K+,</w:t>
            </w:r>
          </w:p>
          <w:p w14:paraId="072B9B78" w14:textId="470C0B25" w:rsidR="00D64071" w:rsidRPr="001159D0" w:rsidRDefault="00D64071" w:rsidP="00191738">
            <w:pPr>
              <w:pStyle w:val="Tabletext"/>
              <w:keepLines/>
              <w:spacing w:before="0" w:after="0"/>
              <w:jc w:val="center"/>
            </w:pPr>
            <w:r w:rsidRPr="001159D0">
              <w:t>patients achieving K+ thresholds,</w:t>
            </w:r>
            <w:r w:rsidR="00B63238" w:rsidRPr="001159D0">
              <w:t xml:space="preserve"> </w:t>
            </w:r>
            <w:r w:rsidRPr="001159D0">
              <w:t>RAASi dose adjustments,</w:t>
            </w:r>
          </w:p>
          <w:p w14:paraId="2EF7FEF8" w14:textId="77777777" w:rsidR="00D64071" w:rsidRPr="001159D0" w:rsidRDefault="00D64071" w:rsidP="00191738">
            <w:pPr>
              <w:pStyle w:val="Tabletext"/>
              <w:keepLines/>
              <w:spacing w:before="0" w:after="0"/>
              <w:jc w:val="center"/>
            </w:pPr>
            <w:r w:rsidRPr="001159D0">
              <w:t>safety.</w:t>
            </w:r>
          </w:p>
        </w:tc>
        <w:tc>
          <w:tcPr>
            <w:tcW w:w="791" w:type="pct"/>
            <w:vMerge/>
            <w:shd w:val="clear" w:color="auto" w:fill="auto"/>
            <w:vAlign w:val="center"/>
          </w:tcPr>
          <w:p w14:paraId="7AFD48A8" w14:textId="59BD1C27" w:rsidR="00D64071" w:rsidRPr="001159D0" w:rsidRDefault="00D64071" w:rsidP="00191738">
            <w:pPr>
              <w:pStyle w:val="Tabletext"/>
              <w:keepLines/>
              <w:spacing w:before="0" w:after="0"/>
              <w:jc w:val="center"/>
            </w:pPr>
          </w:p>
        </w:tc>
      </w:tr>
      <w:tr w:rsidR="00B63238" w:rsidRPr="001159D0" w14:paraId="218ABCBD" w14:textId="77777777" w:rsidTr="006B71ED">
        <w:trPr>
          <w:cantSplit/>
        </w:trPr>
        <w:tc>
          <w:tcPr>
            <w:tcW w:w="855" w:type="pct"/>
            <w:shd w:val="clear" w:color="auto" w:fill="auto"/>
            <w:vAlign w:val="center"/>
          </w:tcPr>
          <w:p w14:paraId="67ED0475" w14:textId="77777777" w:rsidR="007A7495" w:rsidRPr="001159D0" w:rsidRDefault="007A7495" w:rsidP="00A96C12">
            <w:pPr>
              <w:pStyle w:val="Tabletext"/>
              <w:keepNext w:val="0"/>
              <w:spacing w:before="0" w:after="0"/>
            </w:pPr>
            <w:r w:rsidRPr="001159D0">
              <w:t>AMETHYST-DN</w:t>
            </w:r>
          </w:p>
        </w:tc>
        <w:tc>
          <w:tcPr>
            <w:tcW w:w="259" w:type="pct"/>
            <w:shd w:val="clear" w:color="auto" w:fill="auto"/>
            <w:vAlign w:val="center"/>
          </w:tcPr>
          <w:p w14:paraId="0AD0F1B2" w14:textId="77777777" w:rsidR="007A7495" w:rsidRPr="001159D0" w:rsidRDefault="007A7495" w:rsidP="00A96C12">
            <w:pPr>
              <w:pStyle w:val="Tabletext"/>
              <w:keepNext w:val="0"/>
              <w:spacing w:before="0" w:after="0"/>
              <w:jc w:val="center"/>
            </w:pPr>
            <w:r w:rsidRPr="001159D0">
              <w:t>306</w:t>
            </w:r>
          </w:p>
        </w:tc>
        <w:tc>
          <w:tcPr>
            <w:tcW w:w="637" w:type="pct"/>
            <w:shd w:val="clear" w:color="auto" w:fill="auto"/>
            <w:vAlign w:val="center"/>
          </w:tcPr>
          <w:p w14:paraId="0CD4F071" w14:textId="77777777" w:rsidR="007A7495" w:rsidRPr="001159D0" w:rsidRDefault="007A7495" w:rsidP="00A96C12">
            <w:pPr>
              <w:pStyle w:val="Tabletext"/>
              <w:keepNext w:val="0"/>
              <w:spacing w:before="0" w:after="0"/>
              <w:jc w:val="center"/>
            </w:pPr>
            <w:r w:rsidRPr="001159D0">
              <w:t xml:space="preserve">R, OL, MC, </w:t>
            </w:r>
          </w:p>
          <w:p w14:paraId="6018CA0F" w14:textId="371A08BF" w:rsidR="007A7495" w:rsidRPr="001159D0" w:rsidRDefault="007A7495" w:rsidP="00A96C12">
            <w:pPr>
              <w:pStyle w:val="Tabletext"/>
              <w:keepNext w:val="0"/>
              <w:spacing w:before="0" w:after="0"/>
              <w:jc w:val="center"/>
            </w:pPr>
            <w:r w:rsidRPr="001159D0">
              <w:t>52 week</w:t>
            </w:r>
            <w:r w:rsidR="00E70E85" w:rsidRPr="001159D0">
              <w:t xml:space="preserve"> </w:t>
            </w:r>
            <w:r w:rsidRPr="001159D0">
              <w:t>dosing study.</w:t>
            </w:r>
          </w:p>
        </w:tc>
        <w:tc>
          <w:tcPr>
            <w:tcW w:w="288" w:type="pct"/>
            <w:shd w:val="clear" w:color="auto" w:fill="auto"/>
            <w:vAlign w:val="center"/>
          </w:tcPr>
          <w:p w14:paraId="320C8554" w14:textId="77777777" w:rsidR="007A7495" w:rsidRPr="001159D0" w:rsidRDefault="007A7495" w:rsidP="00A96C12">
            <w:pPr>
              <w:pStyle w:val="Tabletext"/>
              <w:keepNext w:val="0"/>
              <w:spacing w:before="0" w:after="0"/>
              <w:jc w:val="center"/>
            </w:pPr>
            <w:r w:rsidRPr="001159D0">
              <w:t>High</w:t>
            </w:r>
          </w:p>
        </w:tc>
        <w:tc>
          <w:tcPr>
            <w:tcW w:w="1273" w:type="pct"/>
            <w:shd w:val="clear" w:color="auto" w:fill="auto"/>
            <w:vAlign w:val="center"/>
          </w:tcPr>
          <w:p w14:paraId="60AD6F37" w14:textId="67A73375" w:rsidR="007A7495" w:rsidRPr="001159D0" w:rsidRDefault="007A7495" w:rsidP="00A96C12">
            <w:pPr>
              <w:pStyle w:val="Tabletext"/>
              <w:keepNext w:val="0"/>
              <w:spacing w:before="0" w:after="0"/>
              <w:jc w:val="center"/>
            </w:pPr>
            <w:r w:rsidRPr="001159D0">
              <w:t>Adults 30-80 years,</w:t>
            </w:r>
            <w:r w:rsidR="005B2B74" w:rsidRPr="001159D0">
              <w:t xml:space="preserve"> </w:t>
            </w:r>
            <w:r w:rsidRPr="001159D0">
              <w:t>CKD Stage 3-4,</w:t>
            </w:r>
            <w:r w:rsidR="005B2B74" w:rsidRPr="001159D0">
              <w:t xml:space="preserve"> </w:t>
            </w:r>
            <w:r w:rsidRPr="001159D0">
              <w:t>K+ 5.0 to &lt; 6.0</w:t>
            </w:r>
            <w:r w:rsidR="000C73DA" w:rsidRPr="001159D0">
              <w:t> mmol</w:t>
            </w:r>
            <w:r w:rsidRPr="001159D0">
              <w:t>/L,</w:t>
            </w:r>
          </w:p>
          <w:p w14:paraId="594D35B7" w14:textId="72CE5F76" w:rsidR="007A7495" w:rsidRPr="001159D0" w:rsidRDefault="007A7495" w:rsidP="005B2B74">
            <w:pPr>
              <w:pStyle w:val="Tabletext"/>
              <w:keepNext w:val="0"/>
              <w:spacing w:before="0" w:after="0"/>
              <w:jc w:val="center"/>
            </w:pPr>
            <w:r w:rsidRPr="001159D0">
              <w:t>T2D diagnosed at 30+ years on pharmacological intervention, hypertension,</w:t>
            </w:r>
            <w:r w:rsidR="005B2B74" w:rsidRPr="001159D0">
              <w:t xml:space="preserve"> </w:t>
            </w:r>
            <w:r w:rsidRPr="001159D0">
              <w:t>≥ 1 RAASi.</w:t>
            </w:r>
          </w:p>
        </w:tc>
        <w:tc>
          <w:tcPr>
            <w:tcW w:w="897" w:type="pct"/>
            <w:shd w:val="clear" w:color="auto" w:fill="auto"/>
            <w:vAlign w:val="center"/>
          </w:tcPr>
          <w:p w14:paraId="02129B1B" w14:textId="581D344F" w:rsidR="007A7495" w:rsidRPr="001159D0" w:rsidRDefault="006416D1" w:rsidP="00A96C12">
            <w:pPr>
              <w:pStyle w:val="Tabletext"/>
              <w:keepNext w:val="0"/>
              <w:spacing w:before="0" w:after="0"/>
              <w:jc w:val="center"/>
            </w:pPr>
            <w:r w:rsidRPr="001159D0">
              <w:t>C</w:t>
            </w:r>
            <w:r w:rsidR="007A7495" w:rsidRPr="001159D0">
              <w:t>hange in K+</w:t>
            </w:r>
            <w:r w:rsidRPr="001159D0">
              <w:t>,</w:t>
            </w:r>
          </w:p>
          <w:p w14:paraId="1ED50452" w14:textId="410C2E0C" w:rsidR="007A7495" w:rsidRPr="001159D0" w:rsidRDefault="007A7495" w:rsidP="00A96C12">
            <w:pPr>
              <w:pStyle w:val="Tabletext"/>
              <w:keepNext w:val="0"/>
              <w:spacing w:before="0" w:after="0"/>
              <w:jc w:val="center"/>
            </w:pPr>
            <w:r w:rsidRPr="001159D0">
              <w:t>patient</w:t>
            </w:r>
            <w:r w:rsidR="006416D1" w:rsidRPr="001159D0">
              <w:t>s</w:t>
            </w:r>
            <w:r w:rsidRPr="001159D0">
              <w:t xml:space="preserve"> achieving K+ thresholds, safety.</w:t>
            </w:r>
          </w:p>
        </w:tc>
        <w:tc>
          <w:tcPr>
            <w:tcW w:w="791" w:type="pct"/>
            <w:shd w:val="clear" w:color="auto" w:fill="auto"/>
            <w:vAlign w:val="center"/>
          </w:tcPr>
          <w:p w14:paraId="6D138964" w14:textId="77777777" w:rsidR="007A7495" w:rsidRPr="001159D0" w:rsidRDefault="007A7495" w:rsidP="00A96C12">
            <w:pPr>
              <w:pStyle w:val="Tabletext"/>
              <w:keepNext w:val="0"/>
              <w:spacing w:before="0" w:after="0"/>
              <w:jc w:val="center"/>
            </w:pPr>
            <w:r w:rsidRPr="001159D0">
              <w:t>Not used.</w:t>
            </w:r>
          </w:p>
        </w:tc>
      </w:tr>
      <w:tr w:rsidR="007A7495" w:rsidRPr="001159D0" w14:paraId="61042A7B" w14:textId="77777777" w:rsidTr="00A96C12">
        <w:trPr>
          <w:cantSplit/>
        </w:trPr>
        <w:tc>
          <w:tcPr>
            <w:tcW w:w="5000" w:type="pct"/>
            <w:gridSpan w:val="7"/>
            <w:tcBorders>
              <w:bottom w:val="single" w:sz="4" w:space="0" w:color="auto"/>
            </w:tcBorders>
            <w:shd w:val="clear" w:color="auto" w:fill="auto"/>
            <w:vAlign w:val="center"/>
          </w:tcPr>
          <w:p w14:paraId="401782DD" w14:textId="0316BFCB" w:rsidR="007A7495" w:rsidRPr="001159D0" w:rsidRDefault="007A7495" w:rsidP="00A96C12">
            <w:pPr>
              <w:pStyle w:val="Tabletext"/>
              <w:keepNext w:val="0"/>
              <w:spacing w:before="0" w:after="0"/>
              <w:rPr>
                <w:b/>
              </w:rPr>
            </w:pPr>
            <w:r w:rsidRPr="001159D0">
              <w:rPr>
                <w:b/>
              </w:rPr>
              <w:t>Long-term observational studies (patiromer, SPS/CPS resins)</w:t>
            </w:r>
          </w:p>
        </w:tc>
      </w:tr>
      <w:tr w:rsidR="00B63238" w:rsidRPr="001159D0" w14:paraId="2D216525" w14:textId="77777777" w:rsidTr="006B71ED">
        <w:trPr>
          <w:cantSplit/>
        </w:trPr>
        <w:tc>
          <w:tcPr>
            <w:tcW w:w="855" w:type="pct"/>
            <w:shd w:val="clear" w:color="auto" w:fill="auto"/>
          </w:tcPr>
          <w:p w14:paraId="77DE947C" w14:textId="77777777" w:rsidR="007A7495" w:rsidRPr="001159D0" w:rsidRDefault="007A7495" w:rsidP="00A96C12">
            <w:pPr>
              <w:pStyle w:val="Tabletext"/>
              <w:keepNext w:val="0"/>
              <w:spacing w:before="0" w:after="0"/>
            </w:pPr>
            <w:r w:rsidRPr="001159D0">
              <w:t>German CKDopps</w:t>
            </w:r>
          </w:p>
        </w:tc>
        <w:tc>
          <w:tcPr>
            <w:tcW w:w="259" w:type="pct"/>
            <w:shd w:val="clear" w:color="auto" w:fill="auto"/>
            <w:vAlign w:val="center"/>
          </w:tcPr>
          <w:p w14:paraId="30F35727" w14:textId="77777777" w:rsidR="007A7495" w:rsidRPr="001159D0" w:rsidRDefault="007A7495" w:rsidP="00A96C12">
            <w:pPr>
              <w:pStyle w:val="Tabletext"/>
              <w:keepNext w:val="0"/>
              <w:spacing w:before="0" w:after="0"/>
              <w:jc w:val="center"/>
              <w:rPr>
                <w:vertAlign w:val="superscript"/>
              </w:rPr>
            </w:pPr>
            <w:r w:rsidRPr="001159D0">
              <w:t>101</w:t>
            </w:r>
            <w:r w:rsidRPr="001159D0">
              <w:rPr>
                <w:vertAlign w:val="superscript"/>
              </w:rPr>
              <w:t>d</w:t>
            </w:r>
          </w:p>
        </w:tc>
        <w:tc>
          <w:tcPr>
            <w:tcW w:w="637" w:type="pct"/>
            <w:shd w:val="clear" w:color="auto" w:fill="auto"/>
            <w:vAlign w:val="center"/>
          </w:tcPr>
          <w:p w14:paraId="0263419F" w14:textId="13FC052D" w:rsidR="007A7495" w:rsidRPr="001159D0" w:rsidRDefault="00C947B3" w:rsidP="00A96C12">
            <w:pPr>
              <w:pStyle w:val="Tabletext"/>
              <w:keepNext w:val="0"/>
              <w:spacing w:before="0" w:after="0"/>
              <w:jc w:val="center"/>
            </w:pPr>
            <w:r w:rsidRPr="001159D0">
              <w:t>Prospective</w:t>
            </w:r>
            <w:r w:rsidR="007A7495" w:rsidRPr="001159D0">
              <w:t xml:space="preserve"> </w:t>
            </w:r>
            <w:r w:rsidR="00E70E85" w:rsidRPr="001159D0">
              <w:t>o</w:t>
            </w:r>
            <w:r w:rsidR="007A7495" w:rsidRPr="001159D0">
              <w:t>bservational,</w:t>
            </w:r>
          </w:p>
          <w:p w14:paraId="34D92B0F" w14:textId="77777777" w:rsidR="007A7495" w:rsidRPr="001159D0" w:rsidRDefault="007A7495" w:rsidP="00A96C12">
            <w:pPr>
              <w:pStyle w:val="Tabletext"/>
              <w:keepNext w:val="0"/>
              <w:spacing w:before="0" w:after="0"/>
              <w:jc w:val="center"/>
            </w:pPr>
            <w:r w:rsidRPr="001159D0">
              <w:t>2.6 years</w:t>
            </w:r>
          </w:p>
          <w:p w14:paraId="0A559E12" w14:textId="77777777" w:rsidR="007A7495" w:rsidRPr="001159D0" w:rsidRDefault="007A7495" w:rsidP="00A96C12">
            <w:pPr>
              <w:pStyle w:val="Tabletext"/>
              <w:keepNext w:val="0"/>
              <w:spacing w:before="0" w:after="0"/>
              <w:jc w:val="center"/>
            </w:pPr>
            <w:r w:rsidRPr="001159D0">
              <w:rPr>
                <w:rFonts w:eastAsiaTheme="majorEastAsia" w:cstheme="majorBidi"/>
                <w:bCs/>
              </w:rPr>
              <w:t xml:space="preserve">(Apr 2018 - </w:t>
            </w:r>
            <w:r w:rsidRPr="001159D0">
              <w:rPr>
                <w:rFonts w:eastAsiaTheme="majorEastAsia" w:cstheme="majorBidi"/>
                <w:bCs/>
              </w:rPr>
              <w:br/>
              <w:t>Oct 2020</w:t>
            </w:r>
            <w:r w:rsidRPr="001159D0">
              <w:t>)</w:t>
            </w:r>
          </w:p>
        </w:tc>
        <w:tc>
          <w:tcPr>
            <w:tcW w:w="288" w:type="pct"/>
            <w:shd w:val="clear" w:color="auto" w:fill="auto"/>
            <w:vAlign w:val="center"/>
          </w:tcPr>
          <w:p w14:paraId="119DC4D3" w14:textId="77777777" w:rsidR="007A7495" w:rsidRPr="001159D0" w:rsidRDefault="007A7495" w:rsidP="00A96C12">
            <w:pPr>
              <w:pStyle w:val="Tabletext"/>
              <w:keepNext w:val="0"/>
              <w:spacing w:before="0" w:after="0"/>
              <w:jc w:val="center"/>
            </w:pPr>
            <w:r w:rsidRPr="001159D0">
              <w:t>High</w:t>
            </w:r>
          </w:p>
        </w:tc>
        <w:tc>
          <w:tcPr>
            <w:tcW w:w="1273" w:type="pct"/>
            <w:shd w:val="clear" w:color="auto" w:fill="auto"/>
            <w:vAlign w:val="center"/>
          </w:tcPr>
          <w:p w14:paraId="656F9669" w14:textId="68CE8E35" w:rsidR="007A7495" w:rsidRPr="001159D0" w:rsidRDefault="007A7495" w:rsidP="00DC0305">
            <w:pPr>
              <w:pStyle w:val="Tabletext"/>
              <w:keepNext w:val="0"/>
              <w:spacing w:before="0" w:after="0"/>
              <w:jc w:val="center"/>
              <w:rPr>
                <w:rFonts w:eastAsiaTheme="majorEastAsia" w:cstheme="majorBidi"/>
                <w:bCs/>
              </w:rPr>
            </w:pPr>
            <w:r w:rsidRPr="001159D0">
              <w:rPr>
                <w:rFonts w:eastAsiaTheme="majorEastAsia" w:cstheme="majorBidi"/>
                <w:bCs/>
              </w:rPr>
              <w:t>Adult German CKDopps participants,</w:t>
            </w:r>
            <w:r w:rsidR="00DC0305" w:rsidRPr="001159D0">
              <w:rPr>
                <w:rFonts w:eastAsiaTheme="majorEastAsia" w:cstheme="majorBidi"/>
                <w:bCs/>
              </w:rPr>
              <w:t xml:space="preserve"> </w:t>
            </w:r>
            <w:r w:rsidR="00364FFE" w:rsidRPr="001159D0">
              <w:rPr>
                <w:rFonts w:eastAsiaTheme="majorEastAsia" w:cstheme="majorBidi"/>
                <w:bCs/>
              </w:rPr>
              <w:t>tr</w:t>
            </w:r>
            <w:r w:rsidRPr="001159D0">
              <w:rPr>
                <w:rFonts w:eastAsiaTheme="majorEastAsia" w:cstheme="majorBidi"/>
                <w:bCs/>
              </w:rPr>
              <w:t>eated with patiromer</w:t>
            </w:r>
            <w:r w:rsidR="00DC0305" w:rsidRPr="001159D0">
              <w:rPr>
                <w:rFonts w:eastAsiaTheme="majorEastAsia" w:cstheme="majorBidi"/>
                <w:bCs/>
              </w:rPr>
              <w:t xml:space="preserve"> </w:t>
            </w:r>
            <w:r w:rsidRPr="001159D0">
              <w:rPr>
                <w:rFonts w:eastAsiaTheme="majorEastAsia" w:cstheme="majorBidi"/>
                <w:bCs/>
              </w:rPr>
              <w:t>or SPS/CPS resins,</w:t>
            </w:r>
            <w:r w:rsidR="00DC0305" w:rsidRPr="001159D0">
              <w:rPr>
                <w:rFonts w:eastAsiaTheme="majorEastAsia" w:cstheme="majorBidi"/>
                <w:bCs/>
              </w:rPr>
              <w:t xml:space="preserve"> </w:t>
            </w:r>
            <w:r w:rsidRPr="001159D0">
              <w:rPr>
                <w:rFonts w:eastAsiaTheme="majorEastAsia" w:cstheme="majorBidi"/>
                <w:bCs/>
              </w:rPr>
              <w:t>CKD Stage 3-5,</w:t>
            </w:r>
            <w:r w:rsidR="00DC0305" w:rsidRPr="001159D0">
              <w:rPr>
                <w:rFonts w:eastAsiaTheme="majorEastAsia" w:cstheme="majorBidi"/>
                <w:bCs/>
              </w:rPr>
              <w:t xml:space="preserve"> </w:t>
            </w:r>
            <w:r w:rsidR="00364FFE" w:rsidRPr="001159D0">
              <w:rPr>
                <w:rFonts w:eastAsiaTheme="majorEastAsia" w:cstheme="majorBidi"/>
                <w:bCs/>
              </w:rPr>
              <w:t>d</w:t>
            </w:r>
            <w:r w:rsidRPr="001159D0">
              <w:rPr>
                <w:rFonts w:eastAsiaTheme="majorEastAsia" w:cstheme="majorBidi"/>
                <w:bCs/>
              </w:rPr>
              <w:t>ialysis excluded.</w:t>
            </w:r>
          </w:p>
        </w:tc>
        <w:tc>
          <w:tcPr>
            <w:tcW w:w="897" w:type="pct"/>
            <w:shd w:val="clear" w:color="auto" w:fill="auto"/>
            <w:vAlign w:val="center"/>
          </w:tcPr>
          <w:p w14:paraId="0497247D" w14:textId="1EBDAB9F" w:rsidR="007A7495" w:rsidRPr="001159D0" w:rsidRDefault="007A7495" w:rsidP="006E35D6">
            <w:pPr>
              <w:pStyle w:val="Tabletext"/>
              <w:keepNext w:val="0"/>
              <w:spacing w:before="0" w:after="0"/>
              <w:jc w:val="center"/>
            </w:pPr>
            <w:r w:rsidRPr="001159D0">
              <w:t>Duration of treatment, RAASi continuation.</w:t>
            </w:r>
          </w:p>
        </w:tc>
        <w:tc>
          <w:tcPr>
            <w:tcW w:w="791" w:type="pct"/>
            <w:shd w:val="clear" w:color="auto" w:fill="auto"/>
            <w:vAlign w:val="center"/>
          </w:tcPr>
          <w:p w14:paraId="355F8941" w14:textId="77777777" w:rsidR="007A7495" w:rsidRPr="001159D0" w:rsidRDefault="007A7495" w:rsidP="00A96C12">
            <w:pPr>
              <w:pStyle w:val="Tabletext"/>
              <w:keepNext w:val="0"/>
              <w:spacing w:before="0" w:after="0"/>
              <w:jc w:val="center"/>
            </w:pPr>
            <w:r w:rsidRPr="001159D0">
              <w:t>Not used.</w:t>
            </w:r>
          </w:p>
        </w:tc>
      </w:tr>
      <w:tr w:rsidR="00B63238" w:rsidRPr="001159D0" w14:paraId="796B1279" w14:textId="77777777" w:rsidTr="006B71ED">
        <w:trPr>
          <w:cantSplit/>
        </w:trPr>
        <w:tc>
          <w:tcPr>
            <w:tcW w:w="855" w:type="pct"/>
            <w:shd w:val="clear" w:color="auto" w:fill="auto"/>
          </w:tcPr>
          <w:p w14:paraId="753210CF" w14:textId="77777777" w:rsidR="007A7495" w:rsidRPr="001159D0" w:rsidRDefault="007A7495" w:rsidP="00A96C12">
            <w:pPr>
              <w:pStyle w:val="Tabletext"/>
              <w:keepNext w:val="0"/>
              <w:spacing w:before="0" w:after="0"/>
            </w:pPr>
            <w:r w:rsidRPr="001159D0">
              <w:t>US Cohort Study</w:t>
            </w:r>
          </w:p>
        </w:tc>
        <w:tc>
          <w:tcPr>
            <w:tcW w:w="259" w:type="pct"/>
            <w:shd w:val="clear" w:color="auto" w:fill="auto"/>
            <w:vAlign w:val="center"/>
          </w:tcPr>
          <w:p w14:paraId="1CBBC345" w14:textId="77777777" w:rsidR="007A7495" w:rsidRPr="001159D0" w:rsidRDefault="007A7495" w:rsidP="00A96C12">
            <w:pPr>
              <w:pStyle w:val="Tabletext"/>
              <w:keepNext w:val="0"/>
              <w:spacing w:before="0" w:after="0"/>
              <w:jc w:val="center"/>
              <w:rPr>
                <w:vertAlign w:val="superscript"/>
              </w:rPr>
            </w:pPr>
            <w:r w:rsidRPr="001159D0">
              <w:t>610</w:t>
            </w:r>
            <w:r w:rsidRPr="001159D0">
              <w:rPr>
                <w:vertAlign w:val="superscript"/>
              </w:rPr>
              <w:t>d</w:t>
            </w:r>
          </w:p>
        </w:tc>
        <w:tc>
          <w:tcPr>
            <w:tcW w:w="637" w:type="pct"/>
            <w:shd w:val="clear" w:color="auto" w:fill="auto"/>
            <w:vAlign w:val="center"/>
          </w:tcPr>
          <w:p w14:paraId="6A3F0176" w14:textId="52734937" w:rsidR="007A7495" w:rsidRPr="001159D0" w:rsidRDefault="007A7495" w:rsidP="00A96C12">
            <w:pPr>
              <w:pStyle w:val="Tabletext"/>
              <w:keepNext w:val="0"/>
              <w:spacing w:before="0" w:after="0"/>
              <w:jc w:val="center"/>
            </w:pPr>
            <w:r w:rsidRPr="001159D0">
              <w:t xml:space="preserve">Retrospective </w:t>
            </w:r>
            <w:r w:rsidR="00E70E85" w:rsidRPr="001159D0">
              <w:t>o</w:t>
            </w:r>
            <w:r w:rsidRPr="001159D0">
              <w:t>bservational,</w:t>
            </w:r>
          </w:p>
          <w:p w14:paraId="5F2C76B1" w14:textId="77777777" w:rsidR="00C520BE" w:rsidRPr="001159D0" w:rsidRDefault="007A7495" w:rsidP="00E70E85">
            <w:pPr>
              <w:pStyle w:val="Tabletext"/>
              <w:keepNext w:val="0"/>
              <w:spacing w:before="0" w:after="0"/>
              <w:jc w:val="center"/>
            </w:pPr>
            <w:r w:rsidRPr="001159D0">
              <w:t>2 years</w:t>
            </w:r>
          </w:p>
          <w:p w14:paraId="6C9D4396" w14:textId="17430C01" w:rsidR="00C520BE" w:rsidRPr="001159D0" w:rsidRDefault="007A7495" w:rsidP="00E70E85">
            <w:pPr>
              <w:pStyle w:val="Tabletext"/>
              <w:keepNext w:val="0"/>
              <w:spacing w:before="0" w:after="0"/>
              <w:jc w:val="center"/>
              <w:rPr>
                <w:rFonts w:eastAsiaTheme="majorEastAsia" w:cstheme="majorBidi"/>
                <w:bCs/>
              </w:rPr>
            </w:pPr>
            <w:r w:rsidRPr="001159D0">
              <w:t>(</w:t>
            </w:r>
            <w:r w:rsidRPr="001159D0">
              <w:rPr>
                <w:rFonts w:eastAsiaTheme="majorEastAsia" w:cstheme="majorBidi"/>
                <w:bCs/>
              </w:rPr>
              <w:t xml:space="preserve">Jan 2016 </w:t>
            </w:r>
            <w:r w:rsidR="00C520BE" w:rsidRPr="001159D0">
              <w:rPr>
                <w:rFonts w:eastAsiaTheme="majorEastAsia" w:cstheme="majorBidi"/>
                <w:bCs/>
              </w:rPr>
              <w:t>–</w:t>
            </w:r>
            <w:r w:rsidRPr="001159D0">
              <w:rPr>
                <w:rFonts w:eastAsiaTheme="majorEastAsia" w:cstheme="majorBidi"/>
                <w:bCs/>
              </w:rPr>
              <w:t xml:space="preserve"> </w:t>
            </w:r>
          </w:p>
          <w:p w14:paraId="2C98776F" w14:textId="47D25F42" w:rsidR="007A7495" w:rsidRPr="001159D0" w:rsidRDefault="007A7495" w:rsidP="00E70E85">
            <w:pPr>
              <w:pStyle w:val="Tabletext"/>
              <w:keepNext w:val="0"/>
              <w:spacing w:before="0" w:after="0"/>
              <w:jc w:val="center"/>
            </w:pPr>
            <w:r w:rsidRPr="001159D0">
              <w:rPr>
                <w:rFonts w:eastAsiaTheme="majorEastAsia" w:cstheme="majorBidi"/>
                <w:bCs/>
              </w:rPr>
              <w:t>Dec 2017</w:t>
            </w:r>
            <w:r w:rsidRPr="001159D0">
              <w:t>)</w:t>
            </w:r>
          </w:p>
        </w:tc>
        <w:tc>
          <w:tcPr>
            <w:tcW w:w="288" w:type="pct"/>
            <w:shd w:val="clear" w:color="auto" w:fill="auto"/>
            <w:vAlign w:val="center"/>
          </w:tcPr>
          <w:p w14:paraId="702AB1B1" w14:textId="77777777" w:rsidR="007A7495" w:rsidRPr="001159D0" w:rsidRDefault="007A7495" w:rsidP="00A96C12">
            <w:pPr>
              <w:pStyle w:val="Tabletext"/>
              <w:keepNext w:val="0"/>
              <w:spacing w:before="0" w:after="0"/>
              <w:jc w:val="center"/>
            </w:pPr>
            <w:r w:rsidRPr="001159D0">
              <w:t>High</w:t>
            </w:r>
          </w:p>
        </w:tc>
        <w:tc>
          <w:tcPr>
            <w:tcW w:w="1273" w:type="pct"/>
            <w:shd w:val="clear" w:color="auto" w:fill="auto"/>
            <w:vAlign w:val="center"/>
          </w:tcPr>
          <w:p w14:paraId="64F9A07D" w14:textId="70185BBE" w:rsidR="007A7495" w:rsidRPr="001159D0" w:rsidRDefault="007A7495" w:rsidP="00A96C12">
            <w:pPr>
              <w:pStyle w:val="Tabletext"/>
              <w:keepNext w:val="0"/>
              <w:spacing w:before="0" w:after="0"/>
              <w:jc w:val="center"/>
            </w:pPr>
            <w:r w:rsidRPr="001159D0">
              <w:t>US insured adults,</w:t>
            </w:r>
            <w:r w:rsidR="00DC0305" w:rsidRPr="001159D0">
              <w:t xml:space="preserve"> </w:t>
            </w:r>
            <w:r w:rsidRPr="001159D0">
              <w:t>≥1 episode of hyperkalaemia (K+ ≥5.0</w:t>
            </w:r>
            <w:r w:rsidR="000C73DA" w:rsidRPr="001159D0">
              <w:t> mmol</w:t>
            </w:r>
            <w:r w:rsidRPr="001159D0">
              <w:t>/L)</w:t>
            </w:r>
          </w:p>
          <w:p w14:paraId="1A199AEC" w14:textId="17BF9088" w:rsidR="007A7495" w:rsidRPr="001159D0" w:rsidRDefault="007A7495" w:rsidP="00DC0305">
            <w:pPr>
              <w:pStyle w:val="Tabletext"/>
              <w:keepNext w:val="0"/>
              <w:spacing w:before="0" w:after="0"/>
              <w:jc w:val="center"/>
            </w:pPr>
            <w:r w:rsidRPr="001159D0">
              <w:rPr>
                <w:rFonts w:eastAsiaTheme="majorEastAsia" w:cstheme="majorBidi"/>
                <w:bCs/>
              </w:rPr>
              <w:t>in prior 3 months,</w:t>
            </w:r>
            <w:r w:rsidR="00DC0305" w:rsidRPr="001159D0">
              <w:rPr>
                <w:rFonts w:eastAsiaTheme="majorEastAsia" w:cstheme="majorBidi"/>
                <w:bCs/>
              </w:rPr>
              <w:t xml:space="preserve"> t</w:t>
            </w:r>
            <w:r w:rsidRPr="001159D0">
              <w:rPr>
                <w:rFonts w:eastAsiaTheme="majorEastAsia" w:cstheme="majorBidi"/>
                <w:bCs/>
              </w:rPr>
              <w:t>reated with patiromer or SPS.</w:t>
            </w:r>
          </w:p>
        </w:tc>
        <w:tc>
          <w:tcPr>
            <w:tcW w:w="897" w:type="pct"/>
            <w:shd w:val="clear" w:color="auto" w:fill="auto"/>
            <w:vAlign w:val="center"/>
          </w:tcPr>
          <w:p w14:paraId="6BE51D5E" w14:textId="11FF5942" w:rsidR="007A7495" w:rsidRPr="001159D0" w:rsidRDefault="007A7495" w:rsidP="00B63238">
            <w:pPr>
              <w:pStyle w:val="Tabletext"/>
              <w:keepNext w:val="0"/>
              <w:spacing w:before="0" w:after="0"/>
              <w:jc w:val="center"/>
            </w:pPr>
            <w:r w:rsidRPr="001159D0">
              <w:t>Treatment</w:t>
            </w:r>
            <w:r w:rsidR="00B63238" w:rsidRPr="001159D0">
              <w:t xml:space="preserve"> </w:t>
            </w:r>
            <w:r w:rsidR="006E35D6" w:rsidRPr="001159D0">
              <w:t>discontinuation</w:t>
            </w:r>
            <w:r w:rsidRPr="001159D0">
              <w:t>,</w:t>
            </w:r>
            <w:r w:rsidR="00B63238" w:rsidRPr="001159D0">
              <w:t xml:space="preserve"> </w:t>
            </w:r>
            <w:r w:rsidRPr="001159D0">
              <w:t xml:space="preserve">RAASi continuation, </w:t>
            </w:r>
            <w:r w:rsidR="007E0018" w:rsidRPr="001159D0">
              <w:t>h</w:t>
            </w:r>
            <w:r w:rsidRPr="001159D0">
              <w:t>ealth resource utilisation.</w:t>
            </w:r>
          </w:p>
        </w:tc>
        <w:tc>
          <w:tcPr>
            <w:tcW w:w="791" w:type="pct"/>
            <w:shd w:val="clear" w:color="auto" w:fill="auto"/>
            <w:vAlign w:val="center"/>
          </w:tcPr>
          <w:p w14:paraId="4FA49EC0" w14:textId="77777777" w:rsidR="007A7495" w:rsidRPr="001159D0" w:rsidRDefault="007A7495" w:rsidP="00A96C12">
            <w:pPr>
              <w:pStyle w:val="Tabletext"/>
              <w:keepNext w:val="0"/>
              <w:spacing w:before="0" w:after="0"/>
              <w:jc w:val="center"/>
            </w:pPr>
            <w:r w:rsidRPr="001159D0">
              <w:t>Not used.</w:t>
            </w:r>
          </w:p>
        </w:tc>
      </w:tr>
      <w:tr w:rsidR="00B63238" w:rsidRPr="001159D0" w14:paraId="616EAB60" w14:textId="77777777" w:rsidTr="006B71ED">
        <w:trPr>
          <w:cantSplit/>
        </w:trPr>
        <w:tc>
          <w:tcPr>
            <w:tcW w:w="855" w:type="pct"/>
            <w:shd w:val="clear" w:color="auto" w:fill="auto"/>
          </w:tcPr>
          <w:p w14:paraId="1BB0AD49" w14:textId="77777777" w:rsidR="007A7495" w:rsidRPr="001159D0" w:rsidRDefault="007A7495" w:rsidP="00A96C12">
            <w:pPr>
              <w:pStyle w:val="Tabletext"/>
              <w:keepNext w:val="0"/>
              <w:spacing w:before="0" w:after="0"/>
            </w:pPr>
            <w:r w:rsidRPr="001159D0">
              <w:t>US Veterans Cohort Study</w:t>
            </w:r>
          </w:p>
        </w:tc>
        <w:tc>
          <w:tcPr>
            <w:tcW w:w="259" w:type="pct"/>
            <w:shd w:val="clear" w:color="auto" w:fill="auto"/>
            <w:vAlign w:val="center"/>
          </w:tcPr>
          <w:p w14:paraId="63F490C6" w14:textId="77777777" w:rsidR="007A7495" w:rsidRPr="001159D0" w:rsidRDefault="007A7495" w:rsidP="00A96C12">
            <w:pPr>
              <w:pStyle w:val="Tabletext"/>
              <w:keepNext w:val="0"/>
              <w:spacing w:before="0" w:after="0"/>
              <w:jc w:val="center"/>
              <w:rPr>
                <w:vertAlign w:val="superscript"/>
              </w:rPr>
            </w:pPr>
            <w:r w:rsidRPr="001159D0">
              <w:t>288</w:t>
            </w:r>
            <w:r w:rsidRPr="001159D0">
              <w:rPr>
                <w:vertAlign w:val="superscript"/>
              </w:rPr>
              <w:t>d</w:t>
            </w:r>
          </w:p>
        </w:tc>
        <w:tc>
          <w:tcPr>
            <w:tcW w:w="637" w:type="pct"/>
            <w:shd w:val="clear" w:color="auto" w:fill="auto"/>
            <w:vAlign w:val="center"/>
          </w:tcPr>
          <w:p w14:paraId="3862F22B" w14:textId="0FEFDAE0" w:rsidR="007A7495" w:rsidRPr="001159D0" w:rsidRDefault="007A7495" w:rsidP="00A96C12">
            <w:pPr>
              <w:pStyle w:val="Tabletext"/>
              <w:keepNext w:val="0"/>
              <w:spacing w:before="0" w:after="0"/>
              <w:jc w:val="center"/>
            </w:pPr>
            <w:r w:rsidRPr="001159D0">
              <w:t xml:space="preserve">Retrospective </w:t>
            </w:r>
            <w:r w:rsidR="00C520BE" w:rsidRPr="001159D0">
              <w:t>o</w:t>
            </w:r>
            <w:r w:rsidRPr="001159D0">
              <w:t>bservational,</w:t>
            </w:r>
          </w:p>
          <w:p w14:paraId="46F12739" w14:textId="77777777" w:rsidR="007A7495" w:rsidRPr="001159D0" w:rsidRDefault="007A7495" w:rsidP="00A96C12">
            <w:pPr>
              <w:pStyle w:val="Tabletext"/>
              <w:keepNext w:val="0"/>
              <w:spacing w:before="0" w:after="0"/>
              <w:jc w:val="center"/>
            </w:pPr>
            <w:r w:rsidRPr="001159D0">
              <w:t>2.75 years</w:t>
            </w:r>
          </w:p>
          <w:p w14:paraId="2C7A9A1D" w14:textId="77777777" w:rsidR="007A7495" w:rsidRPr="001159D0" w:rsidRDefault="007A7495" w:rsidP="00A96C12">
            <w:pPr>
              <w:pStyle w:val="Tabletext"/>
              <w:keepNext w:val="0"/>
              <w:spacing w:before="0" w:after="0"/>
              <w:jc w:val="center"/>
            </w:pPr>
            <w:r w:rsidRPr="001159D0">
              <w:t>(</w:t>
            </w:r>
            <w:r w:rsidRPr="001159D0">
              <w:rPr>
                <w:rFonts w:eastAsiaTheme="majorEastAsia" w:cstheme="majorBidi"/>
                <w:bCs/>
              </w:rPr>
              <w:t xml:space="preserve">Jan 2016 - </w:t>
            </w:r>
            <w:r w:rsidRPr="001159D0">
              <w:rPr>
                <w:rFonts w:eastAsiaTheme="majorEastAsia" w:cstheme="majorBidi"/>
                <w:bCs/>
              </w:rPr>
              <w:br/>
              <w:t>Aug 2018</w:t>
            </w:r>
            <w:r w:rsidRPr="001159D0">
              <w:t>)</w:t>
            </w:r>
          </w:p>
        </w:tc>
        <w:tc>
          <w:tcPr>
            <w:tcW w:w="288" w:type="pct"/>
            <w:shd w:val="clear" w:color="auto" w:fill="auto"/>
            <w:vAlign w:val="center"/>
          </w:tcPr>
          <w:p w14:paraId="76770D4B" w14:textId="77777777" w:rsidR="007A7495" w:rsidRPr="001159D0" w:rsidRDefault="007A7495" w:rsidP="00A96C12">
            <w:pPr>
              <w:pStyle w:val="Tabletext"/>
              <w:keepNext w:val="0"/>
              <w:spacing w:before="0" w:after="0"/>
              <w:jc w:val="center"/>
            </w:pPr>
            <w:r w:rsidRPr="001159D0">
              <w:t>High</w:t>
            </w:r>
          </w:p>
        </w:tc>
        <w:tc>
          <w:tcPr>
            <w:tcW w:w="1273" w:type="pct"/>
            <w:shd w:val="clear" w:color="auto" w:fill="auto"/>
            <w:vAlign w:val="center"/>
          </w:tcPr>
          <w:p w14:paraId="26239614" w14:textId="2F60E1CC" w:rsidR="007A7495" w:rsidRPr="001159D0" w:rsidRDefault="007A7495" w:rsidP="00A96C12">
            <w:pPr>
              <w:pStyle w:val="Tabletext"/>
              <w:keepNext w:val="0"/>
              <w:spacing w:before="0" w:after="0"/>
              <w:jc w:val="center"/>
            </w:pPr>
            <w:r w:rsidRPr="001159D0">
              <w:rPr>
                <w:rFonts w:eastAsiaTheme="majorEastAsia" w:cstheme="majorBidi"/>
                <w:bCs/>
              </w:rPr>
              <w:t>Adult US veterans,</w:t>
            </w:r>
            <w:r w:rsidR="00E8048D" w:rsidRPr="001159D0">
              <w:rPr>
                <w:rFonts w:eastAsiaTheme="majorEastAsia" w:cstheme="majorBidi"/>
                <w:bCs/>
              </w:rPr>
              <w:t xml:space="preserve"> </w:t>
            </w:r>
            <w:r w:rsidRPr="001159D0">
              <w:rPr>
                <w:rFonts w:eastAsiaTheme="majorEastAsia" w:cstheme="majorBidi"/>
                <w:bCs/>
              </w:rPr>
              <w:t>K+ ≥</w:t>
            </w:r>
            <w:r w:rsidR="005B1D21" w:rsidRPr="001159D0">
              <w:rPr>
                <w:rFonts w:eastAsiaTheme="majorEastAsia" w:cstheme="majorBidi"/>
                <w:bCs/>
              </w:rPr>
              <w:t> </w:t>
            </w:r>
            <w:r w:rsidRPr="001159D0">
              <w:rPr>
                <w:rFonts w:eastAsiaTheme="majorEastAsia" w:cstheme="majorBidi"/>
                <w:bCs/>
              </w:rPr>
              <w:t>5.1</w:t>
            </w:r>
            <w:r w:rsidR="000C73DA" w:rsidRPr="001159D0">
              <w:rPr>
                <w:rFonts w:eastAsiaTheme="majorEastAsia" w:cstheme="majorBidi"/>
                <w:bCs/>
              </w:rPr>
              <w:t> mmol</w:t>
            </w:r>
            <w:r w:rsidRPr="001159D0">
              <w:rPr>
                <w:rFonts w:eastAsiaTheme="majorEastAsia" w:cstheme="majorBidi"/>
                <w:bCs/>
              </w:rPr>
              <w:t>/L</w:t>
            </w:r>
            <w:r w:rsidRPr="001159D0">
              <w:t>,</w:t>
            </w:r>
          </w:p>
          <w:p w14:paraId="3E4132C4" w14:textId="77777777" w:rsidR="007A7495" w:rsidRPr="001159D0" w:rsidRDefault="007A7495" w:rsidP="00A96C12">
            <w:pPr>
              <w:pStyle w:val="Tabletext"/>
              <w:keepNext w:val="0"/>
              <w:spacing w:before="0" w:after="0"/>
              <w:jc w:val="center"/>
            </w:pPr>
            <w:r w:rsidRPr="001159D0">
              <w:t>Treated with patiromer or SPS,</w:t>
            </w:r>
          </w:p>
          <w:p w14:paraId="66455734" w14:textId="77777777" w:rsidR="007A7495" w:rsidRPr="001159D0" w:rsidRDefault="007A7495" w:rsidP="00A96C12">
            <w:pPr>
              <w:pStyle w:val="Tabletext"/>
              <w:keepNext w:val="0"/>
              <w:spacing w:before="0" w:after="0"/>
              <w:jc w:val="center"/>
              <w:rPr>
                <w:rFonts w:eastAsiaTheme="majorEastAsia" w:cstheme="majorBidi"/>
                <w:bCs/>
              </w:rPr>
            </w:pPr>
            <w:r w:rsidRPr="001159D0">
              <w:rPr>
                <w:rFonts w:eastAsiaTheme="majorEastAsia" w:cstheme="majorBidi"/>
                <w:bCs/>
              </w:rPr>
              <w:t>Comorbid HF, T2D, or CKD,</w:t>
            </w:r>
          </w:p>
          <w:p w14:paraId="0D2F431B" w14:textId="77777777" w:rsidR="007A7495" w:rsidRPr="001159D0" w:rsidRDefault="007A7495" w:rsidP="00A96C12">
            <w:pPr>
              <w:pStyle w:val="Tabletext"/>
              <w:keepNext w:val="0"/>
              <w:spacing w:before="0" w:after="0"/>
              <w:jc w:val="center"/>
            </w:pPr>
            <w:r w:rsidRPr="001159D0">
              <w:rPr>
                <w:rFonts w:eastAsiaTheme="majorEastAsia" w:cstheme="majorBidi"/>
                <w:bCs/>
              </w:rPr>
              <w:t>ESKD/dialysis excluded.</w:t>
            </w:r>
          </w:p>
        </w:tc>
        <w:tc>
          <w:tcPr>
            <w:tcW w:w="897" w:type="pct"/>
            <w:shd w:val="clear" w:color="auto" w:fill="auto"/>
            <w:vAlign w:val="center"/>
          </w:tcPr>
          <w:p w14:paraId="692E14C9" w14:textId="1640BB40" w:rsidR="007A7495" w:rsidRPr="001159D0" w:rsidRDefault="007A7495" w:rsidP="00A96C12">
            <w:pPr>
              <w:pStyle w:val="Tabletext"/>
              <w:keepNext w:val="0"/>
              <w:spacing w:before="0" w:after="0"/>
              <w:jc w:val="center"/>
            </w:pPr>
            <w:r w:rsidRPr="001159D0">
              <w:t xml:space="preserve">Mean change in K+ RAASi continuation, </w:t>
            </w:r>
            <w:r w:rsidR="00B63238" w:rsidRPr="001159D0">
              <w:t>tr</w:t>
            </w:r>
            <w:r w:rsidRPr="001159D0">
              <w:t>eatment duration.</w:t>
            </w:r>
          </w:p>
        </w:tc>
        <w:tc>
          <w:tcPr>
            <w:tcW w:w="791" w:type="pct"/>
            <w:shd w:val="clear" w:color="auto" w:fill="auto"/>
            <w:vAlign w:val="center"/>
          </w:tcPr>
          <w:p w14:paraId="27E042C8" w14:textId="77777777" w:rsidR="007A7495" w:rsidRPr="001159D0" w:rsidRDefault="007A7495" w:rsidP="00A96C12">
            <w:pPr>
              <w:pStyle w:val="Tabletext"/>
              <w:keepNext w:val="0"/>
              <w:spacing w:before="0" w:after="0"/>
              <w:jc w:val="center"/>
            </w:pPr>
            <w:r w:rsidRPr="001159D0">
              <w:t>Not used.</w:t>
            </w:r>
          </w:p>
        </w:tc>
      </w:tr>
      <w:tr w:rsidR="007A7495" w:rsidRPr="001159D0" w14:paraId="4AFB0BEA" w14:textId="77777777" w:rsidTr="00A96C12">
        <w:trPr>
          <w:cantSplit/>
        </w:trPr>
        <w:tc>
          <w:tcPr>
            <w:tcW w:w="5000" w:type="pct"/>
            <w:gridSpan w:val="7"/>
            <w:tcBorders>
              <w:bottom w:val="single" w:sz="4" w:space="0" w:color="auto"/>
            </w:tcBorders>
            <w:shd w:val="clear" w:color="auto" w:fill="auto"/>
            <w:vAlign w:val="center"/>
          </w:tcPr>
          <w:p w14:paraId="6DB16EF8" w14:textId="77777777" w:rsidR="007A7495" w:rsidRPr="001159D0" w:rsidRDefault="007A7495" w:rsidP="00F73CC3">
            <w:pPr>
              <w:pStyle w:val="Tabletext"/>
              <w:spacing w:before="0" w:after="0"/>
              <w:rPr>
                <w:b/>
              </w:rPr>
            </w:pPr>
            <w:r w:rsidRPr="001159D0">
              <w:rPr>
                <w:b/>
              </w:rPr>
              <w:t xml:space="preserve">SPS/CPS studies  </w:t>
            </w:r>
          </w:p>
        </w:tc>
      </w:tr>
      <w:tr w:rsidR="00B63238" w:rsidRPr="001159D0" w14:paraId="36BE1576" w14:textId="77777777" w:rsidTr="006B71ED">
        <w:trPr>
          <w:cantSplit/>
        </w:trPr>
        <w:tc>
          <w:tcPr>
            <w:tcW w:w="855" w:type="pct"/>
            <w:shd w:val="clear" w:color="auto" w:fill="auto"/>
            <w:vAlign w:val="center"/>
          </w:tcPr>
          <w:p w14:paraId="1C04F889" w14:textId="77777777" w:rsidR="007A7495" w:rsidRPr="001159D0" w:rsidRDefault="007A7495" w:rsidP="00A96C12">
            <w:pPr>
              <w:pStyle w:val="Tabletext"/>
              <w:keepNext w:val="0"/>
              <w:spacing w:before="0" w:after="0"/>
            </w:pPr>
            <w:r w:rsidRPr="001159D0">
              <w:t>Arnold 2017</w:t>
            </w:r>
          </w:p>
        </w:tc>
        <w:tc>
          <w:tcPr>
            <w:tcW w:w="259" w:type="pct"/>
            <w:shd w:val="clear" w:color="auto" w:fill="auto"/>
            <w:vAlign w:val="center"/>
          </w:tcPr>
          <w:p w14:paraId="05BF6229" w14:textId="77777777" w:rsidR="007A7495" w:rsidRPr="001159D0" w:rsidRDefault="007A7495" w:rsidP="00A96C12">
            <w:pPr>
              <w:pStyle w:val="Tabletext"/>
              <w:keepNext w:val="0"/>
              <w:spacing w:before="0" w:after="0"/>
              <w:jc w:val="center"/>
            </w:pPr>
            <w:r w:rsidRPr="001159D0">
              <w:t>47</w:t>
            </w:r>
          </w:p>
        </w:tc>
        <w:tc>
          <w:tcPr>
            <w:tcW w:w="637" w:type="pct"/>
            <w:shd w:val="clear" w:color="auto" w:fill="auto"/>
            <w:vAlign w:val="center"/>
          </w:tcPr>
          <w:p w14:paraId="1A256FD3" w14:textId="77777777" w:rsidR="007A7495" w:rsidRPr="001159D0" w:rsidRDefault="007A7495" w:rsidP="00A96C12">
            <w:pPr>
              <w:pStyle w:val="Tabletext"/>
              <w:keepNext w:val="0"/>
              <w:spacing w:before="0" w:after="0"/>
              <w:jc w:val="center"/>
            </w:pPr>
            <w:r w:rsidRPr="001159D0">
              <w:t>R, C, SB</w:t>
            </w:r>
          </w:p>
          <w:p w14:paraId="293FBC95" w14:textId="77777777" w:rsidR="007A7495" w:rsidRPr="001159D0" w:rsidRDefault="007A7495" w:rsidP="00A96C12">
            <w:pPr>
              <w:pStyle w:val="Tabletext"/>
              <w:keepNext w:val="0"/>
              <w:spacing w:before="0" w:after="0"/>
              <w:jc w:val="center"/>
            </w:pPr>
            <w:r w:rsidRPr="001159D0">
              <w:t>24 months</w:t>
            </w:r>
          </w:p>
          <w:p w14:paraId="0D326C2F" w14:textId="150DE0BF" w:rsidR="007A7495" w:rsidRPr="001159D0" w:rsidRDefault="00C520BE" w:rsidP="00A96C12">
            <w:pPr>
              <w:pStyle w:val="Tabletext"/>
              <w:keepNext w:val="0"/>
              <w:spacing w:before="0" w:after="0"/>
              <w:jc w:val="center"/>
            </w:pPr>
            <w:r w:rsidRPr="001159D0">
              <w:t>p</w:t>
            </w:r>
            <w:r w:rsidR="007A7495" w:rsidRPr="001159D0">
              <w:t>ilot study.</w:t>
            </w:r>
          </w:p>
        </w:tc>
        <w:tc>
          <w:tcPr>
            <w:tcW w:w="288" w:type="pct"/>
            <w:shd w:val="clear" w:color="auto" w:fill="auto"/>
            <w:vAlign w:val="center"/>
          </w:tcPr>
          <w:p w14:paraId="626D088F" w14:textId="77777777" w:rsidR="007A7495" w:rsidRPr="001159D0" w:rsidRDefault="007A7495" w:rsidP="00A96C12">
            <w:pPr>
              <w:pStyle w:val="Tabletext"/>
              <w:keepNext w:val="0"/>
              <w:spacing w:before="0" w:after="0"/>
              <w:jc w:val="center"/>
            </w:pPr>
            <w:r w:rsidRPr="001159D0">
              <w:t>High</w:t>
            </w:r>
          </w:p>
        </w:tc>
        <w:tc>
          <w:tcPr>
            <w:tcW w:w="1273" w:type="pct"/>
            <w:shd w:val="clear" w:color="auto" w:fill="auto"/>
            <w:vAlign w:val="center"/>
          </w:tcPr>
          <w:p w14:paraId="5001B822" w14:textId="29886DA6" w:rsidR="007A7495" w:rsidRPr="001159D0" w:rsidRDefault="007A7495" w:rsidP="00A96C12">
            <w:pPr>
              <w:pStyle w:val="Tabletext"/>
              <w:keepNext w:val="0"/>
              <w:spacing w:before="0" w:after="0"/>
              <w:jc w:val="center"/>
            </w:pPr>
            <w:r w:rsidRPr="001159D0">
              <w:t>Adults 18-80 years,</w:t>
            </w:r>
            <w:r w:rsidR="005B1D21" w:rsidRPr="001159D0">
              <w:t xml:space="preserve"> </w:t>
            </w:r>
            <w:r w:rsidRPr="001159D0">
              <w:t>CKD 3-4</w:t>
            </w:r>
            <w:r w:rsidRPr="001159D0">
              <w:rPr>
                <w:vertAlign w:val="superscript"/>
              </w:rPr>
              <w:t>a</w:t>
            </w:r>
            <w:r w:rsidR="005B1D21" w:rsidRPr="001159D0">
              <w:t>,</w:t>
            </w:r>
            <w:r w:rsidRPr="001159D0">
              <w:t xml:space="preserve"> </w:t>
            </w:r>
          </w:p>
          <w:p w14:paraId="7BB8E8CF" w14:textId="72E36BBB" w:rsidR="007A7495" w:rsidRPr="001159D0" w:rsidRDefault="005B1D21" w:rsidP="00D64071">
            <w:pPr>
              <w:pStyle w:val="Tabletext"/>
              <w:keepNext w:val="0"/>
              <w:spacing w:before="0" w:after="0"/>
              <w:jc w:val="center"/>
            </w:pPr>
            <w:r w:rsidRPr="001159D0">
              <w:rPr>
                <w:rFonts w:cs="Calibri"/>
                <w:color w:val="000000"/>
              </w:rPr>
              <w:t>t</w:t>
            </w:r>
            <w:r w:rsidR="007A7495" w:rsidRPr="001159D0">
              <w:rPr>
                <w:rFonts w:cs="Calibri"/>
                <w:color w:val="000000"/>
              </w:rPr>
              <w:t>reated with low K+ diet and advi</w:t>
            </w:r>
            <w:r w:rsidRPr="001159D0">
              <w:rPr>
                <w:rFonts w:cs="Calibri"/>
                <w:color w:val="000000"/>
              </w:rPr>
              <w:t>c</w:t>
            </w:r>
            <w:r w:rsidR="007A7495" w:rsidRPr="001159D0">
              <w:rPr>
                <w:rFonts w:cs="Calibri"/>
                <w:color w:val="000000"/>
              </w:rPr>
              <w:t>e, or nutritional advice,</w:t>
            </w:r>
            <w:r w:rsidR="00D64071" w:rsidRPr="001159D0">
              <w:rPr>
                <w:rFonts w:cs="Calibri"/>
                <w:color w:val="000000"/>
              </w:rPr>
              <w:t xml:space="preserve"> </w:t>
            </w:r>
            <w:r w:rsidR="007A7495" w:rsidRPr="001159D0">
              <w:rPr>
                <w:rFonts w:cs="Calibri"/>
                <w:color w:val="000000"/>
              </w:rPr>
              <w:t>SPS if serum K+ &gt; 4.5</w:t>
            </w:r>
            <w:r w:rsidR="000C73DA" w:rsidRPr="001159D0">
              <w:rPr>
                <w:rFonts w:cs="Calibri"/>
                <w:color w:val="000000"/>
              </w:rPr>
              <w:t> mmol</w:t>
            </w:r>
            <w:r w:rsidR="007A7495" w:rsidRPr="001159D0">
              <w:rPr>
                <w:rFonts w:cs="Calibri"/>
                <w:color w:val="000000"/>
              </w:rPr>
              <w:t>/L in on low K+ diet or 6.0</w:t>
            </w:r>
            <w:r w:rsidR="000C73DA" w:rsidRPr="001159D0">
              <w:rPr>
                <w:rFonts w:cs="Calibri"/>
                <w:color w:val="000000"/>
              </w:rPr>
              <w:t> mmol</w:t>
            </w:r>
            <w:r w:rsidR="007A7495" w:rsidRPr="001159D0">
              <w:rPr>
                <w:rFonts w:cs="Calibri"/>
                <w:color w:val="000000"/>
              </w:rPr>
              <w:t>/L in control arm.</w:t>
            </w:r>
          </w:p>
        </w:tc>
        <w:tc>
          <w:tcPr>
            <w:tcW w:w="897" w:type="pct"/>
            <w:shd w:val="clear" w:color="auto" w:fill="auto"/>
            <w:vAlign w:val="center"/>
          </w:tcPr>
          <w:p w14:paraId="43792CB7" w14:textId="0C1C03D8" w:rsidR="007A7495" w:rsidRPr="001159D0" w:rsidRDefault="007E0018" w:rsidP="007E0018">
            <w:pPr>
              <w:pStyle w:val="Tabletext"/>
              <w:keepNext w:val="0"/>
              <w:spacing w:before="0" w:after="0"/>
              <w:jc w:val="center"/>
            </w:pPr>
            <w:r w:rsidRPr="001159D0">
              <w:t>T</w:t>
            </w:r>
            <w:r w:rsidR="007A7495" w:rsidRPr="001159D0">
              <w:t>otal neuropathy score</w:t>
            </w:r>
            <w:r w:rsidRPr="001159D0">
              <w:t>,</w:t>
            </w:r>
            <w:r w:rsidR="007A7495" w:rsidRPr="001159D0">
              <w:t xml:space="preserve"> </w:t>
            </w:r>
            <w:r w:rsidRPr="001159D0">
              <w:t>s</w:t>
            </w:r>
            <w:r w:rsidR="007A7495" w:rsidRPr="001159D0">
              <w:rPr>
                <w:lang w:eastAsia="zh-CN"/>
              </w:rPr>
              <w:t xml:space="preserve">erum/urine electrolytes, </w:t>
            </w:r>
            <w:r w:rsidR="00B63238" w:rsidRPr="001159D0">
              <w:rPr>
                <w:lang w:eastAsia="zh-CN"/>
              </w:rPr>
              <w:t>p</w:t>
            </w:r>
            <w:r w:rsidR="007A7495" w:rsidRPr="001159D0">
              <w:rPr>
                <w:lang w:eastAsia="zh-CN"/>
              </w:rPr>
              <w:t>arathyroid hormone, eGFR, s</w:t>
            </w:r>
            <w:r w:rsidR="007A7495" w:rsidRPr="001159D0">
              <w:t>afety.</w:t>
            </w:r>
          </w:p>
        </w:tc>
        <w:tc>
          <w:tcPr>
            <w:tcW w:w="791" w:type="pct"/>
            <w:shd w:val="clear" w:color="auto" w:fill="auto"/>
            <w:vAlign w:val="center"/>
          </w:tcPr>
          <w:p w14:paraId="1AB54252" w14:textId="77777777" w:rsidR="007A7495" w:rsidRPr="001159D0" w:rsidRDefault="007A7495" w:rsidP="00A96C12">
            <w:pPr>
              <w:pStyle w:val="Tabletext"/>
              <w:keepNext w:val="0"/>
              <w:spacing w:before="0" w:after="0"/>
              <w:jc w:val="center"/>
            </w:pPr>
            <w:r w:rsidRPr="001159D0">
              <w:t>Not used.</w:t>
            </w:r>
          </w:p>
        </w:tc>
      </w:tr>
      <w:tr w:rsidR="006B71ED" w:rsidRPr="001159D0" w14:paraId="4E2D639E" w14:textId="77777777" w:rsidTr="006B71ED">
        <w:trPr>
          <w:cantSplit/>
        </w:trPr>
        <w:tc>
          <w:tcPr>
            <w:tcW w:w="855" w:type="pct"/>
            <w:shd w:val="clear" w:color="auto" w:fill="auto"/>
            <w:vAlign w:val="center"/>
          </w:tcPr>
          <w:p w14:paraId="4070F2A6" w14:textId="4CC41F25" w:rsidR="006B71ED" w:rsidRPr="001159D0" w:rsidRDefault="006B71ED" w:rsidP="006B71ED">
            <w:pPr>
              <w:pStyle w:val="Tabletext"/>
              <w:keepNext w:val="0"/>
              <w:spacing w:before="0" w:after="0"/>
            </w:pPr>
            <w:r w:rsidRPr="001159D0">
              <w:t>NCT01866709</w:t>
            </w:r>
          </w:p>
        </w:tc>
        <w:tc>
          <w:tcPr>
            <w:tcW w:w="259" w:type="pct"/>
            <w:shd w:val="clear" w:color="auto" w:fill="auto"/>
            <w:vAlign w:val="center"/>
          </w:tcPr>
          <w:p w14:paraId="48199682" w14:textId="6DDBE8EE" w:rsidR="006B71ED" w:rsidRPr="001159D0" w:rsidRDefault="006B71ED" w:rsidP="006B71ED">
            <w:pPr>
              <w:pStyle w:val="Tabletext"/>
              <w:keepNext w:val="0"/>
              <w:spacing w:before="0" w:after="0"/>
              <w:jc w:val="center"/>
            </w:pPr>
            <w:r>
              <w:t>32</w:t>
            </w:r>
          </w:p>
        </w:tc>
        <w:tc>
          <w:tcPr>
            <w:tcW w:w="637" w:type="pct"/>
            <w:shd w:val="clear" w:color="auto" w:fill="auto"/>
            <w:vAlign w:val="center"/>
          </w:tcPr>
          <w:p w14:paraId="18AFC8A7" w14:textId="2883E9F9" w:rsidR="006B71ED" w:rsidRPr="001159D0" w:rsidRDefault="006B71ED" w:rsidP="006B71ED">
            <w:pPr>
              <w:pStyle w:val="Tabletext"/>
              <w:keepNext w:val="0"/>
              <w:spacing w:before="0" w:after="0"/>
              <w:jc w:val="center"/>
            </w:pPr>
            <w:r>
              <w:t>R, C, DB, SC</w:t>
            </w:r>
          </w:p>
        </w:tc>
        <w:tc>
          <w:tcPr>
            <w:tcW w:w="288" w:type="pct"/>
            <w:shd w:val="clear" w:color="auto" w:fill="auto"/>
            <w:vAlign w:val="center"/>
          </w:tcPr>
          <w:p w14:paraId="2AB176D3" w14:textId="67B3C481" w:rsidR="006B71ED" w:rsidRPr="001159D0" w:rsidRDefault="006B71ED" w:rsidP="006B71ED">
            <w:pPr>
              <w:pStyle w:val="Tabletext"/>
              <w:keepNext w:val="0"/>
              <w:spacing w:before="0" w:after="0"/>
              <w:jc w:val="center"/>
            </w:pPr>
            <w:r>
              <w:t>High</w:t>
            </w:r>
          </w:p>
        </w:tc>
        <w:tc>
          <w:tcPr>
            <w:tcW w:w="1273" w:type="pct"/>
            <w:shd w:val="clear" w:color="auto" w:fill="auto"/>
            <w:vAlign w:val="center"/>
          </w:tcPr>
          <w:p w14:paraId="76867AE7" w14:textId="77777777" w:rsidR="006B71ED" w:rsidRDefault="006B71ED" w:rsidP="006B71ED">
            <w:pPr>
              <w:pStyle w:val="Tabletext"/>
              <w:keepNext w:val="0"/>
              <w:spacing w:before="0" w:after="0"/>
              <w:jc w:val="center"/>
              <w:rPr>
                <w:rFonts w:eastAsiaTheme="majorEastAsia" w:cstheme="majorBidi"/>
                <w:bCs/>
              </w:rPr>
            </w:pPr>
            <w:r w:rsidRPr="001159D0">
              <w:rPr>
                <w:rFonts w:eastAsiaTheme="majorEastAsia" w:cstheme="majorBidi"/>
                <w:bCs/>
              </w:rPr>
              <w:t>Adults previous</w:t>
            </w:r>
            <w:r>
              <w:rPr>
                <w:rFonts w:eastAsiaTheme="majorEastAsia" w:cstheme="majorBidi"/>
                <w:bCs/>
              </w:rPr>
              <w:t>ly</w:t>
            </w:r>
            <w:r w:rsidRPr="001159D0">
              <w:rPr>
                <w:rFonts w:eastAsiaTheme="majorEastAsia" w:cstheme="majorBidi"/>
                <w:bCs/>
              </w:rPr>
              <w:t xml:space="preserve"> </w:t>
            </w:r>
            <w:r>
              <w:rPr>
                <w:rFonts w:eastAsiaTheme="majorEastAsia" w:cstheme="majorBidi"/>
                <w:bCs/>
              </w:rPr>
              <w:t>enrolled</w:t>
            </w:r>
            <w:r w:rsidRPr="001159D0">
              <w:rPr>
                <w:rFonts w:eastAsiaTheme="majorEastAsia" w:cstheme="majorBidi"/>
                <w:bCs/>
              </w:rPr>
              <w:t xml:space="preserve"> in zirconium silicate studies</w:t>
            </w:r>
            <w:r>
              <w:rPr>
                <w:rFonts w:eastAsiaTheme="majorEastAsia" w:cstheme="majorBidi"/>
                <w:bCs/>
              </w:rPr>
              <w:t xml:space="preserve"> (</w:t>
            </w:r>
            <w:r w:rsidRPr="001159D0">
              <w:rPr>
                <w:rFonts w:eastAsiaTheme="majorEastAsia" w:cstheme="majorBidi"/>
                <w:bCs/>
              </w:rPr>
              <w:t>NCT01493024</w:t>
            </w:r>
            <w:r>
              <w:rPr>
                <w:rFonts w:eastAsiaTheme="majorEastAsia" w:cstheme="majorBidi"/>
                <w:bCs/>
              </w:rPr>
              <w:t xml:space="preserve"> or </w:t>
            </w:r>
            <w:r w:rsidRPr="001159D0">
              <w:rPr>
                <w:rFonts w:eastAsiaTheme="majorEastAsia" w:cstheme="majorBidi"/>
                <w:bCs/>
              </w:rPr>
              <w:t>NCT01737697</w:t>
            </w:r>
            <w:r>
              <w:rPr>
                <w:rFonts w:eastAsiaTheme="majorEastAsia" w:cstheme="majorBidi"/>
                <w:bCs/>
              </w:rPr>
              <w:t>)</w:t>
            </w:r>
          </w:p>
          <w:p w14:paraId="2025DB4B" w14:textId="77777777" w:rsidR="006B71ED" w:rsidRDefault="006B71ED" w:rsidP="006B71ED">
            <w:pPr>
              <w:pStyle w:val="Tabletext"/>
              <w:keepNext w:val="0"/>
              <w:spacing w:before="0" w:after="0"/>
              <w:jc w:val="center"/>
              <w:rPr>
                <w:rFonts w:eastAsiaTheme="majorEastAsia" w:cstheme="majorBidi"/>
                <w:bCs/>
              </w:rPr>
            </w:pPr>
            <w:r w:rsidRPr="001159D0">
              <w:rPr>
                <w:rFonts w:eastAsiaTheme="majorEastAsia" w:cstheme="majorBidi"/>
                <w:bCs/>
              </w:rPr>
              <w:t>serum K+ 5.0-6.5 mmol/L</w:t>
            </w:r>
            <w:r>
              <w:rPr>
                <w:rFonts w:eastAsiaTheme="majorEastAsia" w:cstheme="majorBidi"/>
                <w:bCs/>
              </w:rPr>
              <w:t>,</w:t>
            </w:r>
          </w:p>
          <w:p w14:paraId="7528536B" w14:textId="675A8AF6" w:rsidR="006B71ED" w:rsidRPr="001159D0" w:rsidRDefault="006B71ED" w:rsidP="006B71ED">
            <w:pPr>
              <w:pStyle w:val="Tabletext"/>
              <w:keepNext w:val="0"/>
              <w:spacing w:before="0" w:after="0"/>
              <w:jc w:val="center"/>
            </w:pPr>
            <w:r>
              <w:rPr>
                <w:rFonts w:eastAsiaTheme="majorEastAsia" w:cstheme="majorBidi"/>
                <w:bCs/>
              </w:rPr>
              <w:t>p</w:t>
            </w:r>
            <w:r w:rsidRPr="001159D0">
              <w:rPr>
                <w:rFonts w:eastAsiaTheme="majorEastAsia" w:cstheme="majorBidi"/>
                <w:bCs/>
              </w:rPr>
              <w:t xml:space="preserve">rior SPS or dialysis excluded </w:t>
            </w:r>
          </w:p>
        </w:tc>
        <w:tc>
          <w:tcPr>
            <w:tcW w:w="897" w:type="pct"/>
            <w:shd w:val="clear" w:color="auto" w:fill="auto"/>
            <w:vAlign w:val="center"/>
          </w:tcPr>
          <w:p w14:paraId="1791DA7C" w14:textId="77777777" w:rsidR="006B71ED" w:rsidRDefault="006B71ED" w:rsidP="006B71ED">
            <w:pPr>
              <w:pStyle w:val="Tabletext"/>
              <w:keepNext w:val="0"/>
              <w:spacing w:before="0" w:after="0"/>
              <w:jc w:val="center"/>
              <w:rPr>
                <w:rFonts w:eastAsiaTheme="majorEastAsia" w:cstheme="majorBidi"/>
                <w:bCs/>
              </w:rPr>
            </w:pPr>
            <w:r w:rsidRPr="001159D0">
              <w:rPr>
                <w:rFonts w:eastAsiaTheme="majorEastAsia" w:cstheme="majorBidi"/>
                <w:bCs/>
              </w:rPr>
              <w:t>Post treatment serum K+ values not recorded</w:t>
            </w:r>
            <w:r>
              <w:rPr>
                <w:rFonts w:eastAsiaTheme="majorEastAsia" w:cstheme="majorBidi"/>
                <w:bCs/>
              </w:rPr>
              <w:t xml:space="preserve"> as study terminated early</w:t>
            </w:r>
            <w:r w:rsidRPr="001159D0">
              <w:rPr>
                <w:rFonts w:eastAsiaTheme="majorEastAsia" w:cstheme="majorBidi"/>
                <w:bCs/>
              </w:rPr>
              <w:t xml:space="preserve">. </w:t>
            </w:r>
          </w:p>
          <w:p w14:paraId="271516C0" w14:textId="517775BA" w:rsidR="006B71ED" w:rsidRPr="001159D0" w:rsidRDefault="006B71ED" w:rsidP="006B71ED">
            <w:pPr>
              <w:pStyle w:val="Tabletext"/>
              <w:keepNext w:val="0"/>
              <w:spacing w:before="0" w:after="0"/>
              <w:jc w:val="center"/>
            </w:pPr>
            <w:r>
              <w:rPr>
                <w:rFonts w:eastAsiaTheme="majorEastAsia" w:cstheme="majorBidi"/>
                <w:bCs/>
              </w:rPr>
              <w:t>Safety.</w:t>
            </w:r>
          </w:p>
        </w:tc>
        <w:tc>
          <w:tcPr>
            <w:tcW w:w="791" w:type="pct"/>
            <w:shd w:val="clear" w:color="auto" w:fill="auto"/>
            <w:vAlign w:val="center"/>
          </w:tcPr>
          <w:p w14:paraId="6F16865C" w14:textId="6EEC40A0" w:rsidR="006B71ED" w:rsidRPr="001159D0" w:rsidRDefault="006B71ED" w:rsidP="006B71ED">
            <w:pPr>
              <w:pStyle w:val="Tabletext"/>
              <w:keepNext w:val="0"/>
              <w:spacing w:before="0" w:after="0"/>
              <w:jc w:val="center"/>
            </w:pPr>
            <w:r>
              <w:t>Not used.</w:t>
            </w:r>
          </w:p>
        </w:tc>
      </w:tr>
      <w:tr w:rsidR="00B63238" w:rsidRPr="001159D0" w14:paraId="65C52454" w14:textId="77777777" w:rsidTr="006B71ED">
        <w:trPr>
          <w:cantSplit/>
        </w:trPr>
        <w:tc>
          <w:tcPr>
            <w:tcW w:w="855" w:type="pct"/>
            <w:shd w:val="clear" w:color="auto" w:fill="auto"/>
            <w:vAlign w:val="center"/>
          </w:tcPr>
          <w:p w14:paraId="354A2942" w14:textId="77777777" w:rsidR="007A7495" w:rsidRPr="001159D0" w:rsidRDefault="007A7495" w:rsidP="00A96C12">
            <w:pPr>
              <w:pStyle w:val="Tabletext"/>
              <w:keepNext w:val="0"/>
              <w:spacing w:before="0" w:after="0"/>
            </w:pPr>
            <w:r w:rsidRPr="001159D0">
              <w:lastRenderedPageBreak/>
              <w:t>Bowden 2017</w:t>
            </w:r>
          </w:p>
        </w:tc>
        <w:tc>
          <w:tcPr>
            <w:tcW w:w="259" w:type="pct"/>
            <w:shd w:val="clear" w:color="auto" w:fill="auto"/>
            <w:vAlign w:val="center"/>
          </w:tcPr>
          <w:p w14:paraId="791D9733" w14:textId="77777777" w:rsidR="007A7495" w:rsidRPr="001159D0" w:rsidRDefault="007A7495" w:rsidP="00A96C12">
            <w:pPr>
              <w:pStyle w:val="Tabletext"/>
              <w:keepNext w:val="0"/>
              <w:spacing w:before="0" w:after="0"/>
              <w:jc w:val="center"/>
            </w:pPr>
            <w:r w:rsidRPr="001159D0">
              <w:t>432</w:t>
            </w:r>
          </w:p>
        </w:tc>
        <w:tc>
          <w:tcPr>
            <w:tcW w:w="637" w:type="pct"/>
            <w:shd w:val="clear" w:color="auto" w:fill="auto"/>
            <w:vAlign w:val="center"/>
          </w:tcPr>
          <w:p w14:paraId="7F3E71A4" w14:textId="77777777" w:rsidR="007A7495" w:rsidRPr="001159D0" w:rsidRDefault="007A7495" w:rsidP="00A96C12">
            <w:pPr>
              <w:pStyle w:val="Tabletext"/>
              <w:keepNext w:val="0"/>
              <w:spacing w:before="0" w:after="0"/>
              <w:jc w:val="center"/>
            </w:pPr>
            <w:r w:rsidRPr="001159D0">
              <w:t>Retrospective case series,</w:t>
            </w:r>
          </w:p>
          <w:p w14:paraId="199A92FF" w14:textId="77777777" w:rsidR="007A7495" w:rsidRPr="001159D0" w:rsidRDefault="007A7495" w:rsidP="00A96C12">
            <w:pPr>
              <w:pStyle w:val="Tabletext"/>
              <w:keepNext w:val="0"/>
              <w:spacing w:before="0" w:after="0"/>
              <w:jc w:val="center"/>
            </w:pPr>
            <w:r w:rsidRPr="001159D0">
              <w:t>12 months</w:t>
            </w:r>
          </w:p>
          <w:p w14:paraId="5A060233" w14:textId="77777777" w:rsidR="007A7495" w:rsidRPr="001159D0" w:rsidRDefault="007A7495" w:rsidP="00A96C12">
            <w:pPr>
              <w:pStyle w:val="Tabletext"/>
              <w:keepNext w:val="0"/>
              <w:spacing w:before="0" w:after="0"/>
              <w:jc w:val="center"/>
            </w:pPr>
            <w:r w:rsidRPr="001159D0">
              <w:t>(Sept 2015 - Sept 2016).</w:t>
            </w:r>
          </w:p>
        </w:tc>
        <w:tc>
          <w:tcPr>
            <w:tcW w:w="288" w:type="pct"/>
            <w:shd w:val="clear" w:color="auto" w:fill="auto"/>
            <w:vAlign w:val="center"/>
          </w:tcPr>
          <w:p w14:paraId="338F35E5" w14:textId="77777777" w:rsidR="007A7495" w:rsidRPr="001159D0" w:rsidRDefault="007A7495" w:rsidP="00A96C12">
            <w:pPr>
              <w:pStyle w:val="Tabletext"/>
              <w:keepNext w:val="0"/>
              <w:spacing w:before="0" w:after="0"/>
              <w:jc w:val="center"/>
            </w:pPr>
            <w:r w:rsidRPr="001159D0">
              <w:t>High</w:t>
            </w:r>
          </w:p>
        </w:tc>
        <w:tc>
          <w:tcPr>
            <w:tcW w:w="1273" w:type="pct"/>
            <w:shd w:val="clear" w:color="auto" w:fill="auto"/>
            <w:vAlign w:val="center"/>
          </w:tcPr>
          <w:p w14:paraId="18136417" w14:textId="77777777" w:rsidR="007A7495" w:rsidRPr="001159D0" w:rsidRDefault="007A7495" w:rsidP="00A96C12">
            <w:pPr>
              <w:pStyle w:val="Tabletext"/>
              <w:keepNext w:val="0"/>
              <w:spacing w:before="0" w:after="0"/>
              <w:jc w:val="center"/>
              <w:rPr>
                <w:vertAlign w:val="superscript"/>
              </w:rPr>
            </w:pPr>
            <w:r w:rsidRPr="001159D0">
              <w:t>Patients dispensed SPS resin from hospital pharmacy.</w:t>
            </w:r>
            <w:r w:rsidRPr="001159D0">
              <w:rPr>
                <w:vertAlign w:val="superscript"/>
              </w:rPr>
              <w:t>b</w:t>
            </w:r>
          </w:p>
        </w:tc>
        <w:tc>
          <w:tcPr>
            <w:tcW w:w="897" w:type="pct"/>
            <w:shd w:val="clear" w:color="auto" w:fill="auto"/>
            <w:vAlign w:val="center"/>
          </w:tcPr>
          <w:p w14:paraId="3AF38E4A" w14:textId="77777777" w:rsidR="007A7495" w:rsidRPr="001159D0" w:rsidRDefault="007A7495" w:rsidP="00A96C12">
            <w:pPr>
              <w:pStyle w:val="Tabletext"/>
              <w:keepNext w:val="0"/>
              <w:spacing w:before="0" w:after="0"/>
              <w:jc w:val="center"/>
            </w:pPr>
            <w:r w:rsidRPr="001159D0">
              <w:t xml:space="preserve">RAASi enablement, </w:t>
            </w:r>
          </w:p>
          <w:p w14:paraId="2CA66EBF" w14:textId="108844C7" w:rsidR="007A7495" w:rsidRPr="001159D0" w:rsidRDefault="007E0018" w:rsidP="00A96C12">
            <w:pPr>
              <w:pStyle w:val="Tabletext"/>
              <w:keepNext w:val="0"/>
              <w:spacing w:before="0" w:after="0"/>
              <w:jc w:val="center"/>
            </w:pPr>
            <w:r w:rsidRPr="001159D0">
              <w:t>s</w:t>
            </w:r>
            <w:r w:rsidR="007A7495" w:rsidRPr="001159D0">
              <w:t xml:space="preserve">erum electrolytes, </w:t>
            </w:r>
          </w:p>
          <w:p w14:paraId="07F36244" w14:textId="1AAD022C" w:rsidR="007A7495" w:rsidRPr="001159D0" w:rsidRDefault="007E0018" w:rsidP="00A96C12">
            <w:pPr>
              <w:pStyle w:val="Tabletext"/>
              <w:keepNext w:val="0"/>
              <w:spacing w:before="0" w:after="0"/>
              <w:jc w:val="center"/>
              <w:rPr>
                <w:vertAlign w:val="superscript"/>
              </w:rPr>
            </w:pPr>
            <w:r w:rsidRPr="001159D0">
              <w:t>s</w:t>
            </w:r>
            <w:r w:rsidR="007A7495" w:rsidRPr="001159D0">
              <w:t>afety (dialysis</w:t>
            </w:r>
            <w:r w:rsidR="00B63238" w:rsidRPr="001159D0">
              <w:t xml:space="preserve"> </w:t>
            </w:r>
            <w:r w:rsidR="007A7495" w:rsidRPr="001159D0">
              <w:t>patients)</w:t>
            </w:r>
            <w:r w:rsidR="007A7495" w:rsidRPr="001159D0">
              <w:rPr>
                <w:vertAlign w:val="superscript"/>
              </w:rPr>
              <w:t>c</w:t>
            </w:r>
          </w:p>
        </w:tc>
        <w:tc>
          <w:tcPr>
            <w:tcW w:w="791" w:type="pct"/>
            <w:shd w:val="clear" w:color="auto" w:fill="auto"/>
            <w:vAlign w:val="center"/>
          </w:tcPr>
          <w:p w14:paraId="1F0D8C1E" w14:textId="77777777" w:rsidR="007A7495" w:rsidRPr="001159D0" w:rsidRDefault="007A7495" w:rsidP="00A96C12">
            <w:pPr>
              <w:pStyle w:val="Tabletext"/>
              <w:keepNext w:val="0"/>
              <w:spacing w:before="0" w:after="0"/>
              <w:jc w:val="center"/>
            </w:pPr>
            <w:r w:rsidRPr="001159D0">
              <w:t>Not used.</w:t>
            </w:r>
          </w:p>
        </w:tc>
      </w:tr>
      <w:tr w:rsidR="00B63238" w:rsidRPr="001159D0" w14:paraId="1C59F8A4" w14:textId="77777777" w:rsidTr="006B71ED">
        <w:trPr>
          <w:cantSplit/>
        </w:trPr>
        <w:tc>
          <w:tcPr>
            <w:tcW w:w="855" w:type="pct"/>
            <w:shd w:val="clear" w:color="auto" w:fill="auto"/>
            <w:vAlign w:val="center"/>
          </w:tcPr>
          <w:p w14:paraId="570F84A7" w14:textId="77777777" w:rsidR="007A7495" w:rsidRPr="001159D0" w:rsidRDefault="007A7495" w:rsidP="00A96C12">
            <w:pPr>
              <w:pStyle w:val="Tabletext"/>
              <w:keepNext w:val="0"/>
              <w:spacing w:before="0" w:after="0"/>
            </w:pPr>
            <w:r w:rsidRPr="001159D0">
              <w:t>Chernin 2012</w:t>
            </w:r>
          </w:p>
        </w:tc>
        <w:tc>
          <w:tcPr>
            <w:tcW w:w="259" w:type="pct"/>
            <w:shd w:val="clear" w:color="auto" w:fill="auto"/>
            <w:vAlign w:val="center"/>
          </w:tcPr>
          <w:p w14:paraId="0960E837" w14:textId="77777777" w:rsidR="007A7495" w:rsidRPr="001159D0" w:rsidRDefault="007A7495" w:rsidP="00A96C12">
            <w:pPr>
              <w:pStyle w:val="Tabletext"/>
              <w:keepNext w:val="0"/>
              <w:spacing w:before="0" w:after="0"/>
              <w:jc w:val="center"/>
            </w:pPr>
            <w:r w:rsidRPr="001159D0">
              <w:t>14</w:t>
            </w:r>
          </w:p>
        </w:tc>
        <w:tc>
          <w:tcPr>
            <w:tcW w:w="637" w:type="pct"/>
            <w:shd w:val="clear" w:color="auto" w:fill="auto"/>
            <w:vAlign w:val="center"/>
          </w:tcPr>
          <w:p w14:paraId="65B94EE2" w14:textId="77777777" w:rsidR="007A7495" w:rsidRPr="001159D0" w:rsidRDefault="007A7495" w:rsidP="00A96C12">
            <w:pPr>
              <w:pStyle w:val="Tabletext"/>
              <w:keepNext w:val="0"/>
              <w:spacing w:before="0" w:after="0"/>
              <w:jc w:val="center"/>
            </w:pPr>
            <w:r w:rsidRPr="001159D0">
              <w:t>Retrospective case series,</w:t>
            </w:r>
          </w:p>
          <w:p w14:paraId="11142A31" w14:textId="77777777" w:rsidR="007A7495" w:rsidRPr="001159D0" w:rsidRDefault="007A7495" w:rsidP="00A96C12">
            <w:pPr>
              <w:pStyle w:val="Tabletext"/>
              <w:keepNext w:val="0"/>
              <w:spacing w:before="0" w:after="0"/>
              <w:jc w:val="center"/>
            </w:pPr>
            <w:r w:rsidRPr="001159D0">
              <w:t>6 years</w:t>
            </w:r>
          </w:p>
          <w:p w14:paraId="4DA35777" w14:textId="77777777" w:rsidR="007A7495" w:rsidRPr="001159D0" w:rsidRDefault="007A7495" w:rsidP="00A96C12">
            <w:pPr>
              <w:pStyle w:val="Tabletext"/>
              <w:keepNext w:val="0"/>
              <w:spacing w:before="0" w:after="0"/>
              <w:jc w:val="center"/>
            </w:pPr>
            <w:r w:rsidRPr="001159D0">
              <w:t xml:space="preserve">(Jan 2005 - </w:t>
            </w:r>
          </w:p>
          <w:p w14:paraId="0E5F5CE1" w14:textId="77777777" w:rsidR="007A7495" w:rsidRPr="001159D0" w:rsidRDefault="007A7495" w:rsidP="00A96C12">
            <w:pPr>
              <w:pStyle w:val="Tabletext"/>
              <w:keepNext w:val="0"/>
              <w:spacing w:before="0" w:after="0"/>
              <w:jc w:val="center"/>
            </w:pPr>
            <w:r w:rsidRPr="001159D0">
              <w:t>Dec 2010).</w:t>
            </w:r>
          </w:p>
        </w:tc>
        <w:tc>
          <w:tcPr>
            <w:tcW w:w="288" w:type="pct"/>
            <w:shd w:val="clear" w:color="auto" w:fill="auto"/>
            <w:vAlign w:val="center"/>
          </w:tcPr>
          <w:p w14:paraId="7B7AE5BF" w14:textId="77777777" w:rsidR="007A7495" w:rsidRPr="001159D0" w:rsidRDefault="007A7495" w:rsidP="00A96C12">
            <w:pPr>
              <w:pStyle w:val="Tabletext"/>
              <w:keepNext w:val="0"/>
              <w:spacing w:before="0" w:after="0"/>
              <w:jc w:val="center"/>
            </w:pPr>
            <w:r w:rsidRPr="001159D0">
              <w:t>High</w:t>
            </w:r>
          </w:p>
        </w:tc>
        <w:tc>
          <w:tcPr>
            <w:tcW w:w="1273" w:type="pct"/>
            <w:shd w:val="clear" w:color="auto" w:fill="auto"/>
            <w:vAlign w:val="center"/>
          </w:tcPr>
          <w:p w14:paraId="309060D9" w14:textId="5F2550A6" w:rsidR="007A7495" w:rsidRPr="001159D0" w:rsidRDefault="007A7495" w:rsidP="00A96C12">
            <w:pPr>
              <w:pStyle w:val="Tabletext"/>
              <w:keepNext w:val="0"/>
              <w:spacing w:before="0" w:after="0"/>
              <w:jc w:val="center"/>
            </w:pPr>
            <w:r w:rsidRPr="001159D0">
              <w:t>CKD Stage 3-5,</w:t>
            </w:r>
            <w:r w:rsidR="00420679" w:rsidRPr="001159D0">
              <w:t xml:space="preserve"> </w:t>
            </w:r>
            <w:r w:rsidRPr="001159D0">
              <w:t xml:space="preserve">HF or IHD, </w:t>
            </w:r>
          </w:p>
          <w:p w14:paraId="2DE02F03" w14:textId="77777777" w:rsidR="007A7495" w:rsidRPr="001159D0" w:rsidRDefault="007A7495" w:rsidP="00A96C12">
            <w:pPr>
              <w:pStyle w:val="Tabletext"/>
              <w:keepNext w:val="0"/>
              <w:spacing w:before="0" w:after="0"/>
              <w:jc w:val="center"/>
            </w:pPr>
            <w:r w:rsidRPr="001159D0">
              <w:t xml:space="preserve">≥1 episode of hyperkalaemia </w:t>
            </w:r>
          </w:p>
          <w:p w14:paraId="00024AC7" w14:textId="47B1E1D5" w:rsidR="007A7495" w:rsidRPr="001159D0" w:rsidRDefault="007A7495" w:rsidP="00A96C12">
            <w:pPr>
              <w:pStyle w:val="Tabletext"/>
              <w:keepNext w:val="0"/>
              <w:spacing w:before="0" w:after="0"/>
              <w:jc w:val="center"/>
            </w:pPr>
            <w:r w:rsidRPr="001159D0">
              <w:t>(K+ ≥6.0</w:t>
            </w:r>
            <w:r w:rsidR="000C73DA" w:rsidRPr="001159D0">
              <w:t> mmol</w:t>
            </w:r>
            <w:r w:rsidRPr="001159D0">
              <w:t>/L),</w:t>
            </w:r>
            <w:r w:rsidR="00420679" w:rsidRPr="001159D0">
              <w:t xml:space="preserve"> t</w:t>
            </w:r>
            <w:r w:rsidRPr="001159D0">
              <w:t xml:space="preserve">reated with </w:t>
            </w:r>
          </w:p>
          <w:p w14:paraId="72FB5A94" w14:textId="77777777" w:rsidR="007A7495" w:rsidRPr="001159D0" w:rsidRDefault="007A7495" w:rsidP="00A96C12">
            <w:pPr>
              <w:pStyle w:val="Tabletext"/>
              <w:keepNext w:val="0"/>
              <w:spacing w:before="0" w:after="0"/>
              <w:jc w:val="center"/>
            </w:pPr>
            <w:r w:rsidRPr="001159D0">
              <w:t>low-dose SPS and RAASi.</w:t>
            </w:r>
          </w:p>
        </w:tc>
        <w:tc>
          <w:tcPr>
            <w:tcW w:w="897" w:type="pct"/>
            <w:shd w:val="clear" w:color="auto" w:fill="auto"/>
            <w:vAlign w:val="center"/>
          </w:tcPr>
          <w:p w14:paraId="2FCED901" w14:textId="77777777" w:rsidR="007A7495" w:rsidRPr="001159D0" w:rsidRDefault="007A7495" w:rsidP="00A96C12">
            <w:pPr>
              <w:pStyle w:val="Tabletext"/>
              <w:keepNext w:val="0"/>
              <w:spacing w:before="0" w:after="0"/>
              <w:jc w:val="center"/>
            </w:pPr>
            <w:r w:rsidRPr="001159D0">
              <w:t>Change in serum K+,</w:t>
            </w:r>
          </w:p>
          <w:p w14:paraId="2D67B8BB" w14:textId="77777777" w:rsidR="007A7495" w:rsidRPr="001159D0" w:rsidRDefault="007A7495" w:rsidP="00A96C12">
            <w:pPr>
              <w:pStyle w:val="Tabletext"/>
              <w:keepNext w:val="0"/>
              <w:spacing w:before="0" w:after="0"/>
              <w:jc w:val="center"/>
            </w:pPr>
            <w:r w:rsidRPr="001159D0">
              <w:t>RAASi enablement,</w:t>
            </w:r>
          </w:p>
          <w:p w14:paraId="7F26AEB4" w14:textId="79CF834F" w:rsidR="007A7495" w:rsidRPr="001159D0" w:rsidRDefault="0015065D" w:rsidP="00A96C12">
            <w:pPr>
              <w:pStyle w:val="Tabletext"/>
              <w:keepNext w:val="0"/>
              <w:spacing w:before="0" w:after="0"/>
              <w:jc w:val="center"/>
            </w:pPr>
            <w:r w:rsidRPr="001159D0">
              <w:t>s</w:t>
            </w:r>
            <w:r w:rsidR="007A7495" w:rsidRPr="001159D0">
              <w:t>evere adverse</w:t>
            </w:r>
            <w:r w:rsidR="00B63238" w:rsidRPr="001159D0">
              <w:t xml:space="preserve"> </w:t>
            </w:r>
            <w:r w:rsidR="007A7495" w:rsidRPr="001159D0">
              <w:t>events.</w:t>
            </w:r>
          </w:p>
        </w:tc>
        <w:tc>
          <w:tcPr>
            <w:tcW w:w="791" w:type="pct"/>
            <w:shd w:val="clear" w:color="auto" w:fill="auto"/>
            <w:vAlign w:val="center"/>
          </w:tcPr>
          <w:p w14:paraId="0A092841" w14:textId="77777777" w:rsidR="007A7495" w:rsidRPr="001159D0" w:rsidRDefault="007A7495" w:rsidP="00A96C12">
            <w:pPr>
              <w:pStyle w:val="Tabletext"/>
              <w:keepNext w:val="0"/>
              <w:spacing w:before="0" w:after="0"/>
              <w:jc w:val="center"/>
            </w:pPr>
            <w:r w:rsidRPr="001159D0">
              <w:t>Not used.</w:t>
            </w:r>
          </w:p>
        </w:tc>
      </w:tr>
      <w:tr w:rsidR="00B63238" w:rsidRPr="001159D0" w14:paraId="3C7472EC" w14:textId="77777777" w:rsidTr="006B71ED">
        <w:trPr>
          <w:cantSplit/>
        </w:trPr>
        <w:tc>
          <w:tcPr>
            <w:tcW w:w="855" w:type="pct"/>
            <w:shd w:val="clear" w:color="auto" w:fill="auto"/>
            <w:vAlign w:val="center"/>
          </w:tcPr>
          <w:p w14:paraId="42A479CE" w14:textId="77777777" w:rsidR="007A7495" w:rsidRPr="001159D0" w:rsidRDefault="007A7495" w:rsidP="00A96C12">
            <w:pPr>
              <w:pStyle w:val="Tabletext"/>
              <w:keepNext w:val="0"/>
              <w:spacing w:before="0" w:after="0"/>
            </w:pPr>
            <w:r w:rsidRPr="001159D0">
              <w:t>Georgianos 2017</w:t>
            </w:r>
          </w:p>
        </w:tc>
        <w:tc>
          <w:tcPr>
            <w:tcW w:w="259" w:type="pct"/>
            <w:shd w:val="clear" w:color="auto" w:fill="auto"/>
            <w:vAlign w:val="center"/>
          </w:tcPr>
          <w:p w14:paraId="3AE19F97" w14:textId="77777777" w:rsidR="007A7495" w:rsidRPr="001159D0" w:rsidRDefault="007A7495" w:rsidP="00A96C12">
            <w:pPr>
              <w:pStyle w:val="Tabletext"/>
              <w:keepNext w:val="0"/>
              <w:spacing w:before="0" w:after="0"/>
              <w:jc w:val="center"/>
            </w:pPr>
            <w:r w:rsidRPr="001159D0">
              <w:t>26</w:t>
            </w:r>
          </w:p>
        </w:tc>
        <w:tc>
          <w:tcPr>
            <w:tcW w:w="637" w:type="pct"/>
            <w:shd w:val="clear" w:color="auto" w:fill="auto"/>
            <w:vAlign w:val="center"/>
          </w:tcPr>
          <w:p w14:paraId="7CB42FD4" w14:textId="77777777" w:rsidR="007A7495" w:rsidRPr="001159D0" w:rsidRDefault="007A7495" w:rsidP="00A96C12">
            <w:pPr>
              <w:pStyle w:val="Tabletext"/>
              <w:keepNext w:val="0"/>
              <w:spacing w:before="0" w:after="0"/>
              <w:jc w:val="center"/>
            </w:pPr>
            <w:r w:rsidRPr="001159D0">
              <w:t>Retrospective case series,</w:t>
            </w:r>
          </w:p>
          <w:p w14:paraId="279BDF43" w14:textId="77777777" w:rsidR="007A7495" w:rsidRPr="001159D0" w:rsidRDefault="007A7495" w:rsidP="00A96C12">
            <w:pPr>
              <w:pStyle w:val="Tabletext"/>
              <w:keepNext w:val="0"/>
              <w:spacing w:before="0" w:after="0"/>
              <w:jc w:val="center"/>
            </w:pPr>
            <w:r w:rsidRPr="001159D0">
              <w:t>7 years</w:t>
            </w:r>
          </w:p>
          <w:p w14:paraId="21D0E1F0" w14:textId="77777777" w:rsidR="007A7495" w:rsidRPr="001159D0" w:rsidRDefault="007A7495" w:rsidP="00A96C12">
            <w:pPr>
              <w:pStyle w:val="Tabletext"/>
              <w:keepNext w:val="0"/>
              <w:spacing w:before="0" w:after="0"/>
              <w:jc w:val="center"/>
            </w:pPr>
            <w:r w:rsidRPr="001159D0">
              <w:t xml:space="preserve">(Jan 2010 - </w:t>
            </w:r>
          </w:p>
          <w:p w14:paraId="65786A6F" w14:textId="77777777" w:rsidR="007A7495" w:rsidRPr="001159D0" w:rsidRDefault="007A7495" w:rsidP="00A96C12">
            <w:pPr>
              <w:pStyle w:val="Tabletext"/>
              <w:keepNext w:val="0"/>
              <w:spacing w:before="0" w:after="0"/>
              <w:jc w:val="center"/>
            </w:pPr>
            <w:r w:rsidRPr="001159D0">
              <w:t>Dec 2016).</w:t>
            </w:r>
          </w:p>
        </w:tc>
        <w:tc>
          <w:tcPr>
            <w:tcW w:w="288" w:type="pct"/>
            <w:shd w:val="clear" w:color="auto" w:fill="auto"/>
            <w:vAlign w:val="center"/>
          </w:tcPr>
          <w:p w14:paraId="579811A5" w14:textId="77777777" w:rsidR="007A7495" w:rsidRPr="001159D0" w:rsidRDefault="007A7495" w:rsidP="00A96C12">
            <w:pPr>
              <w:pStyle w:val="Tabletext"/>
              <w:keepNext w:val="0"/>
              <w:spacing w:before="0" w:after="0"/>
              <w:jc w:val="center"/>
            </w:pPr>
            <w:r w:rsidRPr="001159D0">
              <w:t>High</w:t>
            </w:r>
          </w:p>
        </w:tc>
        <w:tc>
          <w:tcPr>
            <w:tcW w:w="1273" w:type="pct"/>
            <w:shd w:val="clear" w:color="auto" w:fill="auto"/>
            <w:vAlign w:val="center"/>
          </w:tcPr>
          <w:p w14:paraId="45A9A96C" w14:textId="63166A19" w:rsidR="007A7495" w:rsidRPr="001159D0" w:rsidRDefault="007A7495" w:rsidP="00A96C12">
            <w:pPr>
              <w:pStyle w:val="Tabletext"/>
              <w:keepNext w:val="0"/>
              <w:spacing w:before="0" w:after="0"/>
              <w:jc w:val="center"/>
              <w:rPr>
                <w:rFonts w:cs="Calibri"/>
                <w:color w:val="000000"/>
              </w:rPr>
            </w:pPr>
            <w:r w:rsidRPr="001159D0">
              <w:rPr>
                <w:rFonts w:cs="Calibri"/>
                <w:color w:val="000000"/>
              </w:rPr>
              <w:t>Stable CKD (eGFR</w:t>
            </w:r>
            <w:r w:rsidR="00BA6386" w:rsidRPr="001159D0">
              <w:rPr>
                <w:rFonts w:cs="Calibri"/>
                <w:color w:val="000000"/>
              </w:rPr>
              <w:t xml:space="preserve"> </w:t>
            </w:r>
            <w:r w:rsidRPr="001159D0">
              <w:rPr>
                <w:rFonts w:cs="Calibri"/>
                <w:color w:val="000000"/>
              </w:rPr>
              <w:t>≤60</w:t>
            </w:r>
            <w:r w:rsidR="00126C75" w:rsidRPr="001159D0">
              <w:rPr>
                <w:rFonts w:cs="Calibri"/>
                <w:color w:val="000000"/>
              </w:rPr>
              <w:t> mL</w:t>
            </w:r>
            <w:r w:rsidRPr="001159D0">
              <w:rPr>
                <w:rFonts w:cs="Calibri"/>
                <w:color w:val="000000"/>
              </w:rPr>
              <w:t>/min/1.73 m</w:t>
            </w:r>
            <w:r w:rsidRPr="001159D0">
              <w:rPr>
                <w:rFonts w:cs="Calibri"/>
                <w:color w:val="000000"/>
                <w:vertAlign w:val="superscript"/>
              </w:rPr>
              <w:t>2</w:t>
            </w:r>
            <w:r w:rsidRPr="001159D0">
              <w:rPr>
                <w:rFonts w:cs="Calibri"/>
                <w:color w:val="000000"/>
              </w:rPr>
              <w:t>),</w:t>
            </w:r>
          </w:p>
          <w:p w14:paraId="504B50CC" w14:textId="1876E079" w:rsidR="007A7495" w:rsidRPr="001159D0" w:rsidRDefault="007A7495" w:rsidP="00420679">
            <w:pPr>
              <w:pStyle w:val="Tabletext"/>
              <w:keepNext w:val="0"/>
              <w:spacing w:before="0" w:after="0"/>
              <w:jc w:val="center"/>
              <w:rPr>
                <w:rFonts w:cs="Calibri"/>
                <w:color w:val="000000"/>
              </w:rPr>
            </w:pPr>
            <w:r w:rsidRPr="001159D0">
              <w:rPr>
                <w:rFonts w:cs="Calibri"/>
                <w:color w:val="000000"/>
              </w:rPr>
              <w:t>K+ ≥5.5</w:t>
            </w:r>
            <w:r w:rsidR="000C73DA" w:rsidRPr="001159D0">
              <w:rPr>
                <w:rFonts w:cs="Calibri"/>
                <w:color w:val="000000"/>
              </w:rPr>
              <w:t> mmol</w:t>
            </w:r>
            <w:r w:rsidRPr="001159D0">
              <w:rPr>
                <w:rFonts w:cs="Calibri"/>
                <w:color w:val="000000"/>
              </w:rPr>
              <w:t>/L,</w:t>
            </w:r>
            <w:r w:rsidR="00420679" w:rsidRPr="001159D0">
              <w:rPr>
                <w:rFonts w:cs="Calibri"/>
                <w:color w:val="000000"/>
              </w:rPr>
              <w:t xml:space="preserve"> t</w:t>
            </w:r>
            <w:r w:rsidRPr="001159D0">
              <w:rPr>
                <w:rFonts w:cs="Calibri"/>
                <w:color w:val="000000"/>
              </w:rPr>
              <w:t>reated with low-dose SPS.</w:t>
            </w:r>
          </w:p>
        </w:tc>
        <w:tc>
          <w:tcPr>
            <w:tcW w:w="897" w:type="pct"/>
            <w:shd w:val="clear" w:color="auto" w:fill="auto"/>
            <w:vAlign w:val="center"/>
          </w:tcPr>
          <w:p w14:paraId="74677773" w14:textId="77777777" w:rsidR="007A7495" w:rsidRPr="001159D0" w:rsidRDefault="007A7495" w:rsidP="00A96C12">
            <w:pPr>
              <w:pStyle w:val="Tabletext"/>
              <w:keepNext w:val="0"/>
              <w:spacing w:before="0" w:after="0"/>
              <w:jc w:val="center"/>
            </w:pPr>
            <w:r w:rsidRPr="001159D0">
              <w:t xml:space="preserve">Change in serum electrolytes, </w:t>
            </w:r>
          </w:p>
          <w:p w14:paraId="405E72B6" w14:textId="2247A53E" w:rsidR="007A7495" w:rsidRPr="001159D0" w:rsidRDefault="0015065D" w:rsidP="00A96C12">
            <w:pPr>
              <w:pStyle w:val="Tabletext"/>
              <w:keepNext w:val="0"/>
              <w:spacing w:before="0" w:after="0"/>
              <w:jc w:val="center"/>
            </w:pPr>
            <w:r w:rsidRPr="001159D0">
              <w:t>s</w:t>
            </w:r>
            <w:r w:rsidR="007A7495" w:rsidRPr="001159D0">
              <w:t>erious adverse events.</w:t>
            </w:r>
          </w:p>
        </w:tc>
        <w:tc>
          <w:tcPr>
            <w:tcW w:w="791" w:type="pct"/>
            <w:shd w:val="clear" w:color="auto" w:fill="auto"/>
            <w:vAlign w:val="center"/>
          </w:tcPr>
          <w:p w14:paraId="02637462" w14:textId="77777777" w:rsidR="007A7495" w:rsidRPr="001159D0" w:rsidRDefault="007A7495" w:rsidP="00A96C12">
            <w:pPr>
              <w:pStyle w:val="Tabletext"/>
              <w:keepNext w:val="0"/>
              <w:spacing w:before="0" w:after="0"/>
              <w:jc w:val="center"/>
            </w:pPr>
            <w:r w:rsidRPr="001159D0">
              <w:t>Not used.</w:t>
            </w:r>
          </w:p>
        </w:tc>
      </w:tr>
      <w:tr w:rsidR="00B63238" w:rsidRPr="001159D0" w14:paraId="7D6B6E30" w14:textId="77777777" w:rsidTr="006B71ED">
        <w:trPr>
          <w:cantSplit/>
        </w:trPr>
        <w:tc>
          <w:tcPr>
            <w:tcW w:w="855" w:type="pct"/>
            <w:shd w:val="clear" w:color="auto" w:fill="auto"/>
            <w:vAlign w:val="center"/>
          </w:tcPr>
          <w:p w14:paraId="5A699EBA" w14:textId="77777777" w:rsidR="007A7495" w:rsidRPr="001159D0" w:rsidRDefault="007A7495" w:rsidP="00A96C12">
            <w:pPr>
              <w:pStyle w:val="Tabletext"/>
              <w:keepNext w:val="0"/>
              <w:spacing w:before="0" w:after="0"/>
            </w:pPr>
            <w:r w:rsidRPr="001159D0">
              <w:t>Laureati 2020</w:t>
            </w:r>
          </w:p>
        </w:tc>
        <w:tc>
          <w:tcPr>
            <w:tcW w:w="259" w:type="pct"/>
            <w:shd w:val="clear" w:color="auto" w:fill="auto"/>
            <w:vAlign w:val="center"/>
          </w:tcPr>
          <w:p w14:paraId="20FB31FE" w14:textId="7D27A922" w:rsidR="007A7495" w:rsidRPr="001159D0" w:rsidRDefault="007A7495" w:rsidP="00A96C12">
            <w:pPr>
              <w:pStyle w:val="Tabletext"/>
              <w:keepNext w:val="0"/>
              <w:spacing w:before="0" w:after="0"/>
              <w:jc w:val="center"/>
            </w:pPr>
            <w:r w:rsidRPr="001159D0">
              <w:t>3</w:t>
            </w:r>
            <w:r w:rsidR="00DC0305" w:rsidRPr="001159D0">
              <w:t>,</w:t>
            </w:r>
            <w:r w:rsidRPr="001159D0">
              <w:t>690</w:t>
            </w:r>
          </w:p>
        </w:tc>
        <w:tc>
          <w:tcPr>
            <w:tcW w:w="637" w:type="pct"/>
            <w:shd w:val="clear" w:color="auto" w:fill="auto"/>
            <w:vAlign w:val="center"/>
          </w:tcPr>
          <w:p w14:paraId="5FB9B0BE" w14:textId="77777777" w:rsidR="007A7495" w:rsidRPr="001159D0" w:rsidRDefault="007A7495" w:rsidP="00A96C12">
            <w:pPr>
              <w:pStyle w:val="Tabletext"/>
              <w:keepNext w:val="0"/>
              <w:spacing w:before="0" w:after="0"/>
              <w:jc w:val="center"/>
            </w:pPr>
            <w:r w:rsidRPr="001159D0">
              <w:t>Retrospective cohort study,</w:t>
            </w:r>
          </w:p>
          <w:p w14:paraId="71BE5032" w14:textId="77777777" w:rsidR="007A7495" w:rsidRPr="001159D0" w:rsidRDefault="007A7495" w:rsidP="00A96C12">
            <w:pPr>
              <w:pStyle w:val="Tabletext"/>
              <w:keepNext w:val="0"/>
              <w:spacing w:before="0" w:after="0"/>
              <w:jc w:val="center"/>
            </w:pPr>
            <w:r w:rsidRPr="001159D0">
              <w:t>11 years</w:t>
            </w:r>
          </w:p>
          <w:p w14:paraId="2D1792F0" w14:textId="77777777" w:rsidR="007A7495" w:rsidRPr="001159D0" w:rsidRDefault="007A7495" w:rsidP="00A96C12">
            <w:pPr>
              <w:pStyle w:val="Tabletext"/>
              <w:keepNext w:val="0"/>
              <w:spacing w:before="0" w:after="0"/>
              <w:jc w:val="center"/>
            </w:pPr>
            <w:r w:rsidRPr="001159D0">
              <w:t xml:space="preserve">(Jan 2006 - </w:t>
            </w:r>
          </w:p>
          <w:p w14:paraId="7C6CD5EE" w14:textId="77777777" w:rsidR="007A7495" w:rsidRPr="001159D0" w:rsidRDefault="007A7495" w:rsidP="00A96C12">
            <w:pPr>
              <w:pStyle w:val="Tabletext"/>
              <w:keepNext w:val="0"/>
              <w:spacing w:before="0" w:after="0"/>
              <w:jc w:val="center"/>
            </w:pPr>
            <w:r w:rsidRPr="001159D0">
              <w:t>Dec 2016).</w:t>
            </w:r>
          </w:p>
        </w:tc>
        <w:tc>
          <w:tcPr>
            <w:tcW w:w="288" w:type="pct"/>
            <w:shd w:val="clear" w:color="auto" w:fill="auto"/>
            <w:vAlign w:val="center"/>
          </w:tcPr>
          <w:p w14:paraId="7657F602" w14:textId="77777777" w:rsidR="007A7495" w:rsidRPr="001159D0" w:rsidRDefault="007A7495" w:rsidP="00A96C12">
            <w:pPr>
              <w:pStyle w:val="Tabletext"/>
              <w:keepNext w:val="0"/>
              <w:spacing w:before="0" w:after="0"/>
              <w:jc w:val="center"/>
            </w:pPr>
            <w:r w:rsidRPr="001159D0">
              <w:t>High</w:t>
            </w:r>
          </w:p>
        </w:tc>
        <w:tc>
          <w:tcPr>
            <w:tcW w:w="1273" w:type="pct"/>
            <w:shd w:val="clear" w:color="auto" w:fill="auto"/>
            <w:vAlign w:val="center"/>
          </w:tcPr>
          <w:p w14:paraId="27858FF5" w14:textId="77777777" w:rsidR="007A7495" w:rsidRPr="001159D0" w:rsidRDefault="007A7495" w:rsidP="00A96C12">
            <w:pPr>
              <w:pStyle w:val="Tabletext"/>
              <w:spacing w:before="0" w:after="0"/>
              <w:jc w:val="center"/>
              <w:rPr>
                <w:rFonts w:cs="Calibri"/>
                <w:color w:val="000000"/>
              </w:rPr>
            </w:pPr>
            <w:r w:rsidRPr="001159D0">
              <w:rPr>
                <w:rFonts w:cs="Calibri"/>
                <w:color w:val="000000"/>
              </w:rPr>
              <w:t>Adult participants in the Swedish</w:t>
            </w:r>
          </w:p>
          <w:p w14:paraId="7038BC63" w14:textId="562A26CC" w:rsidR="007A7495" w:rsidRPr="001159D0" w:rsidRDefault="007A7495" w:rsidP="00420679">
            <w:pPr>
              <w:pStyle w:val="Tabletext"/>
              <w:keepNext w:val="0"/>
              <w:spacing w:before="0" w:after="0"/>
              <w:jc w:val="center"/>
              <w:rPr>
                <w:rFonts w:cs="Calibri"/>
                <w:color w:val="000000"/>
              </w:rPr>
            </w:pPr>
            <w:r w:rsidRPr="001159D0">
              <w:rPr>
                <w:rFonts w:cs="Calibri"/>
                <w:color w:val="000000"/>
              </w:rPr>
              <w:t>Renal Registry,</w:t>
            </w:r>
            <w:r w:rsidR="00420679" w:rsidRPr="001159D0">
              <w:rPr>
                <w:rFonts w:cs="Calibri"/>
                <w:color w:val="000000"/>
              </w:rPr>
              <w:t xml:space="preserve"> </w:t>
            </w:r>
            <w:r w:rsidRPr="001159D0">
              <w:rPr>
                <w:rFonts w:cs="Calibri"/>
                <w:color w:val="000000"/>
              </w:rPr>
              <w:t>CKD Stage 3-5 including dialysis</w:t>
            </w:r>
            <w:r w:rsidR="00420679" w:rsidRPr="001159D0">
              <w:rPr>
                <w:rFonts w:cs="Calibri"/>
                <w:color w:val="000000"/>
              </w:rPr>
              <w:t xml:space="preserve"> </w:t>
            </w:r>
            <w:r w:rsidRPr="001159D0">
              <w:rPr>
                <w:rFonts w:cs="Calibri"/>
                <w:color w:val="000000"/>
              </w:rPr>
              <w:t>(eGFR ≤30</w:t>
            </w:r>
            <w:r w:rsidR="00126C75" w:rsidRPr="001159D0">
              <w:rPr>
                <w:rFonts w:cs="Calibri"/>
                <w:color w:val="000000"/>
              </w:rPr>
              <w:t> mL</w:t>
            </w:r>
            <w:r w:rsidRPr="001159D0">
              <w:rPr>
                <w:rFonts w:cs="Calibri"/>
                <w:color w:val="000000"/>
              </w:rPr>
              <w:t>/min/1.73 m</w:t>
            </w:r>
            <w:r w:rsidRPr="001159D0">
              <w:rPr>
                <w:rFonts w:cs="Calibri"/>
                <w:color w:val="000000"/>
                <w:vertAlign w:val="superscript"/>
              </w:rPr>
              <w:t>2</w:t>
            </w:r>
            <w:r w:rsidRPr="001159D0">
              <w:rPr>
                <w:rFonts w:cs="Calibri"/>
                <w:color w:val="000000"/>
              </w:rPr>
              <w:t>),</w:t>
            </w:r>
            <w:r w:rsidR="00420679" w:rsidRPr="001159D0">
              <w:rPr>
                <w:rFonts w:cs="Calibri"/>
                <w:color w:val="000000"/>
              </w:rPr>
              <w:t xml:space="preserve"> t</w:t>
            </w:r>
            <w:r w:rsidRPr="001159D0">
              <w:rPr>
                <w:rFonts w:cs="Calibri"/>
                <w:color w:val="000000"/>
              </w:rPr>
              <w:t>reated with SPS,</w:t>
            </w:r>
            <w:r w:rsidR="00420679" w:rsidRPr="001159D0">
              <w:rPr>
                <w:rFonts w:cs="Calibri"/>
                <w:color w:val="000000"/>
              </w:rPr>
              <w:t xml:space="preserve"> p</w:t>
            </w:r>
            <w:r w:rsidRPr="001159D0">
              <w:rPr>
                <w:rFonts w:cs="Calibri"/>
                <w:color w:val="000000"/>
              </w:rPr>
              <w:t>rior SPS or sorbitol use excluded.</w:t>
            </w:r>
          </w:p>
        </w:tc>
        <w:tc>
          <w:tcPr>
            <w:tcW w:w="897" w:type="pct"/>
            <w:shd w:val="clear" w:color="auto" w:fill="auto"/>
            <w:vAlign w:val="center"/>
          </w:tcPr>
          <w:p w14:paraId="59B04FD8" w14:textId="1A93D4D9" w:rsidR="007A7495" w:rsidRPr="001159D0" w:rsidRDefault="007A7495" w:rsidP="00A96C12">
            <w:pPr>
              <w:pStyle w:val="Tabletext"/>
              <w:keepNext w:val="0"/>
              <w:spacing w:before="0" w:after="0"/>
              <w:jc w:val="center"/>
            </w:pPr>
            <w:r w:rsidRPr="001159D0">
              <w:t>Hospitalisation or death</w:t>
            </w:r>
            <w:r w:rsidR="00B63238" w:rsidRPr="001159D0">
              <w:t xml:space="preserve"> </w:t>
            </w:r>
            <w:r w:rsidRPr="001159D0">
              <w:t>due to a severe GI adverse event,</w:t>
            </w:r>
          </w:p>
          <w:p w14:paraId="3896DBDD" w14:textId="2466561B" w:rsidR="007A7495" w:rsidRPr="001159D0" w:rsidRDefault="0015065D" w:rsidP="00B63238">
            <w:pPr>
              <w:pStyle w:val="Tabletext"/>
              <w:keepNext w:val="0"/>
              <w:spacing w:before="0" w:after="0"/>
              <w:jc w:val="center"/>
            </w:pPr>
            <w:r w:rsidRPr="001159D0">
              <w:t>m</w:t>
            </w:r>
            <w:r w:rsidR="007A7495" w:rsidRPr="001159D0">
              <w:t>inor GI adverse events,</w:t>
            </w:r>
            <w:r w:rsidR="00B63238" w:rsidRPr="001159D0">
              <w:t xml:space="preserve"> </w:t>
            </w:r>
            <w:r w:rsidRPr="001159D0">
              <w:t>p</w:t>
            </w:r>
            <w:r w:rsidR="007A7495" w:rsidRPr="001159D0">
              <w:t>atterns of SPS use.</w:t>
            </w:r>
          </w:p>
        </w:tc>
        <w:tc>
          <w:tcPr>
            <w:tcW w:w="791" w:type="pct"/>
            <w:shd w:val="clear" w:color="auto" w:fill="auto"/>
            <w:vAlign w:val="center"/>
          </w:tcPr>
          <w:p w14:paraId="0E7D712C" w14:textId="77777777" w:rsidR="007A7495" w:rsidRPr="001159D0" w:rsidRDefault="007A7495" w:rsidP="00A96C12">
            <w:pPr>
              <w:pStyle w:val="Tabletext"/>
              <w:keepNext w:val="0"/>
              <w:spacing w:before="0" w:after="0"/>
              <w:jc w:val="center"/>
            </w:pPr>
            <w:r w:rsidRPr="001159D0">
              <w:t>Not used.</w:t>
            </w:r>
          </w:p>
        </w:tc>
      </w:tr>
      <w:tr w:rsidR="00B63238" w:rsidRPr="001159D0" w14:paraId="030CEA97" w14:textId="77777777" w:rsidTr="006B71ED">
        <w:trPr>
          <w:cantSplit/>
        </w:trPr>
        <w:tc>
          <w:tcPr>
            <w:tcW w:w="855" w:type="pct"/>
            <w:shd w:val="clear" w:color="auto" w:fill="auto"/>
            <w:vAlign w:val="center"/>
          </w:tcPr>
          <w:p w14:paraId="1D6F1309" w14:textId="77777777" w:rsidR="007A7495" w:rsidRPr="001159D0" w:rsidRDefault="007A7495" w:rsidP="00A96C12">
            <w:pPr>
              <w:pStyle w:val="Tabletext"/>
              <w:keepNext w:val="0"/>
              <w:spacing w:before="0" w:after="0"/>
            </w:pPr>
            <w:r w:rsidRPr="001159D0">
              <w:t>Li 2013</w:t>
            </w:r>
          </w:p>
        </w:tc>
        <w:tc>
          <w:tcPr>
            <w:tcW w:w="259" w:type="pct"/>
            <w:shd w:val="clear" w:color="auto" w:fill="auto"/>
            <w:vAlign w:val="center"/>
          </w:tcPr>
          <w:p w14:paraId="493A13D0" w14:textId="77777777" w:rsidR="007A7495" w:rsidRPr="001159D0" w:rsidRDefault="007A7495" w:rsidP="00A96C12">
            <w:pPr>
              <w:pStyle w:val="Tabletext"/>
              <w:keepNext w:val="0"/>
              <w:spacing w:before="0" w:after="0"/>
              <w:jc w:val="center"/>
            </w:pPr>
            <w:r w:rsidRPr="001159D0">
              <w:t>98</w:t>
            </w:r>
          </w:p>
        </w:tc>
        <w:tc>
          <w:tcPr>
            <w:tcW w:w="637" w:type="pct"/>
            <w:shd w:val="clear" w:color="auto" w:fill="auto"/>
            <w:vAlign w:val="center"/>
          </w:tcPr>
          <w:p w14:paraId="541700B5" w14:textId="77777777" w:rsidR="007A7495" w:rsidRPr="001159D0" w:rsidRDefault="007A7495" w:rsidP="00A96C12">
            <w:pPr>
              <w:pStyle w:val="Tabletext"/>
              <w:keepNext w:val="0"/>
              <w:spacing w:before="0" w:after="0"/>
              <w:jc w:val="center"/>
            </w:pPr>
            <w:r w:rsidRPr="001159D0">
              <w:t>SA, OL, MC</w:t>
            </w:r>
          </w:p>
          <w:p w14:paraId="1182FA0C" w14:textId="77777777" w:rsidR="007A7495" w:rsidRPr="001159D0" w:rsidRDefault="007A7495" w:rsidP="00A96C12">
            <w:pPr>
              <w:pStyle w:val="Tabletext"/>
              <w:keepNext w:val="0"/>
              <w:spacing w:before="0" w:after="0"/>
              <w:jc w:val="center"/>
            </w:pPr>
            <w:r w:rsidRPr="001159D0">
              <w:t>1 week.</w:t>
            </w:r>
          </w:p>
          <w:p w14:paraId="68BF4D1D" w14:textId="77777777" w:rsidR="007A7495" w:rsidRPr="001159D0" w:rsidRDefault="007A7495" w:rsidP="00A96C12">
            <w:pPr>
              <w:pStyle w:val="Tabletext"/>
              <w:keepNext w:val="0"/>
              <w:spacing w:before="0" w:after="0"/>
              <w:jc w:val="center"/>
            </w:pPr>
            <w:r w:rsidRPr="001159D0">
              <w:t>(Sept 2011 - Jun 2012).</w:t>
            </w:r>
          </w:p>
        </w:tc>
        <w:tc>
          <w:tcPr>
            <w:tcW w:w="288" w:type="pct"/>
            <w:shd w:val="clear" w:color="auto" w:fill="auto"/>
            <w:vAlign w:val="center"/>
          </w:tcPr>
          <w:p w14:paraId="0DFE3891" w14:textId="77777777" w:rsidR="007A7495" w:rsidRPr="001159D0" w:rsidRDefault="007A7495" w:rsidP="00A96C12">
            <w:pPr>
              <w:pStyle w:val="Tabletext"/>
              <w:keepNext w:val="0"/>
              <w:spacing w:before="0" w:after="0"/>
              <w:jc w:val="center"/>
            </w:pPr>
            <w:r w:rsidRPr="001159D0">
              <w:t>High</w:t>
            </w:r>
          </w:p>
        </w:tc>
        <w:tc>
          <w:tcPr>
            <w:tcW w:w="1273" w:type="pct"/>
            <w:shd w:val="clear" w:color="auto" w:fill="auto"/>
            <w:vAlign w:val="center"/>
          </w:tcPr>
          <w:p w14:paraId="7AE048E2" w14:textId="513E515B" w:rsidR="007A7495" w:rsidRPr="001159D0" w:rsidRDefault="007A7495" w:rsidP="00A96C12">
            <w:pPr>
              <w:pStyle w:val="Tabletext"/>
              <w:keepNext w:val="0"/>
              <w:spacing w:before="0" w:after="0"/>
              <w:jc w:val="center"/>
              <w:rPr>
                <w:rFonts w:cs="Calibri"/>
                <w:color w:val="000000"/>
              </w:rPr>
            </w:pPr>
            <w:r w:rsidRPr="001159D0">
              <w:rPr>
                <w:rFonts w:cs="Calibri"/>
                <w:color w:val="000000"/>
              </w:rPr>
              <w:t>Adults 18</w:t>
            </w:r>
            <w:r w:rsidRPr="001159D0">
              <w:rPr>
                <w:rFonts w:ascii="Cambria Math" w:hAnsi="Cambria Math" w:cs="Cambria Math"/>
                <w:color w:val="000000"/>
              </w:rPr>
              <w:t>-</w:t>
            </w:r>
            <w:r w:rsidRPr="001159D0">
              <w:rPr>
                <w:rFonts w:cs="Calibri"/>
                <w:color w:val="000000"/>
              </w:rPr>
              <w:t>65 years,</w:t>
            </w:r>
            <w:r w:rsidR="00420679" w:rsidRPr="001159D0">
              <w:rPr>
                <w:rFonts w:cs="Calibri"/>
                <w:color w:val="000000"/>
              </w:rPr>
              <w:t xml:space="preserve"> </w:t>
            </w:r>
            <w:r w:rsidRPr="001159D0">
              <w:rPr>
                <w:rFonts w:cs="Calibri"/>
                <w:color w:val="000000"/>
              </w:rPr>
              <w:t>CKD</w:t>
            </w:r>
            <w:r w:rsidR="00420679" w:rsidRPr="001159D0">
              <w:rPr>
                <w:rFonts w:cs="Calibri"/>
                <w:color w:val="000000"/>
              </w:rPr>
              <w:t xml:space="preserve">, </w:t>
            </w:r>
            <w:r w:rsidRPr="001159D0">
              <w:rPr>
                <w:rFonts w:cs="Calibri"/>
                <w:color w:val="000000"/>
              </w:rPr>
              <w:t>K+ 5.5</w:t>
            </w:r>
            <w:r w:rsidRPr="001159D0">
              <w:rPr>
                <w:rFonts w:ascii="Cambria Math" w:hAnsi="Cambria Math" w:cs="Cambria Math"/>
                <w:color w:val="000000"/>
              </w:rPr>
              <w:t>-</w:t>
            </w:r>
            <w:r w:rsidRPr="001159D0">
              <w:rPr>
                <w:rFonts w:cs="Calibri"/>
                <w:color w:val="000000"/>
              </w:rPr>
              <w:t>6.5</w:t>
            </w:r>
            <w:r w:rsidR="000C73DA" w:rsidRPr="001159D0">
              <w:rPr>
                <w:rFonts w:cs="Calibri"/>
                <w:color w:val="000000"/>
              </w:rPr>
              <w:t> mmol</w:t>
            </w:r>
            <w:r w:rsidRPr="001159D0">
              <w:rPr>
                <w:rFonts w:cs="Calibri"/>
                <w:color w:val="000000"/>
              </w:rPr>
              <w:t>/L,</w:t>
            </w:r>
            <w:r w:rsidR="00420679" w:rsidRPr="001159D0">
              <w:rPr>
                <w:rFonts w:cs="Calibri"/>
                <w:color w:val="000000"/>
              </w:rPr>
              <w:t xml:space="preserve"> t</w:t>
            </w:r>
            <w:r w:rsidRPr="001159D0">
              <w:rPr>
                <w:rFonts w:cs="Calibri"/>
                <w:color w:val="000000"/>
              </w:rPr>
              <w:t>reated with CPS,</w:t>
            </w:r>
          </w:p>
          <w:p w14:paraId="0959064F" w14:textId="203288B9" w:rsidR="007A7495" w:rsidRPr="001159D0" w:rsidRDefault="00420679" w:rsidP="00A96C12">
            <w:pPr>
              <w:pStyle w:val="Tabletext"/>
              <w:keepNext w:val="0"/>
              <w:spacing w:before="0" w:after="0"/>
              <w:jc w:val="center"/>
            </w:pPr>
            <w:r w:rsidRPr="001159D0">
              <w:t>d</w:t>
            </w:r>
            <w:r w:rsidR="007A7495" w:rsidRPr="001159D0">
              <w:t>ialysis excluded.</w:t>
            </w:r>
          </w:p>
        </w:tc>
        <w:tc>
          <w:tcPr>
            <w:tcW w:w="897" w:type="pct"/>
            <w:shd w:val="clear" w:color="auto" w:fill="auto"/>
            <w:vAlign w:val="center"/>
          </w:tcPr>
          <w:p w14:paraId="3753B015" w14:textId="77777777" w:rsidR="007A7495" w:rsidRPr="001159D0" w:rsidRDefault="007A7495" w:rsidP="00A96C12">
            <w:pPr>
              <w:pStyle w:val="Tabletext"/>
              <w:keepNext w:val="0"/>
              <w:spacing w:before="0" w:after="0"/>
              <w:jc w:val="center"/>
            </w:pPr>
            <w:r w:rsidRPr="001159D0">
              <w:t>Change in serum K+,</w:t>
            </w:r>
          </w:p>
          <w:p w14:paraId="2096F5FD" w14:textId="513168E3" w:rsidR="007A7495" w:rsidRPr="001159D0" w:rsidRDefault="0015065D" w:rsidP="00A96C12">
            <w:pPr>
              <w:pStyle w:val="Tabletext"/>
              <w:keepNext w:val="0"/>
              <w:spacing w:before="0" w:after="0"/>
              <w:jc w:val="center"/>
            </w:pPr>
            <w:r w:rsidRPr="001159D0">
              <w:t>a</w:t>
            </w:r>
            <w:r w:rsidR="007A7495" w:rsidRPr="001159D0">
              <w:t>dverse events.</w:t>
            </w:r>
          </w:p>
          <w:p w14:paraId="5A67B503" w14:textId="77777777" w:rsidR="007A7495" w:rsidRPr="001159D0" w:rsidRDefault="007A7495" w:rsidP="00A96C12">
            <w:pPr>
              <w:pStyle w:val="Tabletext"/>
              <w:keepNext w:val="0"/>
              <w:spacing w:before="0" w:after="0"/>
              <w:jc w:val="center"/>
            </w:pPr>
          </w:p>
        </w:tc>
        <w:tc>
          <w:tcPr>
            <w:tcW w:w="791" w:type="pct"/>
            <w:shd w:val="clear" w:color="auto" w:fill="auto"/>
            <w:vAlign w:val="center"/>
          </w:tcPr>
          <w:p w14:paraId="57982694" w14:textId="77777777" w:rsidR="007A7495" w:rsidRPr="001159D0" w:rsidRDefault="007A7495" w:rsidP="00A96C12">
            <w:pPr>
              <w:pStyle w:val="Tabletext"/>
              <w:keepNext w:val="0"/>
              <w:spacing w:before="0" w:after="0"/>
              <w:jc w:val="center"/>
            </w:pPr>
            <w:r w:rsidRPr="001159D0">
              <w:t>Not used.</w:t>
            </w:r>
          </w:p>
        </w:tc>
      </w:tr>
      <w:tr w:rsidR="00B63238" w:rsidRPr="001159D0" w14:paraId="1874CF00" w14:textId="77777777" w:rsidTr="006B71ED">
        <w:trPr>
          <w:cantSplit/>
        </w:trPr>
        <w:tc>
          <w:tcPr>
            <w:tcW w:w="855" w:type="pct"/>
            <w:shd w:val="clear" w:color="auto" w:fill="auto"/>
            <w:vAlign w:val="center"/>
          </w:tcPr>
          <w:p w14:paraId="219048C5" w14:textId="77777777" w:rsidR="007A7495" w:rsidRPr="001159D0" w:rsidRDefault="007A7495" w:rsidP="00A96C12">
            <w:pPr>
              <w:pStyle w:val="Tabletext"/>
              <w:keepNext w:val="0"/>
              <w:spacing w:before="0" w:after="0"/>
            </w:pPr>
            <w:r w:rsidRPr="001159D0">
              <w:t>Yu 2017</w:t>
            </w:r>
          </w:p>
        </w:tc>
        <w:tc>
          <w:tcPr>
            <w:tcW w:w="259" w:type="pct"/>
            <w:shd w:val="clear" w:color="auto" w:fill="auto"/>
            <w:vAlign w:val="center"/>
          </w:tcPr>
          <w:p w14:paraId="374483F6" w14:textId="77777777" w:rsidR="007A7495" w:rsidRPr="001159D0" w:rsidRDefault="007A7495" w:rsidP="00A96C12">
            <w:pPr>
              <w:pStyle w:val="Tabletext"/>
              <w:keepNext w:val="0"/>
              <w:spacing w:before="0" w:after="0"/>
              <w:jc w:val="center"/>
            </w:pPr>
            <w:r w:rsidRPr="001159D0">
              <w:t>247</w:t>
            </w:r>
          </w:p>
        </w:tc>
        <w:tc>
          <w:tcPr>
            <w:tcW w:w="637" w:type="pct"/>
            <w:shd w:val="clear" w:color="auto" w:fill="auto"/>
            <w:vAlign w:val="center"/>
          </w:tcPr>
          <w:p w14:paraId="5A874F67" w14:textId="77777777" w:rsidR="007A7495" w:rsidRPr="001159D0" w:rsidRDefault="007A7495" w:rsidP="00A96C12">
            <w:pPr>
              <w:pStyle w:val="Tabletext"/>
              <w:keepNext w:val="0"/>
              <w:spacing w:before="0" w:after="0"/>
              <w:jc w:val="center"/>
            </w:pPr>
            <w:r w:rsidRPr="001159D0">
              <w:t>Retrospective case series,</w:t>
            </w:r>
          </w:p>
          <w:p w14:paraId="13FE16DC" w14:textId="77777777" w:rsidR="007A7495" w:rsidRPr="001159D0" w:rsidRDefault="007A7495" w:rsidP="00A96C12">
            <w:pPr>
              <w:pStyle w:val="Tabletext"/>
              <w:keepNext w:val="0"/>
              <w:spacing w:before="0" w:after="0"/>
              <w:jc w:val="center"/>
            </w:pPr>
            <w:r w:rsidRPr="001159D0">
              <w:t>5 years</w:t>
            </w:r>
          </w:p>
          <w:p w14:paraId="15BFB3BE" w14:textId="77777777" w:rsidR="007A7495" w:rsidRPr="001159D0" w:rsidRDefault="007A7495" w:rsidP="00A96C12">
            <w:pPr>
              <w:pStyle w:val="Tabletext"/>
              <w:keepNext w:val="0"/>
              <w:spacing w:before="0" w:after="0"/>
              <w:jc w:val="center"/>
            </w:pPr>
            <w:r w:rsidRPr="001159D0">
              <w:t xml:space="preserve">(Jan 2010 - </w:t>
            </w:r>
          </w:p>
          <w:p w14:paraId="765F2DE0" w14:textId="77777777" w:rsidR="007A7495" w:rsidRPr="001159D0" w:rsidRDefault="007A7495" w:rsidP="00A96C12">
            <w:pPr>
              <w:pStyle w:val="Tabletext"/>
              <w:keepNext w:val="0"/>
              <w:spacing w:before="0" w:after="0"/>
              <w:jc w:val="center"/>
            </w:pPr>
            <w:r w:rsidRPr="001159D0">
              <w:t>Dec 2014).</w:t>
            </w:r>
          </w:p>
        </w:tc>
        <w:tc>
          <w:tcPr>
            <w:tcW w:w="288" w:type="pct"/>
            <w:shd w:val="clear" w:color="auto" w:fill="auto"/>
            <w:vAlign w:val="center"/>
          </w:tcPr>
          <w:p w14:paraId="3C6FF0DF" w14:textId="77777777" w:rsidR="007A7495" w:rsidRPr="001159D0" w:rsidRDefault="007A7495" w:rsidP="00A96C12">
            <w:pPr>
              <w:pStyle w:val="Tabletext"/>
              <w:keepNext w:val="0"/>
              <w:spacing w:before="0" w:after="0"/>
              <w:jc w:val="center"/>
            </w:pPr>
            <w:r w:rsidRPr="001159D0">
              <w:t>High</w:t>
            </w:r>
          </w:p>
        </w:tc>
        <w:tc>
          <w:tcPr>
            <w:tcW w:w="1273" w:type="pct"/>
            <w:shd w:val="clear" w:color="auto" w:fill="auto"/>
            <w:vAlign w:val="center"/>
          </w:tcPr>
          <w:p w14:paraId="4E03A6FE" w14:textId="3CEC234A" w:rsidR="007A7495" w:rsidRPr="001159D0" w:rsidRDefault="007A7495" w:rsidP="00BA6386">
            <w:pPr>
              <w:pStyle w:val="Tabletext"/>
              <w:keepNext w:val="0"/>
              <w:spacing w:before="0" w:after="0"/>
              <w:jc w:val="center"/>
              <w:rPr>
                <w:rFonts w:cs="Calibri"/>
                <w:color w:val="000000"/>
              </w:rPr>
            </w:pPr>
            <w:r w:rsidRPr="001159D0">
              <w:rPr>
                <w:rFonts w:cs="Calibri"/>
                <w:color w:val="000000"/>
              </w:rPr>
              <w:t>Adults &gt; 18 years,</w:t>
            </w:r>
            <w:r w:rsidR="00420679" w:rsidRPr="001159D0">
              <w:rPr>
                <w:rFonts w:cs="Calibri"/>
                <w:color w:val="000000"/>
              </w:rPr>
              <w:t xml:space="preserve"> </w:t>
            </w:r>
            <w:r w:rsidRPr="001159D0">
              <w:rPr>
                <w:rFonts w:cs="Calibri"/>
                <w:color w:val="000000"/>
              </w:rPr>
              <w:t>CKD Stage 4-5</w:t>
            </w:r>
            <w:r w:rsidR="00420679" w:rsidRPr="001159D0">
              <w:rPr>
                <w:rFonts w:cs="Calibri"/>
                <w:color w:val="000000"/>
              </w:rPr>
              <w:t xml:space="preserve">, </w:t>
            </w:r>
            <w:r w:rsidRPr="001159D0">
              <w:rPr>
                <w:rFonts w:cs="Calibri"/>
                <w:color w:val="000000"/>
              </w:rPr>
              <w:t>K+ ≥5.0</w:t>
            </w:r>
            <w:r w:rsidR="000C73DA" w:rsidRPr="001159D0">
              <w:rPr>
                <w:rFonts w:cs="Calibri"/>
                <w:color w:val="000000"/>
              </w:rPr>
              <w:t> mmol</w:t>
            </w:r>
            <w:r w:rsidRPr="001159D0">
              <w:rPr>
                <w:rFonts w:cs="Calibri"/>
                <w:color w:val="000000"/>
              </w:rPr>
              <w:t>/L</w:t>
            </w:r>
            <w:r w:rsidR="00BA6386" w:rsidRPr="001159D0">
              <w:rPr>
                <w:rFonts w:cs="Calibri"/>
                <w:color w:val="000000"/>
              </w:rPr>
              <w:t>, t</w:t>
            </w:r>
            <w:r w:rsidRPr="001159D0">
              <w:rPr>
                <w:rFonts w:cs="Calibri"/>
                <w:color w:val="000000"/>
              </w:rPr>
              <w:t>reated with CPS ≥ 1 week,</w:t>
            </w:r>
            <w:r w:rsidR="00BA6386" w:rsidRPr="001159D0">
              <w:rPr>
                <w:rFonts w:cs="Calibri"/>
                <w:color w:val="000000"/>
              </w:rPr>
              <w:t xml:space="preserve"> p</w:t>
            </w:r>
            <w:r w:rsidRPr="001159D0">
              <w:rPr>
                <w:rFonts w:cs="Calibri"/>
                <w:color w:val="000000"/>
              </w:rPr>
              <w:t>rior CPS use, dialysis, transplant excluded.</w:t>
            </w:r>
          </w:p>
        </w:tc>
        <w:tc>
          <w:tcPr>
            <w:tcW w:w="897" w:type="pct"/>
            <w:shd w:val="clear" w:color="auto" w:fill="auto"/>
            <w:vAlign w:val="center"/>
          </w:tcPr>
          <w:p w14:paraId="7D2A4CCA" w14:textId="77777777" w:rsidR="007A7495" w:rsidRPr="001159D0" w:rsidRDefault="007A7495" w:rsidP="00A96C12">
            <w:pPr>
              <w:pStyle w:val="Tabletext"/>
              <w:keepNext w:val="0"/>
              <w:spacing w:before="0" w:after="0"/>
              <w:jc w:val="center"/>
            </w:pPr>
            <w:r w:rsidRPr="001159D0">
              <w:t>Change in serum K+,</w:t>
            </w:r>
          </w:p>
          <w:p w14:paraId="5AD0DE83" w14:textId="3A10B7AA" w:rsidR="007A7495" w:rsidRPr="001159D0" w:rsidRDefault="0015065D" w:rsidP="00A96C12">
            <w:pPr>
              <w:pStyle w:val="Tabletext"/>
              <w:spacing w:before="0" w:after="0"/>
              <w:jc w:val="center"/>
            </w:pPr>
            <w:r w:rsidRPr="001159D0">
              <w:t>b</w:t>
            </w:r>
            <w:r w:rsidR="007A7495" w:rsidRPr="001159D0">
              <w:t>lood cell count, serum electrolytes, blood urea nitrogen,</w:t>
            </w:r>
            <w:r w:rsidR="00B63238" w:rsidRPr="001159D0">
              <w:t xml:space="preserve"> </w:t>
            </w:r>
            <w:r w:rsidR="007A7495" w:rsidRPr="001159D0">
              <w:t xml:space="preserve">creatinine. </w:t>
            </w:r>
          </w:p>
          <w:p w14:paraId="19F52E9E" w14:textId="0748A1C3" w:rsidR="007A7495" w:rsidRPr="001159D0" w:rsidRDefault="0015065D" w:rsidP="00A96C12">
            <w:pPr>
              <w:pStyle w:val="Tabletext"/>
              <w:keepNext w:val="0"/>
              <w:spacing w:before="0" w:after="0"/>
              <w:jc w:val="center"/>
            </w:pPr>
            <w:r w:rsidRPr="001159D0">
              <w:t>a</w:t>
            </w:r>
            <w:r w:rsidR="007A7495" w:rsidRPr="001159D0">
              <w:t>dverse events.</w:t>
            </w:r>
          </w:p>
        </w:tc>
        <w:tc>
          <w:tcPr>
            <w:tcW w:w="791" w:type="pct"/>
            <w:shd w:val="clear" w:color="auto" w:fill="auto"/>
            <w:vAlign w:val="center"/>
          </w:tcPr>
          <w:p w14:paraId="6E0A33DE" w14:textId="77777777" w:rsidR="007A7495" w:rsidRPr="001159D0" w:rsidRDefault="007A7495" w:rsidP="00A96C12">
            <w:pPr>
              <w:pStyle w:val="Tabletext"/>
              <w:keepNext w:val="0"/>
              <w:spacing w:before="0" w:after="0"/>
              <w:jc w:val="center"/>
            </w:pPr>
            <w:r w:rsidRPr="001159D0">
              <w:t>Not used.</w:t>
            </w:r>
          </w:p>
        </w:tc>
      </w:tr>
    </w:tbl>
    <w:p w14:paraId="5435F682" w14:textId="77777777" w:rsidR="007A7495" w:rsidRPr="001159D0" w:rsidRDefault="007A7495" w:rsidP="00A4154E">
      <w:pPr>
        <w:pStyle w:val="TableFooter"/>
        <w:spacing w:after="120"/>
        <w:contextualSpacing/>
        <w:rPr>
          <w:szCs w:val="18"/>
        </w:rPr>
      </w:pPr>
      <w:r w:rsidRPr="001159D0">
        <w:rPr>
          <w:szCs w:val="18"/>
        </w:rPr>
        <w:t>Source: Section 2.3.1, pp.39-43 of the resubmission.</w:t>
      </w:r>
    </w:p>
    <w:p w14:paraId="353ECC51" w14:textId="77777777" w:rsidR="007A7495" w:rsidRPr="001159D0" w:rsidRDefault="007A7495" w:rsidP="00A4154E">
      <w:pPr>
        <w:pStyle w:val="TableFooter"/>
        <w:spacing w:after="120"/>
        <w:contextualSpacing/>
        <w:rPr>
          <w:szCs w:val="18"/>
        </w:rPr>
      </w:pPr>
      <w:r w:rsidRPr="001159D0">
        <w:rPr>
          <w:szCs w:val="18"/>
        </w:rPr>
        <w:t xml:space="preserve">Abbreviations: CHF, chronic heart failure; CKD, chronic kidney disease; CKDopps, </w:t>
      </w:r>
      <w:r w:rsidRPr="001159D0">
        <w:t xml:space="preserve">CKD Outcomes and Practice Patterns Study; </w:t>
      </w:r>
      <w:r w:rsidRPr="001159D0">
        <w:rPr>
          <w:szCs w:val="18"/>
        </w:rPr>
        <w:t>CPS, Calcium polystyrene sulfonate; DB, double blind; eGFR, estimated glomerular filtration rate; GI, gastrointestinal; HF, heart failure; IHD, ischemic heart disease without heart failure; K+, serum potassium concentration; MC, multi-centre; PC, placebo controlled; OL, open label; OS, overall survival; R, randomised; RAASi, renin angiotensin aldosterone system inhibitor; SA, single arm; SB, single blind; SPS, sodium polystyrene sulfonate; T2D, type 2 diabetes mellitus</w:t>
      </w:r>
    </w:p>
    <w:p w14:paraId="45311944" w14:textId="77777777" w:rsidR="007A7495" w:rsidRPr="001159D0" w:rsidRDefault="007A7495" w:rsidP="00A4154E">
      <w:pPr>
        <w:pStyle w:val="TableFooter"/>
        <w:spacing w:after="120"/>
        <w:contextualSpacing/>
        <w:rPr>
          <w:szCs w:val="18"/>
        </w:rPr>
      </w:pPr>
      <w:r w:rsidRPr="001159D0">
        <w:rPr>
          <w:szCs w:val="18"/>
          <w:vertAlign w:val="superscript"/>
        </w:rPr>
        <w:t>a</w:t>
      </w:r>
      <w:r w:rsidRPr="001159D0">
        <w:rPr>
          <w:szCs w:val="18"/>
        </w:rPr>
        <w:t xml:space="preserve"> Only 10 patients reported CKD Stage 3-4 at baseline. Baseline mean (SD) serum K+ was 4.7 (0.4). Baseline RAASi use reported in 57% of patients in treatment arm, and 33% of patients in control arm.</w:t>
      </w:r>
    </w:p>
    <w:p w14:paraId="07A31761" w14:textId="77777777" w:rsidR="007A7495" w:rsidRPr="001159D0" w:rsidRDefault="007A7495" w:rsidP="00A4154E">
      <w:pPr>
        <w:pStyle w:val="TableFooter"/>
        <w:spacing w:after="120"/>
        <w:contextualSpacing/>
        <w:rPr>
          <w:szCs w:val="18"/>
        </w:rPr>
      </w:pPr>
      <w:r w:rsidRPr="001159D0">
        <w:rPr>
          <w:szCs w:val="18"/>
          <w:vertAlign w:val="superscript"/>
        </w:rPr>
        <w:t>b</w:t>
      </w:r>
      <w:r w:rsidRPr="001159D0">
        <w:rPr>
          <w:szCs w:val="18"/>
        </w:rPr>
        <w:t xml:space="preserve"> CKD stage not reported (n=305). Included patients with acute kidney injury, on dialysis and with renal transplants.</w:t>
      </w:r>
    </w:p>
    <w:p w14:paraId="16C49744" w14:textId="77777777" w:rsidR="007A7495" w:rsidRPr="001159D0" w:rsidRDefault="007A7495" w:rsidP="00A4154E">
      <w:pPr>
        <w:pStyle w:val="TableFooter"/>
        <w:spacing w:after="120"/>
        <w:contextualSpacing/>
        <w:rPr>
          <w:szCs w:val="18"/>
        </w:rPr>
      </w:pPr>
      <w:r w:rsidRPr="001159D0">
        <w:rPr>
          <w:szCs w:val="18"/>
          <w:vertAlign w:val="superscript"/>
        </w:rPr>
        <w:t>c</w:t>
      </w:r>
      <w:r w:rsidRPr="001159D0">
        <w:rPr>
          <w:szCs w:val="18"/>
        </w:rPr>
        <w:t xml:space="preserve"> Perceived adverse events by questionnaire of random sample of participants on dialysis.</w:t>
      </w:r>
    </w:p>
    <w:p w14:paraId="01314B88" w14:textId="41ECACD7" w:rsidR="007A7495" w:rsidRDefault="007A7495" w:rsidP="00A4154E">
      <w:pPr>
        <w:pStyle w:val="TableFooter"/>
        <w:spacing w:after="120"/>
        <w:contextualSpacing/>
        <w:rPr>
          <w:szCs w:val="18"/>
        </w:rPr>
      </w:pPr>
      <w:r w:rsidRPr="001159D0">
        <w:rPr>
          <w:szCs w:val="18"/>
          <w:vertAlign w:val="superscript"/>
        </w:rPr>
        <w:t>d</w:t>
      </w:r>
      <w:r w:rsidRPr="001159D0">
        <w:rPr>
          <w:szCs w:val="18"/>
        </w:rPr>
        <w:t xml:space="preserve"> n = patients treated with patiromer.</w:t>
      </w:r>
    </w:p>
    <w:p w14:paraId="2FAF8674" w14:textId="156461F4" w:rsidR="00223E49" w:rsidRDefault="00223E49" w:rsidP="00223E49">
      <w:pPr>
        <w:pStyle w:val="TableFooter"/>
        <w:rPr>
          <w:rFonts w:asciiTheme="minorHAnsi" w:hAnsiTheme="minorHAnsi" w:cstheme="minorHAnsi"/>
          <w:sz w:val="24"/>
          <w:szCs w:val="24"/>
        </w:rPr>
      </w:pPr>
    </w:p>
    <w:p w14:paraId="74E2692A" w14:textId="4D61B66B" w:rsidR="00223E49" w:rsidRPr="00FF512C" w:rsidRDefault="00223E49" w:rsidP="00223E49">
      <w:pPr>
        <w:pStyle w:val="COMexecsumnumberedpara"/>
        <w:rPr>
          <w:color w:val="0066FF"/>
        </w:rPr>
      </w:pPr>
      <w:r w:rsidRPr="00FF512C">
        <w:t xml:space="preserve">The ESC considered that the risk of bias in all the trials and studies presented </w:t>
      </w:r>
      <w:r w:rsidR="00E0544E" w:rsidRPr="00FF512C">
        <w:t xml:space="preserve">in the resubmission </w:t>
      </w:r>
      <w:r w:rsidRPr="00FF512C">
        <w:t xml:space="preserve">was high. </w:t>
      </w:r>
    </w:p>
    <w:p w14:paraId="5DDBBD03" w14:textId="4BBF66C4" w:rsidR="00223E49" w:rsidRPr="00FF512C" w:rsidRDefault="00223E49" w:rsidP="00223E49">
      <w:pPr>
        <w:pStyle w:val="COMexecsumnumberedpara"/>
        <w:rPr>
          <w:color w:val="0066FF"/>
        </w:rPr>
      </w:pPr>
      <w:r w:rsidRPr="00FF512C">
        <w:t>In terms of the SPS/CPS studies, the ESC noted that neither of the randomised controlled trials (Arnold 2017 and NCT01866709) provided relevant efficacy data</w:t>
      </w:r>
      <w:r w:rsidR="00E0544E" w:rsidRPr="00FF512C">
        <w:t xml:space="preserve">, although </w:t>
      </w:r>
      <w:r w:rsidRPr="00FF512C">
        <w:t>safety data from both trials were presented. The ESC noted that th</w:t>
      </w:r>
      <w:r w:rsidR="00E0544E" w:rsidRPr="00FF512C">
        <w:t xml:space="preserve">e non-randomised studies were retrospective, of low quality (the reporting of participant </w:t>
      </w:r>
      <w:r w:rsidR="00E0544E" w:rsidRPr="00FF512C">
        <w:lastRenderedPageBreak/>
        <w:t>demographic and disease characteristic was frequently incomplete) and that there was substantial heterogeneity between the studies in terms of study design, outcomes, participants, SPS/CPS dose regimens, duration of treatment and RAASi use.</w:t>
      </w:r>
    </w:p>
    <w:p w14:paraId="151DD719" w14:textId="5D5BA9BD" w:rsidR="00854BC7" w:rsidRPr="00FF512C" w:rsidRDefault="00854BC7" w:rsidP="00854BC7">
      <w:pPr>
        <w:pStyle w:val="COMexecsumnumberedpara"/>
        <w:rPr>
          <w:color w:val="0066FF"/>
        </w:rPr>
      </w:pPr>
      <w:r w:rsidRPr="00FF512C">
        <w:t xml:space="preserve">The ESC noted that the long term observational patiromer studies were not comparable to the OPAL-HK </w:t>
      </w:r>
      <w:r w:rsidR="002D20AE" w:rsidRPr="00FF512C">
        <w:t>or</w:t>
      </w:r>
      <w:r w:rsidRPr="00FF512C">
        <w:t xml:space="preserve"> AMETHYST-DN trials or the SPS/CPS studies in the indirect comparison due to the substantial differences in patient characteristics.</w:t>
      </w:r>
      <w:r w:rsidR="007F22ED" w:rsidRPr="00FF512C">
        <w:t xml:space="preserve"> Overall, the ESC did not </w:t>
      </w:r>
      <w:r w:rsidR="007E0DBC" w:rsidRPr="00FF512C">
        <w:t>consider</w:t>
      </w:r>
      <w:r w:rsidR="007F22ED" w:rsidRPr="00FF512C">
        <w:t xml:space="preserve"> that the available evidence supported any comparative assessment of efficacy and safety between patiromer and SPS/CPS other tha</w:t>
      </w:r>
      <w:r w:rsidR="00B278B0" w:rsidRPr="00FF512C">
        <w:t>n</w:t>
      </w:r>
      <w:r w:rsidR="007F22ED" w:rsidRPr="00FF512C">
        <w:t xml:space="preserve"> indirect naïve comparisons.</w:t>
      </w:r>
    </w:p>
    <w:p w14:paraId="4A4FE085" w14:textId="7B5B5830" w:rsidR="00B60939" w:rsidRPr="001159D0" w:rsidRDefault="00B60939" w:rsidP="00EC5836">
      <w:pPr>
        <w:pStyle w:val="COMH2-non-numbered"/>
      </w:pPr>
      <w:bookmarkStart w:id="23" w:name="_Toc22897641"/>
      <w:bookmarkStart w:id="24" w:name="_Toc111818931"/>
      <w:r w:rsidRPr="001159D0">
        <w:t>Comparative effectiveness</w:t>
      </w:r>
      <w:bookmarkEnd w:id="23"/>
      <w:bookmarkEnd w:id="24"/>
    </w:p>
    <w:p w14:paraId="7A53321A" w14:textId="4407BA96" w:rsidR="00F675C0" w:rsidRPr="001159D0" w:rsidRDefault="00F675C0" w:rsidP="000651ED">
      <w:pPr>
        <w:pStyle w:val="COMH3"/>
        <w:spacing w:after="120"/>
      </w:pPr>
      <w:bookmarkStart w:id="25" w:name="_Hlk120529411"/>
      <w:r w:rsidRPr="001159D0">
        <w:t>Patiromer versus standard care</w:t>
      </w:r>
    </w:p>
    <w:bookmarkEnd w:id="25"/>
    <w:p w14:paraId="28593FB8" w14:textId="6143997C" w:rsidR="002C2775" w:rsidRPr="001159D0" w:rsidRDefault="005025B1" w:rsidP="00EC5836">
      <w:pPr>
        <w:pStyle w:val="COMexecsumnumberedpara"/>
        <w:rPr>
          <w:color w:val="0066FF"/>
        </w:rPr>
      </w:pPr>
      <w:r w:rsidRPr="001159D0">
        <w:t>Key</w:t>
      </w:r>
      <w:r w:rsidR="008265F1" w:rsidRPr="001159D0">
        <w:t xml:space="preserve"> results of the OPAL-HK and AMETHYST-DN studies are unchanged from the previous submission. </w:t>
      </w:r>
    </w:p>
    <w:p w14:paraId="6529ABF5" w14:textId="333C1C90" w:rsidR="00DF6341" w:rsidRPr="001159D0" w:rsidRDefault="0042382D" w:rsidP="00EC5836">
      <w:pPr>
        <w:pStyle w:val="COMexecsumnumberedpara"/>
        <w:rPr>
          <w:color w:val="0066FF"/>
        </w:rPr>
      </w:pPr>
      <w:r>
        <w:fldChar w:fldCharType="begin"/>
      </w:r>
      <w:r>
        <w:instrText xml:space="preserve"> REF _Ref111816618 \h </w:instrText>
      </w:r>
      <w:r>
        <w:fldChar w:fldCharType="separate"/>
      </w:r>
      <w:r w:rsidR="00565456" w:rsidRPr="001159D0">
        <w:t xml:space="preserve">Table </w:t>
      </w:r>
      <w:r w:rsidR="00565456">
        <w:rPr>
          <w:noProof/>
        </w:rPr>
        <w:t>5</w:t>
      </w:r>
      <w:r>
        <w:fldChar w:fldCharType="end"/>
      </w:r>
      <w:r>
        <w:t xml:space="preserve"> </w:t>
      </w:r>
      <w:r w:rsidR="00085D00" w:rsidRPr="001159D0">
        <w:t>summarises the results of the primary outcome of the OPAL-HK study (change in serum potassium).</w:t>
      </w:r>
    </w:p>
    <w:p w14:paraId="2B6A3FDF" w14:textId="3E5E03F1" w:rsidR="00BC39D1" w:rsidRPr="001159D0" w:rsidRDefault="00BC39D1" w:rsidP="0042382D">
      <w:pPr>
        <w:pStyle w:val="COMTableheadingrow"/>
        <w:jc w:val="both"/>
      </w:pPr>
      <w:bookmarkStart w:id="26" w:name="_Ref111816618"/>
      <w:r w:rsidRPr="001159D0">
        <w:t xml:space="preserve">Table </w:t>
      </w:r>
      <w:r w:rsidR="0042382D">
        <w:fldChar w:fldCharType="begin"/>
      </w:r>
      <w:r w:rsidR="0042382D">
        <w:instrText xml:space="preserve"> SEQ Table \* ARABIC </w:instrText>
      </w:r>
      <w:r w:rsidR="0042382D">
        <w:fldChar w:fldCharType="separate"/>
      </w:r>
      <w:r w:rsidR="00565456">
        <w:rPr>
          <w:noProof/>
        </w:rPr>
        <w:t>5</w:t>
      </w:r>
      <w:r w:rsidR="0042382D">
        <w:fldChar w:fldCharType="end"/>
      </w:r>
      <w:bookmarkEnd w:id="26"/>
      <w:r w:rsidRPr="001159D0">
        <w:t>: Change in serum potassium concentration from baseline to week 4 in OPAL-HK Part A (mITT) and from baseline to week 8 in Part B (ITT; safety)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3397"/>
        <w:gridCol w:w="2810"/>
        <w:gridCol w:w="2810"/>
      </w:tblGrid>
      <w:tr w:rsidR="00BC39D1" w:rsidRPr="001159D0" w14:paraId="50E1414A" w14:textId="77777777" w:rsidTr="00E60829">
        <w:tc>
          <w:tcPr>
            <w:tcW w:w="1884" w:type="pct"/>
            <w:shd w:val="clear" w:color="auto" w:fill="C6D9F1" w:themeFill="text2" w:themeFillTint="33"/>
            <w:vAlign w:val="center"/>
          </w:tcPr>
          <w:p w14:paraId="26210DDA" w14:textId="77777777" w:rsidR="00BC39D1" w:rsidRPr="001159D0" w:rsidRDefault="00BC39D1" w:rsidP="000C441E">
            <w:pPr>
              <w:pStyle w:val="Tabletext"/>
              <w:keepLines/>
              <w:spacing w:before="0" w:after="0"/>
              <w:rPr>
                <w:b/>
              </w:rPr>
            </w:pPr>
            <w:r w:rsidRPr="001159D0">
              <w:rPr>
                <w:b/>
              </w:rPr>
              <w:t>OPAL-HK Part A (mITT)</w:t>
            </w:r>
          </w:p>
        </w:tc>
        <w:tc>
          <w:tcPr>
            <w:tcW w:w="1558" w:type="pct"/>
            <w:shd w:val="clear" w:color="auto" w:fill="C6D9F1" w:themeFill="text2" w:themeFillTint="33"/>
            <w:vAlign w:val="center"/>
          </w:tcPr>
          <w:p w14:paraId="4D66B387" w14:textId="77777777" w:rsidR="00A20DCD" w:rsidRPr="001159D0" w:rsidRDefault="00BC39D1" w:rsidP="000C441E">
            <w:pPr>
              <w:pStyle w:val="Tabletext"/>
              <w:keepLines/>
              <w:spacing w:before="0" w:after="0"/>
              <w:jc w:val="center"/>
              <w:rPr>
                <w:b/>
              </w:rPr>
            </w:pPr>
            <w:r w:rsidRPr="001159D0">
              <w:rPr>
                <w:b/>
              </w:rPr>
              <w:t>Patiromer dose group 1</w:t>
            </w:r>
          </w:p>
          <w:p w14:paraId="447D40FA" w14:textId="65B35AD5" w:rsidR="00BC39D1" w:rsidRPr="001159D0" w:rsidRDefault="00BC39D1" w:rsidP="00A20DCD">
            <w:pPr>
              <w:pStyle w:val="Tabletext"/>
              <w:keepLines/>
              <w:spacing w:before="0" w:after="0"/>
              <w:jc w:val="center"/>
              <w:rPr>
                <w:b/>
              </w:rPr>
            </w:pPr>
            <w:r w:rsidRPr="001159D0">
              <w:rPr>
                <w:b/>
              </w:rPr>
              <w:t>8.4 g/day</w:t>
            </w:r>
            <w:r w:rsidR="00A20DCD" w:rsidRPr="001159D0">
              <w:rPr>
                <w:b/>
              </w:rPr>
              <w:t xml:space="preserve"> </w:t>
            </w:r>
            <w:r w:rsidRPr="001159D0">
              <w:rPr>
                <w:b/>
              </w:rPr>
              <w:t>(N=90)</w:t>
            </w:r>
          </w:p>
        </w:tc>
        <w:tc>
          <w:tcPr>
            <w:tcW w:w="1558" w:type="pct"/>
            <w:shd w:val="clear" w:color="auto" w:fill="C6D9F1" w:themeFill="text2" w:themeFillTint="33"/>
            <w:vAlign w:val="center"/>
          </w:tcPr>
          <w:p w14:paraId="0CF86589" w14:textId="58FEB309" w:rsidR="00A20DCD" w:rsidRPr="001159D0" w:rsidRDefault="00BC39D1" w:rsidP="000C441E">
            <w:pPr>
              <w:pStyle w:val="Tabletext"/>
              <w:keepLines/>
              <w:spacing w:before="0" w:after="0"/>
              <w:jc w:val="center"/>
              <w:rPr>
                <w:b/>
              </w:rPr>
            </w:pPr>
            <w:r w:rsidRPr="001159D0">
              <w:rPr>
                <w:b/>
              </w:rPr>
              <w:t xml:space="preserve">Patiromer </w:t>
            </w:r>
            <w:r w:rsidR="000C441E" w:rsidRPr="001159D0">
              <w:rPr>
                <w:b/>
              </w:rPr>
              <w:t xml:space="preserve">dose </w:t>
            </w:r>
            <w:r w:rsidRPr="001159D0">
              <w:rPr>
                <w:b/>
              </w:rPr>
              <w:t>group 2</w:t>
            </w:r>
          </w:p>
          <w:p w14:paraId="74AAA0A1" w14:textId="2FB1F487" w:rsidR="00BC39D1" w:rsidRPr="001159D0" w:rsidRDefault="00BC39D1" w:rsidP="00A20DCD">
            <w:pPr>
              <w:pStyle w:val="Tabletext"/>
              <w:keepLines/>
              <w:spacing w:before="0" w:after="0"/>
              <w:jc w:val="center"/>
              <w:rPr>
                <w:b/>
              </w:rPr>
            </w:pPr>
            <w:r w:rsidRPr="001159D0">
              <w:rPr>
                <w:b/>
              </w:rPr>
              <w:t>16.8 g/day</w:t>
            </w:r>
            <w:r w:rsidR="00A20DCD" w:rsidRPr="001159D0">
              <w:rPr>
                <w:b/>
              </w:rPr>
              <w:t xml:space="preserve"> </w:t>
            </w:r>
            <w:r w:rsidRPr="001159D0">
              <w:rPr>
                <w:b/>
              </w:rPr>
              <w:t>(N=147)</w:t>
            </w:r>
          </w:p>
        </w:tc>
      </w:tr>
      <w:tr w:rsidR="00BC39D1" w:rsidRPr="001159D0" w14:paraId="083A211A" w14:textId="77777777" w:rsidTr="00E60829">
        <w:tc>
          <w:tcPr>
            <w:tcW w:w="1884" w:type="pct"/>
            <w:shd w:val="clear" w:color="auto" w:fill="C6D9F1" w:themeFill="text2" w:themeFillTint="33"/>
            <w:vAlign w:val="center"/>
          </w:tcPr>
          <w:p w14:paraId="6C929703" w14:textId="77777777" w:rsidR="00BC39D1" w:rsidRPr="001159D0" w:rsidRDefault="00BC39D1" w:rsidP="000C441E">
            <w:pPr>
              <w:pStyle w:val="Tabletext"/>
              <w:keepLines/>
              <w:spacing w:before="0" w:after="0"/>
            </w:pPr>
            <w:r w:rsidRPr="001159D0">
              <w:t>Baseline mean serum K+ mmol/L (SD)</w:t>
            </w:r>
          </w:p>
        </w:tc>
        <w:tc>
          <w:tcPr>
            <w:tcW w:w="1558" w:type="pct"/>
            <w:shd w:val="clear" w:color="auto" w:fill="C6D9F1" w:themeFill="text2" w:themeFillTint="33"/>
            <w:vAlign w:val="center"/>
          </w:tcPr>
          <w:p w14:paraId="4EB833D8" w14:textId="77777777" w:rsidR="00BC39D1" w:rsidRPr="001159D0" w:rsidRDefault="00BC39D1" w:rsidP="000C441E">
            <w:pPr>
              <w:pStyle w:val="Tabletext"/>
              <w:keepLines/>
              <w:spacing w:before="0" w:after="0"/>
              <w:jc w:val="center"/>
            </w:pPr>
            <w:r w:rsidRPr="001159D0">
              <w:t>5.32 (0.06)</w:t>
            </w:r>
          </w:p>
        </w:tc>
        <w:tc>
          <w:tcPr>
            <w:tcW w:w="1558" w:type="pct"/>
            <w:shd w:val="clear" w:color="auto" w:fill="C6D9F1" w:themeFill="text2" w:themeFillTint="33"/>
            <w:vAlign w:val="center"/>
          </w:tcPr>
          <w:p w14:paraId="0BA9B2B9" w14:textId="77777777" w:rsidR="00BC39D1" w:rsidRPr="001159D0" w:rsidRDefault="00BC39D1" w:rsidP="000C441E">
            <w:pPr>
              <w:pStyle w:val="Tabletext"/>
              <w:keepLines/>
              <w:spacing w:before="0" w:after="0"/>
              <w:jc w:val="center"/>
            </w:pPr>
            <w:r w:rsidRPr="001159D0">
              <w:t>5.74 (0.03)</w:t>
            </w:r>
          </w:p>
        </w:tc>
      </w:tr>
      <w:tr w:rsidR="00BC39D1" w:rsidRPr="001159D0" w14:paraId="65962CDB" w14:textId="77777777" w:rsidTr="00E60829">
        <w:tc>
          <w:tcPr>
            <w:tcW w:w="1884" w:type="pct"/>
            <w:shd w:val="clear" w:color="auto" w:fill="C6D9F1" w:themeFill="text2" w:themeFillTint="33"/>
            <w:vAlign w:val="center"/>
          </w:tcPr>
          <w:p w14:paraId="39149745" w14:textId="77777777" w:rsidR="00BC39D1" w:rsidRPr="001159D0" w:rsidRDefault="00BC39D1" w:rsidP="000C441E">
            <w:pPr>
              <w:pStyle w:val="Tabletext"/>
              <w:spacing w:before="0" w:after="0"/>
            </w:pPr>
            <w:r w:rsidRPr="001159D0">
              <w:t>Week 4 mean serum K+ mmol/L (SD)</w:t>
            </w:r>
          </w:p>
        </w:tc>
        <w:tc>
          <w:tcPr>
            <w:tcW w:w="1558" w:type="pct"/>
            <w:shd w:val="clear" w:color="auto" w:fill="C6D9F1" w:themeFill="text2" w:themeFillTint="33"/>
            <w:vAlign w:val="center"/>
          </w:tcPr>
          <w:p w14:paraId="65FC0E14" w14:textId="77777777" w:rsidR="00BC39D1" w:rsidRPr="001159D0" w:rsidRDefault="00BC39D1" w:rsidP="000C441E">
            <w:pPr>
              <w:pStyle w:val="Tabletext"/>
              <w:spacing w:before="0" w:after="0"/>
              <w:jc w:val="center"/>
            </w:pPr>
            <w:r w:rsidRPr="001159D0">
              <w:t>4.66 (0.05)</w:t>
            </w:r>
          </w:p>
        </w:tc>
        <w:tc>
          <w:tcPr>
            <w:tcW w:w="1558" w:type="pct"/>
            <w:shd w:val="clear" w:color="auto" w:fill="C6D9F1" w:themeFill="text2" w:themeFillTint="33"/>
            <w:vAlign w:val="center"/>
          </w:tcPr>
          <w:p w14:paraId="11B4F135" w14:textId="77777777" w:rsidR="00BC39D1" w:rsidRPr="001159D0" w:rsidRDefault="00BC39D1" w:rsidP="000C441E">
            <w:pPr>
              <w:pStyle w:val="Tabletext"/>
              <w:spacing w:before="0" w:after="0"/>
              <w:jc w:val="center"/>
            </w:pPr>
            <w:r w:rsidRPr="001159D0">
              <w:t>4.51 (0.04)</w:t>
            </w:r>
          </w:p>
        </w:tc>
      </w:tr>
      <w:tr w:rsidR="00BC39D1" w:rsidRPr="001159D0" w14:paraId="6BFE7661" w14:textId="77777777" w:rsidTr="00E60829">
        <w:tc>
          <w:tcPr>
            <w:tcW w:w="1884" w:type="pct"/>
            <w:shd w:val="clear" w:color="auto" w:fill="C6D9F1" w:themeFill="text2" w:themeFillTint="33"/>
            <w:vAlign w:val="center"/>
          </w:tcPr>
          <w:p w14:paraId="4D43CD03" w14:textId="77777777" w:rsidR="00BC39D1" w:rsidRPr="001159D0" w:rsidRDefault="00BC39D1" w:rsidP="000C441E">
            <w:pPr>
              <w:pStyle w:val="Tabletext"/>
              <w:spacing w:before="0" w:after="0"/>
            </w:pPr>
            <w:r w:rsidRPr="001159D0">
              <w:t>Mean change in serum K+ from baseline to Week 4 mmol/L (95% CI)</w:t>
            </w:r>
          </w:p>
        </w:tc>
        <w:tc>
          <w:tcPr>
            <w:tcW w:w="1558" w:type="pct"/>
            <w:shd w:val="clear" w:color="auto" w:fill="C6D9F1" w:themeFill="text2" w:themeFillTint="33"/>
            <w:vAlign w:val="center"/>
          </w:tcPr>
          <w:p w14:paraId="3D1CC4CE" w14:textId="77777777" w:rsidR="00BC39D1" w:rsidRPr="001159D0" w:rsidRDefault="00BC39D1" w:rsidP="000C441E">
            <w:pPr>
              <w:pStyle w:val="Tabletext"/>
              <w:spacing w:before="0" w:after="0"/>
              <w:jc w:val="center"/>
            </w:pPr>
            <w:r w:rsidRPr="001159D0">
              <w:t>-0.65 (-0.74, -0.55)</w:t>
            </w:r>
          </w:p>
        </w:tc>
        <w:tc>
          <w:tcPr>
            <w:tcW w:w="1558" w:type="pct"/>
            <w:shd w:val="clear" w:color="auto" w:fill="C6D9F1" w:themeFill="text2" w:themeFillTint="33"/>
            <w:vAlign w:val="center"/>
          </w:tcPr>
          <w:p w14:paraId="13B6EF13" w14:textId="77777777" w:rsidR="00BC39D1" w:rsidRPr="001159D0" w:rsidRDefault="00BC39D1" w:rsidP="000C441E">
            <w:pPr>
              <w:pStyle w:val="Tabletext"/>
              <w:spacing w:before="0" w:after="0"/>
              <w:jc w:val="center"/>
            </w:pPr>
            <w:r w:rsidRPr="001159D0">
              <w:t>-1.23 (-1.31, -1.16)</w:t>
            </w:r>
          </w:p>
        </w:tc>
      </w:tr>
      <w:tr w:rsidR="00BC39D1" w:rsidRPr="001159D0" w14:paraId="5F116F81" w14:textId="77777777" w:rsidTr="00E60829">
        <w:tc>
          <w:tcPr>
            <w:tcW w:w="1884"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1C105636" w14:textId="77777777" w:rsidR="00BC39D1" w:rsidRPr="001159D0" w:rsidRDefault="00BC39D1" w:rsidP="000C441E">
            <w:pPr>
              <w:pStyle w:val="Tabletext"/>
              <w:spacing w:before="0" w:after="0"/>
              <w:rPr>
                <w:b/>
              </w:rPr>
            </w:pPr>
            <w:r w:rsidRPr="001159D0">
              <w:rPr>
                <w:b/>
              </w:rPr>
              <w:t>OPAL-HK Part B (ITT)</w:t>
            </w:r>
          </w:p>
        </w:tc>
        <w:tc>
          <w:tcPr>
            <w:tcW w:w="1558"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9C8098B" w14:textId="77777777" w:rsidR="00BC39D1" w:rsidRPr="001159D0" w:rsidRDefault="00BC39D1" w:rsidP="000C441E">
            <w:pPr>
              <w:pStyle w:val="Tabletext"/>
              <w:keepLines/>
              <w:spacing w:before="0" w:after="0"/>
              <w:jc w:val="center"/>
              <w:rPr>
                <w:b/>
              </w:rPr>
            </w:pPr>
            <w:r w:rsidRPr="001159D0">
              <w:rPr>
                <w:b/>
              </w:rPr>
              <w:t>Patiromer</w:t>
            </w:r>
          </w:p>
          <w:p w14:paraId="4A22EE9D" w14:textId="77777777" w:rsidR="00BC39D1" w:rsidRPr="001159D0" w:rsidRDefault="00BC39D1" w:rsidP="000C441E">
            <w:pPr>
              <w:pStyle w:val="Tabletext"/>
              <w:spacing w:before="0" w:after="0"/>
              <w:jc w:val="center"/>
              <w:rPr>
                <w:b/>
              </w:rPr>
            </w:pPr>
            <w:r w:rsidRPr="001159D0">
              <w:rPr>
                <w:b/>
              </w:rPr>
              <w:t>(N=55)</w:t>
            </w:r>
          </w:p>
        </w:tc>
        <w:tc>
          <w:tcPr>
            <w:tcW w:w="1558"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928E410" w14:textId="77777777" w:rsidR="00BC39D1" w:rsidRPr="001159D0" w:rsidRDefault="00BC39D1" w:rsidP="000C441E">
            <w:pPr>
              <w:pStyle w:val="Tabletext"/>
              <w:keepLines/>
              <w:spacing w:before="0" w:after="0"/>
              <w:jc w:val="center"/>
              <w:rPr>
                <w:b/>
              </w:rPr>
            </w:pPr>
            <w:r w:rsidRPr="001159D0">
              <w:rPr>
                <w:b/>
              </w:rPr>
              <w:t>Placebo</w:t>
            </w:r>
          </w:p>
          <w:p w14:paraId="70C20A48" w14:textId="77777777" w:rsidR="00BC39D1" w:rsidRPr="001159D0" w:rsidRDefault="00BC39D1" w:rsidP="000C441E">
            <w:pPr>
              <w:pStyle w:val="Tabletext"/>
              <w:spacing w:before="0" w:after="0"/>
              <w:jc w:val="center"/>
              <w:rPr>
                <w:b/>
              </w:rPr>
            </w:pPr>
            <w:r w:rsidRPr="001159D0">
              <w:rPr>
                <w:b/>
              </w:rPr>
              <w:t>(N=52)</w:t>
            </w:r>
          </w:p>
        </w:tc>
      </w:tr>
      <w:tr w:rsidR="00BC39D1" w:rsidRPr="001159D0" w14:paraId="33566F82" w14:textId="77777777" w:rsidTr="00E60829">
        <w:tc>
          <w:tcPr>
            <w:tcW w:w="1884"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AEF91BD" w14:textId="77777777" w:rsidR="00BC39D1" w:rsidRPr="001159D0" w:rsidRDefault="00BC39D1" w:rsidP="000C441E">
            <w:pPr>
              <w:pStyle w:val="Tabletext"/>
              <w:spacing w:before="0" w:after="0"/>
            </w:pPr>
            <w:r w:rsidRPr="001159D0">
              <w:t>Baseline mean serum K+ mmol/L (SD)</w:t>
            </w:r>
          </w:p>
        </w:tc>
        <w:tc>
          <w:tcPr>
            <w:tcW w:w="1558"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13B6CC64" w14:textId="77777777" w:rsidR="00BC39D1" w:rsidRPr="001159D0" w:rsidRDefault="00BC39D1" w:rsidP="000C441E">
            <w:pPr>
              <w:pStyle w:val="Tabletext"/>
              <w:spacing w:before="0" w:after="0"/>
              <w:jc w:val="center"/>
            </w:pPr>
            <w:r w:rsidRPr="001159D0">
              <w:t>4.49 (0.43)</w:t>
            </w:r>
          </w:p>
        </w:tc>
        <w:tc>
          <w:tcPr>
            <w:tcW w:w="1558" w:type="pct"/>
            <w:tcBorders>
              <w:top w:val="single" w:sz="4" w:space="0" w:color="auto"/>
              <w:left w:val="single" w:sz="4" w:space="0" w:color="auto"/>
              <w:bottom w:val="single" w:sz="4" w:space="0" w:color="auto"/>
              <w:right w:val="single" w:sz="4" w:space="0" w:color="auto"/>
            </w:tcBorders>
            <w:shd w:val="clear" w:color="auto" w:fill="C6D9F1" w:themeFill="text2" w:themeFillTint="33"/>
          </w:tcPr>
          <w:p w14:paraId="66CBCBCD" w14:textId="77777777" w:rsidR="00BC39D1" w:rsidRPr="001159D0" w:rsidRDefault="00BC39D1" w:rsidP="000C441E">
            <w:pPr>
              <w:pStyle w:val="Tabletext"/>
              <w:spacing w:before="0" w:after="0"/>
              <w:jc w:val="center"/>
            </w:pPr>
            <w:r w:rsidRPr="001159D0">
              <w:t>4.45 (0.34)</w:t>
            </w:r>
          </w:p>
        </w:tc>
      </w:tr>
      <w:tr w:rsidR="00BC39D1" w:rsidRPr="001159D0" w14:paraId="05B6EAB8" w14:textId="77777777" w:rsidTr="00E60829">
        <w:tc>
          <w:tcPr>
            <w:tcW w:w="1884"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1600A79E" w14:textId="77777777" w:rsidR="00BC39D1" w:rsidRPr="001159D0" w:rsidRDefault="00BC39D1" w:rsidP="000C441E">
            <w:pPr>
              <w:pStyle w:val="Tabletext"/>
              <w:spacing w:before="0" w:after="0"/>
            </w:pPr>
            <w:r w:rsidRPr="001159D0">
              <w:t>Week 8 mean serum K+ mmol/L (SD)</w:t>
            </w:r>
          </w:p>
        </w:tc>
        <w:tc>
          <w:tcPr>
            <w:tcW w:w="1558"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22B26A0" w14:textId="77777777" w:rsidR="00BC39D1" w:rsidRPr="001159D0" w:rsidRDefault="00BC39D1" w:rsidP="000C441E">
            <w:pPr>
              <w:pStyle w:val="Tabletext"/>
              <w:spacing w:before="0" w:after="0"/>
              <w:jc w:val="center"/>
            </w:pPr>
            <w:r w:rsidRPr="001159D0">
              <w:t>4.52 (0.40)</w:t>
            </w:r>
          </w:p>
        </w:tc>
        <w:tc>
          <w:tcPr>
            <w:tcW w:w="1558" w:type="pct"/>
            <w:tcBorders>
              <w:top w:val="single" w:sz="4" w:space="0" w:color="auto"/>
              <w:left w:val="single" w:sz="4" w:space="0" w:color="auto"/>
              <w:bottom w:val="single" w:sz="4" w:space="0" w:color="auto"/>
              <w:right w:val="single" w:sz="4" w:space="0" w:color="auto"/>
            </w:tcBorders>
            <w:shd w:val="clear" w:color="auto" w:fill="C6D9F1" w:themeFill="text2" w:themeFillTint="33"/>
          </w:tcPr>
          <w:p w14:paraId="3C7593E1" w14:textId="77777777" w:rsidR="00BC39D1" w:rsidRPr="001159D0" w:rsidRDefault="00BC39D1" w:rsidP="000C441E">
            <w:pPr>
              <w:pStyle w:val="Tabletext"/>
              <w:spacing w:before="0" w:after="0"/>
              <w:jc w:val="center"/>
            </w:pPr>
            <w:r w:rsidRPr="001159D0">
              <w:t>4.85 (0.45)</w:t>
            </w:r>
          </w:p>
        </w:tc>
      </w:tr>
      <w:tr w:rsidR="00BC39D1" w:rsidRPr="001159D0" w14:paraId="5AFD2843" w14:textId="77777777" w:rsidTr="00E60829">
        <w:tc>
          <w:tcPr>
            <w:tcW w:w="1884"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5574F5D" w14:textId="77777777" w:rsidR="00BC39D1" w:rsidRPr="001159D0" w:rsidRDefault="00BC39D1" w:rsidP="000C441E">
            <w:pPr>
              <w:pStyle w:val="Tabletext"/>
              <w:spacing w:before="0" w:after="0"/>
            </w:pPr>
            <w:r w:rsidRPr="001159D0">
              <w:t>Estimated mean change in serum K+ from Part B baseline to Week 8, mmol/L (95% CI)</w:t>
            </w:r>
          </w:p>
        </w:tc>
        <w:tc>
          <w:tcPr>
            <w:tcW w:w="1558"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118C774F" w14:textId="77777777" w:rsidR="00BC39D1" w:rsidRPr="001159D0" w:rsidRDefault="00BC39D1" w:rsidP="000C441E">
            <w:pPr>
              <w:pStyle w:val="Tabletext"/>
              <w:spacing w:before="0" w:after="0"/>
              <w:jc w:val="center"/>
            </w:pPr>
            <w:r w:rsidRPr="001159D0">
              <w:t>0.00 (-0.30, 0.30)</w:t>
            </w:r>
            <w:r w:rsidRPr="001159D0">
              <w:rPr>
                <w:vertAlign w:val="superscript"/>
              </w:rPr>
              <w:t>a</w:t>
            </w:r>
          </w:p>
        </w:tc>
        <w:tc>
          <w:tcPr>
            <w:tcW w:w="1558"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4C9C0FA" w14:textId="77777777" w:rsidR="00BC39D1" w:rsidRPr="001159D0" w:rsidRDefault="00BC39D1" w:rsidP="000C441E">
            <w:pPr>
              <w:pStyle w:val="Tabletext"/>
              <w:spacing w:before="0" w:after="0"/>
              <w:jc w:val="center"/>
            </w:pPr>
            <w:r w:rsidRPr="001159D0">
              <w:t>0.72 (0.22, 1.22)</w:t>
            </w:r>
            <w:r w:rsidRPr="001159D0">
              <w:rPr>
                <w:vertAlign w:val="superscript"/>
              </w:rPr>
              <w:t>a</w:t>
            </w:r>
          </w:p>
        </w:tc>
      </w:tr>
      <w:tr w:rsidR="00BC39D1" w:rsidRPr="001159D0" w14:paraId="242BE8E8" w14:textId="77777777" w:rsidTr="00E60829">
        <w:tc>
          <w:tcPr>
            <w:tcW w:w="1884"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CFE6C54" w14:textId="77777777" w:rsidR="00BC39D1" w:rsidRPr="001159D0" w:rsidRDefault="00BC39D1" w:rsidP="000C441E">
            <w:pPr>
              <w:pStyle w:val="Tabletext"/>
              <w:spacing w:before="0" w:after="0"/>
            </w:pPr>
            <w:r w:rsidRPr="001159D0">
              <w:t>Observed mean change in serum K+ from Part B baseline to Week 8, mmol/L (SD)</w:t>
            </w:r>
          </w:p>
        </w:tc>
        <w:tc>
          <w:tcPr>
            <w:tcW w:w="1558"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78EB221" w14:textId="77777777" w:rsidR="00BC39D1" w:rsidRPr="001159D0" w:rsidRDefault="00BC39D1" w:rsidP="000C441E">
            <w:pPr>
              <w:pStyle w:val="Tabletext"/>
              <w:spacing w:before="0" w:after="0"/>
              <w:jc w:val="center"/>
            </w:pPr>
            <w:r w:rsidRPr="001159D0">
              <w:t>0.00 (0.56)</w:t>
            </w:r>
          </w:p>
        </w:tc>
        <w:tc>
          <w:tcPr>
            <w:tcW w:w="1558"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85446C7" w14:textId="77777777" w:rsidR="00BC39D1" w:rsidRPr="001159D0" w:rsidRDefault="00BC39D1" w:rsidP="000C441E">
            <w:pPr>
              <w:pStyle w:val="Tabletext"/>
              <w:spacing w:before="0" w:after="0"/>
              <w:jc w:val="center"/>
            </w:pPr>
            <w:r w:rsidRPr="001159D0">
              <w:t>0.45 (0.45)</w:t>
            </w:r>
          </w:p>
        </w:tc>
      </w:tr>
    </w:tbl>
    <w:p w14:paraId="4392D0FE" w14:textId="09E90BE7" w:rsidR="00BC39D1" w:rsidRPr="001159D0" w:rsidRDefault="00BC39D1" w:rsidP="00BC39D1">
      <w:pPr>
        <w:pStyle w:val="TableFooter"/>
        <w:spacing w:after="120"/>
        <w:contextualSpacing/>
      </w:pPr>
      <w:r w:rsidRPr="001159D0">
        <w:t>Source: Table 2.5.1, p</w:t>
      </w:r>
      <w:r w:rsidR="004723F1" w:rsidRPr="001159D0">
        <w:t>108</w:t>
      </w:r>
      <w:r w:rsidRPr="001159D0">
        <w:t xml:space="preserve"> and Table 2.5.3, p</w:t>
      </w:r>
      <w:r w:rsidR="004723F1" w:rsidRPr="001159D0">
        <w:t>111</w:t>
      </w:r>
      <w:r w:rsidRPr="001159D0">
        <w:t xml:space="preserve"> of the resubmission; Table 37, p167 OPAL-HK CSR.</w:t>
      </w:r>
      <w:r w:rsidR="00375702">
        <w:t xml:space="preserve"> </w:t>
      </w:r>
      <w:r w:rsidR="00375702" w:rsidRPr="00375702">
        <w:t>Blue shading indicates data that is unchanged from the previous PBAC consideration.</w:t>
      </w:r>
    </w:p>
    <w:p w14:paraId="72686967" w14:textId="77777777" w:rsidR="00BC39D1" w:rsidRPr="001159D0" w:rsidRDefault="00BC39D1" w:rsidP="00BC39D1">
      <w:pPr>
        <w:pStyle w:val="TableFooter"/>
        <w:spacing w:after="120"/>
        <w:contextualSpacing/>
        <w:rPr>
          <w:rFonts w:eastAsia="Calibri"/>
        </w:rPr>
      </w:pPr>
      <w:r w:rsidRPr="001159D0">
        <w:t xml:space="preserve">Abbreviations: </w:t>
      </w:r>
      <w:r w:rsidRPr="001159D0">
        <w:rPr>
          <w:rFonts w:eastAsia="Calibri"/>
        </w:rPr>
        <w:t>CI, confidence interval, K+, potassium; ITT, intention-to-treat; K+, potassium; mITT, modified intention-to-treat; SD, standard deviation.</w:t>
      </w:r>
    </w:p>
    <w:p w14:paraId="28DC8DA3" w14:textId="1990B91E" w:rsidR="00085D00" w:rsidRPr="001159D0" w:rsidRDefault="00BC39D1" w:rsidP="00F83D73">
      <w:pPr>
        <w:pStyle w:val="TableFooter"/>
        <w:spacing w:after="120"/>
        <w:contextualSpacing/>
        <w:rPr>
          <w:rFonts w:eastAsia="Calibri"/>
        </w:rPr>
      </w:pPr>
      <w:r w:rsidRPr="001159D0">
        <w:rPr>
          <w:rFonts w:eastAsia="Calibri"/>
          <w:vertAlign w:val="superscript"/>
        </w:rPr>
        <w:t>a</w:t>
      </w:r>
      <w:r w:rsidRPr="001159D0">
        <w:rPr>
          <w:rFonts w:eastAsia="Calibri"/>
        </w:rPr>
        <w:t xml:space="preserve"> Estimated mean change in serum potassium including imputed endpoints for missing data.</w:t>
      </w:r>
    </w:p>
    <w:p w14:paraId="1408CBF4" w14:textId="755DE27F" w:rsidR="00F83D73" w:rsidRPr="00FF512C" w:rsidRDefault="00F83D73" w:rsidP="00F83D73">
      <w:pPr>
        <w:pStyle w:val="ExecSumBodyText"/>
        <w:numPr>
          <w:ilvl w:val="1"/>
          <w:numId w:val="1"/>
        </w:numPr>
      </w:pPr>
      <w:r w:rsidRPr="00FF512C">
        <w:t xml:space="preserve">In OPAL-HK Part A there were statistically significant decreases in serum potassium concentrations from baseline to Week 4 in both patiromer dose groups but decreases in serum potassium concentrations were smaller for Dose group 1. </w:t>
      </w:r>
      <w:r w:rsidR="003E3B33" w:rsidRPr="00FF512C">
        <w:t xml:space="preserve">The ESC </w:t>
      </w:r>
      <w:r w:rsidR="00B41B54" w:rsidRPr="00FF512C">
        <w:t>consider</w:t>
      </w:r>
      <w:r w:rsidR="003E3B33" w:rsidRPr="00FF512C">
        <w:t>ed that it remained</w:t>
      </w:r>
      <w:r w:rsidRPr="00FF512C">
        <w:t xml:space="preserve"> unclear whether the reduction in serum potassium was clinically meaningful, particularly for Dose group 1.</w:t>
      </w:r>
    </w:p>
    <w:p w14:paraId="3084FFAC" w14:textId="094F42EE" w:rsidR="00F83D73" w:rsidRPr="00FF512C" w:rsidRDefault="00F83D73" w:rsidP="00F83D73">
      <w:pPr>
        <w:pStyle w:val="ExecSumBodyText"/>
        <w:numPr>
          <w:ilvl w:val="1"/>
          <w:numId w:val="1"/>
        </w:numPr>
      </w:pPr>
      <w:r w:rsidRPr="00FF512C">
        <w:t xml:space="preserve">In OPAL Part B </w:t>
      </w:r>
      <w:r w:rsidR="00A5551A" w:rsidRPr="00FF512C">
        <w:t xml:space="preserve">withdrawal study, </w:t>
      </w:r>
      <w:r w:rsidRPr="00FF512C">
        <w:t xml:space="preserve">patients continuing treatment with patiromer showed no change in mean serum potassium concentration from the Part B baseline to Week 8, while patients switching to placebo showed statistically significant </w:t>
      </w:r>
      <w:r w:rsidRPr="00FF512C">
        <w:lastRenderedPageBreak/>
        <w:t>increases in estimated mean serum potassium concentrations. Mean serum potassium concentrations remained &lt; 5.1 mmol/L for both treatment arms</w:t>
      </w:r>
      <w:r w:rsidRPr="00FF512C">
        <w:rPr>
          <w:rFonts w:cs="Calibri"/>
          <w:snapToGrid/>
        </w:rPr>
        <w:t>.</w:t>
      </w:r>
    </w:p>
    <w:p w14:paraId="66EF88DF" w14:textId="77777777" w:rsidR="00F83D73" w:rsidRPr="00FF512C" w:rsidRDefault="00F83D73" w:rsidP="00F83D73">
      <w:pPr>
        <w:pStyle w:val="COMexecsumnumberedpara"/>
        <w:rPr>
          <w:color w:val="0066FF"/>
        </w:rPr>
      </w:pPr>
      <w:r w:rsidRPr="00FF512C">
        <w:t>For the key secondary outcome in OPAL Part A (proportions of patients achieving target serum potassium concentrations of 3.8 to &lt; 5.1 mmol/L) 76% (95% CI 70, 81) of patients across both dose groups achieved serum potassium concentrations in the target range, comprising 74% of patients in Dose group 1 (8.4 g/day) and 77% in Dose Group 2 (16.8 g/day).</w:t>
      </w:r>
    </w:p>
    <w:p w14:paraId="56C2F35A" w14:textId="5419F407" w:rsidR="004F2A6C" w:rsidRPr="00FF512C" w:rsidRDefault="00082B6C" w:rsidP="004F2A6C">
      <w:pPr>
        <w:pStyle w:val="COMexecsumnumberedpara"/>
        <w:rPr>
          <w:color w:val="0066FF"/>
        </w:rPr>
      </w:pPr>
      <w:r w:rsidRPr="00FF512C">
        <w:t xml:space="preserve">In OPAL-HK Part B, larger proportions of patients receiving placebo reported a serum potassium concentration of &gt;5.5 </w:t>
      </w:r>
      <w:r w:rsidR="0084799E" w:rsidRPr="00FF512C">
        <w:t xml:space="preserve">(60% versus 15%) </w:t>
      </w:r>
      <w:r w:rsidRPr="00FF512C">
        <w:t xml:space="preserve">or &gt;5.1 mmol/L </w:t>
      </w:r>
      <w:r w:rsidR="0084799E" w:rsidRPr="00FF512C">
        <w:t>(</w:t>
      </w:r>
      <w:r w:rsidR="003E7498" w:rsidRPr="00FF512C">
        <w:t xml:space="preserve">91% versus 43%) </w:t>
      </w:r>
      <w:r w:rsidRPr="00FF512C">
        <w:t xml:space="preserve">compared to patients treated with patiromer. </w:t>
      </w:r>
    </w:p>
    <w:p w14:paraId="761109FB" w14:textId="737FF0A3" w:rsidR="004F2A6C" w:rsidRPr="00FF512C" w:rsidRDefault="004F2A6C" w:rsidP="004F2A6C">
      <w:pPr>
        <w:pStyle w:val="COMexecsumnumberedpara"/>
        <w:rPr>
          <w:color w:val="0066FF"/>
        </w:rPr>
      </w:pPr>
      <w:r w:rsidRPr="00FF512C">
        <w:t xml:space="preserve">In OPAL-HK Part B, larger proportions of patients receiving placebo discontinued </w:t>
      </w:r>
      <w:r w:rsidR="001F01DD" w:rsidRPr="00FF512C">
        <w:t>(52%</w:t>
      </w:r>
      <w:r w:rsidR="00D537E7" w:rsidRPr="00FF512C">
        <w:t xml:space="preserve"> versus 5%</w:t>
      </w:r>
      <w:r w:rsidR="001F01DD" w:rsidRPr="00FF512C">
        <w:t xml:space="preserve">) </w:t>
      </w:r>
      <w:r w:rsidRPr="00FF512C">
        <w:t xml:space="preserve">or reduced the dose of RAASi therapies </w:t>
      </w:r>
      <w:r w:rsidR="001F01DD" w:rsidRPr="00FF512C">
        <w:t>(10%</w:t>
      </w:r>
      <w:r w:rsidR="00D537E7" w:rsidRPr="00FF512C">
        <w:t xml:space="preserve"> versus 0%</w:t>
      </w:r>
      <w:r w:rsidR="001F01DD" w:rsidRPr="00FF512C">
        <w:t xml:space="preserve">) </w:t>
      </w:r>
      <w:r w:rsidRPr="00FF512C">
        <w:t>compared to patiromer treated patients. However, RAASi dose reductions were not permitted for patients receiving patiromer &lt;50 g/day in the OPAL-HK study protocol. Larger proportions of patients treated with patiromer were receiving a RAASi therapy</w:t>
      </w:r>
      <w:r w:rsidR="00237EE9" w:rsidRPr="00FF512C">
        <w:t xml:space="preserve"> (</w:t>
      </w:r>
      <w:r w:rsidR="004C04AA" w:rsidRPr="00FF512C">
        <w:t>78% versus 37%)</w:t>
      </w:r>
      <w:r w:rsidRPr="00FF512C">
        <w:t xml:space="preserve"> or receiving maximum RAASi doses </w:t>
      </w:r>
      <w:r w:rsidR="004C04AA" w:rsidRPr="00FF512C">
        <w:t xml:space="preserve">(25% versus 12%) </w:t>
      </w:r>
      <w:r w:rsidRPr="00FF512C">
        <w:t>at Part B Week 8 compared to placebo.</w:t>
      </w:r>
      <w:r w:rsidR="002D430F" w:rsidRPr="00FF512C">
        <w:t xml:space="preserve"> The ESC noted that the protocol design significantly biased comparisons of RAASi therapy withdrawal between patiromer and SPS/CPS.</w:t>
      </w:r>
    </w:p>
    <w:p w14:paraId="630D710B" w14:textId="3167F5AC" w:rsidR="00A87E24" w:rsidRPr="00FF512C" w:rsidRDefault="00A87E24" w:rsidP="00866D8C">
      <w:pPr>
        <w:pStyle w:val="COMexecsumnumberedpara"/>
      </w:pPr>
      <w:r w:rsidRPr="00FF512C">
        <w:t>At the November 2020 meeting the PBAC considered that the intense monitoring and the strict patiromer/RAASi titration protocol in OPAL-HK was not broadly applicable to Australian clinical practice and likely led to the implausibly high rates of RAASi discontinuation observed (noting that 52% of patients in the placebo arm of Part-B discontinued RAASi therapy). The PBAC considered that other key issues with the OPAL-HK study included: the small sample size (n = 107 in Part B); the high risk of bias (e.g. due to the lack of randomisation in Part A and potential unblinding in Part B); the short-term duration of the study (8 weeks in Part B); the differences in RAASi titration protocols between treatment arms; the maximum dose allowed in the trial was higher than recommended in the patiromer Product Information; and Part B of the study enrolled an enriched population (para</w:t>
      </w:r>
      <w:r w:rsidR="0021051F" w:rsidRPr="00FF512C">
        <w:t>graph</w:t>
      </w:r>
      <w:r w:rsidRPr="00FF512C">
        <w:t xml:space="preserve"> 7.3 </w:t>
      </w:r>
      <w:r w:rsidR="0021051F" w:rsidRPr="00FF512C">
        <w:t>p</w:t>
      </w:r>
      <w:r w:rsidRPr="00FF512C">
        <w:t xml:space="preserve">atiromer PSD, November 2020). </w:t>
      </w:r>
      <w:r w:rsidR="00E61B16" w:rsidRPr="00FF512C">
        <w:t>The PSCR stated that although there were differences in terms of monitoring and RAASi dose titration between the OPAL-HK trial and the Australian clinical setting, these were unlikely to affect the relative efficacy of patiromer versus placebo.</w:t>
      </w:r>
      <w:r w:rsidR="00DC62DB" w:rsidRPr="00FF512C">
        <w:t xml:space="preserve"> The PSCR also stated that the more intense monitoring during the OPAL-HK trial and the differences between the trial and Australian populations would not diminish the relative treatment effect of patiromer versus placebo.</w:t>
      </w:r>
    </w:p>
    <w:p w14:paraId="7C489E3F" w14:textId="17E5EE98" w:rsidR="008336E8" w:rsidRPr="00FF512C" w:rsidRDefault="008336E8" w:rsidP="001B0B52">
      <w:pPr>
        <w:pStyle w:val="COMexecsumnumberedpara"/>
      </w:pPr>
      <w:r w:rsidRPr="00FF512C">
        <w:t>The ESC noted that AMETHYST-DN found that patients treated with patiromer maintained lower serum potassium levels in a dose</w:t>
      </w:r>
      <w:r w:rsidR="005E7D7B" w:rsidRPr="00FF512C">
        <w:t>-</w:t>
      </w:r>
      <w:r w:rsidRPr="00FF512C">
        <w:t>dependent manner over 12</w:t>
      </w:r>
      <w:r w:rsidR="005E7D7B" w:rsidRPr="00FF512C">
        <w:t> </w:t>
      </w:r>
      <w:r w:rsidRPr="00FF512C">
        <w:t xml:space="preserve">months. The resubmission </w:t>
      </w:r>
      <w:r w:rsidR="005E7D7B" w:rsidRPr="00FF512C">
        <w:t xml:space="preserve">also </w:t>
      </w:r>
      <w:r w:rsidRPr="00FF512C">
        <w:t xml:space="preserve">presented a post hoc descriptive analysis of RAASi dose adjustments in the AMETHYST-DN long-term maintenance period </w:t>
      </w:r>
      <w:r w:rsidR="007A6060" w:rsidRPr="00FF512C">
        <w:t xml:space="preserve">(LTMP) which </w:t>
      </w:r>
      <w:r w:rsidRPr="00FF512C">
        <w:t xml:space="preserve">found that 89% </w:t>
      </w:r>
      <w:r w:rsidR="007A6060" w:rsidRPr="00FF512C">
        <w:t xml:space="preserve">of patients (176/197) continued </w:t>
      </w:r>
      <w:r w:rsidRPr="00FF512C">
        <w:t xml:space="preserve">RAASi </w:t>
      </w:r>
      <w:r w:rsidR="007A6060" w:rsidRPr="00FF512C">
        <w:t xml:space="preserve">therapy with no </w:t>
      </w:r>
      <w:r w:rsidRPr="00FF512C">
        <w:t>dose change</w:t>
      </w:r>
      <w:r w:rsidR="007A6060" w:rsidRPr="00FF512C">
        <w:t xml:space="preserve">, 7% (14/197) had RAASi dose changes but remained stable or up-titrated, and 2.5% </w:t>
      </w:r>
      <w:r w:rsidR="007A6060" w:rsidRPr="00FF512C">
        <w:lastRenderedPageBreak/>
        <w:t xml:space="preserve">(5/197) had their dose down-titrated. However, the ESC noted of the 304 patients enrolled in the AMETHYST-DN trial, 197 continued into the LTMP after 12 weeks of patiromer and RAASi dose titration and therefore </w:t>
      </w:r>
      <w:r w:rsidR="005E7D7B" w:rsidRPr="00FF512C">
        <w:t xml:space="preserve">the LTMP </w:t>
      </w:r>
      <w:r w:rsidR="007A6060" w:rsidRPr="00FF512C">
        <w:t>comprised an enriched population.</w:t>
      </w:r>
      <w:r w:rsidR="005E7D7B" w:rsidRPr="00FF512C">
        <w:t xml:space="preserve"> Further, the ESC noted</w:t>
      </w:r>
      <w:r w:rsidR="007A6060" w:rsidRPr="00FF512C">
        <w:t xml:space="preserve"> that 49 patients withdrew from the LTMP early</w:t>
      </w:r>
      <w:r w:rsidR="005E7D7B" w:rsidRPr="00FF512C">
        <w:t xml:space="preserve"> (e.g. 2 withdrew due to hyperkalaemia, 5 due to low serum potassium and 12 due to adverse events)</w:t>
      </w:r>
      <w:r w:rsidR="007A6060" w:rsidRPr="00FF512C">
        <w:t xml:space="preserve">. </w:t>
      </w:r>
    </w:p>
    <w:p w14:paraId="359C8AA8" w14:textId="2BE4D479" w:rsidR="0032754B" w:rsidRPr="001159D0" w:rsidRDefault="00D26A43" w:rsidP="000651ED">
      <w:pPr>
        <w:pStyle w:val="COMH3"/>
        <w:spacing w:after="120"/>
      </w:pPr>
      <w:r w:rsidRPr="001159D0">
        <w:t>Patiromer observational studies</w:t>
      </w:r>
    </w:p>
    <w:p w14:paraId="36AFDE91" w14:textId="60659F54" w:rsidR="00A478E4" w:rsidRPr="002F6665" w:rsidRDefault="00E14B35" w:rsidP="00733320">
      <w:pPr>
        <w:pStyle w:val="COMexecsumnumberedpara"/>
        <w:numPr>
          <w:ilvl w:val="1"/>
          <w:numId w:val="1"/>
        </w:numPr>
      </w:pPr>
      <w:r w:rsidRPr="002F6665">
        <w:t xml:space="preserve">The results of the </w:t>
      </w:r>
      <w:r w:rsidR="00907326" w:rsidRPr="002F6665">
        <w:t xml:space="preserve">German CKDopps </w:t>
      </w:r>
      <w:r w:rsidR="009F3EEE" w:rsidRPr="002F6665">
        <w:t xml:space="preserve">study </w:t>
      </w:r>
      <w:r w:rsidR="00907326" w:rsidRPr="002F6665">
        <w:t>and US Veterans Cohort study</w:t>
      </w:r>
      <w:r w:rsidRPr="002F6665">
        <w:t xml:space="preserve"> suggest </w:t>
      </w:r>
      <w:r w:rsidR="00907326" w:rsidRPr="002F6665">
        <w:t xml:space="preserve">that </w:t>
      </w:r>
      <w:r w:rsidRPr="002F6665">
        <w:t>the observed patiromer treatment effect on serum potassium may be maintained over 6 months of continuous therapy.</w:t>
      </w:r>
    </w:p>
    <w:p w14:paraId="529CAACA" w14:textId="77777777" w:rsidR="002D032B" w:rsidRPr="002F6665" w:rsidRDefault="009F3EEE" w:rsidP="002D032B">
      <w:pPr>
        <w:pStyle w:val="COMexecsumnumberedpara"/>
        <w:numPr>
          <w:ilvl w:val="1"/>
          <w:numId w:val="1"/>
        </w:numPr>
      </w:pPr>
      <w:r w:rsidRPr="002F6665">
        <w:t xml:space="preserve">Results of the German CKDopps study suggest that </w:t>
      </w:r>
      <w:r w:rsidR="007473AE" w:rsidRPr="002F6665">
        <w:t>high proportions of patients</w:t>
      </w:r>
      <w:r w:rsidRPr="002F6665">
        <w:t xml:space="preserve"> </w:t>
      </w:r>
      <w:r w:rsidRPr="003E2BEF">
        <w:t>treated with patiromer</w:t>
      </w:r>
      <w:r w:rsidR="0038241E" w:rsidRPr="003E2BEF">
        <w:t xml:space="preserve"> continue constant RAASi use at 6 months (</w:t>
      </w:r>
      <w:r w:rsidRPr="003E2BEF">
        <w:t>77%</w:t>
      </w:r>
      <w:r w:rsidR="0038241E" w:rsidRPr="003E2BEF">
        <w:t>) and 12 months (</w:t>
      </w:r>
      <w:r w:rsidRPr="003E2BEF">
        <w:t>69%</w:t>
      </w:r>
      <w:r w:rsidR="0038241E" w:rsidRPr="003E2BEF">
        <w:t>).</w:t>
      </w:r>
      <w:r w:rsidR="006205EF" w:rsidRPr="003E2BEF">
        <w:t xml:space="preserve"> </w:t>
      </w:r>
      <w:r w:rsidR="00AD1C4E" w:rsidRPr="003E2BEF">
        <w:t>Similarly, 79% of patients in the US Veterans Cohort Study continued</w:t>
      </w:r>
      <w:r w:rsidR="00AD1C4E" w:rsidRPr="002F6665">
        <w:t xml:space="preserve"> RAASi use at 6 months. In the </w:t>
      </w:r>
      <w:r w:rsidR="00DB2D4C" w:rsidRPr="002F6665">
        <w:t xml:space="preserve">US Cohort Study, 78% of patients with continuous exposure to patiromer </w:t>
      </w:r>
      <w:r w:rsidR="00CA5ECF" w:rsidRPr="002F6665">
        <w:t>continued RAASi medicine use at 6 months, compared to 57% of patients receiving no potassium binder treatment.</w:t>
      </w:r>
    </w:p>
    <w:p w14:paraId="04B7F0E4" w14:textId="31AE0DDF" w:rsidR="00733320" w:rsidRDefault="001F4A95" w:rsidP="002D032B">
      <w:pPr>
        <w:pStyle w:val="COMexecsumnumberedpara"/>
        <w:numPr>
          <w:ilvl w:val="1"/>
          <w:numId w:val="1"/>
        </w:numPr>
      </w:pPr>
      <w:r w:rsidRPr="002F6665">
        <w:t>Overall</w:t>
      </w:r>
      <w:r w:rsidRPr="00FF512C">
        <w:t xml:space="preserve">, the </w:t>
      </w:r>
      <w:r w:rsidR="003E3B33" w:rsidRPr="00FF512C">
        <w:t xml:space="preserve">ESC considered that the </w:t>
      </w:r>
      <w:r w:rsidRPr="00FF512C">
        <w:t>results</w:t>
      </w:r>
      <w:r w:rsidRPr="002F6665">
        <w:t xml:space="preserve"> of the studies should be interpreted with caution, given the high risk of bias associated with the use of observational data. The selected populations of the studies were substantially different to the </w:t>
      </w:r>
      <w:r w:rsidR="00375702" w:rsidRPr="002F6665">
        <w:t>proposed PBS</w:t>
      </w:r>
      <w:r w:rsidRPr="002F6665">
        <w:t xml:space="preserve"> population in terms of gender, CKD stage, serum </w:t>
      </w:r>
      <w:r w:rsidR="009C69BA">
        <w:t>potassium</w:t>
      </w:r>
      <w:r w:rsidRPr="002F6665">
        <w:t xml:space="preserve">, comorbid heart failure and diabetes and RAASi use. </w:t>
      </w:r>
    </w:p>
    <w:p w14:paraId="6BF840E1" w14:textId="118032FE" w:rsidR="006D1376" w:rsidRPr="006D1376" w:rsidRDefault="006D1376" w:rsidP="006D1376">
      <w:pPr>
        <w:pStyle w:val="COMexecsumnumberedpara"/>
        <w:numPr>
          <w:ilvl w:val="0"/>
          <w:numId w:val="0"/>
        </w:numPr>
        <w:rPr>
          <w:b/>
          <w:bCs/>
          <w:sz w:val="28"/>
          <w:szCs w:val="28"/>
        </w:rPr>
      </w:pPr>
      <w:r w:rsidRPr="006D1376">
        <w:rPr>
          <w:b/>
          <w:bCs/>
          <w:sz w:val="28"/>
          <w:szCs w:val="28"/>
        </w:rPr>
        <w:t>Duration of patiromer treatment</w:t>
      </w:r>
    </w:p>
    <w:p w14:paraId="2DCB96D2" w14:textId="2D1B17F2" w:rsidR="006D1376" w:rsidRPr="00FF512C" w:rsidRDefault="006D1376" w:rsidP="002D032B">
      <w:pPr>
        <w:pStyle w:val="COMexecsumnumberedpara"/>
        <w:numPr>
          <w:ilvl w:val="1"/>
          <w:numId w:val="1"/>
        </w:numPr>
      </w:pPr>
      <w:r w:rsidRPr="00FF512C">
        <w:fldChar w:fldCharType="begin"/>
      </w:r>
      <w:r w:rsidRPr="00FF512C">
        <w:instrText xml:space="preserve"> REF _Ref115855726 \h  \* MERGEFORMAT </w:instrText>
      </w:r>
      <w:r w:rsidRPr="00FF512C">
        <w:fldChar w:fldCharType="separate"/>
      </w:r>
      <w:r w:rsidR="00565456" w:rsidRPr="00565456">
        <w:t xml:space="preserve">Table </w:t>
      </w:r>
      <w:r w:rsidR="00565456" w:rsidRPr="00565456">
        <w:rPr>
          <w:noProof/>
        </w:rPr>
        <w:t>6</w:t>
      </w:r>
      <w:r w:rsidRPr="00FF512C">
        <w:fldChar w:fldCharType="end"/>
      </w:r>
      <w:r w:rsidRPr="00FF512C">
        <w:t xml:space="preserve"> summarises the estimated duration of patiromer treatment in the OPAL-HK, AMETHYST-DN and observational studies</w:t>
      </w:r>
    </w:p>
    <w:p w14:paraId="01AA5072" w14:textId="056781CD" w:rsidR="006D1376" w:rsidRPr="00FF512C" w:rsidRDefault="006D1376" w:rsidP="006D1376">
      <w:pPr>
        <w:pStyle w:val="Caption"/>
        <w:rPr>
          <w:sz w:val="20"/>
          <w:szCs w:val="20"/>
        </w:rPr>
      </w:pPr>
      <w:bookmarkStart w:id="27" w:name="_Ref115855726"/>
      <w:bookmarkStart w:id="28" w:name="_Ref103761409"/>
      <w:bookmarkStart w:id="29" w:name="_Toc106745644"/>
      <w:r w:rsidRPr="00FF512C">
        <w:rPr>
          <w:sz w:val="20"/>
          <w:szCs w:val="20"/>
        </w:rPr>
        <w:t xml:space="preserve">Table </w:t>
      </w:r>
      <w:r w:rsidRPr="00FF512C">
        <w:rPr>
          <w:sz w:val="20"/>
          <w:szCs w:val="20"/>
        </w:rPr>
        <w:fldChar w:fldCharType="begin"/>
      </w:r>
      <w:r w:rsidRPr="00FF512C">
        <w:rPr>
          <w:sz w:val="20"/>
          <w:szCs w:val="20"/>
        </w:rPr>
        <w:instrText xml:space="preserve"> SEQ Table \* ARABIC </w:instrText>
      </w:r>
      <w:r w:rsidRPr="00FF512C">
        <w:rPr>
          <w:sz w:val="20"/>
          <w:szCs w:val="20"/>
        </w:rPr>
        <w:fldChar w:fldCharType="separate"/>
      </w:r>
      <w:r w:rsidR="00565456">
        <w:rPr>
          <w:noProof/>
          <w:sz w:val="20"/>
          <w:szCs w:val="20"/>
        </w:rPr>
        <w:t>6</w:t>
      </w:r>
      <w:r w:rsidRPr="00FF512C">
        <w:rPr>
          <w:sz w:val="20"/>
          <w:szCs w:val="20"/>
        </w:rPr>
        <w:fldChar w:fldCharType="end"/>
      </w:r>
      <w:bookmarkEnd w:id="27"/>
      <w:r w:rsidRPr="00FF512C">
        <w:rPr>
          <w:sz w:val="20"/>
          <w:szCs w:val="20"/>
        </w:rPr>
        <w:t xml:space="preserve">: </w:t>
      </w:r>
      <w:bookmarkEnd w:id="28"/>
      <w:r w:rsidRPr="00FF512C">
        <w:rPr>
          <w:sz w:val="20"/>
          <w:szCs w:val="20"/>
        </w:rPr>
        <w:t>Comparison of patiromer duration of treatment across RCTs and observational studies</w:t>
      </w:r>
      <w:bookmarkEnd w:id="2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110"/>
        <w:gridCol w:w="423"/>
        <w:gridCol w:w="2156"/>
        <w:gridCol w:w="2155"/>
        <w:gridCol w:w="2173"/>
      </w:tblGrid>
      <w:tr w:rsidR="006D1376" w:rsidRPr="00FF512C" w14:paraId="0F1A487C" w14:textId="77777777" w:rsidTr="009D3234">
        <w:tc>
          <w:tcPr>
            <w:tcW w:w="2122" w:type="dxa"/>
            <w:shd w:val="clear" w:color="auto" w:fill="auto"/>
            <w:vAlign w:val="center"/>
          </w:tcPr>
          <w:p w14:paraId="7DDCD42A" w14:textId="77777777" w:rsidR="006D1376" w:rsidRPr="00FF512C" w:rsidRDefault="006D1376" w:rsidP="009D3234">
            <w:pPr>
              <w:pStyle w:val="COMTabletext"/>
              <w:ind w:left="65"/>
              <w:rPr>
                <w:b/>
                <w:bCs w:val="0"/>
              </w:rPr>
            </w:pPr>
            <w:r w:rsidRPr="00FF512C">
              <w:rPr>
                <w:b/>
                <w:bCs w:val="0"/>
              </w:rPr>
              <w:t>Source</w:t>
            </w:r>
          </w:p>
        </w:tc>
        <w:tc>
          <w:tcPr>
            <w:tcW w:w="425" w:type="dxa"/>
            <w:shd w:val="clear" w:color="auto" w:fill="auto"/>
            <w:vAlign w:val="center"/>
          </w:tcPr>
          <w:p w14:paraId="1BC45CA7" w14:textId="77777777" w:rsidR="006D1376" w:rsidRPr="00FF512C" w:rsidRDefault="006D1376" w:rsidP="009D3234">
            <w:pPr>
              <w:pStyle w:val="COMTabletext"/>
              <w:jc w:val="center"/>
              <w:rPr>
                <w:b/>
                <w:bCs w:val="0"/>
              </w:rPr>
            </w:pPr>
            <w:r w:rsidRPr="00FF512C">
              <w:rPr>
                <w:b/>
                <w:bCs w:val="0"/>
              </w:rPr>
              <w:t>N</w:t>
            </w:r>
          </w:p>
        </w:tc>
        <w:tc>
          <w:tcPr>
            <w:tcW w:w="2173" w:type="dxa"/>
            <w:shd w:val="clear" w:color="auto" w:fill="auto"/>
            <w:vAlign w:val="center"/>
          </w:tcPr>
          <w:p w14:paraId="57232864" w14:textId="77777777" w:rsidR="006D1376" w:rsidRPr="00FF512C" w:rsidRDefault="006D1376" w:rsidP="009D3234">
            <w:pPr>
              <w:pStyle w:val="COMTabletext"/>
              <w:jc w:val="center"/>
              <w:rPr>
                <w:b/>
                <w:bCs w:val="0"/>
              </w:rPr>
            </w:pPr>
            <w:r w:rsidRPr="00FF512C">
              <w:rPr>
                <w:b/>
                <w:bCs w:val="0"/>
              </w:rPr>
              <w:t>Study duration</w:t>
            </w:r>
          </w:p>
        </w:tc>
        <w:tc>
          <w:tcPr>
            <w:tcW w:w="2173" w:type="dxa"/>
            <w:shd w:val="clear" w:color="auto" w:fill="auto"/>
            <w:vAlign w:val="center"/>
          </w:tcPr>
          <w:p w14:paraId="7AD1673B" w14:textId="77777777" w:rsidR="006D1376" w:rsidRPr="00FF512C" w:rsidRDefault="006D1376" w:rsidP="009D3234">
            <w:pPr>
              <w:pStyle w:val="COMTabletext"/>
              <w:jc w:val="center"/>
              <w:rPr>
                <w:b/>
                <w:bCs w:val="0"/>
              </w:rPr>
            </w:pPr>
            <w:r w:rsidRPr="00FF512C">
              <w:rPr>
                <w:b/>
                <w:bCs w:val="0"/>
              </w:rPr>
              <w:t>Median DOT, months</w:t>
            </w:r>
          </w:p>
        </w:tc>
        <w:tc>
          <w:tcPr>
            <w:tcW w:w="2173" w:type="dxa"/>
            <w:shd w:val="clear" w:color="auto" w:fill="auto"/>
            <w:noWrap/>
            <w:tcMar>
              <w:top w:w="0" w:type="dxa"/>
              <w:left w:w="108" w:type="dxa"/>
              <w:bottom w:w="0" w:type="dxa"/>
              <w:right w:w="108" w:type="dxa"/>
            </w:tcMar>
            <w:vAlign w:val="center"/>
            <w:hideMark/>
          </w:tcPr>
          <w:p w14:paraId="4E7239A5" w14:textId="58D3A011" w:rsidR="006D1376" w:rsidRPr="00FF512C" w:rsidRDefault="00A5463E" w:rsidP="009D3234">
            <w:pPr>
              <w:pStyle w:val="COMTabletext"/>
              <w:jc w:val="center"/>
              <w:rPr>
                <w:b/>
                <w:bCs w:val="0"/>
              </w:rPr>
            </w:pPr>
            <w:r>
              <w:rPr>
                <w:b/>
                <w:bCs w:val="0"/>
              </w:rPr>
              <w:t>Proportion who d</w:t>
            </w:r>
            <w:r w:rsidR="006D1376" w:rsidRPr="00FF512C">
              <w:rPr>
                <w:b/>
                <w:bCs w:val="0"/>
              </w:rPr>
              <w:t>iscontinu</w:t>
            </w:r>
            <w:r>
              <w:rPr>
                <w:b/>
                <w:bCs w:val="0"/>
              </w:rPr>
              <w:t xml:space="preserve">ed </w:t>
            </w:r>
          </w:p>
        </w:tc>
      </w:tr>
      <w:tr w:rsidR="006D1376" w:rsidRPr="00FF512C" w14:paraId="4767F35D" w14:textId="77777777" w:rsidTr="009D3234">
        <w:tc>
          <w:tcPr>
            <w:tcW w:w="2122" w:type="dxa"/>
            <w:shd w:val="clear" w:color="auto" w:fill="auto"/>
            <w:vAlign w:val="center"/>
          </w:tcPr>
          <w:p w14:paraId="7E5B72D8" w14:textId="77777777" w:rsidR="006D1376" w:rsidRPr="00FF512C" w:rsidRDefault="006D1376" w:rsidP="009D3234">
            <w:pPr>
              <w:pStyle w:val="COMTabletext"/>
              <w:ind w:left="65"/>
            </w:pPr>
            <w:r w:rsidRPr="00FF512C">
              <w:t>OPAL-HK trial Part B</w:t>
            </w:r>
          </w:p>
        </w:tc>
        <w:tc>
          <w:tcPr>
            <w:tcW w:w="425" w:type="dxa"/>
            <w:shd w:val="clear" w:color="auto" w:fill="auto"/>
            <w:vAlign w:val="center"/>
          </w:tcPr>
          <w:p w14:paraId="1551B258" w14:textId="77777777" w:rsidR="006D1376" w:rsidRPr="00FF512C" w:rsidRDefault="006D1376" w:rsidP="009D3234">
            <w:pPr>
              <w:pStyle w:val="COMTabletext"/>
              <w:jc w:val="center"/>
            </w:pPr>
            <w:r w:rsidRPr="00FF512C">
              <w:t>55</w:t>
            </w:r>
          </w:p>
        </w:tc>
        <w:tc>
          <w:tcPr>
            <w:tcW w:w="2173" w:type="dxa"/>
            <w:shd w:val="clear" w:color="auto" w:fill="auto"/>
            <w:vAlign w:val="center"/>
          </w:tcPr>
          <w:p w14:paraId="7A33A6C4" w14:textId="77777777" w:rsidR="006D1376" w:rsidRPr="00FF512C" w:rsidRDefault="006D1376" w:rsidP="009D3234">
            <w:pPr>
              <w:pStyle w:val="COMTabletext"/>
              <w:jc w:val="center"/>
            </w:pPr>
            <w:r w:rsidRPr="00FF512C">
              <w:t xml:space="preserve">3 months </w:t>
            </w:r>
          </w:p>
        </w:tc>
        <w:tc>
          <w:tcPr>
            <w:tcW w:w="2173" w:type="dxa"/>
            <w:shd w:val="clear" w:color="auto" w:fill="auto"/>
            <w:vAlign w:val="center"/>
          </w:tcPr>
          <w:p w14:paraId="2A91B460" w14:textId="77777777" w:rsidR="006D1376" w:rsidRPr="00FF512C" w:rsidRDefault="006D1376" w:rsidP="009D3234">
            <w:pPr>
              <w:pStyle w:val="COMTabletext"/>
              <w:jc w:val="center"/>
            </w:pPr>
            <w:r w:rsidRPr="00FF512C">
              <w:t>6.4 months</w:t>
            </w:r>
            <w:r w:rsidRPr="00FF512C">
              <w:rPr>
                <w:vertAlign w:val="superscript"/>
              </w:rPr>
              <w:t>a</w:t>
            </w:r>
          </w:p>
        </w:tc>
        <w:tc>
          <w:tcPr>
            <w:tcW w:w="2173" w:type="dxa"/>
            <w:shd w:val="clear" w:color="auto" w:fill="auto"/>
            <w:noWrap/>
            <w:tcMar>
              <w:top w:w="0" w:type="dxa"/>
              <w:left w:w="108" w:type="dxa"/>
              <w:bottom w:w="0" w:type="dxa"/>
              <w:right w:w="108" w:type="dxa"/>
            </w:tcMar>
            <w:vAlign w:val="center"/>
            <w:hideMark/>
          </w:tcPr>
          <w:p w14:paraId="32C1946D" w14:textId="77777777" w:rsidR="006D1376" w:rsidRPr="00FF512C" w:rsidRDefault="006D1376" w:rsidP="009D3234">
            <w:pPr>
              <w:pStyle w:val="COMTabletext"/>
              <w:jc w:val="center"/>
            </w:pPr>
            <w:r w:rsidRPr="00FF512C">
              <w:t>10.3%</w:t>
            </w:r>
            <w:r w:rsidRPr="00FF512C">
              <w:rPr>
                <w:vertAlign w:val="superscript"/>
              </w:rPr>
              <w:t>b</w:t>
            </w:r>
          </w:p>
        </w:tc>
      </w:tr>
      <w:tr w:rsidR="006D1376" w:rsidRPr="00FF512C" w14:paraId="58E00E07" w14:textId="77777777" w:rsidTr="009D3234">
        <w:tc>
          <w:tcPr>
            <w:tcW w:w="2122" w:type="dxa"/>
            <w:shd w:val="clear" w:color="auto" w:fill="auto"/>
            <w:vAlign w:val="center"/>
          </w:tcPr>
          <w:p w14:paraId="79F0017C" w14:textId="77777777" w:rsidR="006D1376" w:rsidRPr="00FF512C" w:rsidRDefault="006D1376" w:rsidP="009D3234">
            <w:pPr>
              <w:pStyle w:val="COMTabletext"/>
              <w:ind w:left="65"/>
            </w:pPr>
            <w:r w:rsidRPr="00FF512C">
              <w:t xml:space="preserve">AMETHYST-DN </w:t>
            </w:r>
          </w:p>
        </w:tc>
        <w:tc>
          <w:tcPr>
            <w:tcW w:w="425" w:type="dxa"/>
            <w:shd w:val="clear" w:color="auto" w:fill="auto"/>
            <w:vAlign w:val="center"/>
          </w:tcPr>
          <w:p w14:paraId="0775F5ED" w14:textId="77777777" w:rsidR="006D1376" w:rsidRPr="00FF512C" w:rsidRDefault="006D1376" w:rsidP="009D3234">
            <w:pPr>
              <w:pStyle w:val="COMTabletext"/>
              <w:jc w:val="center"/>
            </w:pPr>
            <w:r w:rsidRPr="00FF512C">
              <w:t>306</w:t>
            </w:r>
          </w:p>
        </w:tc>
        <w:tc>
          <w:tcPr>
            <w:tcW w:w="2173" w:type="dxa"/>
            <w:shd w:val="clear" w:color="auto" w:fill="auto"/>
            <w:vAlign w:val="center"/>
          </w:tcPr>
          <w:p w14:paraId="53682C96" w14:textId="77777777" w:rsidR="006D1376" w:rsidRPr="00FF512C" w:rsidRDefault="006D1376" w:rsidP="009D3234">
            <w:pPr>
              <w:pStyle w:val="COMTabletext"/>
              <w:jc w:val="center"/>
            </w:pPr>
            <w:r w:rsidRPr="00FF512C">
              <w:t>12 months</w:t>
            </w:r>
          </w:p>
        </w:tc>
        <w:tc>
          <w:tcPr>
            <w:tcW w:w="2173" w:type="dxa"/>
            <w:shd w:val="clear" w:color="auto" w:fill="auto"/>
            <w:vAlign w:val="center"/>
          </w:tcPr>
          <w:p w14:paraId="5E8345C4" w14:textId="77777777" w:rsidR="006D1376" w:rsidRPr="00FF512C" w:rsidRDefault="006D1376" w:rsidP="009D3234">
            <w:pPr>
              <w:pStyle w:val="COMTabletext"/>
              <w:jc w:val="center"/>
            </w:pPr>
            <w:r w:rsidRPr="00FF512C">
              <w:t>22.3 months</w:t>
            </w:r>
            <w:r w:rsidRPr="00FF512C">
              <w:rPr>
                <w:vertAlign w:val="superscript"/>
              </w:rPr>
              <w:t>a</w:t>
            </w:r>
          </w:p>
        </w:tc>
        <w:tc>
          <w:tcPr>
            <w:tcW w:w="2173" w:type="dxa"/>
            <w:shd w:val="clear" w:color="auto" w:fill="auto"/>
            <w:noWrap/>
            <w:tcMar>
              <w:top w:w="0" w:type="dxa"/>
              <w:left w:w="108" w:type="dxa"/>
              <w:bottom w:w="0" w:type="dxa"/>
              <w:right w:w="108" w:type="dxa"/>
            </w:tcMar>
            <w:vAlign w:val="center"/>
          </w:tcPr>
          <w:p w14:paraId="6D1850C9" w14:textId="77777777" w:rsidR="006D1376" w:rsidRPr="00FF512C" w:rsidRDefault="006D1376" w:rsidP="009D3234">
            <w:pPr>
              <w:pStyle w:val="COMTabletext"/>
              <w:jc w:val="center"/>
            </w:pPr>
            <w:r w:rsidRPr="00FF512C">
              <w:t>3.1%</w:t>
            </w:r>
            <w:r w:rsidRPr="00FF512C">
              <w:rPr>
                <w:vertAlign w:val="superscript"/>
              </w:rPr>
              <w:t>c</w:t>
            </w:r>
          </w:p>
        </w:tc>
      </w:tr>
      <w:tr w:rsidR="006D1376" w:rsidRPr="00FF512C" w14:paraId="77CA7062" w14:textId="77777777" w:rsidTr="009D3234">
        <w:tc>
          <w:tcPr>
            <w:tcW w:w="2122" w:type="dxa"/>
            <w:shd w:val="clear" w:color="auto" w:fill="auto"/>
            <w:vAlign w:val="center"/>
          </w:tcPr>
          <w:p w14:paraId="268708AC" w14:textId="77777777" w:rsidR="006D1376" w:rsidRPr="00FF512C" w:rsidRDefault="006D1376" w:rsidP="009D3234">
            <w:pPr>
              <w:pStyle w:val="COMTabletext"/>
              <w:ind w:left="65"/>
            </w:pPr>
            <w:r w:rsidRPr="00FF512C">
              <w:t>German CKDopps</w:t>
            </w:r>
          </w:p>
        </w:tc>
        <w:tc>
          <w:tcPr>
            <w:tcW w:w="425" w:type="dxa"/>
            <w:shd w:val="clear" w:color="auto" w:fill="auto"/>
            <w:vAlign w:val="center"/>
          </w:tcPr>
          <w:p w14:paraId="25647811" w14:textId="77777777" w:rsidR="006D1376" w:rsidRPr="00FF512C" w:rsidRDefault="006D1376" w:rsidP="009D3234">
            <w:pPr>
              <w:pStyle w:val="COMTabletext"/>
              <w:jc w:val="center"/>
            </w:pPr>
            <w:r w:rsidRPr="00FF512C">
              <w:t>136</w:t>
            </w:r>
          </w:p>
        </w:tc>
        <w:tc>
          <w:tcPr>
            <w:tcW w:w="2173" w:type="dxa"/>
            <w:shd w:val="clear" w:color="auto" w:fill="auto"/>
            <w:vAlign w:val="center"/>
          </w:tcPr>
          <w:p w14:paraId="1A5EE5E4" w14:textId="77777777" w:rsidR="006D1376" w:rsidRPr="00FF512C" w:rsidRDefault="006D1376" w:rsidP="009D3234">
            <w:pPr>
              <w:pStyle w:val="COMTabletext"/>
              <w:jc w:val="center"/>
            </w:pPr>
            <w:r w:rsidRPr="00FF512C">
              <w:t>2.6 years</w:t>
            </w:r>
          </w:p>
        </w:tc>
        <w:tc>
          <w:tcPr>
            <w:tcW w:w="2173" w:type="dxa"/>
            <w:shd w:val="clear" w:color="auto" w:fill="auto"/>
            <w:vAlign w:val="center"/>
          </w:tcPr>
          <w:p w14:paraId="45A61AC5" w14:textId="77777777" w:rsidR="006D1376" w:rsidRPr="00FF512C" w:rsidRDefault="006D1376" w:rsidP="009D3234">
            <w:pPr>
              <w:pStyle w:val="COMTabletext"/>
              <w:jc w:val="center"/>
            </w:pPr>
            <w:r w:rsidRPr="00FF512C">
              <w:t>13.5 months</w:t>
            </w:r>
            <w:r w:rsidRPr="00FF512C">
              <w:rPr>
                <w:vertAlign w:val="superscript"/>
              </w:rPr>
              <w:t>a</w:t>
            </w:r>
          </w:p>
        </w:tc>
        <w:tc>
          <w:tcPr>
            <w:tcW w:w="2173" w:type="dxa"/>
            <w:shd w:val="clear" w:color="auto" w:fill="auto"/>
            <w:noWrap/>
            <w:tcMar>
              <w:top w:w="0" w:type="dxa"/>
              <w:left w:w="108" w:type="dxa"/>
              <w:bottom w:w="0" w:type="dxa"/>
              <w:right w:w="108" w:type="dxa"/>
            </w:tcMar>
            <w:vAlign w:val="center"/>
            <w:hideMark/>
          </w:tcPr>
          <w:p w14:paraId="105DC139" w14:textId="77777777" w:rsidR="006D1376" w:rsidRPr="00FF512C" w:rsidRDefault="006D1376" w:rsidP="009D3234">
            <w:pPr>
              <w:pStyle w:val="COMTabletext"/>
              <w:jc w:val="center"/>
            </w:pPr>
            <w:r w:rsidRPr="00FF512C">
              <w:t>5%</w:t>
            </w:r>
          </w:p>
        </w:tc>
      </w:tr>
      <w:tr w:rsidR="006D1376" w:rsidRPr="00FF512C" w14:paraId="32A86311" w14:textId="77777777" w:rsidTr="009D3234">
        <w:tc>
          <w:tcPr>
            <w:tcW w:w="2122" w:type="dxa"/>
            <w:shd w:val="clear" w:color="auto" w:fill="auto"/>
            <w:vAlign w:val="center"/>
          </w:tcPr>
          <w:p w14:paraId="2C466726" w14:textId="77777777" w:rsidR="006D1376" w:rsidRPr="00FF512C" w:rsidRDefault="006D1376" w:rsidP="009D3234">
            <w:pPr>
              <w:pStyle w:val="COMTabletext"/>
              <w:ind w:left="65"/>
            </w:pPr>
            <w:r w:rsidRPr="00FF512C">
              <w:t xml:space="preserve">US Cohort Study </w:t>
            </w:r>
          </w:p>
        </w:tc>
        <w:tc>
          <w:tcPr>
            <w:tcW w:w="425" w:type="dxa"/>
            <w:shd w:val="clear" w:color="auto" w:fill="auto"/>
            <w:vAlign w:val="center"/>
          </w:tcPr>
          <w:p w14:paraId="23EFE6E9" w14:textId="77777777" w:rsidR="006D1376" w:rsidRPr="00FF512C" w:rsidRDefault="006D1376" w:rsidP="009D3234">
            <w:pPr>
              <w:pStyle w:val="COMTabletext"/>
              <w:jc w:val="center"/>
            </w:pPr>
            <w:r w:rsidRPr="00FF512C">
              <w:t>610</w:t>
            </w:r>
          </w:p>
        </w:tc>
        <w:tc>
          <w:tcPr>
            <w:tcW w:w="2173" w:type="dxa"/>
            <w:shd w:val="clear" w:color="auto" w:fill="auto"/>
            <w:vAlign w:val="center"/>
          </w:tcPr>
          <w:p w14:paraId="457A44C6" w14:textId="77777777" w:rsidR="006D1376" w:rsidRPr="00FF512C" w:rsidRDefault="006D1376" w:rsidP="009D3234">
            <w:pPr>
              <w:pStyle w:val="COMTabletext"/>
              <w:jc w:val="center"/>
            </w:pPr>
            <w:r w:rsidRPr="00FF512C">
              <w:t xml:space="preserve">2 years </w:t>
            </w:r>
          </w:p>
        </w:tc>
        <w:tc>
          <w:tcPr>
            <w:tcW w:w="2173" w:type="dxa"/>
            <w:shd w:val="clear" w:color="auto" w:fill="auto"/>
            <w:vAlign w:val="center"/>
          </w:tcPr>
          <w:p w14:paraId="7EAD2862" w14:textId="77777777" w:rsidR="006D1376" w:rsidRPr="00FF512C" w:rsidRDefault="006D1376" w:rsidP="009D3234">
            <w:pPr>
              <w:pStyle w:val="COMTabletext"/>
              <w:jc w:val="center"/>
            </w:pPr>
            <w:r w:rsidRPr="00FF512C">
              <w:t>3 months</w:t>
            </w:r>
            <w:r w:rsidRPr="00FF512C">
              <w:rPr>
                <w:vertAlign w:val="superscript"/>
              </w:rPr>
              <w:t>d</w:t>
            </w:r>
          </w:p>
        </w:tc>
        <w:tc>
          <w:tcPr>
            <w:tcW w:w="2173" w:type="dxa"/>
            <w:shd w:val="clear" w:color="auto" w:fill="auto"/>
            <w:noWrap/>
            <w:tcMar>
              <w:top w:w="0" w:type="dxa"/>
              <w:left w:w="108" w:type="dxa"/>
              <w:bottom w:w="0" w:type="dxa"/>
              <w:right w:w="108" w:type="dxa"/>
            </w:tcMar>
            <w:vAlign w:val="center"/>
          </w:tcPr>
          <w:p w14:paraId="53F32A3E" w14:textId="77777777" w:rsidR="006D1376" w:rsidRPr="00FF512C" w:rsidRDefault="006D1376" w:rsidP="009D3234">
            <w:pPr>
              <w:pStyle w:val="COMTabletext"/>
              <w:jc w:val="center"/>
            </w:pPr>
            <w:r w:rsidRPr="00FF512C">
              <w:t>NR</w:t>
            </w:r>
          </w:p>
        </w:tc>
      </w:tr>
      <w:tr w:rsidR="006D1376" w:rsidRPr="00FF512C" w14:paraId="33690EB6" w14:textId="77777777" w:rsidTr="009D3234">
        <w:tc>
          <w:tcPr>
            <w:tcW w:w="2122" w:type="dxa"/>
            <w:shd w:val="clear" w:color="auto" w:fill="auto"/>
            <w:vAlign w:val="center"/>
          </w:tcPr>
          <w:p w14:paraId="00ED5527" w14:textId="77777777" w:rsidR="006D1376" w:rsidRPr="00FF512C" w:rsidRDefault="006D1376" w:rsidP="009D3234">
            <w:pPr>
              <w:pStyle w:val="COMTabletext"/>
              <w:ind w:left="65"/>
            </w:pPr>
            <w:r w:rsidRPr="00FF512C">
              <w:t xml:space="preserve">US Veterans Cohort Study </w:t>
            </w:r>
          </w:p>
        </w:tc>
        <w:tc>
          <w:tcPr>
            <w:tcW w:w="425" w:type="dxa"/>
            <w:shd w:val="clear" w:color="auto" w:fill="auto"/>
            <w:vAlign w:val="center"/>
          </w:tcPr>
          <w:p w14:paraId="2BE861B5" w14:textId="77777777" w:rsidR="006D1376" w:rsidRPr="00FF512C" w:rsidRDefault="006D1376" w:rsidP="009D3234">
            <w:pPr>
              <w:pStyle w:val="COMTabletext"/>
              <w:jc w:val="center"/>
            </w:pPr>
            <w:r w:rsidRPr="00FF512C">
              <w:t>288</w:t>
            </w:r>
          </w:p>
        </w:tc>
        <w:tc>
          <w:tcPr>
            <w:tcW w:w="2173" w:type="dxa"/>
            <w:shd w:val="clear" w:color="auto" w:fill="auto"/>
            <w:vAlign w:val="center"/>
          </w:tcPr>
          <w:p w14:paraId="0CF91A80" w14:textId="77777777" w:rsidR="006D1376" w:rsidRPr="00FF512C" w:rsidRDefault="006D1376" w:rsidP="009D3234">
            <w:pPr>
              <w:pStyle w:val="COMTabletext"/>
              <w:jc w:val="center"/>
            </w:pPr>
            <w:r w:rsidRPr="00FF512C">
              <w:t xml:space="preserve">2.75 years </w:t>
            </w:r>
          </w:p>
        </w:tc>
        <w:tc>
          <w:tcPr>
            <w:tcW w:w="2173" w:type="dxa"/>
            <w:shd w:val="clear" w:color="auto" w:fill="auto"/>
            <w:vAlign w:val="center"/>
          </w:tcPr>
          <w:p w14:paraId="4B7A52E4" w14:textId="77777777" w:rsidR="006D1376" w:rsidRPr="00FF512C" w:rsidRDefault="006D1376" w:rsidP="009D3234">
            <w:pPr>
              <w:pStyle w:val="COMTabletext"/>
              <w:jc w:val="center"/>
              <w:rPr>
                <w:vertAlign w:val="superscript"/>
              </w:rPr>
            </w:pPr>
            <w:r w:rsidRPr="00FF512C">
              <w:t>2.3 months</w:t>
            </w:r>
            <w:r w:rsidRPr="00FF512C">
              <w:rPr>
                <w:vertAlign w:val="superscript"/>
              </w:rPr>
              <w:t>e</w:t>
            </w:r>
          </w:p>
        </w:tc>
        <w:tc>
          <w:tcPr>
            <w:tcW w:w="2173" w:type="dxa"/>
            <w:shd w:val="clear" w:color="auto" w:fill="auto"/>
            <w:noWrap/>
            <w:tcMar>
              <w:top w:w="0" w:type="dxa"/>
              <w:left w:w="108" w:type="dxa"/>
              <w:bottom w:w="0" w:type="dxa"/>
              <w:right w:w="108" w:type="dxa"/>
            </w:tcMar>
            <w:vAlign w:val="center"/>
          </w:tcPr>
          <w:p w14:paraId="2ECAC15E" w14:textId="77777777" w:rsidR="006D1376" w:rsidRPr="00FF512C" w:rsidRDefault="006D1376" w:rsidP="009D3234">
            <w:pPr>
              <w:pStyle w:val="COMTabletext"/>
              <w:jc w:val="center"/>
            </w:pPr>
            <w:r w:rsidRPr="00FF512C">
              <w:t>NR</w:t>
            </w:r>
          </w:p>
        </w:tc>
      </w:tr>
      <w:tr w:rsidR="006D1376" w:rsidRPr="00FF512C" w14:paraId="75F12081" w14:textId="77777777" w:rsidTr="009D3234">
        <w:tc>
          <w:tcPr>
            <w:tcW w:w="2122" w:type="dxa"/>
            <w:shd w:val="clear" w:color="auto" w:fill="auto"/>
            <w:vAlign w:val="center"/>
          </w:tcPr>
          <w:p w14:paraId="6066349B" w14:textId="77777777" w:rsidR="006D1376" w:rsidRPr="00FF512C" w:rsidRDefault="006D1376" w:rsidP="009D3234">
            <w:pPr>
              <w:pStyle w:val="COMTabletext"/>
              <w:ind w:left="65"/>
            </w:pPr>
            <w:r w:rsidRPr="00FF512C">
              <w:t>VCAP</w:t>
            </w:r>
          </w:p>
        </w:tc>
        <w:tc>
          <w:tcPr>
            <w:tcW w:w="425" w:type="dxa"/>
            <w:shd w:val="clear" w:color="auto" w:fill="auto"/>
            <w:vAlign w:val="center"/>
          </w:tcPr>
          <w:p w14:paraId="4BFD0C01" w14:textId="77777777" w:rsidR="006D1376" w:rsidRPr="00FF512C" w:rsidRDefault="006D1376" w:rsidP="009D3234">
            <w:pPr>
              <w:pStyle w:val="COMTabletext"/>
              <w:jc w:val="center"/>
            </w:pPr>
            <w:r w:rsidRPr="00FF512C">
              <w:t>56</w:t>
            </w:r>
          </w:p>
        </w:tc>
        <w:tc>
          <w:tcPr>
            <w:tcW w:w="2173" w:type="dxa"/>
            <w:shd w:val="clear" w:color="auto" w:fill="auto"/>
            <w:vAlign w:val="center"/>
          </w:tcPr>
          <w:p w14:paraId="45C25935" w14:textId="77777777" w:rsidR="006D1376" w:rsidRPr="00FF512C" w:rsidRDefault="006D1376" w:rsidP="009D3234">
            <w:pPr>
              <w:pStyle w:val="COMTabletext"/>
              <w:jc w:val="center"/>
            </w:pPr>
            <w:r w:rsidRPr="00FF512C">
              <w:t xml:space="preserve">1.8 years </w:t>
            </w:r>
          </w:p>
        </w:tc>
        <w:tc>
          <w:tcPr>
            <w:tcW w:w="2173" w:type="dxa"/>
            <w:shd w:val="clear" w:color="auto" w:fill="auto"/>
            <w:vAlign w:val="center"/>
          </w:tcPr>
          <w:p w14:paraId="4BE50DBC" w14:textId="77777777" w:rsidR="006D1376" w:rsidRPr="00FF512C" w:rsidRDefault="006D1376" w:rsidP="009D3234">
            <w:pPr>
              <w:pStyle w:val="COMTabletext"/>
              <w:jc w:val="center"/>
            </w:pPr>
            <w:r w:rsidRPr="00FF512C">
              <w:t>11.9 months</w:t>
            </w:r>
            <w:r w:rsidRPr="00FF512C">
              <w:rPr>
                <w:vertAlign w:val="superscript"/>
              </w:rPr>
              <w:t>a</w:t>
            </w:r>
          </w:p>
        </w:tc>
        <w:tc>
          <w:tcPr>
            <w:tcW w:w="2173" w:type="dxa"/>
            <w:shd w:val="clear" w:color="auto" w:fill="auto"/>
            <w:noWrap/>
            <w:tcMar>
              <w:top w:w="0" w:type="dxa"/>
              <w:left w:w="108" w:type="dxa"/>
              <w:bottom w:w="0" w:type="dxa"/>
              <w:right w:w="108" w:type="dxa"/>
            </w:tcMar>
            <w:vAlign w:val="center"/>
          </w:tcPr>
          <w:p w14:paraId="2D4CCA14" w14:textId="77777777" w:rsidR="006D1376" w:rsidRPr="00FF512C" w:rsidRDefault="006D1376" w:rsidP="009D3234">
            <w:pPr>
              <w:pStyle w:val="COMTabletext"/>
              <w:jc w:val="center"/>
            </w:pPr>
            <w:r w:rsidRPr="00FF512C">
              <w:t>5.7%</w:t>
            </w:r>
            <w:r w:rsidRPr="00FF512C">
              <w:rPr>
                <w:vertAlign w:val="superscript"/>
              </w:rPr>
              <w:t>f</w:t>
            </w:r>
          </w:p>
        </w:tc>
      </w:tr>
    </w:tbl>
    <w:p w14:paraId="3E78DA64" w14:textId="77777777" w:rsidR="006D1376" w:rsidRPr="00FF512C" w:rsidRDefault="006D1376" w:rsidP="006D1376">
      <w:pPr>
        <w:pStyle w:val="TableFooter"/>
      </w:pPr>
      <w:r w:rsidRPr="00FF512C">
        <w:t>Source: Table 2.6.5, p131 of the resubmission.</w:t>
      </w:r>
    </w:p>
    <w:p w14:paraId="3D5F0CF7" w14:textId="77777777" w:rsidR="006D1376" w:rsidRPr="00FF512C" w:rsidRDefault="006D1376" w:rsidP="006D1376">
      <w:pPr>
        <w:pStyle w:val="TableFooter"/>
      </w:pPr>
      <w:r w:rsidRPr="00FF512C">
        <w:t>Abbreviations: CKD, chronic kidney disease; CKDopps, CKD Outcomes and Practice Patterns Study; DOT, duration of treatment; NR, not reported; VCAP, sponsor’s compassionate access program.</w:t>
      </w:r>
    </w:p>
    <w:p w14:paraId="02812305" w14:textId="77777777" w:rsidR="006D1376" w:rsidRPr="00FF512C" w:rsidRDefault="006D1376" w:rsidP="006D1376">
      <w:pPr>
        <w:pStyle w:val="TableFooter"/>
      </w:pPr>
      <w:r w:rsidRPr="00FF512C">
        <w:rPr>
          <w:vertAlign w:val="superscript"/>
        </w:rPr>
        <w:t>a</w:t>
      </w:r>
      <w:r w:rsidRPr="00FF512C">
        <w:t xml:space="preserve"> Median duration of treatment was calculated assuming a constant monthly rate of discontinuation, extrapolated over time.</w:t>
      </w:r>
    </w:p>
    <w:p w14:paraId="2F292EA4" w14:textId="77777777" w:rsidR="006D1376" w:rsidRPr="00FF512C" w:rsidRDefault="006D1376" w:rsidP="006D1376">
      <w:pPr>
        <w:pStyle w:val="TableFooter"/>
      </w:pPr>
      <w:r w:rsidRPr="00FF512C">
        <w:rPr>
          <w:vertAlign w:val="superscript"/>
        </w:rPr>
        <w:t>b</w:t>
      </w:r>
      <w:r w:rsidRPr="00FF512C">
        <w:t xml:space="preserve"> Based on 10 out of 55 patients in OPAL-HK part B who discontinued over an 8-week period; adjusted for a one month period.</w:t>
      </w:r>
    </w:p>
    <w:p w14:paraId="59EF096B" w14:textId="77777777" w:rsidR="006D1376" w:rsidRPr="00FF512C" w:rsidRDefault="006D1376" w:rsidP="006D1376">
      <w:pPr>
        <w:pStyle w:val="TableFooter"/>
      </w:pPr>
      <w:r w:rsidRPr="00FF512C">
        <w:rPr>
          <w:vertAlign w:val="superscript"/>
        </w:rPr>
        <w:t>c</w:t>
      </w:r>
      <w:r w:rsidRPr="00FF512C">
        <w:t xml:space="preserve"> Based on 211/306 patients completing the 52 week trial (95 discontinued); adjusted for a one month period.</w:t>
      </w:r>
    </w:p>
    <w:p w14:paraId="4249356C" w14:textId="77777777" w:rsidR="006D1376" w:rsidRPr="00FF512C" w:rsidRDefault="006D1376" w:rsidP="006D1376">
      <w:pPr>
        <w:pStyle w:val="TableFooter"/>
      </w:pPr>
      <w:r w:rsidRPr="00FF512C">
        <w:rPr>
          <w:vertAlign w:val="superscript"/>
        </w:rPr>
        <w:t>d</w:t>
      </w:r>
      <w:r w:rsidRPr="00FF512C">
        <w:t xml:space="preserve"> Estimated at 92 days by visual examination of KM plot.</w:t>
      </w:r>
    </w:p>
    <w:p w14:paraId="0D934B20" w14:textId="77777777" w:rsidR="006D1376" w:rsidRPr="00FF512C" w:rsidRDefault="006D1376" w:rsidP="006D1376">
      <w:pPr>
        <w:pStyle w:val="TableFooter"/>
      </w:pPr>
      <w:r w:rsidRPr="00FF512C">
        <w:rPr>
          <w:vertAlign w:val="superscript"/>
        </w:rPr>
        <w:t>e</w:t>
      </w:r>
      <w:r w:rsidRPr="00FF512C">
        <w:t xml:space="preserve"> Estimated from Figure 1, Kovesdy 2020 during the evaluation.</w:t>
      </w:r>
    </w:p>
    <w:p w14:paraId="20F8BE54" w14:textId="1FB9D590" w:rsidR="006D1376" w:rsidRPr="00FF512C" w:rsidRDefault="006D1376" w:rsidP="00320A2B">
      <w:pPr>
        <w:pStyle w:val="TableFooter"/>
        <w:spacing w:after="120"/>
      </w:pPr>
      <w:r w:rsidRPr="00FF512C">
        <w:rPr>
          <w:vertAlign w:val="superscript"/>
        </w:rPr>
        <w:t>f</w:t>
      </w:r>
      <w:r w:rsidRPr="00FF512C">
        <w:t xml:space="preserve"> Derived from Kaplan Meier estimates of time to patiromer discontinuation.</w:t>
      </w:r>
    </w:p>
    <w:p w14:paraId="1EDA63D3" w14:textId="10828452" w:rsidR="006D1376" w:rsidRPr="00FF512C" w:rsidRDefault="006D1376" w:rsidP="006D1376">
      <w:pPr>
        <w:pStyle w:val="COMexecsumnumberedpara"/>
        <w:numPr>
          <w:ilvl w:val="1"/>
          <w:numId w:val="1"/>
        </w:numPr>
      </w:pPr>
      <w:r w:rsidRPr="00FF512C">
        <w:lastRenderedPageBreak/>
        <w:t xml:space="preserve">The ESC noted </w:t>
      </w:r>
      <w:r w:rsidR="002D20AE" w:rsidRPr="00FF512C">
        <w:t xml:space="preserve">that </w:t>
      </w:r>
      <w:r w:rsidRPr="00FF512C">
        <w:t xml:space="preserve">concerns surrounding the duration of patiromer treatment remained, </w:t>
      </w:r>
      <w:r w:rsidR="002D430F" w:rsidRPr="00FF512C">
        <w:t>given the low median duration of therapy in many of the studies. Th</w:t>
      </w:r>
      <w:r w:rsidR="0057016F" w:rsidRPr="00FF512C">
        <w:t>e ESC considered this was</w:t>
      </w:r>
      <w:r w:rsidR="002D430F" w:rsidRPr="00FF512C">
        <w:t xml:space="preserve"> </w:t>
      </w:r>
      <w:r w:rsidRPr="00FF512C">
        <w:t xml:space="preserve">especially </w:t>
      </w:r>
      <w:r w:rsidR="002D430F" w:rsidRPr="00FF512C">
        <w:t xml:space="preserve">of concern </w:t>
      </w:r>
      <w:r w:rsidRPr="00FF512C">
        <w:t xml:space="preserve">as the economic model relied on </w:t>
      </w:r>
      <w:r w:rsidR="00223E49" w:rsidRPr="00FF512C">
        <w:t xml:space="preserve">the </w:t>
      </w:r>
      <w:r w:rsidRPr="00FF512C">
        <w:t xml:space="preserve">long-term </w:t>
      </w:r>
      <w:r w:rsidR="00223E49" w:rsidRPr="00FF512C">
        <w:t>maintenance of RAASi therapy and the associated accrual of cardiovascular and renal benefits.</w:t>
      </w:r>
    </w:p>
    <w:p w14:paraId="02B364FA" w14:textId="4214FAF2" w:rsidR="00367E22" w:rsidRPr="001159D0" w:rsidRDefault="00367E22" w:rsidP="000651ED">
      <w:pPr>
        <w:pStyle w:val="COMH3"/>
        <w:spacing w:after="120"/>
      </w:pPr>
      <w:r w:rsidRPr="001159D0">
        <w:t>Patiromer versus SPS/CPS resins</w:t>
      </w:r>
    </w:p>
    <w:p w14:paraId="6D91B887" w14:textId="41FAAFC5" w:rsidR="00EA64D5" w:rsidRDefault="008824DF" w:rsidP="003B3491">
      <w:pPr>
        <w:pStyle w:val="COMexecsumnumberedpara"/>
        <w:numPr>
          <w:ilvl w:val="1"/>
          <w:numId w:val="1"/>
        </w:numPr>
      </w:pPr>
      <w:r>
        <w:fldChar w:fldCharType="begin"/>
      </w:r>
      <w:r>
        <w:instrText xml:space="preserve"> REF _Ref111811772 \h </w:instrText>
      </w:r>
      <w:r>
        <w:fldChar w:fldCharType="separate"/>
      </w:r>
      <w:r w:rsidR="00565456" w:rsidRPr="001B3F87">
        <w:t xml:space="preserve">Table </w:t>
      </w:r>
      <w:r w:rsidR="00565456">
        <w:rPr>
          <w:noProof/>
        </w:rPr>
        <w:t>7</w:t>
      </w:r>
      <w:r>
        <w:fldChar w:fldCharType="end"/>
      </w:r>
      <w:r w:rsidR="00926DC4">
        <w:t xml:space="preserve"> </w:t>
      </w:r>
      <w:r w:rsidR="00EA64D5" w:rsidRPr="001159D0">
        <w:t xml:space="preserve">summarises the </w:t>
      </w:r>
      <w:r w:rsidR="00190256">
        <w:t>unanchored</w:t>
      </w:r>
      <w:r w:rsidR="00EA64D5" w:rsidRPr="001159D0">
        <w:t xml:space="preserve"> indirect comparison between the pooled patiromer trial</w:t>
      </w:r>
      <w:r w:rsidR="003B3491" w:rsidRPr="001159D0">
        <w:t xml:space="preserve"> subgroup</w:t>
      </w:r>
      <w:r w:rsidR="00EA64D5" w:rsidRPr="001159D0">
        <w:t>s (OPAL-HK Part A subgroup ≥ 5.5 mmol/L; AMETHYST-DN Stratum 2) and SPS/CPS resin studies</w:t>
      </w:r>
      <w:r w:rsidR="003B3491" w:rsidRPr="001159D0">
        <w:t xml:space="preserve"> with </w:t>
      </w:r>
      <w:r w:rsidR="001159D0" w:rsidRPr="001159D0">
        <w:t>efficacy data</w:t>
      </w:r>
      <w:r w:rsidR="00EA64D5" w:rsidRPr="001159D0">
        <w:t xml:space="preserve"> </w:t>
      </w:r>
      <w:r w:rsidR="001159D0" w:rsidRPr="001159D0">
        <w:t xml:space="preserve">for mean change in serum </w:t>
      </w:r>
      <w:r w:rsidR="009C69BA">
        <w:t>potassium</w:t>
      </w:r>
      <w:r w:rsidR="001159D0" w:rsidRPr="001159D0">
        <w:t xml:space="preserve"> from baseline to Week 4 </w:t>
      </w:r>
      <w:r w:rsidR="00EA64D5" w:rsidRPr="001159D0">
        <w:t>(Georgianos 2017; Yu 2017 Group 1)</w:t>
      </w:r>
      <w:r w:rsidR="001159D0" w:rsidRPr="001159D0">
        <w:t>.</w:t>
      </w:r>
    </w:p>
    <w:p w14:paraId="4ABC1B3A" w14:textId="4010C3AF" w:rsidR="008824DF" w:rsidRDefault="008824DF" w:rsidP="007D7494">
      <w:pPr>
        <w:pStyle w:val="COMTableheadingrow"/>
        <w:jc w:val="both"/>
      </w:pPr>
      <w:bookmarkStart w:id="30" w:name="_Ref111811772"/>
      <w:r w:rsidRPr="001B3F87">
        <w:t xml:space="preserve">Table </w:t>
      </w:r>
      <w:r>
        <w:fldChar w:fldCharType="begin"/>
      </w:r>
      <w:r>
        <w:instrText xml:space="preserve"> SEQ Table \* ARABIC </w:instrText>
      </w:r>
      <w:r>
        <w:fldChar w:fldCharType="separate"/>
      </w:r>
      <w:r w:rsidR="00565456">
        <w:rPr>
          <w:noProof/>
        </w:rPr>
        <w:t>7</w:t>
      </w:r>
      <w:r>
        <w:rPr>
          <w:noProof/>
        </w:rPr>
        <w:fldChar w:fldCharType="end"/>
      </w:r>
      <w:bookmarkEnd w:id="30"/>
      <w:r w:rsidRPr="001B3F87">
        <w:t xml:space="preserve">: </w:t>
      </w:r>
      <w:r w:rsidR="007D7494" w:rsidRPr="001159D0">
        <w:rPr>
          <w:lang w:val="en-AU"/>
        </w:rPr>
        <w:t>Naïve comparison of mean change in serum K+ from baseline to Week 4 between matched pooled patiromer trials and SPS/CPS studies</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1"/>
        <w:gridCol w:w="567"/>
        <w:gridCol w:w="2551"/>
        <w:gridCol w:w="2268"/>
      </w:tblGrid>
      <w:tr w:rsidR="008824DF" w:rsidRPr="001B3F87" w14:paraId="454B4D52" w14:textId="77777777" w:rsidTr="00B74E0E">
        <w:trPr>
          <w:trHeight w:val="317"/>
        </w:trPr>
        <w:tc>
          <w:tcPr>
            <w:tcW w:w="3681" w:type="dxa"/>
            <w:shd w:val="clear" w:color="auto" w:fill="auto"/>
            <w:noWrap/>
            <w:vAlign w:val="center"/>
            <w:hideMark/>
          </w:tcPr>
          <w:p w14:paraId="2D6D6719" w14:textId="77777777" w:rsidR="008824DF" w:rsidRPr="001B3F87" w:rsidRDefault="008824DF" w:rsidP="00624A83">
            <w:pPr>
              <w:keepNext/>
              <w:keepLines/>
              <w:widowControl w:val="0"/>
              <w:contextualSpacing/>
              <w:rPr>
                <w:rFonts w:ascii="Arial Narrow" w:hAnsi="Arial Narrow"/>
                <w:sz w:val="20"/>
                <w:szCs w:val="20"/>
              </w:rPr>
            </w:pPr>
          </w:p>
        </w:tc>
        <w:tc>
          <w:tcPr>
            <w:tcW w:w="567" w:type="dxa"/>
            <w:shd w:val="clear" w:color="auto" w:fill="auto"/>
            <w:noWrap/>
            <w:vAlign w:val="center"/>
            <w:hideMark/>
          </w:tcPr>
          <w:p w14:paraId="5918FA8E" w14:textId="77777777" w:rsidR="008824DF" w:rsidRPr="001B3F87" w:rsidRDefault="008824DF" w:rsidP="00624A83">
            <w:pPr>
              <w:keepNext/>
              <w:keepLines/>
              <w:widowControl w:val="0"/>
              <w:contextualSpacing/>
              <w:jc w:val="center"/>
              <w:rPr>
                <w:rFonts w:ascii="Arial Narrow" w:hAnsi="Arial Narrow"/>
                <w:sz w:val="20"/>
                <w:szCs w:val="20"/>
              </w:rPr>
            </w:pPr>
            <w:r w:rsidRPr="001B3F87">
              <w:rPr>
                <w:rFonts w:ascii="Arial Narrow" w:hAnsi="Arial Narrow" w:cs="Calibri"/>
                <w:b/>
                <w:bCs/>
                <w:color w:val="000000"/>
                <w:sz w:val="20"/>
                <w:szCs w:val="20"/>
              </w:rPr>
              <w:t>N</w:t>
            </w:r>
          </w:p>
        </w:tc>
        <w:tc>
          <w:tcPr>
            <w:tcW w:w="2551" w:type="dxa"/>
            <w:shd w:val="clear" w:color="auto" w:fill="auto"/>
            <w:noWrap/>
            <w:vAlign w:val="center"/>
            <w:hideMark/>
          </w:tcPr>
          <w:p w14:paraId="2E50F693" w14:textId="39A26256" w:rsidR="008824DF" w:rsidRPr="001B3F87" w:rsidRDefault="008824DF" w:rsidP="00624A83">
            <w:pPr>
              <w:keepNext/>
              <w:keepLines/>
              <w:widowControl w:val="0"/>
              <w:contextualSpacing/>
              <w:jc w:val="center"/>
              <w:rPr>
                <w:rFonts w:ascii="Arial Narrow" w:hAnsi="Arial Narrow"/>
                <w:sz w:val="20"/>
                <w:szCs w:val="20"/>
              </w:rPr>
            </w:pPr>
            <w:r w:rsidRPr="001B3F87">
              <w:rPr>
                <w:rFonts w:ascii="Arial Narrow" w:hAnsi="Arial Narrow" w:cs="Calibri"/>
                <w:b/>
                <w:bCs/>
                <w:color w:val="000000"/>
                <w:sz w:val="20"/>
                <w:szCs w:val="20"/>
              </w:rPr>
              <w:t>Mean change</w:t>
            </w:r>
            <w:r w:rsidR="007D7494">
              <w:rPr>
                <w:rFonts w:ascii="Arial Narrow" w:hAnsi="Arial Narrow" w:cs="Calibri"/>
                <w:b/>
                <w:bCs/>
                <w:color w:val="000000"/>
                <w:sz w:val="20"/>
                <w:szCs w:val="20"/>
              </w:rPr>
              <w:t xml:space="preserve"> (SD)</w:t>
            </w:r>
            <w:r w:rsidRPr="001B3F87">
              <w:rPr>
                <w:rFonts w:ascii="Arial Narrow" w:hAnsi="Arial Narrow" w:cs="Calibri"/>
                <w:b/>
                <w:bCs/>
                <w:color w:val="000000"/>
                <w:sz w:val="20"/>
                <w:szCs w:val="20"/>
              </w:rPr>
              <w:t xml:space="preserve"> in serum K+ from baseline to Week 4 (mmol/L)</w:t>
            </w:r>
          </w:p>
        </w:tc>
        <w:tc>
          <w:tcPr>
            <w:tcW w:w="2268" w:type="dxa"/>
            <w:shd w:val="clear" w:color="auto" w:fill="auto"/>
            <w:vAlign w:val="center"/>
            <w:hideMark/>
          </w:tcPr>
          <w:p w14:paraId="731028D6" w14:textId="77777777" w:rsidR="008824DF" w:rsidRPr="001B3F87" w:rsidRDefault="008824DF" w:rsidP="00624A83">
            <w:pPr>
              <w:keepNext/>
              <w:keepLines/>
              <w:widowControl w:val="0"/>
              <w:contextualSpacing/>
              <w:jc w:val="center"/>
              <w:rPr>
                <w:rFonts w:ascii="Arial Narrow" w:hAnsi="Arial Narrow" w:cs="Calibri"/>
                <w:b/>
                <w:bCs/>
                <w:color w:val="000000"/>
                <w:sz w:val="20"/>
                <w:szCs w:val="20"/>
              </w:rPr>
            </w:pPr>
            <w:r w:rsidRPr="001B3F87">
              <w:rPr>
                <w:rFonts w:ascii="Arial Narrow" w:hAnsi="Arial Narrow" w:cs="Calibri"/>
                <w:b/>
                <w:bCs/>
                <w:color w:val="000000"/>
                <w:sz w:val="20"/>
                <w:szCs w:val="20"/>
              </w:rPr>
              <w:t>Difference in mean change serum K+</w:t>
            </w:r>
          </w:p>
          <w:p w14:paraId="4DFB85DD" w14:textId="77777777" w:rsidR="008824DF" w:rsidRPr="001B3F87" w:rsidRDefault="008824DF" w:rsidP="00624A83">
            <w:pPr>
              <w:keepNext/>
              <w:keepLines/>
              <w:widowControl w:val="0"/>
              <w:contextualSpacing/>
              <w:jc w:val="center"/>
              <w:rPr>
                <w:rFonts w:ascii="Arial Narrow" w:hAnsi="Arial Narrow" w:cs="Calibri"/>
                <w:b/>
                <w:bCs/>
                <w:color w:val="000000"/>
                <w:sz w:val="20"/>
                <w:szCs w:val="20"/>
              </w:rPr>
            </w:pPr>
            <w:r w:rsidRPr="001B3F87">
              <w:rPr>
                <w:rFonts w:ascii="Arial Narrow" w:hAnsi="Arial Narrow" w:cs="Calibri"/>
                <w:b/>
                <w:bCs/>
                <w:color w:val="000000"/>
                <w:sz w:val="20"/>
                <w:szCs w:val="20"/>
              </w:rPr>
              <w:t>(mmol/L)</w:t>
            </w:r>
          </w:p>
        </w:tc>
      </w:tr>
      <w:tr w:rsidR="008824DF" w:rsidRPr="001B3F87" w14:paraId="66273447" w14:textId="77777777" w:rsidTr="00B74E0E">
        <w:trPr>
          <w:trHeight w:val="30"/>
        </w:trPr>
        <w:tc>
          <w:tcPr>
            <w:tcW w:w="3681" w:type="dxa"/>
            <w:shd w:val="clear" w:color="auto" w:fill="auto"/>
            <w:vAlign w:val="center"/>
          </w:tcPr>
          <w:p w14:paraId="74E21B0D" w14:textId="77777777" w:rsidR="008824DF" w:rsidRPr="001B3F87" w:rsidRDefault="008824DF" w:rsidP="00624A83">
            <w:pPr>
              <w:keepNext/>
              <w:keepLines/>
              <w:widowControl w:val="0"/>
              <w:contextualSpacing/>
              <w:rPr>
                <w:rFonts w:ascii="Arial Narrow" w:hAnsi="Arial Narrow" w:cs="Calibri"/>
                <w:color w:val="000000"/>
                <w:sz w:val="20"/>
                <w:szCs w:val="20"/>
              </w:rPr>
            </w:pPr>
            <w:r w:rsidRPr="001B3F87">
              <w:rPr>
                <w:rFonts w:ascii="Arial Narrow" w:hAnsi="Arial Narrow" w:cs="Calibri"/>
                <w:color w:val="000000"/>
                <w:sz w:val="20"/>
                <w:szCs w:val="20"/>
              </w:rPr>
              <w:t>OPAL-HK Part A, subgroup ≥ 5.5</w:t>
            </w:r>
            <w:r>
              <w:rPr>
                <w:rFonts w:ascii="Arial Narrow" w:hAnsi="Arial Narrow" w:cs="Calibri"/>
                <w:color w:val="000000"/>
                <w:sz w:val="20"/>
                <w:szCs w:val="20"/>
              </w:rPr>
              <w:t> mmol</w:t>
            </w:r>
            <w:r w:rsidRPr="001B3F87">
              <w:rPr>
                <w:rFonts w:ascii="Arial Narrow" w:hAnsi="Arial Narrow" w:cs="Calibri"/>
                <w:color w:val="000000"/>
                <w:sz w:val="20"/>
                <w:szCs w:val="20"/>
              </w:rPr>
              <w:t>/L</w:t>
            </w:r>
          </w:p>
        </w:tc>
        <w:tc>
          <w:tcPr>
            <w:tcW w:w="567" w:type="dxa"/>
            <w:shd w:val="clear" w:color="auto" w:fill="auto"/>
            <w:vAlign w:val="center"/>
          </w:tcPr>
          <w:p w14:paraId="2134C0E1" w14:textId="77777777" w:rsidR="008824DF" w:rsidRPr="001B3F87" w:rsidRDefault="008824DF" w:rsidP="00624A83">
            <w:pPr>
              <w:keepNext/>
              <w:keepLines/>
              <w:widowControl w:val="0"/>
              <w:contextualSpacing/>
              <w:jc w:val="center"/>
              <w:rPr>
                <w:rFonts w:ascii="Arial Narrow" w:hAnsi="Arial Narrow" w:cs="Calibri"/>
                <w:color w:val="000000"/>
                <w:sz w:val="20"/>
                <w:szCs w:val="20"/>
              </w:rPr>
            </w:pPr>
            <w:r w:rsidRPr="001B3F87">
              <w:rPr>
                <w:rFonts w:ascii="Arial Narrow" w:hAnsi="Arial Narrow" w:cs="Calibri"/>
                <w:color w:val="000000"/>
                <w:sz w:val="20"/>
                <w:szCs w:val="20"/>
              </w:rPr>
              <w:t>138</w:t>
            </w:r>
          </w:p>
        </w:tc>
        <w:tc>
          <w:tcPr>
            <w:tcW w:w="2551" w:type="dxa"/>
            <w:shd w:val="clear" w:color="auto" w:fill="auto"/>
            <w:vAlign w:val="center"/>
          </w:tcPr>
          <w:p w14:paraId="7FD834A7" w14:textId="77777777" w:rsidR="008824DF" w:rsidRPr="001B3F87" w:rsidRDefault="008824DF" w:rsidP="00624A83">
            <w:pPr>
              <w:keepNext/>
              <w:keepLines/>
              <w:widowControl w:val="0"/>
              <w:contextualSpacing/>
              <w:jc w:val="center"/>
              <w:rPr>
                <w:rFonts w:ascii="Arial Narrow" w:hAnsi="Arial Narrow" w:cs="Calibri"/>
                <w:color w:val="000000"/>
                <w:sz w:val="20"/>
                <w:szCs w:val="20"/>
              </w:rPr>
            </w:pPr>
            <w:r w:rsidRPr="001B3F87">
              <w:rPr>
                <w:rFonts w:ascii="Arial Narrow" w:hAnsi="Arial Narrow" w:cs="Calibri"/>
                <w:color w:val="000000"/>
                <w:sz w:val="20"/>
                <w:szCs w:val="20"/>
              </w:rPr>
              <w:t>-1.35 (0.48)</w:t>
            </w:r>
          </w:p>
        </w:tc>
        <w:tc>
          <w:tcPr>
            <w:tcW w:w="2268" w:type="dxa"/>
            <w:vMerge w:val="restart"/>
            <w:shd w:val="clear" w:color="auto" w:fill="auto"/>
            <w:vAlign w:val="center"/>
            <w:hideMark/>
          </w:tcPr>
          <w:p w14:paraId="2468DE5C" w14:textId="77777777" w:rsidR="008824DF" w:rsidRPr="001B3F87" w:rsidRDefault="008824DF" w:rsidP="00624A83">
            <w:pPr>
              <w:keepNext/>
              <w:keepLines/>
              <w:widowControl w:val="0"/>
              <w:contextualSpacing/>
              <w:jc w:val="center"/>
              <w:rPr>
                <w:rFonts w:ascii="Arial Narrow" w:hAnsi="Arial Narrow" w:cs="Calibri"/>
                <w:bCs/>
                <w:color w:val="000000"/>
                <w:sz w:val="20"/>
                <w:szCs w:val="20"/>
                <w:vertAlign w:val="superscript"/>
              </w:rPr>
            </w:pPr>
            <w:r>
              <w:rPr>
                <w:rFonts w:ascii="Arial Narrow" w:hAnsi="Arial Narrow" w:cs="Calibri"/>
                <w:bCs/>
                <w:color w:val="000000"/>
                <w:sz w:val="20"/>
                <w:szCs w:val="20"/>
                <w:vertAlign w:val="superscript"/>
              </w:rPr>
              <w:t>-</w:t>
            </w:r>
          </w:p>
        </w:tc>
      </w:tr>
      <w:tr w:rsidR="008824DF" w:rsidRPr="001B3F87" w14:paraId="664F5469" w14:textId="77777777" w:rsidTr="00B74E0E">
        <w:trPr>
          <w:trHeight w:val="283"/>
        </w:trPr>
        <w:tc>
          <w:tcPr>
            <w:tcW w:w="3681" w:type="dxa"/>
            <w:shd w:val="clear" w:color="auto" w:fill="auto"/>
            <w:vAlign w:val="center"/>
          </w:tcPr>
          <w:p w14:paraId="090D853A" w14:textId="77777777" w:rsidR="008824DF" w:rsidRPr="001B3F87" w:rsidRDefault="008824DF" w:rsidP="00624A83">
            <w:pPr>
              <w:keepNext/>
              <w:keepLines/>
              <w:widowControl w:val="0"/>
              <w:ind w:left="44"/>
              <w:jc w:val="left"/>
              <w:rPr>
                <w:rFonts w:ascii="Arial Narrow" w:hAnsi="Arial Narrow"/>
                <w:sz w:val="20"/>
                <w:szCs w:val="20"/>
              </w:rPr>
            </w:pPr>
            <w:r w:rsidRPr="001B3F87">
              <w:rPr>
                <w:rFonts w:ascii="Arial Narrow" w:hAnsi="Arial Narrow"/>
                <w:sz w:val="20"/>
                <w:szCs w:val="20"/>
              </w:rPr>
              <w:t>AMETHYST-DN Stratum 2 LTMP</w:t>
            </w:r>
          </w:p>
          <w:p w14:paraId="66BCB817" w14:textId="77777777" w:rsidR="008824DF" w:rsidRPr="001B3F87" w:rsidRDefault="008824DF" w:rsidP="00624A83">
            <w:pPr>
              <w:keepNext/>
              <w:keepLines/>
              <w:widowControl w:val="0"/>
              <w:contextualSpacing/>
              <w:rPr>
                <w:rFonts w:ascii="Arial Narrow" w:hAnsi="Arial Narrow" w:cs="Calibri"/>
                <w:color w:val="000000"/>
                <w:sz w:val="20"/>
                <w:szCs w:val="20"/>
              </w:rPr>
            </w:pPr>
            <w:r w:rsidRPr="001B3F87">
              <w:rPr>
                <w:rFonts w:ascii="Arial Narrow" w:hAnsi="Arial Narrow"/>
                <w:sz w:val="20"/>
                <w:szCs w:val="20"/>
              </w:rPr>
              <w:t>(&gt; 5.5 to &lt; 6.0</w:t>
            </w:r>
            <w:r>
              <w:rPr>
                <w:rFonts w:ascii="Arial Narrow" w:hAnsi="Arial Narrow"/>
                <w:sz w:val="20"/>
                <w:szCs w:val="20"/>
              </w:rPr>
              <w:t> mmol</w:t>
            </w:r>
            <w:r w:rsidRPr="001B3F87">
              <w:rPr>
                <w:rFonts w:ascii="Arial Narrow" w:hAnsi="Arial Narrow"/>
                <w:sz w:val="20"/>
                <w:szCs w:val="20"/>
              </w:rPr>
              <w:t>/L), 16.8</w:t>
            </w:r>
            <w:r>
              <w:rPr>
                <w:rFonts w:ascii="Arial Narrow" w:hAnsi="Arial Narrow"/>
                <w:sz w:val="20"/>
                <w:szCs w:val="20"/>
              </w:rPr>
              <w:t xml:space="preserve"> </w:t>
            </w:r>
            <w:r w:rsidRPr="001B3F87">
              <w:rPr>
                <w:rFonts w:ascii="Arial Narrow" w:hAnsi="Arial Narrow"/>
                <w:sz w:val="20"/>
                <w:szCs w:val="20"/>
              </w:rPr>
              <w:t>g /day</w:t>
            </w:r>
          </w:p>
        </w:tc>
        <w:tc>
          <w:tcPr>
            <w:tcW w:w="567" w:type="dxa"/>
            <w:shd w:val="clear" w:color="auto" w:fill="auto"/>
            <w:vAlign w:val="center"/>
          </w:tcPr>
          <w:p w14:paraId="70EF4922" w14:textId="77777777" w:rsidR="008824DF" w:rsidRPr="001B3F87" w:rsidRDefault="008824DF" w:rsidP="00624A83">
            <w:pPr>
              <w:keepNext/>
              <w:keepLines/>
              <w:widowControl w:val="0"/>
              <w:contextualSpacing/>
              <w:jc w:val="center"/>
              <w:rPr>
                <w:rFonts w:ascii="Arial Narrow" w:hAnsi="Arial Narrow" w:cs="Calibri"/>
                <w:color w:val="000000"/>
                <w:sz w:val="20"/>
                <w:szCs w:val="20"/>
              </w:rPr>
            </w:pPr>
            <w:r w:rsidRPr="001B3F87">
              <w:rPr>
                <w:rFonts w:ascii="Arial Narrow" w:hAnsi="Arial Narrow" w:cs="Calibri"/>
                <w:color w:val="000000"/>
                <w:sz w:val="20"/>
                <w:szCs w:val="20"/>
              </w:rPr>
              <w:t>26</w:t>
            </w:r>
          </w:p>
        </w:tc>
        <w:tc>
          <w:tcPr>
            <w:tcW w:w="2551" w:type="dxa"/>
            <w:shd w:val="clear" w:color="auto" w:fill="auto"/>
            <w:vAlign w:val="center"/>
          </w:tcPr>
          <w:p w14:paraId="26D58415" w14:textId="77777777" w:rsidR="008824DF" w:rsidRPr="001B3F87" w:rsidRDefault="008824DF" w:rsidP="00624A83">
            <w:pPr>
              <w:keepNext/>
              <w:keepLines/>
              <w:widowControl w:val="0"/>
              <w:contextualSpacing/>
              <w:jc w:val="center"/>
              <w:rPr>
                <w:rFonts w:ascii="Arial Narrow" w:hAnsi="Arial Narrow" w:cs="Calibri"/>
                <w:color w:val="000000"/>
                <w:sz w:val="20"/>
                <w:szCs w:val="20"/>
              </w:rPr>
            </w:pPr>
            <w:r w:rsidRPr="001B3F87">
              <w:rPr>
                <w:rFonts w:ascii="Arial Narrow" w:hAnsi="Arial Narrow" w:cs="Calibri"/>
                <w:color w:val="000000"/>
                <w:sz w:val="20"/>
                <w:szCs w:val="20"/>
              </w:rPr>
              <w:t>-0.90 (0.64)</w:t>
            </w:r>
          </w:p>
        </w:tc>
        <w:tc>
          <w:tcPr>
            <w:tcW w:w="2268" w:type="dxa"/>
            <w:vMerge/>
            <w:shd w:val="clear" w:color="auto" w:fill="auto"/>
            <w:vAlign w:val="center"/>
          </w:tcPr>
          <w:p w14:paraId="6838CE4D" w14:textId="77777777" w:rsidR="008824DF" w:rsidRPr="001B3F87" w:rsidRDefault="008824DF" w:rsidP="00624A83">
            <w:pPr>
              <w:keepNext/>
              <w:keepLines/>
              <w:widowControl w:val="0"/>
              <w:contextualSpacing/>
              <w:jc w:val="center"/>
              <w:rPr>
                <w:rFonts w:ascii="Arial Narrow" w:hAnsi="Arial Narrow" w:cs="Calibri"/>
                <w:bCs/>
                <w:color w:val="000000"/>
                <w:sz w:val="20"/>
                <w:szCs w:val="20"/>
              </w:rPr>
            </w:pPr>
          </w:p>
        </w:tc>
      </w:tr>
      <w:tr w:rsidR="008824DF" w:rsidRPr="001B3F87" w14:paraId="7F5F2463" w14:textId="77777777" w:rsidTr="00B74E0E">
        <w:trPr>
          <w:trHeight w:val="327"/>
        </w:trPr>
        <w:tc>
          <w:tcPr>
            <w:tcW w:w="3681" w:type="dxa"/>
            <w:shd w:val="clear" w:color="auto" w:fill="auto"/>
            <w:vAlign w:val="center"/>
          </w:tcPr>
          <w:p w14:paraId="0C662454" w14:textId="77777777" w:rsidR="008824DF" w:rsidRPr="001B3F87" w:rsidRDefault="008824DF" w:rsidP="00624A83">
            <w:pPr>
              <w:keepNext/>
              <w:keepLines/>
              <w:widowControl w:val="0"/>
              <w:ind w:left="44"/>
              <w:jc w:val="left"/>
              <w:rPr>
                <w:rFonts w:ascii="Arial Narrow" w:hAnsi="Arial Narrow"/>
                <w:sz w:val="20"/>
                <w:szCs w:val="20"/>
              </w:rPr>
            </w:pPr>
            <w:r w:rsidRPr="001B3F87">
              <w:rPr>
                <w:rFonts w:ascii="Arial Narrow" w:hAnsi="Arial Narrow"/>
                <w:sz w:val="20"/>
                <w:szCs w:val="20"/>
              </w:rPr>
              <w:t>AMETHYST-DN Stratum 2 LTMP</w:t>
            </w:r>
          </w:p>
          <w:p w14:paraId="458C585F" w14:textId="77777777" w:rsidR="008824DF" w:rsidRPr="001B3F87" w:rsidRDefault="008824DF" w:rsidP="00624A83">
            <w:pPr>
              <w:keepNext/>
              <w:keepLines/>
              <w:widowControl w:val="0"/>
              <w:contextualSpacing/>
              <w:rPr>
                <w:rFonts w:ascii="Arial Narrow" w:hAnsi="Arial Narrow" w:cs="Calibri"/>
                <w:color w:val="000000"/>
                <w:sz w:val="20"/>
                <w:szCs w:val="20"/>
              </w:rPr>
            </w:pPr>
            <w:r w:rsidRPr="001B3F87">
              <w:rPr>
                <w:rFonts w:ascii="Arial Narrow" w:hAnsi="Arial Narrow"/>
                <w:sz w:val="20"/>
                <w:szCs w:val="20"/>
              </w:rPr>
              <w:t>(&gt; 5.5 to &lt; 6.0</w:t>
            </w:r>
            <w:r>
              <w:rPr>
                <w:rFonts w:ascii="Arial Narrow" w:hAnsi="Arial Narrow"/>
                <w:sz w:val="20"/>
                <w:szCs w:val="20"/>
              </w:rPr>
              <w:t> mmol</w:t>
            </w:r>
            <w:r w:rsidRPr="001B3F87">
              <w:rPr>
                <w:rFonts w:ascii="Arial Narrow" w:hAnsi="Arial Narrow"/>
                <w:sz w:val="20"/>
                <w:szCs w:val="20"/>
              </w:rPr>
              <w:t>/L), 25.2 g/day</w:t>
            </w:r>
          </w:p>
        </w:tc>
        <w:tc>
          <w:tcPr>
            <w:tcW w:w="567" w:type="dxa"/>
            <w:shd w:val="clear" w:color="auto" w:fill="auto"/>
            <w:vAlign w:val="center"/>
          </w:tcPr>
          <w:p w14:paraId="342714A5" w14:textId="77777777" w:rsidR="008824DF" w:rsidRPr="001B3F87" w:rsidRDefault="008824DF" w:rsidP="00624A83">
            <w:pPr>
              <w:keepNext/>
              <w:keepLines/>
              <w:widowControl w:val="0"/>
              <w:contextualSpacing/>
              <w:jc w:val="center"/>
              <w:rPr>
                <w:rFonts w:ascii="Arial Narrow" w:hAnsi="Arial Narrow" w:cs="Calibri"/>
                <w:color w:val="000000"/>
                <w:sz w:val="20"/>
                <w:szCs w:val="20"/>
              </w:rPr>
            </w:pPr>
            <w:r w:rsidRPr="001B3F87">
              <w:rPr>
                <w:rFonts w:ascii="Arial Narrow" w:hAnsi="Arial Narrow" w:cs="Calibri"/>
                <w:color w:val="000000"/>
                <w:sz w:val="20"/>
                <w:szCs w:val="20"/>
              </w:rPr>
              <w:t>27</w:t>
            </w:r>
          </w:p>
        </w:tc>
        <w:tc>
          <w:tcPr>
            <w:tcW w:w="2551" w:type="dxa"/>
            <w:shd w:val="clear" w:color="auto" w:fill="auto"/>
            <w:vAlign w:val="center"/>
          </w:tcPr>
          <w:p w14:paraId="5A4FD981" w14:textId="77777777" w:rsidR="008824DF" w:rsidRPr="001B3F87" w:rsidRDefault="008824DF" w:rsidP="00624A83">
            <w:pPr>
              <w:keepNext/>
              <w:keepLines/>
              <w:widowControl w:val="0"/>
              <w:contextualSpacing/>
              <w:jc w:val="center"/>
              <w:rPr>
                <w:rFonts w:ascii="Arial Narrow" w:hAnsi="Arial Narrow" w:cs="Calibri"/>
                <w:color w:val="000000"/>
                <w:sz w:val="20"/>
                <w:szCs w:val="20"/>
              </w:rPr>
            </w:pPr>
            <w:r w:rsidRPr="001B3F87">
              <w:rPr>
                <w:rFonts w:ascii="Arial Narrow" w:hAnsi="Arial Narrow" w:cs="Calibri"/>
                <w:color w:val="000000"/>
                <w:sz w:val="20"/>
                <w:szCs w:val="20"/>
              </w:rPr>
              <w:t>-0.98 (0.63)</w:t>
            </w:r>
          </w:p>
        </w:tc>
        <w:tc>
          <w:tcPr>
            <w:tcW w:w="2268" w:type="dxa"/>
            <w:vMerge/>
            <w:shd w:val="clear" w:color="auto" w:fill="auto"/>
            <w:vAlign w:val="center"/>
          </w:tcPr>
          <w:p w14:paraId="4458025B" w14:textId="77777777" w:rsidR="008824DF" w:rsidRPr="001B3F87" w:rsidRDefault="008824DF" w:rsidP="00624A83">
            <w:pPr>
              <w:keepNext/>
              <w:keepLines/>
              <w:widowControl w:val="0"/>
              <w:contextualSpacing/>
              <w:jc w:val="center"/>
              <w:rPr>
                <w:rFonts w:ascii="Arial Narrow" w:hAnsi="Arial Narrow" w:cs="Calibri"/>
                <w:bCs/>
                <w:color w:val="000000"/>
                <w:sz w:val="20"/>
                <w:szCs w:val="20"/>
              </w:rPr>
            </w:pPr>
          </w:p>
        </w:tc>
      </w:tr>
      <w:tr w:rsidR="008824DF" w:rsidRPr="001B3F87" w14:paraId="15DACA63" w14:textId="77777777" w:rsidTr="00B74E0E">
        <w:trPr>
          <w:trHeight w:val="30"/>
        </w:trPr>
        <w:tc>
          <w:tcPr>
            <w:tcW w:w="3681" w:type="dxa"/>
            <w:shd w:val="clear" w:color="auto" w:fill="auto"/>
            <w:vAlign w:val="center"/>
          </w:tcPr>
          <w:p w14:paraId="0003E72D" w14:textId="77777777" w:rsidR="008824DF" w:rsidRPr="001B3F87" w:rsidRDefault="008824DF" w:rsidP="00624A83">
            <w:pPr>
              <w:keepNext/>
              <w:keepLines/>
              <w:widowControl w:val="0"/>
              <w:contextualSpacing/>
              <w:rPr>
                <w:rFonts w:ascii="Arial Narrow" w:hAnsi="Arial Narrow" w:cs="Calibri"/>
                <w:color w:val="000000"/>
                <w:sz w:val="20"/>
                <w:szCs w:val="20"/>
              </w:rPr>
            </w:pPr>
            <w:r w:rsidRPr="001B3F87">
              <w:rPr>
                <w:rFonts w:ascii="Arial Narrow" w:hAnsi="Arial Narrow" w:cs="Calibri"/>
                <w:color w:val="000000"/>
                <w:sz w:val="20"/>
                <w:szCs w:val="20"/>
              </w:rPr>
              <w:t xml:space="preserve">TOTAL pooled patiromer trials </w:t>
            </w:r>
          </w:p>
        </w:tc>
        <w:tc>
          <w:tcPr>
            <w:tcW w:w="567" w:type="dxa"/>
            <w:shd w:val="clear" w:color="auto" w:fill="auto"/>
            <w:vAlign w:val="center"/>
          </w:tcPr>
          <w:p w14:paraId="30C84A8B" w14:textId="77777777" w:rsidR="008824DF" w:rsidRPr="001B3F87" w:rsidRDefault="008824DF" w:rsidP="00624A83">
            <w:pPr>
              <w:keepNext/>
              <w:keepLines/>
              <w:widowControl w:val="0"/>
              <w:contextualSpacing/>
              <w:jc w:val="center"/>
              <w:rPr>
                <w:rFonts w:ascii="Arial Narrow" w:hAnsi="Arial Narrow" w:cs="Calibri"/>
                <w:color w:val="000000"/>
                <w:sz w:val="20"/>
                <w:szCs w:val="20"/>
              </w:rPr>
            </w:pPr>
            <w:r w:rsidRPr="001B3F87">
              <w:rPr>
                <w:rFonts w:ascii="Arial Narrow" w:hAnsi="Arial Narrow" w:cs="Calibri"/>
                <w:color w:val="000000"/>
                <w:sz w:val="20"/>
                <w:szCs w:val="20"/>
              </w:rPr>
              <w:t>191</w:t>
            </w:r>
          </w:p>
        </w:tc>
        <w:tc>
          <w:tcPr>
            <w:tcW w:w="2551" w:type="dxa"/>
            <w:shd w:val="clear" w:color="auto" w:fill="auto"/>
            <w:vAlign w:val="center"/>
          </w:tcPr>
          <w:p w14:paraId="0EE07BE2" w14:textId="77777777" w:rsidR="008824DF" w:rsidRPr="001B3F87" w:rsidRDefault="008824DF" w:rsidP="00624A83">
            <w:pPr>
              <w:keepNext/>
              <w:keepLines/>
              <w:widowControl w:val="0"/>
              <w:contextualSpacing/>
              <w:jc w:val="center"/>
              <w:rPr>
                <w:rFonts w:ascii="Arial Narrow" w:hAnsi="Arial Narrow" w:cs="Calibri"/>
                <w:color w:val="000000"/>
                <w:sz w:val="20"/>
                <w:szCs w:val="20"/>
              </w:rPr>
            </w:pPr>
            <w:r w:rsidRPr="001B3F87">
              <w:rPr>
                <w:rFonts w:ascii="Arial Narrow" w:hAnsi="Arial Narrow" w:cs="Calibri"/>
                <w:color w:val="000000"/>
                <w:sz w:val="20"/>
                <w:szCs w:val="20"/>
              </w:rPr>
              <w:t>-1.24 (0.52)</w:t>
            </w:r>
          </w:p>
        </w:tc>
        <w:tc>
          <w:tcPr>
            <w:tcW w:w="2268" w:type="dxa"/>
            <w:vMerge/>
            <w:shd w:val="clear" w:color="auto" w:fill="auto"/>
            <w:vAlign w:val="center"/>
          </w:tcPr>
          <w:p w14:paraId="54FD560B" w14:textId="77777777" w:rsidR="008824DF" w:rsidRPr="001B3F87" w:rsidRDefault="008824DF" w:rsidP="00624A83">
            <w:pPr>
              <w:keepNext/>
              <w:keepLines/>
              <w:widowControl w:val="0"/>
              <w:contextualSpacing/>
              <w:jc w:val="center"/>
              <w:rPr>
                <w:rFonts w:ascii="Arial Narrow" w:hAnsi="Arial Narrow" w:cs="Calibri"/>
                <w:color w:val="000000"/>
                <w:sz w:val="20"/>
                <w:szCs w:val="20"/>
              </w:rPr>
            </w:pPr>
          </w:p>
        </w:tc>
      </w:tr>
      <w:tr w:rsidR="008824DF" w:rsidRPr="001B3F87" w14:paraId="74785084" w14:textId="77777777" w:rsidTr="00B74E0E">
        <w:trPr>
          <w:trHeight w:val="30"/>
        </w:trPr>
        <w:tc>
          <w:tcPr>
            <w:tcW w:w="9067" w:type="dxa"/>
            <w:gridSpan w:val="4"/>
            <w:shd w:val="clear" w:color="auto" w:fill="auto"/>
            <w:vAlign w:val="center"/>
            <w:hideMark/>
          </w:tcPr>
          <w:p w14:paraId="059306CB" w14:textId="77777777" w:rsidR="008824DF" w:rsidRPr="001B3F87" w:rsidRDefault="008824DF" w:rsidP="00624A83">
            <w:pPr>
              <w:keepNext/>
              <w:keepLines/>
              <w:widowControl w:val="0"/>
              <w:contextualSpacing/>
              <w:rPr>
                <w:rFonts w:ascii="Arial Narrow" w:hAnsi="Arial Narrow" w:cs="Calibri"/>
                <w:b/>
                <w:bCs/>
                <w:color w:val="000000"/>
                <w:sz w:val="20"/>
                <w:szCs w:val="20"/>
              </w:rPr>
            </w:pPr>
            <w:r w:rsidRPr="001B3F87">
              <w:rPr>
                <w:rFonts w:ascii="Arial Narrow" w:hAnsi="Arial Narrow" w:cs="Calibri"/>
                <w:b/>
                <w:bCs/>
                <w:color w:val="000000"/>
                <w:sz w:val="20"/>
                <w:szCs w:val="20"/>
              </w:rPr>
              <w:t>Patiromer vs SPS</w:t>
            </w:r>
          </w:p>
        </w:tc>
      </w:tr>
      <w:tr w:rsidR="008824DF" w:rsidRPr="001B3F87" w14:paraId="775B6F23" w14:textId="77777777" w:rsidTr="00B74E0E">
        <w:trPr>
          <w:trHeight w:val="30"/>
        </w:trPr>
        <w:tc>
          <w:tcPr>
            <w:tcW w:w="3681" w:type="dxa"/>
            <w:shd w:val="clear" w:color="auto" w:fill="auto"/>
            <w:vAlign w:val="center"/>
          </w:tcPr>
          <w:p w14:paraId="46B5CFB0" w14:textId="77777777" w:rsidR="008824DF" w:rsidRPr="001B3F87" w:rsidRDefault="008824DF" w:rsidP="00624A83">
            <w:pPr>
              <w:keepNext/>
              <w:keepLines/>
              <w:widowControl w:val="0"/>
              <w:contextualSpacing/>
              <w:rPr>
                <w:rFonts w:ascii="Arial Narrow" w:hAnsi="Arial Narrow" w:cs="Calibri"/>
                <w:color w:val="000000"/>
                <w:sz w:val="20"/>
                <w:szCs w:val="20"/>
              </w:rPr>
            </w:pPr>
            <w:r w:rsidRPr="001B3F87">
              <w:rPr>
                <w:rFonts w:ascii="Arial Narrow" w:hAnsi="Arial Narrow" w:cs="Calibri"/>
                <w:color w:val="000000"/>
                <w:sz w:val="20"/>
                <w:szCs w:val="20"/>
              </w:rPr>
              <w:t>Pooled patiromer trials</w:t>
            </w:r>
          </w:p>
        </w:tc>
        <w:tc>
          <w:tcPr>
            <w:tcW w:w="567" w:type="dxa"/>
            <w:shd w:val="clear" w:color="auto" w:fill="auto"/>
            <w:vAlign w:val="center"/>
          </w:tcPr>
          <w:p w14:paraId="47ED76F7" w14:textId="77777777" w:rsidR="008824DF" w:rsidRPr="001B3F87" w:rsidRDefault="008824DF" w:rsidP="00624A83">
            <w:pPr>
              <w:keepNext/>
              <w:keepLines/>
              <w:widowControl w:val="0"/>
              <w:contextualSpacing/>
              <w:jc w:val="center"/>
              <w:rPr>
                <w:rFonts w:ascii="Arial Narrow" w:hAnsi="Arial Narrow" w:cs="Calibri"/>
                <w:color w:val="000000"/>
                <w:sz w:val="20"/>
                <w:szCs w:val="20"/>
              </w:rPr>
            </w:pPr>
            <w:r w:rsidRPr="001B3F87">
              <w:rPr>
                <w:rFonts w:ascii="Arial Narrow" w:hAnsi="Arial Narrow" w:cs="Calibri"/>
                <w:color w:val="000000"/>
                <w:sz w:val="20"/>
                <w:szCs w:val="20"/>
              </w:rPr>
              <w:t>191</w:t>
            </w:r>
          </w:p>
        </w:tc>
        <w:tc>
          <w:tcPr>
            <w:tcW w:w="2551" w:type="dxa"/>
            <w:shd w:val="clear" w:color="auto" w:fill="auto"/>
            <w:vAlign w:val="center"/>
          </w:tcPr>
          <w:p w14:paraId="7BF9CE60" w14:textId="77777777" w:rsidR="008824DF" w:rsidRPr="001B3F87" w:rsidRDefault="008824DF" w:rsidP="00624A83">
            <w:pPr>
              <w:keepNext/>
              <w:keepLines/>
              <w:widowControl w:val="0"/>
              <w:contextualSpacing/>
              <w:jc w:val="center"/>
              <w:rPr>
                <w:rFonts w:ascii="Arial Narrow" w:hAnsi="Arial Narrow" w:cs="Calibri"/>
                <w:color w:val="000000"/>
                <w:sz w:val="20"/>
                <w:szCs w:val="20"/>
              </w:rPr>
            </w:pPr>
            <w:r w:rsidRPr="001B3F87">
              <w:rPr>
                <w:rFonts w:ascii="Arial Narrow" w:hAnsi="Arial Narrow" w:cs="Calibri"/>
                <w:color w:val="000000"/>
                <w:sz w:val="20"/>
                <w:szCs w:val="20"/>
              </w:rPr>
              <w:t>-1.24 (0.52)</w:t>
            </w:r>
          </w:p>
        </w:tc>
        <w:tc>
          <w:tcPr>
            <w:tcW w:w="2268" w:type="dxa"/>
            <w:vMerge w:val="restart"/>
            <w:shd w:val="clear" w:color="auto" w:fill="auto"/>
            <w:vAlign w:val="center"/>
          </w:tcPr>
          <w:p w14:paraId="396F2140" w14:textId="77777777" w:rsidR="008824DF" w:rsidRPr="001B3F87" w:rsidRDefault="008824DF" w:rsidP="00624A83">
            <w:pPr>
              <w:keepNext/>
              <w:keepLines/>
              <w:widowControl w:val="0"/>
              <w:contextualSpacing/>
              <w:jc w:val="center"/>
              <w:rPr>
                <w:rFonts w:ascii="Arial Narrow" w:hAnsi="Arial Narrow" w:cs="Calibri"/>
                <w:bCs/>
                <w:color w:val="000000"/>
                <w:sz w:val="20"/>
                <w:szCs w:val="20"/>
                <w:vertAlign w:val="superscript"/>
              </w:rPr>
            </w:pPr>
            <w:r w:rsidRPr="001B3F87">
              <w:rPr>
                <w:rFonts w:ascii="Arial Narrow" w:hAnsi="Arial Narrow" w:cs="Calibri"/>
                <w:bCs/>
                <w:color w:val="000000"/>
                <w:sz w:val="20"/>
                <w:szCs w:val="20"/>
              </w:rPr>
              <w:t>-0.24</w:t>
            </w:r>
            <w:r w:rsidRPr="001B3F87">
              <w:rPr>
                <w:rFonts w:ascii="Arial Narrow" w:hAnsi="Arial Narrow" w:cs="Calibri"/>
                <w:bCs/>
                <w:color w:val="000000"/>
                <w:sz w:val="20"/>
                <w:szCs w:val="20"/>
                <w:vertAlign w:val="superscript"/>
              </w:rPr>
              <w:t>a</w:t>
            </w:r>
          </w:p>
        </w:tc>
      </w:tr>
      <w:tr w:rsidR="008824DF" w:rsidRPr="001B3F87" w14:paraId="22136CFD" w14:textId="77777777" w:rsidTr="00B74E0E">
        <w:trPr>
          <w:trHeight w:val="30"/>
        </w:trPr>
        <w:tc>
          <w:tcPr>
            <w:tcW w:w="3681" w:type="dxa"/>
            <w:shd w:val="clear" w:color="auto" w:fill="auto"/>
            <w:vAlign w:val="center"/>
            <w:hideMark/>
          </w:tcPr>
          <w:p w14:paraId="09C37838" w14:textId="77777777" w:rsidR="008824DF" w:rsidRPr="001B3F87" w:rsidRDefault="008824DF" w:rsidP="00624A83">
            <w:pPr>
              <w:keepNext/>
              <w:keepLines/>
              <w:widowControl w:val="0"/>
              <w:contextualSpacing/>
              <w:rPr>
                <w:rFonts w:ascii="Arial Narrow" w:hAnsi="Arial Narrow" w:cs="Calibri"/>
                <w:color w:val="000000"/>
                <w:sz w:val="20"/>
                <w:szCs w:val="20"/>
              </w:rPr>
            </w:pPr>
            <w:r w:rsidRPr="001B3F87">
              <w:rPr>
                <w:rFonts w:ascii="Arial Narrow" w:hAnsi="Arial Narrow" w:cs="Calibri"/>
                <w:color w:val="000000"/>
                <w:sz w:val="20"/>
                <w:szCs w:val="20"/>
              </w:rPr>
              <w:t>SPS study (Georgianos 2017)</w:t>
            </w:r>
          </w:p>
        </w:tc>
        <w:tc>
          <w:tcPr>
            <w:tcW w:w="567" w:type="dxa"/>
            <w:shd w:val="clear" w:color="auto" w:fill="auto"/>
            <w:vAlign w:val="center"/>
            <w:hideMark/>
          </w:tcPr>
          <w:p w14:paraId="2AE7C267" w14:textId="77777777" w:rsidR="008824DF" w:rsidRPr="001B3F87" w:rsidRDefault="008824DF" w:rsidP="00624A83">
            <w:pPr>
              <w:keepNext/>
              <w:keepLines/>
              <w:widowControl w:val="0"/>
              <w:contextualSpacing/>
              <w:jc w:val="center"/>
              <w:rPr>
                <w:rFonts w:ascii="Arial Narrow" w:hAnsi="Arial Narrow" w:cs="Calibri"/>
                <w:color w:val="000000"/>
                <w:sz w:val="20"/>
                <w:szCs w:val="20"/>
              </w:rPr>
            </w:pPr>
            <w:r w:rsidRPr="001B3F87">
              <w:rPr>
                <w:rFonts w:ascii="Arial Narrow" w:hAnsi="Arial Narrow" w:cs="Calibri"/>
                <w:color w:val="000000"/>
                <w:sz w:val="20"/>
                <w:szCs w:val="20"/>
              </w:rPr>
              <w:t>26</w:t>
            </w:r>
          </w:p>
        </w:tc>
        <w:tc>
          <w:tcPr>
            <w:tcW w:w="2551" w:type="dxa"/>
            <w:shd w:val="clear" w:color="auto" w:fill="auto"/>
            <w:vAlign w:val="center"/>
            <w:hideMark/>
          </w:tcPr>
          <w:p w14:paraId="1819BCE4" w14:textId="77777777" w:rsidR="008824DF" w:rsidRPr="001B3F87" w:rsidRDefault="008824DF" w:rsidP="00624A83">
            <w:pPr>
              <w:keepNext/>
              <w:keepLines/>
              <w:widowControl w:val="0"/>
              <w:contextualSpacing/>
              <w:jc w:val="center"/>
              <w:rPr>
                <w:rFonts w:ascii="Arial Narrow" w:hAnsi="Arial Narrow" w:cs="Calibri"/>
                <w:color w:val="000000"/>
                <w:sz w:val="20"/>
                <w:szCs w:val="20"/>
              </w:rPr>
            </w:pPr>
            <w:r w:rsidRPr="001B3F87">
              <w:rPr>
                <w:rFonts w:ascii="Arial Narrow" w:hAnsi="Arial Narrow" w:cs="Calibri"/>
                <w:color w:val="000000"/>
                <w:sz w:val="20"/>
                <w:szCs w:val="20"/>
              </w:rPr>
              <w:t>-1.0 (0.3)</w:t>
            </w:r>
          </w:p>
        </w:tc>
        <w:tc>
          <w:tcPr>
            <w:tcW w:w="2268" w:type="dxa"/>
            <w:vMerge/>
            <w:vAlign w:val="center"/>
            <w:hideMark/>
          </w:tcPr>
          <w:p w14:paraId="2E7037A4" w14:textId="77777777" w:rsidR="008824DF" w:rsidRPr="001B3F87" w:rsidRDefault="008824DF" w:rsidP="00624A83">
            <w:pPr>
              <w:keepNext/>
              <w:keepLines/>
              <w:widowControl w:val="0"/>
              <w:contextualSpacing/>
              <w:jc w:val="center"/>
              <w:rPr>
                <w:rFonts w:ascii="Arial Narrow" w:hAnsi="Arial Narrow" w:cs="Calibri"/>
                <w:bCs/>
                <w:color w:val="000000"/>
                <w:sz w:val="20"/>
                <w:szCs w:val="20"/>
              </w:rPr>
            </w:pPr>
          </w:p>
        </w:tc>
      </w:tr>
      <w:tr w:rsidR="008824DF" w:rsidRPr="001B3F87" w14:paraId="30C4C338" w14:textId="77777777" w:rsidTr="00B74E0E">
        <w:trPr>
          <w:trHeight w:val="30"/>
        </w:trPr>
        <w:tc>
          <w:tcPr>
            <w:tcW w:w="9067" w:type="dxa"/>
            <w:gridSpan w:val="4"/>
            <w:shd w:val="clear" w:color="auto" w:fill="auto"/>
            <w:vAlign w:val="center"/>
            <w:hideMark/>
          </w:tcPr>
          <w:p w14:paraId="5E48FAA7" w14:textId="77777777" w:rsidR="008824DF" w:rsidRPr="001B3F87" w:rsidRDefault="008824DF" w:rsidP="00624A83">
            <w:pPr>
              <w:keepNext/>
              <w:keepLines/>
              <w:widowControl w:val="0"/>
              <w:contextualSpacing/>
              <w:rPr>
                <w:rFonts w:ascii="Arial Narrow" w:hAnsi="Arial Narrow" w:cs="Calibri"/>
                <w:bCs/>
                <w:color w:val="000000"/>
                <w:sz w:val="20"/>
                <w:szCs w:val="20"/>
              </w:rPr>
            </w:pPr>
            <w:r w:rsidRPr="001B3F87">
              <w:rPr>
                <w:rFonts w:ascii="Arial Narrow" w:hAnsi="Arial Narrow" w:cs="Calibri"/>
                <w:b/>
                <w:bCs/>
                <w:color w:val="000000"/>
                <w:sz w:val="20"/>
                <w:szCs w:val="20"/>
              </w:rPr>
              <w:t>Patiromer vs CPS</w:t>
            </w:r>
          </w:p>
        </w:tc>
      </w:tr>
      <w:tr w:rsidR="008824DF" w:rsidRPr="001B3F87" w14:paraId="5DFCF77E" w14:textId="77777777" w:rsidTr="00B74E0E">
        <w:trPr>
          <w:trHeight w:val="30"/>
        </w:trPr>
        <w:tc>
          <w:tcPr>
            <w:tcW w:w="3681" w:type="dxa"/>
            <w:shd w:val="clear" w:color="auto" w:fill="auto"/>
            <w:vAlign w:val="center"/>
            <w:hideMark/>
          </w:tcPr>
          <w:p w14:paraId="0781FA10" w14:textId="77777777" w:rsidR="008824DF" w:rsidRPr="001B3F87" w:rsidRDefault="008824DF" w:rsidP="00624A83">
            <w:pPr>
              <w:keepNext/>
              <w:keepLines/>
              <w:widowControl w:val="0"/>
              <w:contextualSpacing/>
              <w:rPr>
                <w:rFonts w:ascii="Arial Narrow" w:hAnsi="Arial Narrow" w:cs="Calibri"/>
                <w:color w:val="000000"/>
                <w:sz w:val="20"/>
                <w:szCs w:val="20"/>
              </w:rPr>
            </w:pPr>
            <w:r w:rsidRPr="001B3F87">
              <w:rPr>
                <w:rFonts w:ascii="Arial Narrow" w:hAnsi="Arial Narrow" w:cs="Calibri"/>
                <w:color w:val="000000"/>
                <w:sz w:val="20"/>
                <w:szCs w:val="20"/>
              </w:rPr>
              <w:t>Pooled patiromer trials</w:t>
            </w:r>
          </w:p>
        </w:tc>
        <w:tc>
          <w:tcPr>
            <w:tcW w:w="567" w:type="dxa"/>
            <w:shd w:val="clear" w:color="auto" w:fill="auto"/>
            <w:vAlign w:val="center"/>
            <w:hideMark/>
          </w:tcPr>
          <w:p w14:paraId="2062EC90" w14:textId="77777777" w:rsidR="008824DF" w:rsidRPr="001B3F87" w:rsidRDefault="008824DF" w:rsidP="00624A83">
            <w:pPr>
              <w:keepNext/>
              <w:keepLines/>
              <w:widowControl w:val="0"/>
              <w:contextualSpacing/>
              <w:jc w:val="center"/>
              <w:rPr>
                <w:rFonts w:ascii="Arial Narrow" w:hAnsi="Arial Narrow" w:cs="Calibri"/>
                <w:color w:val="000000"/>
                <w:sz w:val="20"/>
                <w:szCs w:val="20"/>
              </w:rPr>
            </w:pPr>
            <w:r w:rsidRPr="001B3F87">
              <w:rPr>
                <w:rFonts w:ascii="Arial Narrow" w:hAnsi="Arial Narrow" w:cs="Calibri"/>
                <w:color w:val="000000"/>
                <w:sz w:val="20"/>
                <w:szCs w:val="20"/>
              </w:rPr>
              <w:t>191</w:t>
            </w:r>
          </w:p>
        </w:tc>
        <w:tc>
          <w:tcPr>
            <w:tcW w:w="2551" w:type="dxa"/>
            <w:shd w:val="clear" w:color="auto" w:fill="auto"/>
            <w:vAlign w:val="center"/>
            <w:hideMark/>
          </w:tcPr>
          <w:p w14:paraId="0E1A255C" w14:textId="77777777" w:rsidR="008824DF" w:rsidRPr="001B3F87" w:rsidRDefault="008824DF" w:rsidP="00624A83">
            <w:pPr>
              <w:keepNext/>
              <w:keepLines/>
              <w:widowControl w:val="0"/>
              <w:contextualSpacing/>
              <w:jc w:val="center"/>
              <w:rPr>
                <w:rFonts w:ascii="Arial Narrow" w:hAnsi="Arial Narrow" w:cs="Calibri"/>
                <w:color w:val="000000"/>
                <w:sz w:val="20"/>
                <w:szCs w:val="20"/>
              </w:rPr>
            </w:pPr>
            <w:r w:rsidRPr="001B3F87">
              <w:rPr>
                <w:rFonts w:ascii="Arial Narrow" w:hAnsi="Arial Narrow" w:cs="Calibri"/>
                <w:color w:val="000000"/>
                <w:sz w:val="20"/>
                <w:szCs w:val="20"/>
              </w:rPr>
              <w:t>-1.24 (0.52)</w:t>
            </w:r>
          </w:p>
        </w:tc>
        <w:tc>
          <w:tcPr>
            <w:tcW w:w="2268" w:type="dxa"/>
            <w:vMerge w:val="restart"/>
            <w:shd w:val="clear" w:color="auto" w:fill="auto"/>
            <w:vAlign w:val="center"/>
            <w:hideMark/>
          </w:tcPr>
          <w:p w14:paraId="1C17F41F" w14:textId="77777777" w:rsidR="008824DF" w:rsidRPr="001B3F87" w:rsidRDefault="008824DF" w:rsidP="00624A83">
            <w:pPr>
              <w:keepNext/>
              <w:keepLines/>
              <w:widowControl w:val="0"/>
              <w:contextualSpacing/>
              <w:jc w:val="center"/>
              <w:rPr>
                <w:rFonts w:ascii="Arial Narrow" w:hAnsi="Arial Narrow" w:cs="Calibri"/>
                <w:bCs/>
                <w:color w:val="000000"/>
                <w:sz w:val="20"/>
                <w:szCs w:val="20"/>
                <w:vertAlign w:val="superscript"/>
              </w:rPr>
            </w:pPr>
            <w:r w:rsidRPr="001B3F87">
              <w:rPr>
                <w:rFonts w:ascii="Arial Narrow" w:hAnsi="Arial Narrow" w:cs="Calibri"/>
                <w:bCs/>
                <w:color w:val="000000"/>
                <w:sz w:val="20"/>
                <w:szCs w:val="20"/>
              </w:rPr>
              <w:t>-0.34</w:t>
            </w:r>
            <w:r w:rsidRPr="001B3F87">
              <w:rPr>
                <w:rFonts w:ascii="Arial Narrow" w:hAnsi="Arial Narrow" w:cs="Calibri"/>
                <w:bCs/>
                <w:color w:val="000000"/>
                <w:sz w:val="20"/>
                <w:szCs w:val="20"/>
                <w:vertAlign w:val="superscript"/>
              </w:rPr>
              <w:t>a</w:t>
            </w:r>
          </w:p>
        </w:tc>
      </w:tr>
      <w:tr w:rsidR="008824DF" w:rsidRPr="001B3F87" w14:paraId="23AC8788" w14:textId="77777777" w:rsidTr="00B74E0E">
        <w:trPr>
          <w:trHeight w:val="30"/>
        </w:trPr>
        <w:tc>
          <w:tcPr>
            <w:tcW w:w="3681" w:type="dxa"/>
            <w:shd w:val="clear" w:color="auto" w:fill="auto"/>
            <w:vAlign w:val="center"/>
            <w:hideMark/>
          </w:tcPr>
          <w:p w14:paraId="4CAF7962" w14:textId="77777777" w:rsidR="008824DF" w:rsidRPr="001B3F87" w:rsidRDefault="008824DF" w:rsidP="00624A83">
            <w:pPr>
              <w:keepNext/>
              <w:keepLines/>
              <w:widowControl w:val="0"/>
              <w:contextualSpacing/>
              <w:rPr>
                <w:rFonts w:ascii="Arial Narrow" w:hAnsi="Arial Narrow" w:cs="Calibri"/>
                <w:color w:val="000000"/>
                <w:sz w:val="20"/>
                <w:szCs w:val="20"/>
                <w:vertAlign w:val="superscript"/>
              </w:rPr>
            </w:pPr>
            <w:r w:rsidRPr="001B3F87">
              <w:rPr>
                <w:rFonts w:ascii="Arial Narrow" w:hAnsi="Arial Narrow" w:cs="Calibri"/>
                <w:color w:val="000000"/>
                <w:sz w:val="20"/>
                <w:szCs w:val="20"/>
              </w:rPr>
              <w:t xml:space="preserve">CPS study (Yu 2017, Group 1 5.6 weeks) </w:t>
            </w:r>
          </w:p>
        </w:tc>
        <w:tc>
          <w:tcPr>
            <w:tcW w:w="567" w:type="dxa"/>
            <w:shd w:val="clear" w:color="auto" w:fill="auto"/>
            <w:vAlign w:val="center"/>
            <w:hideMark/>
          </w:tcPr>
          <w:p w14:paraId="02D091ED" w14:textId="77777777" w:rsidR="008824DF" w:rsidRPr="001B3F87" w:rsidRDefault="008824DF" w:rsidP="00624A83">
            <w:pPr>
              <w:keepNext/>
              <w:keepLines/>
              <w:widowControl w:val="0"/>
              <w:contextualSpacing/>
              <w:jc w:val="center"/>
              <w:rPr>
                <w:rFonts w:ascii="Arial Narrow" w:hAnsi="Arial Narrow" w:cs="Calibri"/>
                <w:color w:val="000000"/>
                <w:sz w:val="20"/>
                <w:szCs w:val="20"/>
              </w:rPr>
            </w:pPr>
            <w:r w:rsidRPr="001B3F87">
              <w:rPr>
                <w:rFonts w:ascii="Arial Narrow" w:hAnsi="Arial Narrow" w:cs="Calibri"/>
                <w:color w:val="000000"/>
                <w:sz w:val="20"/>
                <w:szCs w:val="20"/>
              </w:rPr>
              <w:t>144</w:t>
            </w:r>
          </w:p>
        </w:tc>
        <w:tc>
          <w:tcPr>
            <w:tcW w:w="2551" w:type="dxa"/>
            <w:shd w:val="clear" w:color="auto" w:fill="auto"/>
            <w:vAlign w:val="center"/>
            <w:hideMark/>
          </w:tcPr>
          <w:p w14:paraId="167AE51A" w14:textId="77777777" w:rsidR="008824DF" w:rsidRPr="001B3F87" w:rsidRDefault="008824DF" w:rsidP="00624A83">
            <w:pPr>
              <w:keepNext/>
              <w:keepLines/>
              <w:widowControl w:val="0"/>
              <w:contextualSpacing/>
              <w:jc w:val="center"/>
              <w:rPr>
                <w:rFonts w:ascii="Arial Narrow" w:hAnsi="Arial Narrow" w:cs="Calibri"/>
                <w:color w:val="000000"/>
                <w:sz w:val="20"/>
                <w:szCs w:val="20"/>
              </w:rPr>
            </w:pPr>
            <w:r w:rsidRPr="001B3F87">
              <w:rPr>
                <w:rFonts w:ascii="Arial Narrow" w:hAnsi="Arial Narrow" w:cs="Calibri"/>
                <w:color w:val="000000"/>
                <w:sz w:val="20"/>
                <w:szCs w:val="20"/>
              </w:rPr>
              <w:t>-0.9 (0.3)</w:t>
            </w:r>
          </w:p>
        </w:tc>
        <w:tc>
          <w:tcPr>
            <w:tcW w:w="2268" w:type="dxa"/>
            <w:vMerge/>
            <w:vAlign w:val="center"/>
            <w:hideMark/>
          </w:tcPr>
          <w:p w14:paraId="03B3CC2D" w14:textId="77777777" w:rsidR="008824DF" w:rsidRPr="001B3F87" w:rsidRDefault="008824DF" w:rsidP="00624A83">
            <w:pPr>
              <w:keepNext/>
              <w:keepLines/>
              <w:widowControl w:val="0"/>
              <w:contextualSpacing/>
              <w:jc w:val="center"/>
              <w:rPr>
                <w:rFonts w:ascii="Arial Narrow" w:hAnsi="Arial Narrow" w:cs="Calibri"/>
                <w:b/>
                <w:bCs/>
                <w:color w:val="000000"/>
                <w:sz w:val="20"/>
                <w:szCs w:val="20"/>
              </w:rPr>
            </w:pPr>
          </w:p>
        </w:tc>
      </w:tr>
    </w:tbl>
    <w:p w14:paraId="2CD83430" w14:textId="77777777" w:rsidR="008824DF" w:rsidRPr="001B3F87" w:rsidRDefault="008824DF" w:rsidP="008824DF">
      <w:pPr>
        <w:pStyle w:val="COMTablefooter"/>
      </w:pPr>
      <w:r w:rsidRPr="001B3F87">
        <w:t>Source: Tables 2.6.1 and 2.6.2, pp52-53 of Patiromer vs SPS,CPS evaluation (Attachment 11 to the resubmission).</w:t>
      </w:r>
    </w:p>
    <w:p w14:paraId="7D56EFB9" w14:textId="77777777" w:rsidR="008824DF" w:rsidRPr="001B3F87" w:rsidRDefault="008824DF" w:rsidP="008824DF">
      <w:pPr>
        <w:pStyle w:val="COMTablefooter"/>
      </w:pPr>
      <w:r w:rsidRPr="001B3F87">
        <w:t xml:space="preserve">Abbreviations: CPS, calcium polystyrene sulfonate; K+, potassium; </w:t>
      </w:r>
      <w:r w:rsidRPr="001B3F87">
        <w:rPr>
          <w:szCs w:val="18"/>
        </w:rPr>
        <w:t xml:space="preserve">LTMP, long-term maintenance period; </w:t>
      </w:r>
      <w:r>
        <w:t xml:space="preserve">SD, </w:t>
      </w:r>
      <w:r w:rsidRPr="001B3F87">
        <w:t>standard deviation; SPS, sodium polystyrene sulfonate.</w:t>
      </w:r>
    </w:p>
    <w:p w14:paraId="0B3787B1" w14:textId="77777777" w:rsidR="008824DF" w:rsidRPr="001B3F87" w:rsidRDefault="008824DF" w:rsidP="008824DF">
      <w:pPr>
        <w:pStyle w:val="COMTablefooter"/>
      </w:pPr>
      <w:r w:rsidRPr="001B3F87">
        <w:rPr>
          <w:vertAlign w:val="superscript"/>
        </w:rPr>
        <w:t>a</w:t>
      </w:r>
      <w:r w:rsidRPr="001B3F87">
        <w:t xml:space="preserve"> Assumed non-significant</w:t>
      </w:r>
      <w:r>
        <w:t xml:space="preserve"> as the confidence intervals (not presented) overlapped</w:t>
      </w:r>
      <w:r w:rsidRPr="001B3F87">
        <w:t>.</w:t>
      </w:r>
    </w:p>
    <w:p w14:paraId="450E5044" w14:textId="1B4B6771" w:rsidR="00926DC4" w:rsidRPr="00FF512C" w:rsidRDefault="006D74F9" w:rsidP="00866D8C">
      <w:pPr>
        <w:pStyle w:val="COMexecsumnumberedpara"/>
        <w:rPr>
          <w:color w:val="0066FF"/>
        </w:rPr>
      </w:pPr>
      <w:r w:rsidRPr="00FF512C">
        <w:t xml:space="preserve">The </w:t>
      </w:r>
      <w:r w:rsidR="00854BC7" w:rsidRPr="00FF512C">
        <w:t xml:space="preserve">unanchored </w:t>
      </w:r>
      <w:r w:rsidRPr="00FF512C">
        <w:t xml:space="preserve">indirect comparison suggested no statistically significant difference between patiromer versus SPS/CPS resins over 4 weeks of therapy. Given the substantial differences between the patiromer trials and SPS/CPS studies in terms of participant disease characteristics, study design and duration of treatment, the poor quality of the SPS/CPS studies, the high risk of bias in the patiromer and SPS/CPS studies and the limited number of studies included in the indirect comparisons, the </w:t>
      </w:r>
      <w:r w:rsidR="00854BC7" w:rsidRPr="00FF512C">
        <w:t xml:space="preserve">ESC considered that the </w:t>
      </w:r>
      <w:r w:rsidRPr="00FF512C">
        <w:t xml:space="preserve">results of the indirect comparison </w:t>
      </w:r>
      <w:r w:rsidR="00854BC7" w:rsidRPr="00FF512C">
        <w:t>we</w:t>
      </w:r>
      <w:r w:rsidRPr="00FF512C">
        <w:t xml:space="preserve">re highly uncertain. However, the </w:t>
      </w:r>
      <w:r w:rsidR="00854BC7" w:rsidRPr="00FF512C">
        <w:t xml:space="preserve">ESC noted that the </w:t>
      </w:r>
      <w:r w:rsidRPr="00FF512C">
        <w:t xml:space="preserve">results of the studies generally </w:t>
      </w:r>
      <w:r w:rsidR="00854BC7" w:rsidRPr="00FF512C">
        <w:t xml:space="preserve">demonstrated </w:t>
      </w:r>
      <w:r w:rsidRPr="00FF512C">
        <w:t>similar efficacy between patiromer and SPS/CPS resins in patients with CKD experiencing hyperkalaemia.</w:t>
      </w:r>
    </w:p>
    <w:p w14:paraId="3B8917AA" w14:textId="21910861" w:rsidR="00675C82" w:rsidRPr="00FF512C" w:rsidRDefault="00675C82" w:rsidP="00675C82">
      <w:pPr>
        <w:pStyle w:val="COMexecsumnumberedpara"/>
        <w:rPr>
          <w:color w:val="0066FF"/>
        </w:rPr>
      </w:pPr>
      <w:r w:rsidRPr="00FF512C">
        <w:t>A</w:t>
      </w:r>
      <w:r w:rsidR="00854BC7" w:rsidRPr="00FF512C">
        <w:t>n unanchored</w:t>
      </w:r>
      <w:r w:rsidRPr="00FF512C">
        <w:t xml:space="preserve"> indirect comparison of change in serum </w:t>
      </w:r>
      <w:r w:rsidR="009C69BA" w:rsidRPr="00FF512C">
        <w:t>potassium</w:t>
      </w:r>
      <w:r w:rsidRPr="00FF512C">
        <w:t xml:space="preserve"> was not conducted for long-term therapy due to the range of timepoints across studies (6-23 months).</w:t>
      </w:r>
    </w:p>
    <w:p w14:paraId="3689E449" w14:textId="36075852" w:rsidR="00054CA4" w:rsidRPr="00FF512C" w:rsidRDefault="002F6BD8" w:rsidP="00054CA4">
      <w:pPr>
        <w:pStyle w:val="COMexecsumnumberedpara"/>
        <w:spacing w:after="0"/>
        <w:rPr>
          <w:color w:val="0066FF"/>
        </w:rPr>
      </w:pPr>
      <w:r w:rsidRPr="00FF512C">
        <w:lastRenderedPageBreak/>
        <w:t>Two of the eight SPS/CPS studies included in the resubmission investigated RAASi use in patients with CKD experiencing hyperkalaemia</w:t>
      </w:r>
      <w:r w:rsidR="00054CA4" w:rsidRPr="00FF512C">
        <w:t>:</w:t>
      </w:r>
    </w:p>
    <w:p w14:paraId="4709AF2D" w14:textId="13A5A109" w:rsidR="00054CA4" w:rsidRPr="00FF512C" w:rsidRDefault="002F6BD8" w:rsidP="00804745">
      <w:pPr>
        <w:pStyle w:val="COMexecsumnumberedpara"/>
        <w:numPr>
          <w:ilvl w:val="1"/>
          <w:numId w:val="18"/>
        </w:numPr>
        <w:spacing w:after="0"/>
        <w:ind w:left="1077" w:hanging="357"/>
        <w:rPr>
          <w:color w:val="0066FF"/>
        </w:rPr>
      </w:pPr>
      <w:r w:rsidRPr="00FF512C">
        <w:rPr>
          <w:lang w:eastAsia="zh-CN"/>
        </w:rPr>
        <w:t>Bowden (2017), an Australian study, found 74.1% of patients treated with SPS resin continued RAASi medicines compared to 47.3% of newly referred renal outpatients. However, RAASi use was assessed via a questionnaire of 35 study participants receiving renal dialysis and is not applicable to the Australian population</w:t>
      </w:r>
      <w:r w:rsidR="007A2145">
        <w:rPr>
          <w:lang w:eastAsia="zh-CN"/>
        </w:rPr>
        <w:t xml:space="preserve"> proposed in the resubmission</w:t>
      </w:r>
      <w:r w:rsidRPr="00FF512C">
        <w:rPr>
          <w:lang w:eastAsia="zh-CN"/>
        </w:rPr>
        <w:t>.</w:t>
      </w:r>
    </w:p>
    <w:p w14:paraId="12285469" w14:textId="3999F2DD" w:rsidR="00DA35F6" w:rsidRPr="00FF512C" w:rsidRDefault="002F6BD8" w:rsidP="00804745">
      <w:pPr>
        <w:pStyle w:val="COMexecsumnumberedpara"/>
        <w:numPr>
          <w:ilvl w:val="1"/>
          <w:numId w:val="18"/>
        </w:numPr>
        <w:ind w:left="1077" w:hanging="357"/>
        <w:rPr>
          <w:color w:val="0066FF"/>
        </w:rPr>
      </w:pPr>
      <w:r w:rsidRPr="00FF512C">
        <w:rPr>
          <w:lang w:eastAsia="zh-CN"/>
        </w:rPr>
        <w:t>Chernin (2012) assessed long-term RAASi maintenance data for SPS patients and found 79% of patients treated with SPS resin continued their maximum RAASi dose after 14.5 months of therapy. Continuing RAASi medicine use in Chernin (2012) was similar to RAASi use observed in patients treated with patiromer reported in the patiromer observational studies (German CKDopps, US Cohort Study. US Veterans Cohort Study).</w:t>
      </w:r>
    </w:p>
    <w:p w14:paraId="6206DF80" w14:textId="19BD61C5" w:rsidR="005171AF" w:rsidRPr="00FF512C" w:rsidRDefault="005171AF" w:rsidP="00D0477A">
      <w:pPr>
        <w:pStyle w:val="COMexecsumnumberedpara"/>
        <w:rPr>
          <w:color w:val="0066FF"/>
        </w:rPr>
      </w:pPr>
      <w:r w:rsidRPr="00FF512C">
        <w:rPr>
          <w:lang w:eastAsia="zh-CN"/>
        </w:rPr>
        <w:t xml:space="preserve">The ESC noted that these two studies suggested that around </w:t>
      </w:r>
      <w:r w:rsidR="008336E8" w:rsidRPr="00FF512C">
        <w:rPr>
          <w:lang w:eastAsia="zh-CN"/>
        </w:rPr>
        <w:t xml:space="preserve">74% to 80% of patients treated with SPS resins continued RAASi therapy and considered </w:t>
      </w:r>
      <w:r w:rsidR="002D430F" w:rsidRPr="00FF512C">
        <w:rPr>
          <w:lang w:eastAsia="zh-CN"/>
        </w:rPr>
        <w:t xml:space="preserve">this was generally comparable to the patiromer studies and that </w:t>
      </w:r>
      <w:r w:rsidR="008336E8" w:rsidRPr="00FF512C">
        <w:rPr>
          <w:lang w:eastAsia="zh-CN"/>
        </w:rPr>
        <w:t>no definitive efficacy difference between patiromer and SPS/CPS resins in terms of enabling RAASi use</w:t>
      </w:r>
      <w:r w:rsidR="002D430F" w:rsidRPr="00FF512C">
        <w:rPr>
          <w:lang w:eastAsia="zh-CN"/>
        </w:rPr>
        <w:t xml:space="preserve"> </w:t>
      </w:r>
      <w:r w:rsidR="00D4453F" w:rsidRPr="00FF512C">
        <w:rPr>
          <w:lang w:eastAsia="zh-CN"/>
        </w:rPr>
        <w:t>w</w:t>
      </w:r>
      <w:r w:rsidR="00D4453F">
        <w:rPr>
          <w:lang w:eastAsia="zh-CN"/>
        </w:rPr>
        <w:t>as</w:t>
      </w:r>
      <w:r w:rsidR="00D4453F" w:rsidRPr="00FF512C">
        <w:rPr>
          <w:lang w:eastAsia="zh-CN"/>
        </w:rPr>
        <w:t xml:space="preserve"> </w:t>
      </w:r>
      <w:r w:rsidR="002D430F" w:rsidRPr="00FF512C">
        <w:rPr>
          <w:lang w:eastAsia="zh-CN"/>
        </w:rPr>
        <w:t>evident</w:t>
      </w:r>
      <w:r w:rsidR="008336E8" w:rsidRPr="00FF512C">
        <w:rPr>
          <w:lang w:eastAsia="zh-CN"/>
        </w:rPr>
        <w:t xml:space="preserve">. </w:t>
      </w:r>
    </w:p>
    <w:p w14:paraId="1452C351" w14:textId="0D19F1B0" w:rsidR="00B60939" w:rsidRPr="001159D0" w:rsidRDefault="00B60939" w:rsidP="00D86231">
      <w:pPr>
        <w:pStyle w:val="COMH2-non-numbered"/>
      </w:pPr>
      <w:bookmarkStart w:id="31" w:name="_Toc22897642"/>
      <w:bookmarkStart w:id="32" w:name="_Toc111818932"/>
      <w:r w:rsidRPr="001159D0">
        <w:t>Comparative harms</w:t>
      </w:r>
      <w:bookmarkEnd w:id="31"/>
      <w:bookmarkEnd w:id="32"/>
    </w:p>
    <w:p w14:paraId="2B9D9A18" w14:textId="77777777" w:rsidR="00610F9E" w:rsidRPr="001159D0" w:rsidRDefault="00610F9E" w:rsidP="000651ED">
      <w:pPr>
        <w:pStyle w:val="COMH3"/>
        <w:spacing w:after="120"/>
      </w:pPr>
      <w:r w:rsidRPr="001159D0">
        <w:t>Patiromer versus standard care</w:t>
      </w:r>
    </w:p>
    <w:p w14:paraId="2DB04D37" w14:textId="1964D94C" w:rsidR="003F71E6" w:rsidRDefault="00CE32FA" w:rsidP="003F71E6">
      <w:pPr>
        <w:pStyle w:val="COMexecsumnumberedpara"/>
        <w:rPr>
          <w:color w:val="0066FF"/>
        </w:rPr>
      </w:pPr>
      <w:r>
        <w:fldChar w:fldCharType="begin"/>
      </w:r>
      <w:r>
        <w:instrText xml:space="preserve"> REF _Ref111812182 \h </w:instrText>
      </w:r>
      <w:r>
        <w:fldChar w:fldCharType="separate"/>
      </w:r>
      <w:r w:rsidR="00565456" w:rsidRPr="001B3F87">
        <w:t xml:space="preserve">Table </w:t>
      </w:r>
      <w:r w:rsidR="00565456">
        <w:rPr>
          <w:noProof/>
        </w:rPr>
        <w:t>8</w:t>
      </w:r>
      <w:r>
        <w:fldChar w:fldCharType="end"/>
      </w:r>
      <w:r>
        <w:t xml:space="preserve"> and </w:t>
      </w:r>
      <w:r>
        <w:fldChar w:fldCharType="begin"/>
      </w:r>
      <w:r>
        <w:instrText xml:space="preserve"> REF _Ref111812188 \h </w:instrText>
      </w:r>
      <w:r>
        <w:fldChar w:fldCharType="separate"/>
      </w:r>
      <w:r w:rsidR="00565456" w:rsidRPr="001B3F87">
        <w:t xml:space="preserve">Table </w:t>
      </w:r>
      <w:r w:rsidR="00565456">
        <w:rPr>
          <w:noProof/>
        </w:rPr>
        <w:t>9</w:t>
      </w:r>
      <w:r>
        <w:fldChar w:fldCharType="end"/>
      </w:r>
      <w:r w:rsidR="003F71E6" w:rsidRPr="001B3F87">
        <w:t xml:space="preserve"> present an overall summary of adverse events in the OPAL-HK and AMETHYST-DN studies, respectively</w:t>
      </w:r>
      <w:r w:rsidR="003F71E6" w:rsidRPr="001B3F87">
        <w:rPr>
          <w:color w:val="0066FF"/>
        </w:rPr>
        <w:t xml:space="preserve">. </w:t>
      </w:r>
    </w:p>
    <w:p w14:paraId="2CFC50C8" w14:textId="16620861" w:rsidR="003A44A5" w:rsidRDefault="003A44A5" w:rsidP="003A44A5">
      <w:pPr>
        <w:pStyle w:val="COMTableheadingrow"/>
      </w:pPr>
      <w:bookmarkStart w:id="33" w:name="_Ref111812182"/>
      <w:r w:rsidRPr="001B3F87">
        <w:t xml:space="preserve">Table </w:t>
      </w:r>
      <w:r>
        <w:fldChar w:fldCharType="begin"/>
      </w:r>
      <w:r>
        <w:instrText xml:space="preserve"> SEQ Table \* ARABIC </w:instrText>
      </w:r>
      <w:r>
        <w:fldChar w:fldCharType="separate"/>
      </w:r>
      <w:r w:rsidR="00565456">
        <w:rPr>
          <w:noProof/>
        </w:rPr>
        <w:t>8</w:t>
      </w:r>
      <w:r>
        <w:rPr>
          <w:noProof/>
        </w:rPr>
        <w:fldChar w:fldCharType="end"/>
      </w:r>
      <w:bookmarkEnd w:id="33"/>
      <w:r w:rsidRPr="001B3F87">
        <w:t>: Summary of adverse events in the OPAL-HK study treatment period (ITT)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3114"/>
        <w:gridCol w:w="1180"/>
        <w:gridCol w:w="1181"/>
        <w:gridCol w:w="1180"/>
        <w:gridCol w:w="1181"/>
        <w:gridCol w:w="1181"/>
      </w:tblGrid>
      <w:tr w:rsidR="003A44A5" w:rsidRPr="001B3F87" w14:paraId="36353B9A" w14:textId="77777777" w:rsidTr="00624A83">
        <w:trPr>
          <w:tblHeader/>
        </w:trPr>
        <w:tc>
          <w:tcPr>
            <w:tcW w:w="3114" w:type="dxa"/>
            <w:vMerge w:val="restart"/>
            <w:vAlign w:val="center"/>
          </w:tcPr>
          <w:p w14:paraId="66B3DAED" w14:textId="77777777" w:rsidR="003A44A5" w:rsidRPr="001B3F87" w:rsidRDefault="003A44A5" w:rsidP="00624A83">
            <w:pPr>
              <w:pStyle w:val="Tabletext"/>
              <w:spacing w:before="0" w:after="0"/>
              <w:rPr>
                <w:b/>
              </w:rPr>
            </w:pPr>
            <w:r w:rsidRPr="001B3F87">
              <w:rPr>
                <w:b/>
              </w:rPr>
              <w:t>OPAL-HK</w:t>
            </w:r>
          </w:p>
        </w:tc>
        <w:tc>
          <w:tcPr>
            <w:tcW w:w="3541" w:type="dxa"/>
            <w:gridSpan w:val="3"/>
            <w:tcBorders>
              <w:bottom w:val="single" w:sz="4" w:space="0" w:color="auto"/>
              <w:right w:val="double" w:sz="4" w:space="0" w:color="auto"/>
            </w:tcBorders>
            <w:vAlign w:val="center"/>
          </w:tcPr>
          <w:p w14:paraId="1CE2A0DF" w14:textId="77777777" w:rsidR="003A44A5" w:rsidRPr="001B3F87" w:rsidRDefault="003A44A5" w:rsidP="00624A83">
            <w:pPr>
              <w:pStyle w:val="Tabletext"/>
              <w:spacing w:before="0" w:after="0"/>
              <w:jc w:val="center"/>
              <w:rPr>
                <w:b/>
              </w:rPr>
            </w:pPr>
            <w:r w:rsidRPr="001B3F87">
              <w:rPr>
                <w:b/>
              </w:rPr>
              <w:t>Part A</w:t>
            </w:r>
          </w:p>
        </w:tc>
        <w:tc>
          <w:tcPr>
            <w:tcW w:w="2362" w:type="dxa"/>
            <w:gridSpan w:val="2"/>
            <w:tcBorders>
              <w:left w:val="double" w:sz="4" w:space="0" w:color="auto"/>
              <w:bottom w:val="single" w:sz="4" w:space="0" w:color="auto"/>
            </w:tcBorders>
            <w:vAlign w:val="center"/>
          </w:tcPr>
          <w:p w14:paraId="3D425EA2" w14:textId="77777777" w:rsidR="003A44A5" w:rsidRPr="001B3F87" w:rsidRDefault="003A44A5" w:rsidP="00624A83">
            <w:pPr>
              <w:pStyle w:val="Tabletext"/>
              <w:spacing w:before="0" w:after="0"/>
              <w:jc w:val="center"/>
              <w:rPr>
                <w:b/>
              </w:rPr>
            </w:pPr>
            <w:r w:rsidRPr="001B3F87">
              <w:rPr>
                <w:b/>
              </w:rPr>
              <w:t>Part B</w:t>
            </w:r>
          </w:p>
        </w:tc>
      </w:tr>
      <w:tr w:rsidR="003A44A5" w:rsidRPr="001B3F87" w14:paraId="0E5ADE7A" w14:textId="77777777" w:rsidTr="00624A83">
        <w:trPr>
          <w:trHeight w:val="688"/>
          <w:tblHeader/>
        </w:trPr>
        <w:tc>
          <w:tcPr>
            <w:tcW w:w="3114" w:type="dxa"/>
            <w:vMerge/>
            <w:vAlign w:val="center"/>
          </w:tcPr>
          <w:p w14:paraId="333C591D" w14:textId="77777777" w:rsidR="003A44A5" w:rsidRPr="001B3F87" w:rsidRDefault="003A44A5" w:rsidP="00624A83">
            <w:pPr>
              <w:pStyle w:val="Tabletext"/>
              <w:spacing w:before="0" w:after="0"/>
              <w:rPr>
                <w:b/>
              </w:rPr>
            </w:pPr>
          </w:p>
        </w:tc>
        <w:tc>
          <w:tcPr>
            <w:tcW w:w="1180" w:type="dxa"/>
            <w:vAlign w:val="center"/>
          </w:tcPr>
          <w:p w14:paraId="2D338308" w14:textId="77777777" w:rsidR="003A44A5" w:rsidRPr="001B3F87" w:rsidRDefault="003A44A5" w:rsidP="00624A83">
            <w:pPr>
              <w:pStyle w:val="Tabletext"/>
              <w:spacing w:before="0" w:after="0"/>
              <w:jc w:val="center"/>
              <w:rPr>
                <w:b/>
              </w:rPr>
            </w:pPr>
            <w:r w:rsidRPr="001B3F87">
              <w:rPr>
                <w:b/>
              </w:rPr>
              <w:t>Dose group 1</w:t>
            </w:r>
          </w:p>
          <w:p w14:paraId="2C36870D" w14:textId="77777777" w:rsidR="003A44A5" w:rsidRPr="001B3F87" w:rsidRDefault="003A44A5" w:rsidP="00624A83">
            <w:pPr>
              <w:pStyle w:val="Tabletext"/>
              <w:spacing w:before="0" w:after="0"/>
              <w:jc w:val="center"/>
              <w:rPr>
                <w:b/>
              </w:rPr>
            </w:pPr>
            <w:r w:rsidRPr="001B3F87">
              <w:rPr>
                <w:b/>
              </w:rPr>
              <w:t xml:space="preserve">8.4 g/day </w:t>
            </w:r>
          </w:p>
          <w:p w14:paraId="42E7B997" w14:textId="77777777" w:rsidR="003A44A5" w:rsidRPr="001B3F87" w:rsidRDefault="003A44A5" w:rsidP="00624A83">
            <w:pPr>
              <w:pStyle w:val="Tabletext"/>
              <w:spacing w:before="0" w:after="0"/>
              <w:jc w:val="center"/>
              <w:rPr>
                <w:b/>
              </w:rPr>
            </w:pPr>
            <w:r w:rsidRPr="001B3F87">
              <w:rPr>
                <w:b/>
              </w:rPr>
              <w:t>(N=92)</w:t>
            </w:r>
          </w:p>
        </w:tc>
        <w:tc>
          <w:tcPr>
            <w:tcW w:w="1181" w:type="dxa"/>
            <w:vAlign w:val="center"/>
          </w:tcPr>
          <w:p w14:paraId="4EC7B4B7" w14:textId="77777777" w:rsidR="003A44A5" w:rsidRPr="001B3F87" w:rsidRDefault="003A44A5" w:rsidP="00624A83">
            <w:pPr>
              <w:pStyle w:val="Tabletext"/>
              <w:spacing w:before="0" w:after="0"/>
              <w:jc w:val="center"/>
              <w:rPr>
                <w:b/>
              </w:rPr>
            </w:pPr>
            <w:r w:rsidRPr="001B3F87">
              <w:rPr>
                <w:b/>
              </w:rPr>
              <w:t>Dose group 2</w:t>
            </w:r>
          </w:p>
          <w:p w14:paraId="5E6CA8AB" w14:textId="77777777" w:rsidR="003A44A5" w:rsidRPr="001B3F87" w:rsidRDefault="003A44A5" w:rsidP="00624A83">
            <w:pPr>
              <w:pStyle w:val="Tabletext"/>
              <w:spacing w:before="0" w:after="0"/>
              <w:jc w:val="center"/>
              <w:rPr>
                <w:b/>
              </w:rPr>
            </w:pPr>
            <w:r w:rsidRPr="001B3F87">
              <w:rPr>
                <w:b/>
              </w:rPr>
              <w:t xml:space="preserve">16.8 g/day </w:t>
            </w:r>
          </w:p>
          <w:p w14:paraId="098FA04F" w14:textId="77777777" w:rsidR="003A44A5" w:rsidRPr="001B3F87" w:rsidRDefault="003A44A5" w:rsidP="00624A83">
            <w:pPr>
              <w:pStyle w:val="Tabletext"/>
              <w:spacing w:before="0" w:after="0"/>
              <w:jc w:val="center"/>
              <w:rPr>
                <w:b/>
              </w:rPr>
            </w:pPr>
            <w:r w:rsidRPr="001B3F87">
              <w:rPr>
                <w:b/>
              </w:rPr>
              <w:t>(N=151)</w:t>
            </w:r>
          </w:p>
        </w:tc>
        <w:tc>
          <w:tcPr>
            <w:tcW w:w="1180" w:type="dxa"/>
            <w:tcBorders>
              <w:right w:val="double" w:sz="4" w:space="0" w:color="auto"/>
            </w:tcBorders>
            <w:vAlign w:val="center"/>
          </w:tcPr>
          <w:p w14:paraId="6605B7A9" w14:textId="77777777" w:rsidR="003A44A5" w:rsidRPr="001B3F87" w:rsidRDefault="003A44A5" w:rsidP="00624A83">
            <w:pPr>
              <w:pStyle w:val="Tabletext"/>
              <w:spacing w:before="0" w:after="0"/>
              <w:jc w:val="center"/>
              <w:rPr>
                <w:b/>
              </w:rPr>
            </w:pPr>
            <w:r w:rsidRPr="001B3F87">
              <w:rPr>
                <w:b/>
              </w:rPr>
              <w:t>Overall</w:t>
            </w:r>
          </w:p>
          <w:p w14:paraId="0463BABF" w14:textId="77777777" w:rsidR="003A44A5" w:rsidRPr="001B3F87" w:rsidRDefault="003A44A5" w:rsidP="00624A83">
            <w:pPr>
              <w:pStyle w:val="Tabletext"/>
              <w:spacing w:before="0" w:after="0"/>
              <w:jc w:val="center"/>
              <w:rPr>
                <w:b/>
              </w:rPr>
            </w:pPr>
            <w:r w:rsidRPr="001B3F87">
              <w:rPr>
                <w:b/>
              </w:rPr>
              <w:t>(N=243)</w:t>
            </w:r>
          </w:p>
        </w:tc>
        <w:tc>
          <w:tcPr>
            <w:tcW w:w="1181" w:type="dxa"/>
            <w:tcBorders>
              <w:left w:val="double" w:sz="4" w:space="0" w:color="auto"/>
            </w:tcBorders>
            <w:vAlign w:val="center"/>
          </w:tcPr>
          <w:p w14:paraId="00FFD788" w14:textId="77777777" w:rsidR="003A44A5" w:rsidRPr="001B3F87" w:rsidRDefault="003A44A5" w:rsidP="00624A83">
            <w:pPr>
              <w:pStyle w:val="Tabletext"/>
              <w:spacing w:before="0" w:after="0"/>
              <w:jc w:val="center"/>
              <w:rPr>
                <w:b/>
              </w:rPr>
            </w:pPr>
            <w:r w:rsidRPr="001B3F87">
              <w:rPr>
                <w:b/>
              </w:rPr>
              <w:t>Patiromer</w:t>
            </w:r>
          </w:p>
          <w:p w14:paraId="71FC1AF9" w14:textId="77777777" w:rsidR="003A44A5" w:rsidRPr="001B3F87" w:rsidRDefault="003A44A5" w:rsidP="00624A83">
            <w:pPr>
              <w:pStyle w:val="Tabletext"/>
              <w:spacing w:before="0" w:after="0"/>
              <w:jc w:val="center"/>
              <w:rPr>
                <w:b/>
              </w:rPr>
            </w:pPr>
            <w:r w:rsidRPr="001B3F87">
              <w:rPr>
                <w:b/>
              </w:rPr>
              <w:t>(N=55)</w:t>
            </w:r>
          </w:p>
        </w:tc>
        <w:tc>
          <w:tcPr>
            <w:tcW w:w="1181" w:type="dxa"/>
            <w:vAlign w:val="center"/>
          </w:tcPr>
          <w:p w14:paraId="6FA3C6DB" w14:textId="77777777" w:rsidR="003A44A5" w:rsidRPr="001B3F87" w:rsidRDefault="003A44A5" w:rsidP="00624A83">
            <w:pPr>
              <w:pStyle w:val="Tabletext"/>
              <w:spacing w:before="0" w:after="0"/>
              <w:jc w:val="center"/>
              <w:rPr>
                <w:b/>
              </w:rPr>
            </w:pPr>
            <w:r w:rsidRPr="001B3F87">
              <w:rPr>
                <w:b/>
              </w:rPr>
              <w:t>Placebo</w:t>
            </w:r>
          </w:p>
          <w:p w14:paraId="7910A36F" w14:textId="77777777" w:rsidR="003A44A5" w:rsidRPr="001B3F87" w:rsidRDefault="003A44A5" w:rsidP="00624A83">
            <w:pPr>
              <w:pStyle w:val="Tabletext"/>
              <w:spacing w:before="0" w:after="0"/>
              <w:jc w:val="center"/>
              <w:rPr>
                <w:b/>
              </w:rPr>
            </w:pPr>
            <w:r w:rsidRPr="001B3F87">
              <w:rPr>
                <w:b/>
              </w:rPr>
              <w:t>(N=52)</w:t>
            </w:r>
          </w:p>
        </w:tc>
      </w:tr>
      <w:tr w:rsidR="003A44A5" w:rsidRPr="001B3F87" w14:paraId="24B0D758" w14:textId="77777777" w:rsidTr="00624A83">
        <w:tc>
          <w:tcPr>
            <w:tcW w:w="3114" w:type="dxa"/>
          </w:tcPr>
          <w:p w14:paraId="4F159941" w14:textId="77777777" w:rsidR="003A44A5" w:rsidRPr="001B3F87" w:rsidRDefault="003A44A5" w:rsidP="00624A83">
            <w:pPr>
              <w:pStyle w:val="Tabletext"/>
              <w:spacing w:before="0" w:after="0"/>
            </w:pPr>
            <w:r w:rsidRPr="001B3F87">
              <w:t>Any adverse event</w:t>
            </w:r>
          </w:p>
        </w:tc>
        <w:tc>
          <w:tcPr>
            <w:tcW w:w="1180" w:type="dxa"/>
          </w:tcPr>
          <w:p w14:paraId="0AA52F87" w14:textId="77777777" w:rsidR="003A44A5" w:rsidRPr="001B3F87" w:rsidRDefault="003A44A5" w:rsidP="00624A83">
            <w:pPr>
              <w:pStyle w:val="Tabletext"/>
              <w:spacing w:before="0" w:after="0"/>
              <w:jc w:val="center"/>
            </w:pPr>
            <w:r w:rsidRPr="001B3F87">
              <w:t>36 (39%)</w:t>
            </w:r>
          </w:p>
        </w:tc>
        <w:tc>
          <w:tcPr>
            <w:tcW w:w="1181" w:type="dxa"/>
          </w:tcPr>
          <w:p w14:paraId="7E1D0A82" w14:textId="77777777" w:rsidR="003A44A5" w:rsidRPr="001B3F87" w:rsidRDefault="003A44A5" w:rsidP="00624A83">
            <w:pPr>
              <w:pStyle w:val="Tabletext"/>
              <w:spacing w:before="0" w:after="0"/>
              <w:jc w:val="center"/>
            </w:pPr>
            <w:r w:rsidRPr="001B3F87">
              <w:t>71 (47%)</w:t>
            </w:r>
          </w:p>
        </w:tc>
        <w:tc>
          <w:tcPr>
            <w:tcW w:w="1180" w:type="dxa"/>
            <w:tcBorders>
              <w:right w:val="double" w:sz="4" w:space="0" w:color="auto"/>
            </w:tcBorders>
          </w:tcPr>
          <w:p w14:paraId="3B290D78" w14:textId="77777777" w:rsidR="003A44A5" w:rsidRPr="001B3F87" w:rsidRDefault="003A44A5" w:rsidP="00624A83">
            <w:pPr>
              <w:pStyle w:val="Tabletext"/>
              <w:spacing w:before="0" w:after="0"/>
              <w:jc w:val="center"/>
            </w:pPr>
            <w:r w:rsidRPr="001B3F87">
              <w:t>107 (44%)</w:t>
            </w:r>
          </w:p>
        </w:tc>
        <w:tc>
          <w:tcPr>
            <w:tcW w:w="1181" w:type="dxa"/>
            <w:tcBorders>
              <w:left w:val="double" w:sz="4" w:space="0" w:color="auto"/>
            </w:tcBorders>
          </w:tcPr>
          <w:p w14:paraId="30F69255" w14:textId="77777777" w:rsidR="003A44A5" w:rsidRPr="001B3F87" w:rsidRDefault="003A44A5" w:rsidP="00624A83">
            <w:pPr>
              <w:pStyle w:val="Tabletext"/>
              <w:spacing w:before="0" w:after="0"/>
              <w:jc w:val="center"/>
            </w:pPr>
            <w:r w:rsidRPr="001B3F87">
              <w:t>26 (47%)</w:t>
            </w:r>
          </w:p>
        </w:tc>
        <w:tc>
          <w:tcPr>
            <w:tcW w:w="1181" w:type="dxa"/>
          </w:tcPr>
          <w:p w14:paraId="7E588345" w14:textId="77777777" w:rsidR="003A44A5" w:rsidRPr="001B3F87" w:rsidRDefault="003A44A5" w:rsidP="00624A83">
            <w:pPr>
              <w:pStyle w:val="Tabletext"/>
              <w:spacing w:before="0" w:after="0"/>
              <w:jc w:val="center"/>
            </w:pPr>
            <w:r w:rsidRPr="001B3F87">
              <w:t>24 (46%)</w:t>
            </w:r>
          </w:p>
        </w:tc>
      </w:tr>
      <w:tr w:rsidR="003A44A5" w:rsidRPr="001B3F87" w14:paraId="67D311C0" w14:textId="77777777" w:rsidTr="00624A83">
        <w:tc>
          <w:tcPr>
            <w:tcW w:w="3114" w:type="dxa"/>
          </w:tcPr>
          <w:p w14:paraId="2F420663" w14:textId="77777777" w:rsidR="003A44A5" w:rsidRPr="001B3F87" w:rsidRDefault="003A44A5" w:rsidP="00624A83">
            <w:pPr>
              <w:pStyle w:val="Tabletext"/>
              <w:spacing w:before="0" w:after="0"/>
            </w:pPr>
            <w:r w:rsidRPr="001B3F87">
              <w:t>Adverse event leading to discontinuation</w:t>
            </w:r>
          </w:p>
        </w:tc>
        <w:tc>
          <w:tcPr>
            <w:tcW w:w="1180" w:type="dxa"/>
          </w:tcPr>
          <w:p w14:paraId="12FBDF61" w14:textId="77777777" w:rsidR="003A44A5" w:rsidRPr="001B3F87" w:rsidRDefault="003A44A5" w:rsidP="00624A83">
            <w:pPr>
              <w:pStyle w:val="Tabletext"/>
              <w:spacing w:before="0" w:after="0"/>
              <w:jc w:val="center"/>
            </w:pPr>
            <w:r w:rsidRPr="001B3F87">
              <w:t>4 (4%)</w:t>
            </w:r>
          </w:p>
        </w:tc>
        <w:tc>
          <w:tcPr>
            <w:tcW w:w="1181" w:type="dxa"/>
          </w:tcPr>
          <w:p w14:paraId="63B556CA" w14:textId="77777777" w:rsidR="003A44A5" w:rsidRPr="001B3F87" w:rsidRDefault="003A44A5" w:rsidP="00624A83">
            <w:pPr>
              <w:pStyle w:val="Tabletext"/>
              <w:spacing w:before="0" w:after="0"/>
              <w:jc w:val="center"/>
            </w:pPr>
            <w:r w:rsidRPr="001B3F87">
              <w:t>10 (7%)</w:t>
            </w:r>
          </w:p>
        </w:tc>
        <w:tc>
          <w:tcPr>
            <w:tcW w:w="1180" w:type="dxa"/>
            <w:tcBorders>
              <w:right w:val="double" w:sz="4" w:space="0" w:color="auto"/>
            </w:tcBorders>
          </w:tcPr>
          <w:p w14:paraId="3ECF7952" w14:textId="77777777" w:rsidR="003A44A5" w:rsidRPr="001B3F87" w:rsidRDefault="003A44A5" w:rsidP="00624A83">
            <w:pPr>
              <w:pStyle w:val="Tabletext"/>
              <w:spacing w:before="0" w:after="0"/>
              <w:jc w:val="center"/>
            </w:pPr>
            <w:r w:rsidRPr="001B3F87">
              <w:t>14 (6%)</w:t>
            </w:r>
          </w:p>
        </w:tc>
        <w:tc>
          <w:tcPr>
            <w:tcW w:w="1181" w:type="dxa"/>
            <w:tcBorders>
              <w:left w:val="double" w:sz="4" w:space="0" w:color="auto"/>
            </w:tcBorders>
          </w:tcPr>
          <w:p w14:paraId="386E14E2" w14:textId="77777777" w:rsidR="003A44A5" w:rsidRPr="001B3F87" w:rsidRDefault="003A44A5" w:rsidP="00624A83">
            <w:pPr>
              <w:pStyle w:val="Tabletext"/>
              <w:spacing w:before="0" w:after="0"/>
              <w:jc w:val="center"/>
            </w:pPr>
            <w:r w:rsidRPr="001B3F87">
              <w:t>1 (2%)</w:t>
            </w:r>
          </w:p>
        </w:tc>
        <w:tc>
          <w:tcPr>
            <w:tcW w:w="1181" w:type="dxa"/>
          </w:tcPr>
          <w:p w14:paraId="7223F0A0" w14:textId="77777777" w:rsidR="003A44A5" w:rsidRPr="001B3F87" w:rsidRDefault="003A44A5" w:rsidP="00624A83">
            <w:pPr>
              <w:pStyle w:val="Tabletext"/>
              <w:spacing w:before="0" w:after="0"/>
              <w:jc w:val="center"/>
            </w:pPr>
            <w:r w:rsidRPr="001B3F87">
              <w:t>1 (2%)</w:t>
            </w:r>
          </w:p>
        </w:tc>
      </w:tr>
      <w:tr w:rsidR="003A44A5" w:rsidRPr="001B3F87" w14:paraId="7551C3D2" w14:textId="77777777" w:rsidTr="00624A83">
        <w:tc>
          <w:tcPr>
            <w:tcW w:w="3114" w:type="dxa"/>
          </w:tcPr>
          <w:p w14:paraId="275CD4AF" w14:textId="77777777" w:rsidR="003A44A5" w:rsidRPr="001B3F87" w:rsidRDefault="003A44A5" w:rsidP="00624A83">
            <w:pPr>
              <w:pStyle w:val="Tabletext"/>
              <w:spacing w:before="0" w:after="0"/>
            </w:pPr>
            <w:r w:rsidRPr="001B3F87">
              <w:t>Adverse event related dose modification</w:t>
            </w:r>
          </w:p>
        </w:tc>
        <w:tc>
          <w:tcPr>
            <w:tcW w:w="1180" w:type="dxa"/>
          </w:tcPr>
          <w:p w14:paraId="2F580090" w14:textId="77777777" w:rsidR="003A44A5" w:rsidRPr="001B3F87" w:rsidRDefault="003A44A5" w:rsidP="00624A83">
            <w:pPr>
              <w:pStyle w:val="Tabletext"/>
              <w:spacing w:before="0" w:after="0"/>
              <w:jc w:val="center"/>
            </w:pPr>
            <w:r w:rsidRPr="001B3F87">
              <w:t>5 (5%)</w:t>
            </w:r>
          </w:p>
        </w:tc>
        <w:tc>
          <w:tcPr>
            <w:tcW w:w="1181" w:type="dxa"/>
          </w:tcPr>
          <w:p w14:paraId="5E1A569F" w14:textId="77777777" w:rsidR="003A44A5" w:rsidRPr="001B3F87" w:rsidRDefault="003A44A5" w:rsidP="00624A83">
            <w:pPr>
              <w:pStyle w:val="Tabletext"/>
              <w:spacing w:before="0" w:after="0"/>
              <w:jc w:val="center"/>
            </w:pPr>
            <w:r w:rsidRPr="001B3F87">
              <w:t>16 (11%)</w:t>
            </w:r>
          </w:p>
        </w:tc>
        <w:tc>
          <w:tcPr>
            <w:tcW w:w="1180" w:type="dxa"/>
            <w:tcBorders>
              <w:right w:val="double" w:sz="4" w:space="0" w:color="auto"/>
            </w:tcBorders>
          </w:tcPr>
          <w:p w14:paraId="337A0873" w14:textId="77777777" w:rsidR="003A44A5" w:rsidRPr="001B3F87" w:rsidRDefault="003A44A5" w:rsidP="00624A83">
            <w:pPr>
              <w:pStyle w:val="Tabletext"/>
              <w:spacing w:before="0" w:after="0"/>
              <w:jc w:val="center"/>
            </w:pPr>
            <w:r w:rsidRPr="001B3F87">
              <w:t>21 (9%)</w:t>
            </w:r>
          </w:p>
        </w:tc>
        <w:tc>
          <w:tcPr>
            <w:tcW w:w="1181" w:type="dxa"/>
            <w:tcBorders>
              <w:left w:val="double" w:sz="4" w:space="0" w:color="auto"/>
            </w:tcBorders>
          </w:tcPr>
          <w:p w14:paraId="6BA2F2D3" w14:textId="77777777" w:rsidR="003A44A5" w:rsidRPr="001B3F87" w:rsidRDefault="003A44A5" w:rsidP="00624A83">
            <w:pPr>
              <w:pStyle w:val="Tabletext"/>
              <w:spacing w:before="0" w:after="0"/>
              <w:jc w:val="center"/>
            </w:pPr>
            <w:r w:rsidRPr="001B3F87">
              <w:t>1 (2%)</w:t>
            </w:r>
          </w:p>
        </w:tc>
        <w:tc>
          <w:tcPr>
            <w:tcW w:w="1181" w:type="dxa"/>
          </w:tcPr>
          <w:p w14:paraId="654A7AB1" w14:textId="77777777" w:rsidR="003A44A5" w:rsidRPr="001B3F87" w:rsidRDefault="003A44A5" w:rsidP="00624A83">
            <w:pPr>
              <w:pStyle w:val="Tabletext"/>
              <w:spacing w:before="0" w:after="0"/>
              <w:jc w:val="center"/>
            </w:pPr>
            <w:r w:rsidRPr="001B3F87">
              <w:t>1 (2%)</w:t>
            </w:r>
          </w:p>
        </w:tc>
      </w:tr>
      <w:tr w:rsidR="003A44A5" w:rsidRPr="001B3F87" w14:paraId="4C522E44" w14:textId="77777777" w:rsidTr="00624A83">
        <w:tc>
          <w:tcPr>
            <w:tcW w:w="3114" w:type="dxa"/>
          </w:tcPr>
          <w:p w14:paraId="5CD2423A" w14:textId="77777777" w:rsidR="003A44A5" w:rsidRPr="001B3F87" w:rsidRDefault="003A44A5" w:rsidP="00624A83">
            <w:pPr>
              <w:pStyle w:val="Tabletext"/>
              <w:spacing w:before="0" w:after="0"/>
            </w:pPr>
            <w:r w:rsidRPr="001B3F87">
              <w:t>Adverse events related to patiromer</w:t>
            </w:r>
          </w:p>
        </w:tc>
        <w:tc>
          <w:tcPr>
            <w:tcW w:w="1180" w:type="dxa"/>
          </w:tcPr>
          <w:p w14:paraId="09439D7D" w14:textId="77777777" w:rsidR="003A44A5" w:rsidRPr="001B3F87" w:rsidRDefault="003A44A5" w:rsidP="00624A83">
            <w:pPr>
              <w:pStyle w:val="Tabletext"/>
              <w:spacing w:before="0" w:after="0"/>
              <w:jc w:val="center"/>
            </w:pPr>
            <w:r w:rsidRPr="001B3F87">
              <w:t>16 (17%)</w:t>
            </w:r>
          </w:p>
        </w:tc>
        <w:tc>
          <w:tcPr>
            <w:tcW w:w="1181" w:type="dxa"/>
          </w:tcPr>
          <w:p w14:paraId="01FD85E7" w14:textId="77777777" w:rsidR="003A44A5" w:rsidRPr="001B3F87" w:rsidRDefault="003A44A5" w:rsidP="00624A83">
            <w:pPr>
              <w:pStyle w:val="Tabletext"/>
              <w:spacing w:before="0" w:after="0"/>
              <w:jc w:val="center"/>
            </w:pPr>
            <w:r w:rsidRPr="001B3F87">
              <w:t>35 (23%)</w:t>
            </w:r>
          </w:p>
        </w:tc>
        <w:tc>
          <w:tcPr>
            <w:tcW w:w="1180" w:type="dxa"/>
            <w:tcBorders>
              <w:right w:val="double" w:sz="4" w:space="0" w:color="auto"/>
            </w:tcBorders>
          </w:tcPr>
          <w:p w14:paraId="760698F3" w14:textId="77777777" w:rsidR="003A44A5" w:rsidRPr="001B3F87" w:rsidRDefault="003A44A5" w:rsidP="00624A83">
            <w:pPr>
              <w:pStyle w:val="Tabletext"/>
              <w:spacing w:before="0" w:after="0"/>
              <w:jc w:val="center"/>
            </w:pPr>
            <w:r w:rsidRPr="001B3F87">
              <w:t>51 (21%)</w:t>
            </w:r>
          </w:p>
        </w:tc>
        <w:tc>
          <w:tcPr>
            <w:tcW w:w="1181" w:type="dxa"/>
            <w:tcBorders>
              <w:left w:val="double" w:sz="4" w:space="0" w:color="auto"/>
            </w:tcBorders>
          </w:tcPr>
          <w:p w14:paraId="76269EA8" w14:textId="77777777" w:rsidR="003A44A5" w:rsidRPr="001B3F87" w:rsidRDefault="003A44A5" w:rsidP="00624A83">
            <w:pPr>
              <w:pStyle w:val="Tabletext"/>
              <w:spacing w:before="0" w:after="0"/>
              <w:jc w:val="center"/>
            </w:pPr>
            <w:r w:rsidRPr="001B3F87">
              <w:t>4 (7%)</w:t>
            </w:r>
          </w:p>
        </w:tc>
        <w:tc>
          <w:tcPr>
            <w:tcW w:w="1181" w:type="dxa"/>
          </w:tcPr>
          <w:p w14:paraId="42A19807" w14:textId="77777777" w:rsidR="003A44A5" w:rsidRPr="001B3F87" w:rsidRDefault="003A44A5" w:rsidP="00624A83">
            <w:pPr>
              <w:pStyle w:val="Tabletext"/>
              <w:spacing w:before="0" w:after="0"/>
              <w:jc w:val="center"/>
            </w:pPr>
            <w:r w:rsidRPr="001B3F87">
              <w:t>2 (4%)</w:t>
            </w:r>
          </w:p>
        </w:tc>
      </w:tr>
      <w:tr w:rsidR="003A44A5" w:rsidRPr="001B3F87" w14:paraId="00081D26" w14:textId="77777777" w:rsidTr="00624A83">
        <w:tc>
          <w:tcPr>
            <w:tcW w:w="3114" w:type="dxa"/>
          </w:tcPr>
          <w:p w14:paraId="07C5CBDC" w14:textId="77777777" w:rsidR="003A44A5" w:rsidRPr="001B3F87" w:rsidRDefault="003A44A5" w:rsidP="00624A83">
            <w:pPr>
              <w:pStyle w:val="Tabletext"/>
              <w:spacing w:before="0" w:after="0"/>
            </w:pPr>
            <w:r w:rsidRPr="001B3F87">
              <w:t>Serious adverse events</w:t>
            </w:r>
          </w:p>
        </w:tc>
        <w:tc>
          <w:tcPr>
            <w:tcW w:w="1180" w:type="dxa"/>
          </w:tcPr>
          <w:p w14:paraId="4A2A72A4" w14:textId="77777777" w:rsidR="003A44A5" w:rsidRPr="001B3F87" w:rsidRDefault="003A44A5" w:rsidP="00624A83">
            <w:pPr>
              <w:pStyle w:val="Tabletext"/>
              <w:spacing w:before="0" w:after="0"/>
              <w:jc w:val="center"/>
            </w:pPr>
            <w:r w:rsidRPr="001B3F87">
              <w:t>1 (1%)</w:t>
            </w:r>
          </w:p>
        </w:tc>
        <w:tc>
          <w:tcPr>
            <w:tcW w:w="1181" w:type="dxa"/>
          </w:tcPr>
          <w:p w14:paraId="597CCE80" w14:textId="77777777" w:rsidR="003A44A5" w:rsidRPr="001B3F87" w:rsidRDefault="003A44A5" w:rsidP="00624A83">
            <w:pPr>
              <w:pStyle w:val="Tabletext"/>
              <w:spacing w:before="0" w:after="0"/>
              <w:jc w:val="center"/>
            </w:pPr>
            <w:r w:rsidRPr="001B3F87">
              <w:t>1 (1%)</w:t>
            </w:r>
          </w:p>
        </w:tc>
        <w:tc>
          <w:tcPr>
            <w:tcW w:w="1180" w:type="dxa"/>
            <w:tcBorders>
              <w:right w:val="double" w:sz="4" w:space="0" w:color="auto"/>
            </w:tcBorders>
          </w:tcPr>
          <w:p w14:paraId="240AE4EF" w14:textId="77777777" w:rsidR="003A44A5" w:rsidRPr="001B3F87" w:rsidRDefault="003A44A5" w:rsidP="00624A83">
            <w:pPr>
              <w:pStyle w:val="Tabletext"/>
              <w:spacing w:before="0" w:after="0"/>
              <w:jc w:val="center"/>
            </w:pPr>
            <w:r w:rsidRPr="001B3F87">
              <w:t>2 (1%)</w:t>
            </w:r>
          </w:p>
        </w:tc>
        <w:tc>
          <w:tcPr>
            <w:tcW w:w="1181" w:type="dxa"/>
            <w:tcBorders>
              <w:left w:val="double" w:sz="4" w:space="0" w:color="auto"/>
            </w:tcBorders>
          </w:tcPr>
          <w:p w14:paraId="50FD75E5" w14:textId="77777777" w:rsidR="003A44A5" w:rsidRPr="001B3F87" w:rsidRDefault="003A44A5" w:rsidP="00624A83">
            <w:pPr>
              <w:pStyle w:val="Tabletext"/>
              <w:spacing w:before="0" w:after="0"/>
              <w:jc w:val="center"/>
            </w:pPr>
            <w:r w:rsidRPr="001B3F87">
              <w:t xml:space="preserve">0 </w:t>
            </w:r>
          </w:p>
        </w:tc>
        <w:tc>
          <w:tcPr>
            <w:tcW w:w="1181" w:type="dxa"/>
          </w:tcPr>
          <w:p w14:paraId="26A0C090" w14:textId="77777777" w:rsidR="003A44A5" w:rsidRPr="001B3F87" w:rsidRDefault="003A44A5" w:rsidP="00624A83">
            <w:pPr>
              <w:pStyle w:val="Tabletext"/>
              <w:spacing w:before="0" w:after="0"/>
              <w:jc w:val="center"/>
            </w:pPr>
            <w:r w:rsidRPr="001B3F87">
              <w:t>1 (2%)</w:t>
            </w:r>
          </w:p>
        </w:tc>
      </w:tr>
      <w:tr w:rsidR="003A44A5" w:rsidRPr="001B3F87" w14:paraId="5ACCC737" w14:textId="77777777" w:rsidTr="00624A83">
        <w:tc>
          <w:tcPr>
            <w:tcW w:w="3114" w:type="dxa"/>
          </w:tcPr>
          <w:p w14:paraId="5252DD32" w14:textId="77777777" w:rsidR="003A44A5" w:rsidRPr="001B3F87" w:rsidRDefault="003A44A5" w:rsidP="00624A83">
            <w:pPr>
              <w:pStyle w:val="Tabletext"/>
              <w:spacing w:before="0" w:after="0"/>
            </w:pPr>
            <w:r w:rsidRPr="001B3F87">
              <w:t>Severe adverse events</w:t>
            </w:r>
          </w:p>
        </w:tc>
        <w:tc>
          <w:tcPr>
            <w:tcW w:w="1180" w:type="dxa"/>
          </w:tcPr>
          <w:p w14:paraId="4FFCAF51" w14:textId="77777777" w:rsidR="003A44A5" w:rsidRPr="001B3F87" w:rsidRDefault="003A44A5" w:rsidP="00624A83">
            <w:pPr>
              <w:pStyle w:val="Tabletext"/>
              <w:spacing w:before="0" w:after="0"/>
              <w:jc w:val="center"/>
            </w:pPr>
            <w:r w:rsidRPr="001B3F87">
              <w:t>1 (1%)</w:t>
            </w:r>
          </w:p>
        </w:tc>
        <w:tc>
          <w:tcPr>
            <w:tcW w:w="1181" w:type="dxa"/>
          </w:tcPr>
          <w:p w14:paraId="2BDE89F9" w14:textId="77777777" w:rsidR="003A44A5" w:rsidRPr="001B3F87" w:rsidRDefault="003A44A5" w:rsidP="00624A83">
            <w:pPr>
              <w:pStyle w:val="Tabletext"/>
              <w:spacing w:before="0" w:after="0"/>
              <w:jc w:val="center"/>
            </w:pPr>
            <w:r w:rsidRPr="001B3F87">
              <w:t xml:space="preserve">0 </w:t>
            </w:r>
          </w:p>
        </w:tc>
        <w:tc>
          <w:tcPr>
            <w:tcW w:w="1180" w:type="dxa"/>
            <w:tcBorders>
              <w:right w:val="double" w:sz="4" w:space="0" w:color="auto"/>
            </w:tcBorders>
          </w:tcPr>
          <w:p w14:paraId="135FDD3E" w14:textId="77777777" w:rsidR="003A44A5" w:rsidRPr="001B3F87" w:rsidRDefault="003A44A5" w:rsidP="00624A83">
            <w:pPr>
              <w:pStyle w:val="Tabletext"/>
              <w:spacing w:before="0" w:after="0"/>
              <w:jc w:val="center"/>
            </w:pPr>
            <w:r w:rsidRPr="001B3F87">
              <w:t>1 (&lt;1%)</w:t>
            </w:r>
          </w:p>
        </w:tc>
        <w:tc>
          <w:tcPr>
            <w:tcW w:w="1181" w:type="dxa"/>
            <w:tcBorders>
              <w:left w:val="double" w:sz="4" w:space="0" w:color="auto"/>
            </w:tcBorders>
          </w:tcPr>
          <w:p w14:paraId="5FB74772" w14:textId="77777777" w:rsidR="003A44A5" w:rsidRPr="001B3F87" w:rsidRDefault="003A44A5" w:rsidP="00624A83">
            <w:pPr>
              <w:pStyle w:val="Tabletext"/>
              <w:spacing w:before="0" w:after="0"/>
              <w:jc w:val="center"/>
            </w:pPr>
            <w:r w:rsidRPr="001B3F87">
              <w:t>0</w:t>
            </w:r>
          </w:p>
        </w:tc>
        <w:tc>
          <w:tcPr>
            <w:tcW w:w="1181" w:type="dxa"/>
          </w:tcPr>
          <w:p w14:paraId="153CDBE6" w14:textId="77777777" w:rsidR="003A44A5" w:rsidRPr="001B3F87" w:rsidRDefault="003A44A5" w:rsidP="00624A83">
            <w:pPr>
              <w:pStyle w:val="Tabletext"/>
              <w:spacing w:before="0" w:after="0"/>
              <w:jc w:val="center"/>
            </w:pPr>
            <w:r w:rsidRPr="001B3F87">
              <w:t>1 (2%)</w:t>
            </w:r>
          </w:p>
        </w:tc>
      </w:tr>
      <w:tr w:rsidR="003A44A5" w:rsidRPr="001B3F87" w14:paraId="678BA20C" w14:textId="77777777" w:rsidTr="00624A83">
        <w:tc>
          <w:tcPr>
            <w:tcW w:w="3114" w:type="dxa"/>
          </w:tcPr>
          <w:p w14:paraId="7D037FD0" w14:textId="77777777" w:rsidR="003A44A5" w:rsidRPr="001B3F87" w:rsidRDefault="003A44A5" w:rsidP="00624A83">
            <w:pPr>
              <w:pStyle w:val="Tabletext"/>
              <w:spacing w:before="0" w:after="0"/>
            </w:pPr>
            <w:r w:rsidRPr="001B3F87">
              <w:t>Deaths</w:t>
            </w:r>
          </w:p>
        </w:tc>
        <w:tc>
          <w:tcPr>
            <w:tcW w:w="1180" w:type="dxa"/>
          </w:tcPr>
          <w:p w14:paraId="0A4B51EA" w14:textId="77777777" w:rsidR="003A44A5" w:rsidRPr="001B3F87" w:rsidRDefault="003A44A5" w:rsidP="00624A83">
            <w:pPr>
              <w:pStyle w:val="Tabletext"/>
              <w:spacing w:before="0" w:after="0"/>
              <w:jc w:val="center"/>
            </w:pPr>
            <w:r w:rsidRPr="001B3F87">
              <w:t>0</w:t>
            </w:r>
          </w:p>
        </w:tc>
        <w:tc>
          <w:tcPr>
            <w:tcW w:w="1181" w:type="dxa"/>
          </w:tcPr>
          <w:p w14:paraId="06924186" w14:textId="77777777" w:rsidR="003A44A5" w:rsidRPr="001B3F87" w:rsidRDefault="003A44A5" w:rsidP="00624A83">
            <w:pPr>
              <w:pStyle w:val="Tabletext"/>
              <w:spacing w:before="0" w:after="0"/>
              <w:jc w:val="center"/>
            </w:pPr>
            <w:r w:rsidRPr="001B3F87">
              <w:t>0</w:t>
            </w:r>
          </w:p>
        </w:tc>
        <w:tc>
          <w:tcPr>
            <w:tcW w:w="1180" w:type="dxa"/>
            <w:tcBorders>
              <w:right w:val="double" w:sz="4" w:space="0" w:color="auto"/>
            </w:tcBorders>
          </w:tcPr>
          <w:p w14:paraId="33E8580B" w14:textId="77777777" w:rsidR="003A44A5" w:rsidRPr="001B3F87" w:rsidRDefault="003A44A5" w:rsidP="00624A83">
            <w:pPr>
              <w:pStyle w:val="Tabletext"/>
              <w:spacing w:before="0" w:after="0"/>
              <w:jc w:val="center"/>
            </w:pPr>
            <w:r w:rsidRPr="001B3F87">
              <w:t>0</w:t>
            </w:r>
          </w:p>
        </w:tc>
        <w:tc>
          <w:tcPr>
            <w:tcW w:w="1181" w:type="dxa"/>
            <w:tcBorders>
              <w:left w:val="double" w:sz="4" w:space="0" w:color="auto"/>
            </w:tcBorders>
          </w:tcPr>
          <w:p w14:paraId="738677D5" w14:textId="77777777" w:rsidR="003A44A5" w:rsidRPr="001B3F87" w:rsidRDefault="003A44A5" w:rsidP="00624A83">
            <w:pPr>
              <w:pStyle w:val="Tabletext"/>
              <w:spacing w:before="0" w:after="0"/>
              <w:jc w:val="center"/>
            </w:pPr>
            <w:r w:rsidRPr="001B3F87">
              <w:t>0</w:t>
            </w:r>
          </w:p>
        </w:tc>
        <w:tc>
          <w:tcPr>
            <w:tcW w:w="1181" w:type="dxa"/>
          </w:tcPr>
          <w:p w14:paraId="08B01E6B" w14:textId="77777777" w:rsidR="003A44A5" w:rsidRPr="001B3F87" w:rsidRDefault="003A44A5" w:rsidP="00624A83">
            <w:pPr>
              <w:pStyle w:val="Tabletext"/>
              <w:spacing w:before="0" w:after="0"/>
              <w:jc w:val="center"/>
            </w:pPr>
            <w:r w:rsidRPr="001B3F87">
              <w:t>1 (2%)</w:t>
            </w:r>
          </w:p>
        </w:tc>
      </w:tr>
    </w:tbl>
    <w:p w14:paraId="72D48285" w14:textId="77777777" w:rsidR="003A44A5" w:rsidRPr="001B3F87" w:rsidRDefault="003A44A5" w:rsidP="003A44A5">
      <w:pPr>
        <w:pStyle w:val="COMTablefooter"/>
      </w:pPr>
      <w:r w:rsidRPr="001B3F87">
        <w:t>Source: Tables 2.5.10, p121 of the resubmission.</w:t>
      </w:r>
    </w:p>
    <w:p w14:paraId="5DA01230" w14:textId="77777777" w:rsidR="003A44A5" w:rsidRPr="001B3F87" w:rsidRDefault="003A44A5" w:rsidP="003A44A5">
      <w:pPr>
        <w:pStyle w:val="COMTablefooter"/>
        <w:rPr>
          <w:sz w:val="20"/>
        </w:rPr>
      </w:pPr>
      <w:r w:rsidRPr="001B3F87">
        <w:t>Abbreviations: ITT, intention-to-treat.</w:t>
      </w:r>
    </w:p>
    <w:p w14:paraId="60E6AE9A" w14:textId="6DF5F2E4" w:rsidR="003A44A5" w:rsidRPr="001B3F87" w:rsidRDefault="003A44A5" w:rsidP="003A44A5">
      <w:pPr>
        <w:pStyle w:val="COMTableheadingrow"/>
      </w:pPr>
      <w:bookmarkStart w:id="34" w:name="_Ref111812188"/>
      <w:r w:rsidRPr="001B3F87">
        <w:lastRenderedPageBreak/>
        <w:t xml:space="preserve">Table </w:t>
      </w:r>
      <w:r>
        <w:fldChar w:fldCharType="begin"/>
      </w:r>
      <w:r>
        <w:instrText xml:space="preserve"> SEQ Table \* ARABIC </w:instrText>
      </w:r>
      <w:r>
        <w:fldChar w:fldCharType="separate"/>
      </w:r>
      <w:r w:rsidR="00565456">
        <w:rPr>
          <w:noProof/>
        </w:rPr>
        <w:t>9</w:t>
      </w:r>
      <w:r>
        <w:rPr>
          <w:noProof/>
        </w:rPr>
        <w:fldChar w:fldCharType="end"/>
      </w:r>
      <w:bookmarkEnd w:id="34"/>
      <w:r w:rsidRPr="001B3F87">
        <w:t>: Summary of adverse events in the AMETHYST-DN study (safety population)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3114"/>
        <w:gridCol w:w="983"/>
        <w:gridCol w:w="984"/>
        <w:gridCol w:w="984"/>
        <w:gridCol w:w="984"/>
        <w:gridCol w:w="984"/>
        <w:gridCol w:w="984"/>
      </w:tblGrid>
      <w:tr w:rsidR="003A44A5" w:rsidRPr="001B3F87" w14:paraId="225C78AF" w14:textId="77777777" w:rsidTr="00624A83">
        <w:trPr>
          <w:tblHeader/>
        </w:trPr>
        <w:tc>
          <w:tcPr>
            <w:tcW w:w="3114" w:type="dxa"/>
            <w:vMerge w:val="restart"/>
            <w:vAlign w:val="center"/>
          </w:tcPr>
          <w:p w14:paraId="0CC52AC2" w14:textId="77777777" w:rsidR="003A44A5" w:rsidRPr="001B3F87" w:rsidRDefault="003A44A5" w:rsidP="00624A83">
            <w:pPr>
              <w:pStyle w:val="Tabletext"/>
              <w:keepLines/>
              <w:spacing w:before="0" w:after="0"/>
              <w:rPr>
                <w:b/>
              </w:rPr>
            </w:pPr>
            <w:r w:rsidRPr="001B3F87">
              <w:rPr>
                <w:b/>
              </w:rPr>
              <w:t>AMETHYST-DN</w:t>
            </w:r>
          </w:p>
        </w:tc>
        <w:tc>
          <w:tcPr>
            <w:tcW w:w="2951" w:type="dxa"/>
            <w:gridSpan w:val="3"/>
            <w:tcBorders>
              <w:bottom w:val="single" w:sz="4" w:space="0" w:color="auto"/>
              <w:right w:val="double" w:sz="4" w:space="0" w:color="auto"/>
            </w:tcBorders>
            <w:vAlign w:val="center"/>
          </w:tcPr>
          <w:p w14:paraId="0305FBAB" w14:textId="77777777" w:rsidR="003A44A5" w:rsidRPr="001B3F87" w:rsidRDefault="003A44A5" w:rsidP="00624A83">
            <w:pPr>
              <w:keepNext/>
              <w:keepLines/>
              <w:jc w:val="center"/>
              <w:rPr>
                <w:rFonts w:ascii="Arial Narrow" w:hAnsi="Arial Narrow"/>
                <w:b/>
                <w:sz w:val="20"/>
                <w:szCs w:val="20"/>
              </w:rPr>
            </w:pPr>
            <w:r w:rsidRPr="001B3F87">
              <w:rPr>
                <w:rFonts w:ascii="Arial Narrow" w:hAnsi="Arial Narrow"/>
                <w:b/>
                <w:sz w:val="20"/>
                <w:szCs w:val="20"/>
              </w:rPr>
              <w:t>Stratum 1</w:t>
            </w:r>
          </w:p>
          <w:p w14:paraId="17948286" w14:textId="77777777" w:rsidR="003A44A5" w:rsidRPr="001B3F87" w:rsidRDefault="003A44A5" w:rsidP="00624A83">
            <w:pPr>
              <w:pStyle w:val="Tabletext"/>
              <w:keepLines/>
              <w:spacing w:before="0" w:after="0"/>
              <w:ind w:left="-89" w:right="-97"/>
              <w:jc w:val="center"/>
              <w:rPr>
                <w:b/>
              </w:rPr>
            </w:pPr>
            <w:r w:rsidRPr="001B3F87">
              <w:rPr>
                <w:b/>
              </w:rPr>
              <w:t>(&gt;5.0 - 5.5</w:t>
            </w:r>
            <w:r>
              <w:rPr>
                <w:b/>
              </w:rPr>
              <w:t> mmol</w:t>
            </w:r>
            <w:r w:rsidRPr="001B3F87">
              <w:rPr>
                <w:b/>
              </w:rPr>
              <w:t>/L)</w:t>
            </w:r>
          </w:p>
        </w:tc>
        <w:tc>
          <w:tcPr>
            <w:tcW w:w="2952" w:type="dxa"/>
            <w:gridSpan w:val="3"/>
            <w:tcBorders>
              <w:left w:val="double" w:sz="4" w:space="0" w:color="auto"/>
              <w:bottom w:val="single" w:sz="4" w:space="0" w:color="auto"/>
            </w:tcBorders>
            <w:vAlign w:val="center"/>
          </w:tcPr>
          <w:p w14:paraId="37601963" w14:textId="77777777" w:rsidR="003A44A5" w:rsidRPr="001B3F87" w:rsidRDefault="003A44A5" w:rsidP="00624A83">
            <w:pPr>
              <w:keepNext/>
              <w:keepLines/>
              <w:jc w:val="center"/>
              <w:rPr>
                <w:rFonts w:ascii="Arial Narrow" w:hAnsi="Arial Narrow"/>
                <w:b/>
                <w:sz w:val="20"/>
                <w:szCs w:val="20"/>
              </w:rPr>
            </w:pPr>
            <w:r w:rsidRPr="001B3F87">
              <w:rPr>
                <w:rFonts w:ascii="Arial Narrow" w:hAnsi="Arial Narrow"/>
                <w:b/>
                <w:sz w:val="20"/>
                <w:szCs w:val="20"/>
              </w:rPr>
              <w:t>Stratum 2</w:t>
            </w:r>
          </w:p>
          <w:p w14:paraId="7CBAB91D" w14:textId="77777777" w:rsidR="003A44A5" w:rsidRPr="001B3F87" w:rsidRDefault="003A44A5" w:rsidP="00624A83">
            <w:pPr>
              <w:pStyle w:val="Tabletext"/>
              <w:keepLines/>
              <w:spacing w:before="0" w:after="0"/>
              <w:ind w:left="-89" w:right="-97"/>
              <w:jc w:val="center"/>
              <w:rPr>
                <w:b/>
              </w:rPr>
            </w:pPr>
            <w:r w:rsidRPr="001B3F87">
              <w:rPr>
                <w:b/>
              </w:rPr>
              <w:t>(&gt;5.5 - &lt;6.0</w:t>
            </w:r>
            <w:r>
              <w:rPr>
                <w:b/>
              </w:rPr>
              <w:t> mmol</w:t>
            </w:r>
            <w:r w:rsidRPr="001B3F87">
              <w:rPr>
                <w:b/>
              </w:rPr>
              <w:t>/L)</w:t>
            </w:r>
          </w:p>
        </w:tc>
      </w:tr>
      <w:tr w:rsidR="003A44A5" w:rsidRPr="001B3F87" w14:paraId="608FEAE8" w14:textId="77777777" w:rsidTr="00624A83">
        <w:trPr>
          <w:trHeight w:val="469"/>
          <w:tblHeader/>
        </w:trPr>
        <w:tc>
          <w:tcPr>
            <w:tcW w:w="3114" w:type="dxa"/>
            <w:vMerge/>
            <w:vAlign w:val="center"/>
          </w:tcPr>
          <w:p w14:paraId="508EA1D2" w14:textId="77777777" w:rsidR="003A44A5" w:rsidRPr="001B3F87" w:rsidRDefault="003A44A5" w:rsidP="00624A83">
            <w:pPr>
              <w:pStyle w:val="Tabletext"/>
              <w:keepLines/>
              <w:spacing w:before="0" w:after="0"/>
              <w:rPr>
                <w:b/>
              </w:rPr>
            </w:pPr>
          </w:p>
        </w:tc>
        <w:tc>
          <w:tcPr>
            <w:tcW w:w="983" w:type="dxa"/>
            <w:vAlign w:val="center"/>
          </w:tcPr>
          <w:p w14:paraId="0AE2E3BD" w14:textId="77777777" w:rsidR="003A44A5" w:rsidRPr="001B3F87" w:rsidRDefault="003A44A5" w:rsidP="00624A83">
            <w:pPr>
              <w:pStyle w:val="Tabletext"/>
              <w:keepLines/>
              <w:spacing w:before="0" w:after="0"/>
              <w:ind w:left="-89" w:right="-97"/>
              <w:jc w:val="center"/>
              <w:rPr>
                <w:b/>
              </w:rPr>
            </w:pPr>
            <w:r w:rsidRPr="001B3F87">
              <w:rPr>
                <w:b/>
              </w:rPr>
              <w:t>8.4 g/day</w:t>
            </w:r>
          </w:p>
          <w:p w14:paraId="3D477319" w14:textId="77777777" w:rsidR="003A44A5" w:rsidRPr="001B3F87" w:rsidRDefault="003A44A5" w:rsidP="00624A83">
            <w:pPr>
              <w:pStyle w:val="Tabletext"/>
              <w:spacing w:before="0" w:after="0"/>
              <w:ind w:left="-89" w:right="-97"/>
              <w:jc w:val="center"/>
              <w:rPr>
                <w:b/>
              </w:rPr>
            </w:pPr>
            <w:r w:rsidRPr="001B3F87">
              <w:rPr>
                <w:b/>
              </w:rPr>
              <w:t>(N=74)</w:t>
            </w:r>
          </w:p>
        </w:tc>
        <w:tc>
          <w:tcPr>
            <w:tcW w:w="984" w:type="dxa"/>
            <w:vAlign w:val="center"/>
          </w:tcPr>
          <w:p w14:paraId="79174AB7" w14:textId="77777777" w:rsidR="003A44A5" w:rsidRPr="001B3F87" w:rsidRDefault="003A44A5" w:rsidP="00624A83">
            <w:pPr>
              <w:pStyle w:val="Tabletext"/>
              <w:keepLines/>
              <w:spacing w:before="0" w:after="0"/>
              <w:ind w:left="-89" w:right="-97"/>
              <w:jc w:val="center"/>
              <w:rPr>
                <w:b/>
              </w:rPr>
            </w:pPr>
            <w:r w:rsidRPr="001B3F87">
              <w:rPr>
                <w:b/>
              </w:rPr>
              <w:t>16.8 g/day</w:t>
            </w:r>
          </w:p>
          <w:p w14:paraId="0D9A3702" w14:textId="77777777" w:rsidR="003A44A5" w:rsidRPr="001B3F87" w:rsidRDefault="003A44A5" w:rsidP="00624A83">
            <w:pPr>
              <w:pStyle w:val="Tabletext"/>
              <w:spacing w:before="0" w:after="0"/>
              <w:ind w:left="-89" w:right="-97"/>
              <w:jc w:val="center"/>
              <w:rPr>
                <w:b/>
              </w:rPr>
            </w:pPr>
            <w:r w:rsidRPr="001B3F87">
              <w:rPr>
                <w:b/>
              </w:rPr>
              <w:t>(N=73)</w:t>
            </w:r>
          </w:p>
        </w:tc>
        <w:tc>
          <w:tcPr>
            <w:tcW w:w="984" w:type="dxa"/>
            <w:tcBorders>
              <w:right w:val="double" w:sz="4" w:space="0" w:color="auto"/>
            </w:tcBorders>
            <w:vAlign w:val="center"/>
          </w:tcPr>
          <w:p w14:paraId="703D0A2F" w14:textId="77777777" w:rsidR="003A44A5" w:rsidRPr="001B3F87" w:rsidRDefault="003A44A5" w:rsidP="00624A83">
            <w:pPr>
              <w:pStyle w:val="Tabletext"/>
              <w:keepLines/>
              <w:spacing w:before="0" w:after="0"/>
              <w:ind w:left="-89" w:right="-97"/>
              <w:jc w:val="center"/>
              <w:rPr>
                <w:b/>
              </w:rPr>
            </w:pPr>
            <w:r w:rsidRPr="001B3F87">
              <w:rPr>
                <w:b/>
              </w:rPr>
              <w:t>25.2 g/day</w:t>
            </w:r>
          </w:p>
          <w:p w14:paraId="70BCB1B2" w14:textId="77777777" w:rsidR="003A44A5" w:rsidRPr="001B3F87" w:rsidRDefault="003A44A5" w:rsidP="00624A83">
            <w:pPr>
              <w:pStyle w:val="Tabletext"/>
              <w:spacing w:before="0" w:after="0"/>
              <w:ind w:left="-89" w:right="-97"/>
              <w:jc w:val="center"/>
              <w:rPr>
                <w:b/>
              </w:rPr>
            </w:pPr>
            <w:r w:rsidRPr="001B3F87">
              <w:rPr>
                <w:b/>
              </w:rPr>
              <w:t>(N=73)</w:t>
            </w:r>
          </w:p>
        </w:tc>
        <w:tc>
          <w:tcPr>
            <w:tcW w:w="984" w:type="dxa"/>
            <w:tcBorders>
              <w:left w:val="double" w:sz="4" w:space="0" w:color="auto"/>
            </w:tcBorders>
            <w:vAlign w:val="center"/>
          </w:tcPr>
          <w:p w14:paraId="11F9E6FD" w14:textId="77777777" w:rsidR="003A44A5" w:rsidRPr="001B3F87" w:rsidRDefault="003A44A5" w:rsidP="00624A83">
            <w:pPr>
              <w:pStyle w:val="Tabletext"/>
              <w:keepLines/>
              <w:spacing w:before="0" w:after="0"/>
              <w:ind w:left="-89" w:right="-97"/>
              <w:jc w:val="center"/>
              <w:rPr>
                <w:b/>
              </w:rPr>
            </w:pPr>
            <w:r w:rsidRPr="001B3F87">
              <w:rPr>
                <w:b/>
              </w:rPr>
              <w:t>16.8 g/day</w:t>
            </w:r>
          </w:p>
          <w:p w14:paraId="3B1F2BFC" w14:textId="77777777" w:rsidR="003A44A5" w:rsidRPr="001B3F87" w:rsidRDefault="003A44A5" w:rsidP="00624A83">
            <w:pPr>
              <w:pStyle w:val="Tabletext"/>
              <w:spacing w:before="0" w:after="0"/>
              <w:ind w:left="-89" w:right="-97"/>
              <w:jc w:val="center"/>
              <w:rPr>
                <w:b/>
              </w:rPr>
            </w:pPr>
            <w:r w:rsidRPr="001B3F87">
              <w:rPr>
                <w:b/>
              </w:rPr>
              <w:t>(N=26)</w:t>
            </w:r>
          </w:p>
        </w:tc>
        <w:tc>
          <w:tcPr>
            <w:tcW w:w="984" w:type="dxa"/>
            <w:vAlign w:val="center"/>
          </w:tcPr>
          <w:p w14:paraId="35E7459A" w14:textId="77777777" w:rsidR="003A44A5" w:rsidRPr="001B3F87" w:rsidRDefault="003A44A5" w:rsidP="00624A83">
            <w:pPr>
              <w:pStyle w:val="Tabletext"/>
              <w:keepLines/>
              <w:spacing w:before="0" w:after="0"/>
              <w:ind w:left="-89" w:right="-97"/>
              <w:jc w:val="center"/>
              <w:rPr>
                <w:b/>
              </w:rPr>
            </w:pPr>
            <w:r w:rsidRPr="001B3F87">
              <w:rPr>
                <w:b/>
              </w:rPr>
              <w:t>25.2 g/day</w:t>
            </w:r>
          </w:p>
          <w:p w14:paraId="046603BC" w14:textId="77777777" w:rsidR="003A44A5" w:rsidRPr="001B3F87" w:rsidRDefault="003A44A5" w:rsidP="00624A83">
            <w:pPr>
              <w:pStyle w:val="Tabletext"/>
              <w:spacing w:before="0" w:after="0"/>
              <w:ind w:left="-89" w:right="-97"/>
              <w:jc w:val="center"/>
              <w:rPr>
                <w:b/>
              </w:rPr>
            </w:pPr>
            <w:r w:rsidRPr="001B3F87">
              <w:rPr>
                <w:b/>
              </w:rPr>
              <w:t>(N=28)</w:t>
            </w:r>
          </w:p>
        </w:tc>
        <w:tc>
          <w:tcPr>
            <w:tcW w:w="984" w:type="dxa"/>
            <w:vAlign w:val="center"/>
          </w:tcPr>
          <w:p w14:paraId="58A9EE28" w14:textId="77777777" w:rsidR="003A44A5" w:rsidRPr="001B3F87" w:rsidRDefault="003A44A5" w:rsidP="00624A83">
            <w:pPr>
              <w:pStyle w:val="Tabletext"/>
              <w:keepLines/>
              <w:spacing w:before="0" w:after="0"/>
              <w:ind w:left="-89" w:right="-97"/>
              <w:jc w:val="center"/>
              <w:rPr>
                <w:b/>
              </w:rPr>
            </w:pPr>
            <w:r w:rsidRPr="001B3F87">
              <w:rPr>
                <w:b/>
              </w:rPr>
              <w:t>33.6 g/day</w:t>
            </w:r>
          </w:p>
          <w:p w14:paraId="0A224A7A" w14:textId="77777777" w:rsidR="003A44A5" w:rsidRPr="001B3F87" w:rsidRDefault="003A44A5" w:rsidP="00624A83">
            <w:pPr>
              <w:pStyle w:val="Tabletext"/>
              <w:spacing w:before="0" w:after="0"/>
              <w:ind w:left="-89" w:right="-97"/>
              <w:jc w:val="center"/>
              <w:rPr>
                <w:b/>
              </w:rPr>
            </w:pPr>
            <w:r w:rsidRPr="001B3F87">
              <w:rPr>
                <w:b/>
              </w:rPr>
              <w:t xml:space="preserve"> (N=30)</w:t>
            </w:r>
          </w:p>
        </w:tc>
      </w:tr>
      <w:tr w:rsidR="003A44A5" w:rsidRPr="001B3F87" w14:paraId="0316786C" w14:textId="77777777" w:rsidTr="00624A83">
        <w:tc>
          <w:tcPr>
            <w:tcW w:w="3114" w:type="dxa"/>
          </w:tcPr>
          <w:p w14:paraId="0C33B627" w14:textId="77777777" w:rsidR="003A44A5" w:rsidRPr="001B3F87" w:rsidRDefault="003A44A5" w:rsidP="00624A83">
            <w:pPr>
              <w:pStyle w:val="Tabletext"/>
              <w:spacing w:before="0" w:after="0"/>
            </w:pPr>
            <w:r w:rsidRPr="001B3F87">
              <w:t>Any adverse event</w:t>
            </w:r>
          </w:p>
        </w:tc>
        <w:tc>
          <w:tcPr>
            <w:tcW w:w="983" w:type="dxa"/>
          </w:tcPr>
          <w:p w14:paraId="36DFB0EA" w14:textId="77777777" w:rsidR="003A44A5" w:rsidRPr="001B3F87" w:rsidRDefault="003A44A5" w:rsidP="00624A83">
            <w:pPr>
              <w:pStyle w:val="Tabletext"/>
              <w:spacing w:before="0" w:after="0"/>
              <w:ind w:left="-89" w:right="-97"/>
              <w:jc w:val="center"/>
            </w:pPr>
            <w:r w:rsidRPr="001B3F87">
              <w:t>47 (64%)</w:t>
            </w:r>
          </w:p>
        </w:tc>
        <w:tc>
          <w:tcPr>
            <w:tcW w:w="984" w:type="dxa"/>
          </w:tcPr>
          <w:p w14:paraId="3E92C412" w14:textId="77777777" w:rsidR="003A44A5" w:rsidRPr="001B3F87" w:rsidRDefault="003A44A5" w:rsidP="00624A83">
            <w:pPr>
              <w:pStyle w:val="Tabletext"/>
              <w:spacing w:before="0" w:after="0"/>
              <w:ind w:left="-89" w:right="-97"/>
              <w:jc w:val="center"/>
            </w:pPr>
            <w:r w:rsidRPr="001B3F87">
              <w:t>51 (70%)</w:t>
            </w:r>
          </w:p>
        </w:tc>
        <w:tc>
          <w:tcPr>
            <w:tcW w:w="984" w:type="dxa"/>
            <w:tcBorders>
              <w:right w:val="double" w:sz="4" w:space="0" w:color="auto"/>
            </w:tcBorders>
          </w:tcPr>
          <w:p w14:paraId="1F78AFD2" w14:textId="77777777" w:rsidR="003A44A5" w:rsidRPr="001B3F87" w:rsidRDefault="003A44A5" w:rsidP="00624A83">
            <w:pPr>
              <w:pStyle w:val="Tabletext"/>
              <w:spacing w:before="0" w:after="0"/>
              <w:ind w:left="-89" w:right="-97"/>
              <w:jc w:val="center"/>
            </w:pPr>
            <w:r w:rsidRPr="001B3F87">
              <w:t>48 (66%)</w:t>
            </w:r>
          </w:p>
        </w:tc>
        <w:tc>
          <w:tcPr>
            <w:tcW w:w="984" w:type="dxa"/>
            <w:tcBorders>
              <w:left w:val="double" w:sz="4" w:space="0" w:color="auto"/>
            </w:tcBorders>
          </w:tcPr>
          <w:p w14:paraId="73FDD77D" w14:textId="77777777" w:rsidR="003A44A5" w:rsidRPr="001B3F87" w:rsidRDefault="003A44A5" w:rsidP="00624A83">
            <w:pPr>
              <w:pStyle w:val="Tabletext"/>
              <w:spacing w:before="0" w:after="0"/>
              <w:ind w:left="-89" w:right="-97"/>
              <w:jc w:val="center"/>
            </w:pPr>
            <w:r w:rsidRPr="001B3F87">
              <w:t>18 (69%)</w:t>
            </w:r>
          </w:p>
        </w:tc>
        <w:tc>
          <w:tcPr>
            <w:tcW w:w="984" w:type="dxa"/>
          </w:tcPr>
          <w:p w14:paraId="6C40CC32" w14:textId="77777777" w:rsidR="003A44A5" w:rsidRPr="001B3F87" w:rsidRDefault="003A44A5" w:rsidP="00624A83">
            <w:pPr>
              <w:pStyle w:val="Tabletext"/>
              <w:spacing w:before="0" w:after="0"/>
              <w:ind w:left="-89" w:right="-97"/>
              <w:jc w:val="center"/>
            </w:pPr>
            <w:r w:rsidRPr="001B3F87">
              <w:t>22 (79%)</w:t>
            </w:r>
          </w:p>
        </w:tc>
        <w:tc>
          <w:tcPr>
            <w:tcW w:w="984" w:type="dxa"/>
          </w:tcPr>
          <w:p w14:paraId="0CE688B0" w14:textId="77777777" w:rsidR="003A44A5" w:rsidRPr="001B3F87" w:rsidRDefault="003A44A5" w:rsidP="00624A83">
            <w:pPr>
              <w:pStyle w:val="Tabletext"/>
              <w:spacing w:before="0" w:after="0"/>
              <w:ind w:left="-89" w:right="-97"/>
              <w:jc w:val="center"/>
            </w:pPr>
            <w:r w:rsidRPr="001B3F87">
              <w:t>25 (83%)</w:t>
            </w:r>
          </w:p>
        </w:tc>
      </w:tr>
      <w:tr w:rsidR="003A44A5" w:rsidRPr="001B3F87" w14:paraId="19482675" w14:textId="77777777" w:rsidTr="00624A83">
        <w:tc>
          <w:tcPr>
            <w:tcW w:w="3114" w:type="dxa"/>
          </w:tcPr>
          <w:p w14:paraId="1016685B" w14:textId="77777777" w:rsidR="003A44A5" w:rsidRPr="001B3F87" w:rsidRDefault="003A44A5" w:rsidP="00624A83">
            <w:pPr>
              <w:pStyle w:val="Tabletext"/>
              <w:spacing w:before="0" w:after="0"/>
            </w:pPr>
            <w:r w:rsidRPr="001B3F87">
              <w:t>Adverse event leading to discontinuation</w:t>
            </w:r>
          </w:p>
        </w:tc>
        <w:tc>
          <w:tcPr>
            <w:tcW w:w="983" w:type="dxa"/>
          </w:tcPr>
          <w:p w14:paraId="46AE297A" w14:textId="77777777" w:rsidR="003A44A5" w:rsidRPr="001B3F87" w:rsidRDefault="003A44A5" w:rsidP="00624A83">
            <w:pPr>
              <w:pStyle w:val="Tabletext"/>
              <w:spacing w:before="0" w:after="0"/>
              <w:ind w:left="-89" w:right="-97"/>
              <w:jc w:val="center"/>
            </w:pPr>
            <w:r w:rsidRPr="001B3F87">
              <w:t>6 (8%)</w:t>
            </w:r>
          </w:p>
        </w:tc>
        <w:tc>
          <w:tcPr>
            <w:tcW w:w="984" w:type="dxa"/>
          </w:tcPr>
          <w:p w14:paraId="227A0391" w14:textId="77777777" w:rsidR="003A44A5" w:rsidRPr="001B3F87" w:rsidRDefault="003A44A5" w:rsidP="00624A83">
            <w:pPr>
              <w:pStyle w:val="Tabletext"/>
              <w:spacing w:before="0" w:after="0"/>
              <w:ind w:left="-89" w:right="-97"/>
              <w:jc w:val="center"/>
            </w:pPr>
            <w:r w:rsidRPr="001B3F87">
              <w:t>6 (8%)</w:t>
            </w:r>
          </w:p>
        </w:tc>
        <w:tc>
          <w:tcPr>
            <w:tcW w:w="984" w:type="dxa"/>
            <w:tcBorders>
              <w:right w:val="double" w:sz="4" w:space="0" w:color="auto"/>
            </w:tcBorders>
          </w:tcPr>
          <w:p w14:paraId="3DE787C6" w14:textId="77777777" w:rsidR="003A44A5" w:rsidRPr="001B3F87" w:rsidRDefault="003A44A5" w:rsidP="00624A83">
            <w:pPr>
              <w:pStyle w:val="Tabletext"/>
              <w:spacing w:before="0" w:after="0"/>
              <w:ind w:left="-89" w:right="-97"/>
              <w:jc w:val="center"/>
            </w:pPr>
            <w:r w:rsidRPr="001B3F87">
              <w:t>8 (11%)</w:t>
            </w:r>
          </w:p>
        </w:tc>
        <w:tc>
          <w:tcPr>
            <w:tcW w:w="984" w:type="dxa"/>
            <w:tcBorders>
              <w:left w:val="double" w:sz="4" w:space="0" w:color="auto"/>
            </w:tcBorders>
          </w:tcPr>
          <w:p w14:paraId="7650964F" w14:textId="77777777" w:rsidR="003A44A5" w:rsidRPr="001B3F87" w:rsidRDefault="003A44A5" w:rsidP="00624A83">
            <w:pPr>
              <w:pStyle w:val="Tabletext"/>
              <w:spacing w:before="0" w:after="0"/>
              <w:ind w:left="-89" w:right="-97"/>
              <w:jc w:val="center"/>
            </w:pPr>
            <w:r w:rsidRPr="001B3F87">
              <w:t>2 (8%)</w:t>
            </w:r>
          </w:p>
        </w:tc>
        <w:tc>
          <w:tcPr>
            <w:tcW w:w="984" w:type="dxa"/>
          </w:tcPr>
          <w:p w14:paraId="0CA35DAC" w14:textId="77777777" w:rsidR="003A44A5" w:rsidRPr="001B3F87" w:rsidRDefault="003A44A5" w:rsidP="00624A83">
            <w:pPr>
              <w:pStyle w:val="Tabletext"/>
              <w:spacing w:before="0" w:after="0"/>
              <w:ind w:left="-89" w:right="-97"/>
              <w:jc w:val="center"/>
            </w:pPr>
            <w:r w:rsidRPr="001B3F87">
              <w:t>1 (4%)</w:t>
            </w:r>
          </w:p>
        </w:tc>
        <w:tc>
          <w:tcPr>
            <w:tcW w:w="984" w:type="dxa"/>
          </w:tcPr>
          <w:p w14:paraId="724D4475" w14:textId="77777777" w:rsidR="003A44A5" w:rsidRPr="001B3F87" w:rsidRDefault="003A44A5" w:rsidP="00624A83">
            <w:pPr>
              <w:pStyle w:val="Tabletext"/>
              <w:spacing w:before="0" w:after="0"/>
              <w:ind w:left="-89" w:right="-97"/>
              <w:jc w:val="center"/>
            </w:pPr>
            <w:r w:rsidRPr="001B3F87">
              <w:t>5 (17%)</w:t>
            </w:r>
          </w:p>
        </w:tc>
      </w:tr>
      <w:tr w:rsidR="003A44A5" w:rsidRPr="001B3F87" w14:paraId="30C3EFF6" w14:textId="77777777" w:rsidTr="00624A83">
        <w:tc>
          <w:tcPr>
            <w:tcW w:w="3114" w:type="dxa"/>
          </w:tcPr>
          <w:p w14:paraId="7FF803FB" w14:textId="77777777" w:rsidR="003A44A5" w:rsidRPr="001B3F87" w:rsidRDefault="003A44A5" w:rsidP="00624A83">
            <w:pPr>
              <w:pStyle w:val="Tabletext"/>
              <w:spacing w:before="0" w:after="0"/>
            </w:pPr>
            <w:r w:rsidRPr="001B3F87">
              <w:t>Adverse event related additional therapy</w:t>
            </w:r>
          </w:p>
        </w:tc>
        <w:tc>
          <w:tcPr>
            <w:tcW w:w="983" w:type="dxa"/>
          </w:tcPr>
          <w:p w14:paraId="68BDBE33" w14:textId="77777777" w:rsidR="003A44A5" w:rsidRPr="001B3F87" w:rsidRDefault="003A44A5" w:rsidP="00624A83">
            <w:pPr>
              <w:pStyle w:val="Tabletext"/>
              <w:spacing w:before="0" w:after="0"/>
              <w:ind w:left="-89" w:right="-97"/>
              <w:jc w:val="center"/>
            </w:pPr>
            <w:r w:rsidRPr="001B3F87">
              <w:t>35 (47%)</w:t>
            </w:r>
          </w:p>
        </w:tc>
        <w:tc>
          <w:tcPr>
            <w:tcW w:w="984" w:type="dxa"/>
          </w:tcPr>
          <w:p w14:paraId="52369AD8" w14:textId="77777777" w:rsidR="003A44A5" w:rsidRPr="001B3F87" w:rsidRDefault="003A44A5" w:rsidP="00624A83">
            <w:pPr>
              <w:pStyle w:val="Tabletext"/>
              <w:spacing w:before="0" w:after="0"/>
              <w:ind w:left="-89" w:right="-97"/>
              <w:jc w:val="center"/>
            </w:pPr>
            <w:r w:rsidRPr="001B3F87">
              <w:t>37 (5%)</w:t>
            </w:r>
          </w:p>
        </w:tc>
        <w:tc>
          <w:tcPr>
            <w:tcW w:w="984" w:type="dxa"/>
            <w:tcBorders>
              <w:right w:val="double" w:sz="4" w:space="0" w:color="auto"/>
            </w:tcBorders>
          </w:tcPr>
          <w:p w14:paraId="13DF3507" w14:textId="77777777" w:rsidR="003A44A5" w:rsidRPr="001B3F87" w:rsidRDefault="003A44A5" w:rsidP="00624A83">
            <w:pPr>
              <w:pStyle w:val="Tabletext"/>
              <w:spacing w:before="0" w:after="0"/>
              <w:ind w:left="-89" w:right="-97"/>
              <w:jc w:val="center"/>
            </w:pPr>
            <w:r w:rsidRPr="001B3F87">
              <w:t>31 (43%)</w:t>
            </w:r>
          </w:p>
        </w:tc>
        <w:tc>
          <w:tcPr>
            <w:tcW w:w="984" w:type="dxa"/>
            <w:tcBorders>
              <w:left w:val="double" w:sz="4" w:space="0" w:color="auto"/>
            </w:tcBorders>
          </w:tcPr>
          <w:p w14:paraId="7501F7E0" w14:textId="77777777" w:rsidR="003A44A5" w:rsidRPr="001B3F87" w:rsidRDefault="003A44A5" w:rsidP="00624A83">
            <w:pPr>
              <w:pStyle w:val="Tabletext"/>
              <w:spacing w:before="0" w:after="0"/>
              <w:ind w:left="-89" w:right="-97"/>
              <w:jc w:val="center"/>
            </w:pPr>
            <w:r w:rsidRPr="001B3F87">
              <w:t>15 (58%)</w:t>
            </w:r>
          </w:p>
        </w:tc>
        <w:tc>
          <w:tcPr>
            <w:tcW w:w="984" w:type="dxa"/>
          </w:tcPr>
          <w:p w14:paraId="678F3E44" w14:textId="77777777" w:rsidR="003A44A5" w:rsidRPr="001B3F87" w:rsidRDefault="003A44A5" w:rsidP="00624A83">
            <w:pPr>
              <w:pStyle w:val="Tabletext"/>
              <w:spacing w:before="0" w:after="0"/>
              <w:ind w:left="-89" w:right="-97"/>
              <w:jc w:val="center"/>
            </w:pPr>
            <w:r w:rsidRPr="001B3F87">
              <w:t>15 (54%)</w:t>
            </w:r>
          </w:p>
        </w:tc>
        <w:tc>
          <w:tcPr>
            <w:tcW w:w="984" w:type="dxa"/>
          </w:tcPr>
          <w:p w14:paraId="7D549423" w14:textId="77777777" w:rsidR="003A44A5" w:rsidRPr="001B3F87" w:rsidRDefault="003A44A5" w:rsidP="00624A83">
            <w:pPr>
              <w:pStyle w:val="Tabletext"/>
              <w:spacing w:before="0" w:after="0"/>
              <w:ind w:left="-89" w:right="-97"/>
              <w:jc w:val="center"/>
            </w:pPr>
            <w:r w:rsidRPr="001B3F87">
              <w:t>16 (53%)</w:t>
            </w:r>
          </w:p>
        </w:tc>
      </w:tr>
      <w:tr w:rsidR="003A44A5" w:rsidRPr="001B3F87" w14:paraId="76CA2136" w14:textId="77777777" w:rsidTr="00624A83">
        <w:tc>
          <w:tcPr>
            <w:tcW w:w="3114" w:type="dxa"/>
          </w:tcPr>
          <w:p w14:paraId="67D983E9" w14:textId="77777777" w:rsidR="003A44A5" w:rsidRPr="001B3F87" w:rsidRDefault="003A44A5" w:rsidP="00624A83">
            <w:pPr>
              <w:pStyle w:val="Tabletext"/>
              <w:spacing w:before="0" w:after="0"/>
            </w:pPr>
            <w:r w:rsidRPr="001B3F87">
              <w:t>Adverse events related to study drug</w:t>
            </w:r>
          </w:p>
        </w:tc>
        <w:tc>
          <w:tcPr>
            <w:tcW w:w="983" w:type="dxa"/>
          </w:tcPr>
          <w:p w14:paraId="1EA66FCB" w14:textId="77777777" w:rsidR="003A44A5" w:rsidRPr="001B3F87" w:rsidRDefault="003A44A5" w:rsidP="00624A83">
            <w:pPr>
              <w:pStyle w:val="Tabletext"/>
              <w:spacing w:before="0" w:after="0"/>
              <w:ind w:left="-89" w:right="-97"/>
              <w:jc w:val="center"/>
            </w:pPr>
            <w:r w:rsidRPr="001B3F87">
              <w:t>11 (15%)</w:t>
            </w:r>
          </w:p>
        </w:tc>
        <w:tc>
          <w:tcPr>
            <w:tcW w:w="984" w:type="dxa"/>
          </w:tcPr>
          <w:p w14:paraId="721B72AB" w14:textId="77777777" w:rsidR="003A44A5" w:rsidRPr="001B3F87" w:rsidRDefault="003A44A5" w:rsidP="00624A83">
            <w:pPr>
              <w:pStyle w:val="Tabletext"/>
              <w:spacing w:before="0" w:after="0"/>
              <w:ind w:left="-89" w:right="-97"/>
              <w:jc w:val="center"/>
            </w:pPr>
            <w:r w:rsidRPr="001B3F87">
              <w:t>14 (19%)</w:t>
            </w:r>
          </w:p>
        </w:tc>
        <w:tc>
          <w:tcPr>
            <w:tcW w:w="984" w:type="dxa"/>
            <w:tcBorders>
              <w:right w:val="double" w:sz="4" w:space="0" w:color="auto"/>
            </w:tcBorders>
          </w:tcPr>
          <w:p w14:paraId="220B059B" w14:textId="77777777" w:rsidR="003A44A5" w:rsidRPr="001B3F87" w:rsidRDefault="003A44A5" w:rsidP="00624A83">
            <w:pPr>
              <w:pStyle w:val="Tabletext"/>
              <w:spacing w:before="0" w:after="0"/>
              <w:ind w:left="-89" w:right="-97"/>
              <w:jc w:val="center"/>
            </w:pPr>
            <w:r w:rsidRPr="001B3F87">
              <w:t>13 (18%)</w:t>
            </w:r>
          </w:p>
        </w:tc>
        <w:tc>
          <w:tcPr>
            <w:tcW w:w="984" w:type="dxa"/>
            <w:tcBorders>
              <w:left w:val="double" w:sz="4" w:space="0" w:color="auto"/>
            </w:tcBorders>
          </w:tcPr>
          <w:p w14:paraId="1BE2CBF9" w14:textId="77777777" w:rsidR="003A44A5" w:rsidRPr="001B3F87" w:rsidRDefault="003A44A5" w:rsidP="00624A83">
            <w:pPr>
              <w:pStyle w:val="Tabletext"/>
              <w:spacing w:before="0" w:after="0"/>
              <w:ind w:left="-89" w:right="-97"/>
              <w:jc w:val="center"/>
            </w:pPr>
            <w:r w:rsidRPr="001B3F87">
              <w:t>6 (23%)</w:t>
            </w:r>
          </w:p>
        </w:tc>
        <w:tc>
          <w:tcPr>
            <w:tcW w:w="984" w:type="dxa"/>
          </w:tcPr>
          <w:p w14:paraId="66B7DFEE" w14:textId="77777777" w:rsidR="003A44A5" w:rsidRPr="001B3F87" w:rsidRDefault="003A44A5" w:rsidP="00624A83">
            <w:pPr>
              <w:pStyle w:val="Tabletext"/>
              <w:spacing w:before="0" w:after="0"/>
              <w:ind w:left="-89" w:right="-97"/>
              <w:jc w:val="center"/>
            </w:pPr>
            <w:r w:rsidRPr="001B3F87">
              <w:t>7 (25%)</w:t>
            </w:r>
          </w:p>
        </w:tc>
        <w:tc>
          <w:tcPr>
            <w:tcW w:w="984" w:type="dxa"/>
          </w:tcPr>
          <w:p w14:paraId="37168A73" w14:textId="77777777" w:rsidR="003A44A5" w:rsidRPr="001B3F87" w:rsidRDefault="003A44A5" w:rsidP="00624A83">
            <w:pPr>
              <w:pStyle w:val="Tabletext"/>
              <w:spacing w:before="0" w:after="0"/>
              <w:ind w:left="-89" w:right="-97"/>
              <w:jc w:val="center"/>
            </w:pPr>
            <w:r w:rsidRPr="001B3F87">
              <w:t>9 (30%)</w:t>
            </w:r>
          </w:p>
        </w:tc>
      </w:tr>
      <w:tr w:rsidR="003A44A5" w:rsidRPr="001B3F87" w14:paraId="40A76965" w14:textId="77777777" w:rsidTr="00624A83">
        <w:tc>
          <w:tcPr>
            <w:tcW w:w="3114" w:type="dxa"/>
          </w:tcPr>
          <w:p w14:paraId="436900BD" w14:textId="77777777" w:rsidR="003A44A5" w:rsidRPr="001B3F87" w:rsidRDefault="003A44A5" w:rsidP="00624A83">
            <w:pPr>
              <w:pStyle w:val="Tabletext"/>
              <w:spacing w:before="0" w:after="0"/>
            </w:pPr>
            <w:r w:rsidRPr="001B3F87">
              <w:t>Serious adverse events</w:t>
            </w:r>
          </w:p>
        </w:tc>
        <w:tc>
          <w:tcPr>
            <w:tcW w:w="983" w:type="dxa"/>
          </w:tcPr>
          <w:p w14:paraId="2E4E30B2" w14:textId="77777777" w:rsidR="003A44A5" w:rsidRPr="001B3F87" w:rsidRDefault="003A44A5" w:rsidP="00624A83">
            <w:pPr>
              <w:pStyle w:val="Tabletext"/>
              <w:spacing w:before="0" w:after="0"/>
              <w:ind w:left="-89" w:right="-97"/>
              <w:jc w:val="center"/>
            </w:pPr>
            <w:r w:rsidRPr="001B3F87">
              <w:t>9 (12%)</w:t>
            </w:r>
          </w:p>
        </w:tc>
        <w:tc>
          <w:tcPr>
            <w:tcW w:w="984" w:type="dxa"/>
          </w:tcPr>
          <w:p w14:paraId="08AEF4EF" w14:textId="77777777" w:rsidR="003A44A5" w:rsidRPr="001B3F87" w:rsidRDefault="003A44A5" w:rsidP="00624A83">
            <w:pPr>
              <w:pStyle w:val="Tabletext"/>
              <w:spacing w:before="0" w:after="0"/>
              <w:ind w:left="-89" w:right="-97"/>
              <w:jc w:val="center"/>
            </w:pPr>
            <w:r w:rsidRPr="001B3F87">
              <w:t>10 (14%)</w:t>
            </w:r>
          </w:p>
        </w:tc>
        <w:tc>
          <w:tcPr>
            <w:tcW w:w="984" w:type="dxa"/>
            <w:tcBorders>
              <w:right w:val="double" w:sz="4" w:space="0" w:color="auto"/>
            </w:tcBorders>
          </w:tcPr>
          <w:p w14:paraId="3AF72740" w14:textId="77777777" w:rsidR="003A44A5" w:rsidRPr="001B3F87" w:rsidRDefault="003A44A5" w:rsidP="00624A83">
            <w:pPr>
              <w:pStyle w:val="Tabletext"/>
              <w:spacing w:before="0" w:after="0"/>
              <w:ind w:left="-89" w:right="-97"/>
              <w:jc w:val="center"/>
            </w:pPr>
            <w:r w:rsidRPr="001B3F87">
              <w:t>10 (14%)</w:t>
            </w:r>
          </w:p>
        </w:tc>
        <w:tc>
          <w:tcPr>
            <w:tcW w:w="984" w:type="dxa"/>
            <w:tcBorders>
              <w:left w:val="double" w:sz="4" w:space="0" w:color="auto"/>
            </w:tcBorders>
          </w:tcPr>
          <w:p w14:paraId="36A9A575" w14:textId="77777777" w:rsidR="003A44A5" w:rsidRPr="001B3F87" w:rsidRDefault="003A44A5" w:rsidP="00624A83">
            <w:pPr>
              <w:pStyle w:val="Tabletext"/>
              <w:spacing w:before="0" w:after="0"/>
              <w:ind w:left="-89" w:right="-97"/>
              <w:jc w:val="center"/>
            </w:pPr>
            <w:r w:rsidRPr="001B3F87">
              <w:t>6 (23%)</w:t>
            </w:r>
          </w:p>
        </w:tc>
        <w:tc>
          <w:tcPr>
            <w:tcW w:w="984" w:type="dxa"/>
          </w:tcPr>
          <w:p w14:paraId="253D3FDD" w14:textId="77777777" w:rsidR="003A44A5" w:rsidRPr="001B3F87" w:rsidRDefault="003A44A5" w:rsidP="00624A83">
            <w:pPr>
              <w:pStyle w:val="Tabletext"/>
              <w:spacing w:before="0" w:after="0"/>
              <w:ind w:left="-89" w:right="-97"/>
              <w:jc w:val="center"/>
            </w:pPr>
            <w:r w:rsidRPr="001B3F87">
              <w:t>5 (18%)</w:t>
            </w:r>
          </w:p>
        </w:tc>
        <w:tc>
          <w:tcPr>
            <w:tcW w:w="984" w:type="dxa"/>
          </w:tcPr>
          <w:p w14:paraId="39C7CA44" w14:textId="77777777" w:rsidR="003A44A5" w:rsidRPr="001B3F87" w:rsidRDefault="003A44A5" w:rsidP="00624A83">
            <w:pPr>
              <w:pStyle w:val="Tabletext"/>
              <w:spacing w:before="0" w:after="0"/>
              <w:ind w:left="-89" w:right="-97"/>
              <w:jc w:val="center"/>
            </w:pPr>
            <w:r w:rsidRPr="001B3F87">
              <w:t>4 (13%)</w:t>
            </w:r>
          </w:p>
        </w:tc>
      </w:tr>
      <w:tr w:rsidR="003A44A5" w:rsidRPr="001B3F87" w14:paraId="3566DF51" w14:textId="77777777" w:rsidTr="00624A83">
        <w:tc>
          <w:tcPr>
            <w:tcW w:w="3114" w:type="dxa"/>
          </w:tcPr>
          <w:p w14:paraId="71832799" w14:textId="77777777" w:rsidR="003A44A5" w:rsidRPr="001B3F87" w:rsidRDefault="003A44A5" w:rsidP="00624A83">
            <w:pPr>
              <w:pStyle w:val="Tabletext"/>
              <w:spacing w:before="0" w:after="0"/>
            </w:pPr>
            <w:r w:rsidRPr="001B3F87">
              <w:t>Deaths</w:t>
            </w:r>
          </w:p>
        </w:tc>
        <w:tc>
          <w:tcPr>
            <w:tcW w:w="983" w:type="dxa"/>
          </w:tcPr>
          <w:p w14:paraId="4F93059A" w14:textId="77777777" w:rsidR="003A44A5" w:rsidRPr="001B3F87" w:rsidRDefault="003A44A5" w:rsidP="00624A83">
            <w:pPr>
              <w:pStyle w:val="Tabletext"/>
              <w:spacing w:before="0" w:after="0"/>
              <w:ind w:left="-89" w:right="-97"/>
              <w:jc w:val="center"/>
            </w:pPr>
            <w:r w:rsidRPr="001B3F87">
              <w:t>1 (1%)</w:t>
            </w:r>
          </w:p>
        </w:tc>
        <w:tc>
          <w:tcPr>
            <w:tcW w:w="984" w:type="dxa"/>
          </w:tcPr>
          <w:p w14:paraId="564AC9DF" w14:textId="77777777" w:rsidR="003A44A5" w:rsidRPr="001B3F87" w:rsidRDefault="003A44A5" w:rsidP="00624A83">
            <w:pPr>
              <w:pStyle w:val="Tabletext"/>
              <w:spacing w:before="0" w:after="0"/>
              <w:ind w:left="-89" w:right="-97"/>
              <w:jc w:val="center"/>
            </w:pPr>
            <w:r w:rsidRPr="001B3F87">
              <w:t>2 (3%)</w:t>
            </w:r>
          </w:p>
        </w:tc>
        <w:tc>
          <w:tcPr>
            <w:tcW w:w="984" w:type="dxa"/>
            <w:tcBorders>
              <w:right w:val="double" w:sz="4" w:space="0" w:color="auto"/>
            </w:tcBorders>
          </w:tcPr>
          <w:p w14:paraId="0E2F638E" w14:textId="77777777" w:rsidR="003A44A5" w:rsidRPr="001B3F87" w:rsidRDefault="003A44A5" w:rsidP="00624A83">
            <w:pPr>
              <w:pStyle w:val="Tabletext"/>
              <w:spacing w:before="0" w:after="0"/>
              <w:ind w:left="-89" w:right="-97"/>
              <w:jc w:val="center"/>
            </w:pPr>
            <w:r w:rsidRPr="001B3F87">
              <w:t>6 (8%)</w:t>
            </w:r>
          </w:p>
        </w:tc>
        <w:tc>
          <w:tcPr>
            <w:tcW w:w="984" w:type="dxa"/>
            <w:tcBorders>
              <w:left w:val="double" w:sz="4" w:space="0" w:color="auto"/>
            </w:tcBorders>
          </w:tcPr>
          <w:p w14:paraId="4B0AF582" w14:textId="77777777" w:rsidR="003A44A5" w:rsidRPr="001B3F87" w:rsidRDefault="003A44A5" w:rsidP="00624A83">
            <w:pPr>
              <w:pStyle w:val="Tabletext"/>
              <w:spacing w:before="0" w:after="0"/>
              <w:ind w:left="-89" w:right="-97"/>
              <w:jc w:val="center"/>
            </w:pPr>
            <w:r w:rsidRPr="001B3F87">
              <w:t>1 (4%)</w:t>
            </w:r>
          </w:p>
        </w:tc>
        <w:tc>
          <w:tcPr>
            <w:tcW w:w="984" w:type="dxa"/>
          </w:tcPr>
          <w:p w14:paraId="7E795B88" w14:textId="77777777" w:rsidR="003A44A5" w:rsidRPr="001B3F87" w:rsidRDefault="003A44A5" w:rsidP="00624A83">
            <w:pPr>
              <w:pStyle w:val="Tabletext"/>
              <w:spacing w:before="0" w:after="0"/>
              <w:ind w:left="-89" w:right="-97"/>
              <w:jc w:val="center"/>
            </w:pPr>
            <w:r w:rsidRPr="001B3F87">
              <w:t>4 (14%)</w:t>
            </w:r>
          </w:p>
        </w:tc>
        <w:tc>
          <w:tcPr>
            <w:tcW w:w="984" w:type="dxa"/>
          </w:tcPr>
          <w:p w14:paraId="10B97269" w14:textId="77777777" w:rsidR="003A44A5" w:rsidRPr="001B3F87" w:rsidRDefault="003A44A5" w:rsidP="00624A83">
            <w:pPr>
              <w:pStyle w:val="Tabletext"/>
              <w:spacing w:before="0" w:after="0"/>
              <w:ind w:left="-89" w:right="-97"/>
              <w:jc w:val="center"/>
            </w:pPr>
            <w:r w:rsidRPr="001B3F87">
              <w:t>1 (3%)</w:t>
            </w:r>
          </w:p>
        </w:tc>
      </w:tr>
    </w:tbl>
    <w:p w14:paraId="4691F09B" w14:textId="77777777" w:rsidR="003A44A5" w:rsidRPr="001B3F87" w:rsidRDefault="003A44A5" w:rsidP="003A44A5">
      <w:pPr>
        <w:pStyle w:val="COMTablefooter"/>
      </w:pPr>
      <w:r w:rsidRPr="001B3F87">
        <w:t>Source: Table 2.8.3, p148 of the resubmission.</w:t>
      </w:r>
    </w:p>
    <w:p w14:paraId="67C83D67" w14:textId="77777777" w:rsidR="003A44A5" w:rsidRPr="001B3F87" w:rsidRDefault="003A44A5" w:rsidP="003A44A5">
      <w:pPr>
        <w:pStyle w:val="COMTablefooter"/>
        <w:rPr>
          <w:sz w:val="20"/>
        </w:rPr>
      </w:pPr>
      <w:r w:rsidRPr="001B3F87">
        <w:t>Abbreviations: ITT, intention-to-treat.</w:t>
      </w:r>
    </w:p>
    <w:p w14:paraId="2FF464EA" w14:textId="77777777" w:rsidR="009941EB" w:rsidRPr="002F6665" w:rsidRDefault="001C389E" w:rsidP="00D86231">
      <w:pPr>
        <w:pStyle w:val="COMexecsumnumberedpara"/>
      </w:pPr>
      <w:r w:rsidRPr="002F6665">
        <w:t>The most common adverse events reported by patients treated with patiromer were gastrointestinal events (OPAL-HK Part B 13%). Hypokalaemia (OPAL-HK 1%; AMETHYST-DN 2.3%) and hypomagnesaemia (OPAL-HK 4%; AMETHYST-DN 8.6%) were reported despite intensive monitoring and strict study drug titration protocols based on frequent serum potassium assays.</w:t>
      </w:r>
    </w:p>
    <w:p w14:paraId="3FB2B529" w14:textId="767CB7A1" w:rsidR="001C389E" w:rsidRPr="002F6665" w:rsidRDefault="001C389E" w:rsidP="00D86231">
      <w:pPr>
        <w:pStyle w:val="COMexecsumnumberedpara"/>
      </w:pPr>
      <w:r w:rsidRPr="002F6665">
        <w:t xml:space="preserve">In the AMETHYST-DN study, 8.6% of patients reported hypomagnesaemia in the long-term maintenance period and 16.7% over the combined treatment initiation and long-term maintenance periods. </w:t>
      </w:r>
    </w:p>
    <w:p w14:paraId="299D8849" w14:textId="67FE0FE7" w:rsidR="00293A5E" w:rsidRPr="002F6665" w:rsidRDefault="00293A5E" w:rsidP="00D86231">
      <w:pPr>
        <w:pStyle w:val="COMexecsumnumberedpara"/>
      </w:pPr>
      <w:r w:rsidRPr="002F6665">
        <w:t xml:space="preserve">Safety concerns for patiromer identified in the most recent PSUR were unchanged from the previous submission and included the important identified risk of hypomagnesaemia, and the potential increased risk of intestinal perforation in patients with a current or history of severe gastrointestinal disorders, and hypercalcaemia in patients with current or history of hypercalcaemia. The risk of hypomagnesaemia </w:t>
      </w:r>
      <w:r w:rsidR="00854BC7">
        <w:t>wa</w:t>
      </w:r>
      <w:r w:rsidRPr="002F6665">
        <w:t>s consistent with the safety data reported in the longer-term AMETHYST-DN study.</w:t>
      </w:r>
    </w:p>
    <w:p w14:paraId="1E04E471" w14:textId="77777777" w:rsidR="006A5F76" w:rsidRPr="001159D0" w:rsidRDefault="006A5F76" w:rsidP="000651ED">
      <w:pPr>
        <w:pStyle w:val="COMH3"/>
        <w:spacing w:after="120"/>
      </w:pPr>
      <w:r w:rsidRPr="001159D0">
        <w:t>Patiromer versus SPS/CPS resins</w:t>
      </w:r>
    </w:p>
    <w:p w14:paraId="5614AA99" w14:textId="70E2D8AB" w:rsidR="00861C6F" w:rsidRPr="003557D8" w:rsidRDefault="003557D8" w:rsidP="00861C6F">
      <w:pPr>
        <w:pStyle w:val="COMexecsumnumberedpara"/>
        <w:rPr>
          <w:color w:val="0066FF"/>
        </w:rPr>
      </w:pPr>
      <w:r>
        <w:fldChar w:fldCharType="begin"/>
      </w:r>
      <w:r>
        <w:instrText xml:space="preserve"> REF _Ref111812640 \h </w:instrText>
      </w:r>
      <w:r>
        <w:fldChar w:fldCharType="separate"/>
      </w:r>
      <w:r w:rsidR="00565456" w:rsidRPr="001B3F87">
        <w:t xml:space="preserve">Table </w:t>
      </w:r>
      <w:r w:rsidR="00565456">
        <w:rPr>
          <w:noProof/>
        </w:rPr>
        <w:t>10</w:t>
      </w:r>
      <w:r>
        <w:fldChar w:fldCharType="end"/>
      </w:r>
      <w:r w:rsidR="00861C6F">
        <w:t xml:space="preserve"> summarises the adverse events reported in the SPS/CPS studies.</w:t>
      </w:r>
    </w:p>
    <w:p w14:paraId="4CE11296" w14:textId="6535856D" w:rsidR="003557D8" w:rsidRPr="001B3F87" w:rsidRDefault="003557D8" w:rsidP="003557D8">
      <w:pPr>
        <w:pStyle w:val="COMTableheadingrow"/>
        <w:rPr>
          <w:lang w:val="en-AU"/>
        </w:rPr>
      </w:pPr>
      <w:bookmarkStart w:id="35" w:name="_Ref111812640"/>
      <w:r w:rsidRPr="001B3F87">
        <w:t xml:space="preserve">Table </w:t>
      </w:r>
      <w:r>
        <w:fldChar w:fldCharType="begin"/>
      </w:r>
      <w:r>
        <w:instrText xml:space="preserve"> SEQ Table \* ARABIC </w:instrText>
      </w:r>
      <w:r>
        <w:fldChar w:fldCharType="separate"/>
      </w:r>
      <w:r w:rsidR="00565456">
        <w:rPr>
          <w:noProof/>
        </w:rPr>
        <w:t>10</w:t>
      </w:r>
      <w:r>
        <w:rPr>
          <w:noProof/>
        </w:rPr>
        <w:fldChar w:fldCharType="end"/>
      </w:r>
      <w:bookmarkEnd w:id="35"/>
      <w:r w:rsidRPr="001B3F87">
        <w:t xml:space="preserve">: </w:t>
      </w:r>
      <w:r>
        <w:rPr>
          <w:lang w:val="en-AU"/>
        </w:rPr>
        <w:t>Adverse events reported in the SPS/CPS studies</w:t>
      </w:r>
    </w:p>
    <w:tbl>
      <w:tblPr>
        <w:tblW w:w="901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851"/>
        <w:gridCol w:w="673"/>
        <w:gridCol w:w="623"/>
        <w:gridCol w:w="932"/>
        <w:gridCol w:w="881"/>
        <w:gridCol w:w="1021"/>
        <w:gridCol w:w="973"/>
        <w:gridCol w:w="853"/>
        <w:gridCol w:w="932"/>
      </w:tblGrid>
      <w:tr w:rsidR="003557D8" w:rsidRPr="001B3F87" w14:paraId="7C0D22AB" w14:textId="77777777" w:rsidTr="00624A83">
        <w:tc>
          <w:tcPr>
            <w:tcW w:w="1276" w:type="dxa"/>
            <w:vMerge w:val="restart"/>
            <w:shd w:val="clear" w:color="auto" w:fill="auto"/>
            <w:vAlign w:val="center"/>
          </w:tcPr>
          <w:p w14:paraId="7192D556" w14:textId="77777777" w:rsidR="003557D8" w:rsidRPr="001B3F87" w:rsidRDefault="003557D8" w:rsidP="00624A83">
            <w:pPr>
              <w:keepNext/>
              <w:ind w:left="-50" w:right="-75"/>
              <w:jc w:val="left"/>
              <w:rPr>
                <w:rFonts w:ascii="Arial Narrow" w:hAnsi="Arial Narrow"/>
                <w:sz w:val="20"/>
                <w:szCs w:val="20"/>
              </w:rPr>
            </w:pPr>
          </w:p>
        </w:tc>
        <w:tc>
          <w:tcPr>
            <w:tcW w:w="5954" w:type="dxa"/>
            <w:gridSpan w:val="7"/>
            <w:shd w:val="clear" w:color="auto" w:fill="auto"/>
            <w:vAlign w:val="center"/>
            <w:hideMark/>
          </w:tcPr>
          <w:p w14:paraId="290F4412" w14:textId="77777777" w:rsidR="003557D8" w:rsidRPr="001B3F87" w:rsidRDefault="003557D8" w:rsidP="00624A83">
            <w:pPr>
              <w:keepNext/>
              <w:ind w:left="-42" w:right="-67"/>
              <w:contextualSpacing/>
              <w:jc w:val="center"/>
              <w:rPr>
                <w:rFonts w:ascii="Arial Narrow" w:hAnsi="Arial Narrow"/>
                <w:b/>
                <w:color w:val="000000"/>
                <w:sz w:val="20"/>
                <w:szCs w:val="20"/>
              </w:rPr>
            </w:pPr>
            <w:r w:rsidRPr="001B3F87">
              <w:rPr>
                <w:rFonts w:ascii="Arial Narrow" w:hAnsi="Arial Narrow"/>
                <w:b/>
                <w:color w:val="000000"/>
                <w:sz w:val="20"/>
                <w:szCs w:val="20"/>
              </w:rPr>
              <w:t>SPS</w:t>
            </w:r>
          </w:p>
        </w:tc>
        <w:tc>
          <w:tcPr>
            <w:tcW w:w="1785" w:type="dxa"/>
            <w:gridSpan w:val="2"/>
            <w:shd w:val="clear" w:color="auto" w:fill="auto"/>
            <w:vAlign w:val="center"/>
          </w:tcPr>
          <w:p w14:paraId="49B33BE2" w14:textId="77777777" w:rsidR="003557D8" w:rsidRPr="001B3F87" w:rsidRDefault="003557D8" w:rsidP="00624A83">
            <w:pPr>
              <w:keepNext/>
              <w:ind w:left="-42" w:right="-67"/>
              <w:contextualSpacing/>
              <w:jc w:val="center"/>
              <w:rPr>
                <w:rFonts w:ascii="Arial Narrow" w:hAnsi="Arial Narrow"/>
                <w:b/>
                <w:color w:val="000000"/>
                <w:sz w:val="20"/>
                <w:szCs w:val="20"/>
              </w:rPr>
            </w:pPr>
            <w:r w:rsidRPr="001B3F87">
              <w:rPr>
                <w:rFonts w:ascii="Arial Narrow" w:hAnsi="Arial Narrow"/>
                <w:b/>
                <w:color w:val="000000"/>
                <w:sz w:val="20"/>
                <w:szCs w:val="20"/>
              </w:rPr>
              <w:t>CPS</w:t>
            </w:r>
          </w:p>
        </w:tc>
      </w:tr>
      <w:tr w:rsidR="003557D8" w:rsidRPr="001B3F87" w14:paraId="23EDA394" w14:textId="77777777" w:rsidTr="00624A83">
        <w:tc>
          <w:tcPr>
            <w:tcW w:w="1276" w:type="dxa"/>
            <w:vMerge/>
            <w:shd w:val="clear" w:color="auto" w:fill="auto"/>
            <w:vAlign w:val="center"/>
          </w:tcPr>
          <w:p w14:paraId="1EF7E499" w14:textId="77777777" w:rsidR="003557D8" w:rsidRPr="001B3F87" w:rsidRDefault="003557D8" w:rsidP="00624A83">
            <w:pPr>
              <w:keepNext/>
              <w:ind w:left="-50" w:right="-75"/>
              <w:jc w:val="left"/>
              <w:rPr>
                <w:rFonts w:ascii="Arial Narrow" w:hAnsi="Arial Narrow"/>
                <w:sz w:val="20"/>
                <w:szCs w:val="20"/>
              </w:rPr>
            </w:pPr>
          </w:p>
        </w:tc>
        <w:tc>
          <w:tcPr>
            <w:tcW w:w="851" w:type="dxa"/>
            <w:vMerge w:val="restart"/>
            <w:shd w:val="clear" w:color="auto" w:fill="auto"/>
            <w:vAlign w:val="center"/>
            <w:hideMark/>
          </w:tcPr>
          <w:p w14:paraId="27097968" w14:textId="77777777" w:rsidR="003557D8" w:rsidRPr="001B3F87" w:rsidRDefault="003557D8" w:rsidP="00624A83">
            <w:pPr>
              <w:keepNext/>
              <w:ind w:left="-42" w:right="-67"/>
              <w:contextualSpacing/>
              <w:jc w:val="center"/>
              <w:rPr>
                <w:rFonts w:ascii="Arial Narrow" w:hAnsi="Arial Narrow"/>
                <w:b/>
                <w:bCs/>
                <w:color w:val="000000"/>
                <w:sz w:val="20"/>
                <w:szCs w:val="20"/>
              </w:rPr>
            </w:pPr>
            <w:r w:rsidRPr="001B3F87">
              <w:rPr>
                <w:rFonts w:ascii="Arial Narrow" w:hAnsi="Arial Narrow"/>
                <w:b/>
                <w:bCs/>
                <w:color w:val="000000"/>
                <w:sz w:val="20"/>
                <w:szCs w:val="20"/>
              </w:rPr>
              <w:t>Arnold 2017</w:t>
            </w:r>
          </w:p>
        </w:tc>
        <w:tc>
          <w:tcPr>
            <w:tcW w:w="1296" w:type="dxa"/>
            <w:gridSpan w:val="2"/>
            <w:shd w:val="clear" w:color="auto" w:fill="auto"/>
            <w:vAlign w:val="center"/>
          </w:tcPr>
          <w:p w14:paraId="31834A9F" w14:textId="77777777" w:rsidR="003557D8" w:rsidRPr="001B3F87" w:rsidRDefault="003557D8" w:rsidP="00624A83">
            <w:pPr>
              <w:keepNext/>
              <w:ind w:left="-42" w:right="-67"/>
              <w:contextualSpacing/>
              <w:jc w:val="center"/>
              <w:rPr>
                <w:rFonts w:ascii="Arial Narrow" w:hAnsi="Arial Narrow"/>
                <w:b/>
                <w:bCs/>
                <w:color w:val="000000"/>
                <w:sz w:val="20"/>
                <w:szCs w:val="20"/>
              </w:rPr>
            </w:pPr>
            <w:r w:rsidRPr="001B3F87">
              <w:rPr>
                <w:rFonts w:ascii="Arial Narrow" w:hAnsi="Arial Narrow"/>
                <w:b/>
                <w:bCs/>
                <w:color w:val="000000"/>
                <w:sz w:val="20"/>
                <w:szCs w:val="20"/>
              </w:rPr>
              <w:t>NCT01866709</w:t>
            </w:r>
          </w:p>
        </w:tc>
        <w:tc>
          <w:tcPr>
            <w:tcW w:w="932" w:type="dxa"/>
            <w:vMerge w:val="restart"/>
            <w:shd w:val="clear" w:color="auto" w:fill="auto"/>
            <w:noWrap/>
            <w:vAlign w:val="center"/>
            <w:hideMark/>
          </w:tcPr>
          <w:p w14:paraId="14D28650" w14:textId="77777777" w:rsidR="003557D8" w:rsidRPr="001B3F87" w:rsidRDefault="003557D8" w:rsidP="00624A83">
            <w:pPr>
              <w:keepNext/>
              <w:ind w:left="-42" w:right="-67"/>
              <w:contextualSpacing/>
              <w:jc w:val="center"/>
              <w:rPr>
                <w:rFonts w:ascii="Arial Narrow" w:hAnsi="Arial Narrow"/>
                <w:b/>
                <w:bCs/>
                <w:color w:val="000000"/>
                <w:sz w:val="20"/>
                <w:szCs w:val="20"/>
              </w:rPr>
            </w:pPr>
            <w:r w:rsidRPr="001B3F87">
              <w:rPr>
                <w:rFonts w:ascii="Arial Narrow" w:hAnsi="Arial Narrow"/>
                <w:b/>
                <w:bCs/>
                <w:color w:val="000000"/>
                <w:sz w:val="20"/>
                <w:szCs w:val="20"/>
              </w:rPr>
              <w:t>Bowden 2017</w:t>
            </w:r>
          </w:p>
        </w:tc>
        <w:tc>
          <w:tcPr>
            <w:tcW w:w="881" w:type="dxa"/>
            <w:vMerge w:val="restart"/>
            <w:shd w:val="clear" w:color="auto" w:fill="auto"/>
            <w:noWrap/>
            <w:vAlign w:val="center"/>
            <w:hideMark/>
          </w:tcPr>
          <w:p w14:paraId="6B7768A7" w14:textId="77777777" w:rsidR="003557D8" w:rsidRPr="001B3F87" w:rsidRDefault="003557D8" w:rsidP="00624A83">
            <w:pPr>
              <w:keepNext/>
              <w:ind w:left="-42" w:right="-67"/>
              <w:contextualSpacing/>
              <w:jc w:val="center"/>
              <w:rPr>
                <w:rFonts w:ascii="Arial Narrow" w:hAnsi="Arial Narrow"/>
                <w:b/>
                <w:bCs/>
                <w:color w:val="000000"/>
                <w:sz w:val="20"/>
                <w:szCs w:val="20"/>
              </w:rPr>
            </w:pPr>
            <w:r w:rsidRPr="001B3F87">
              <w:rPr>
                <w:rFonts w:ascii="Arial Narrow" w:hAnsi="Arial Narrow"/>
                <w:b/>
                <w:bCs/>
                <w:color w:val="000000"/>
                <w:sz w:val="20"/>
                <w:szCs w:val="20"/>
              </w:rPr>
              <w:t>Chernin 2012</w:t>
            </w:r>
          </w:p>
        </w:tc>
        <w:tc>
          <w:tcPr>
            <w:tcW w:w="1021" w:type="dxa"/>
            <w:vMerge w:val="restart"/>
            <w:shd w:val="clear" w:color="auto" w:fill="auto"/>
            <w:noWrap/>
            <w:vAlign w:val="center"/>
            <w:hideMark/>
          </w:tcPr>
          <w:p w14:paraId="5EF6B458" w14:textId="77777777" w:rsidR="003557D8" w:rsidRPr="001B3F87" w:rsidRDefault="003557D8" w:rsidP="00624A83">
            <w:pPr>
              <w:keepNext/>
              <w:ind w:left="-42" w:right="-67"/>
              <w:contextualSpacing/>
              <w:jc w:val="center"/>
              <w:rPr>
                <w:rFonts w:ascii="Arial Narrow" w:hAnsi="Arial Narrow"/>
                <w:b/>
                <w:bCs/>
                <w:color w:val="000000"/>
                <w:sz w:val="20"/>
                <w:szCs w:val="20"/>
              </w:rPr>
            </w:pPr>
            <w:r w:rsidRPr="001B3F87">
              <w:rPr>
                <w:rFonts w:ascii="Arial Narrow" w:hAnsi="Arial Narrow"/>
                <w:b/>
                <w:bCs/>
                <w:color w:val="000000"/>
                <w:sz w:val="20"/>
                <w:szCs w:val="20"/>
              </w:rPr>
              <w:t>Georgianos 2017</w:t>
            </w:r>
          </w:p>
        </w:tc>
        <w:tc>
          <w:tcPr>
            <w:tcW w:w="973" w:type="dxa"/>
            <w:vMerge w:val="restart"/>
            <w:shd w:val="clear" w:color="auto" w:fill="auto"/>
            <w:vAlign w:val="center"/>
          </w:tcPr>
          <w:p w14:paraId="3971808A" w14:textId="77777777" w:rsidR="003557D8" w:rsidRPr="001B3F87" w:rsidRDefault="003557D8" w:rsidP="00624A83">
            <w:pPr>
              <w:keepNext/>
              <w:ind w:left="-42" w:right="-67"/>
              <w:contextualSpacing/>
              <w:jc w:val="center"/>
              <w:rPr>
                <w:rFonts w:ascii="Arial Narrow" w:hAnsi="Arial Narrow"/>
                <w:b/>
                <w:bCs/>
                <w:color w:val="000000"/>
                <w:sz w:val="20"/>
                <w:szCs w:val="20"/>
              </w:rPr>
            </w:pPr>
            <w:r w:rsidRPr="001B3F87">
              <w:rPr>
                <w:rFonts w:ascii="Arial Narrow" w:hAnsi="Arial Narrow"/>
                <w:b/>
                <w:bCs/>
                <w:color w:val="000000"/>
                <w:sz w:val="20"/>
                <w:szCs w:val="20"/>
              </w:rPr>
              <w:t>Laureati</w:t>
            </w:r>
          </w:p>
          <w:p w14:paraId="525D0F8A" w14:textId="77777777" w:rsidR="003557D8" w:rsidRPr="001B3F87" w:rsidRDefault="003557D8" w:rsidP="00624A83">
            <w:pPr>
              <w:keepNext/>
              <w:ind w:left="-42" w:right="-67"/>
              <w:contextualSpacing/>
              <w:jc w:val="center"/>
              <w:rPr>
                <w:rFonts w:ascii="Arial Narrow" w:hAnsi="Arial Narrow"/>
                <w:b/>
                <w:bCs/>
                <w:color w:val="000000"/>
                <w:sz w:val="20"/>
                <w:szCs w:val="20"/>
              </w:rPr>
            </w:pPr>
            <w:r w:rsidRPr="001B3F87">
              <w:rPr>
                <w:rFonts w:ascii="Arial Narrow" w:hAnsi="Arial Narrow"/>
                <w:b/>
                <w:bCs/>
                <w:color w:val="000000"/>
                <w:sz w:val="20"/>
                <w:szCs w:val="20"/>
              </w:rPr>
              <w:t>2020</w:t>
            </w:r>
          </w:p>
        </w:tc>
        <w:tc>
          <w:tcPr>
            <w:tcW w:w="853" w:type="dxa"/>
            <w:vMerge w:val="restart"/>
            <w:shd w:val="clear" w:color="auto" w:fill="auto"/>
            <w:vAlign w:val="center"/>
          </w:tcPr>
          <w:p w14:paraId="572A0011" w14:textId="77777777" w:rsidR="003557D8" w:rsidRPr="001B3F87" w:rsidRDefault="003557D8" w:rsidP="00624A83">
            <w:pPr>
              <w:keepNext/>
              <w:ind w:left="-42" w:right="-67"/>
              <w:contextualSpacing/>
              <w:jc w:val="center"/>
              <w:rPr>
                <w:rFonts w:ascii="Arial Narrow" w:hAnsi="Arial Narrow"/>
                <w:b/>
                <w:bCs/>
                <w:color w:val="000000"/>
                <w:sz w:val="20"/>
                <w:szCs w:val="20"/>
              </w:rPr>
            </w:pPr>
            <w:r w:rsidRPr="001B3F87">
              <w:rPr>
                <w:rFonts w:ascii="Arial Narrow" w:hAnsi="Arial Narrow"/>
                <w:b/>
                <w:bCs/>
                <w:color w:val="000000"/>
                <w:sz w:val="20"/>
                <w:szCs w:val="20"/>
              </w:rPr>
              <w:t>Li</w:t>
            </w:r>
          </w:p>
          <w:p w14:paraId="01516B57" w14:textId="77777777" w:rsidR="003557D8" w:rsidRPr="001B3F87" w:rsidRDefault="003557D8" w:rsidP="00624A83">
            <w:pPr>
              <w:keepNext/>
              <w:ind w:left="-42" w:right="-67"/>
              <w:contextualSpacing/>
              <w:jc w:val="center"/>
              <w:rPr>
                <w:rFonts w:ascii="Arial Narrow" w:hAnsi="Arial Narrow"/>
                <w:b/>
                <w:bCs/>
                <w:color w:val="000000"/>
                <w:sz w:val="20"/>
                <w:szCs w:val="20"/>
              </w:rPr>
            </w:pPr>
            <w:r w:rsidRPr="001B3F87">
              <w:rPr>
                <w:rFonts w:ascii="Arial Narrow" w:hAnsi="Arial Narrow"/>
                <w:b/>
                <w:bCs/>
                <w:color w:val="000000"/>
                <w:sz w:val="20"/>
                <w:szCs w:val="20"/>
              </w:rPr>
              <w:t>2013</w:t>
            </w:r>
          </w:p>
        </w:tc>
        <w:tc>
          <w:tcPr>
            <w:tcW w:w="932" w:type="dxa"/>
            <w:vMerge w:val="restart"/>
            <w:shd w:val="clear" w:color="auto" w:fill="auto"/>
            <w:vAlign w:val="center"/>
          </w:tcPr>
          <w:p w14:paraId="2B8F8FF2" w14:textId="77777777" w:rsidR="003557D8" w:rsidRPr="001B3F87" w:rsidRDefault="003557D8" w:rsidP="00624A83">
            <w:pPr>
              <w:keepNext/>
              <w:ind w:left="-42" w:right="-67"/>
              <w:contextualSpacing/>
              <w:jc w:val="center"/>
              <w:rPr>
                <w:rFonts w:ascii="Arial Narrow" w:hAnsi="Arial Narrow"/>
                <w:b/>
                <w:bCs/>
                <w:color w:val="000000"/>
                <w:sz w:val="20"/>
                <w:szCs w:val="20"/>
              </w:rPr>
            </w:pPr>
            <w:r w:rsidRPr="001B3F87">
              <w:rPr>
                <w:rFonts w:ascii="Arial Narrow" w:hAnsi="Arial Narrow"/>
                <w:b/>
                <w:bCs/>
                <w:color w:val="000000"/>
                <w:sz w:val="20"/>
                <w:szCs w:val="20"/>
              </w:rPr>
              <w:t>Yu</w:t>
            </w:r>
          </w:p>
          <w:p w14:paraId="3D91F841" w14:textId="77777777" w:rsidR="003557D8" w:rsidRPr="001B3F87" w:rsidRDefault="003557D8" w:rsidP="00624A83">
            <w:pPr>
              <w:keepNext/>
              <w:ind w:left="-42" w:right="-67"/>
              <w:contextualSpacing/>
              <w:jc w:val="center"/>
              <w:rPr>
                <w:rFonts w:ascii="Arial Narrow" w:hAnsi="Arial Narrow"/>
                <w:b/>
                <w:bCs/>
                <w:color w:val="000000"/>
                <w:sz w:val="20"/>
                <w:szCs w:val="20"/>
              </w:rPr>
            </w:pPr>
            <w:r w:rsidRPr="001B3F87">
              <w:rPr>
                <w:rFonts w:ascii="Arial Narrow" w:hAnsi="Arial Narrow"/>
                <w:b/>
                <w:bCs/>
                <w:color w:val="000000"/>
                <w:sz w:val="20"/>
                <w:szCs w:val="20"/>
              </w:rPr>
              <w:t>2017</w:t>
            </w:r>
          </w:p>
        </w:tc>
      </w:tr>
      <w:tr w:rsidR="003557D8" w:rsidRPr="001B3F87" w14:paraId="6511F0C8" w14:textId="77777777" w:rsidTr="00624A83">
        <w:tc>
          <w:tcPr>
            <w:tcW w:w="1276" w:type="dxa"/>
            <w:vMerge/>
            <w:shd w:val="clear" w:color="auto" w:fill="auto"/>
            <w:vAlign w:val="center"/>
          </w:tcPr>
          <w:p w14:paraId="6EA92B58" w14:textId="77777777" w:rsidR="003557D8" w:rsidRPr="001B3F87" w:rsidRDefault="003557D8" w:rsidP="00624A83">
            <w:pPr>
              <w:keepNext/>
              <w:ind w:left="-50" w:right="-75"/>
              <w:jc w:val="left"/>
              <w:rPr>
                <w:rFonts w:ascii="Arial Narrow" w:hAnsi="Arial Narrow"/>
                <w:sz w:val="20"/>
                <w:szCs w:val="20"/>
              </w:rPr>
            </w:pPr>
          </w:p>
        </w:tc>
        <w:tc>
          <w:tcPr>
            <w:tcW w:w="851" w:type="dxa"/>
            <w:vMerge/>
            <w:shd w:val="clear" w:color="auto" w:fill="auto"/>
            <w:noWrap/>
            <w:vAlign w:val="center"/>
          </w:tcPr>
          <w:p w14:paraId="6AF0D337" w14:textId="77777777" w:rsidR="003557D8" w:rsidRPr="001B3F87" w:rsidRDefault="003557D8" w:rsidP="00624A83">
            <w:pPr>
              <w:keepNext/>
              <w:ind w:left="-42" w:right="-67"/>
              <w:contextualSpacing/>
              <w:jc w:val="center"/>
              <w:rPr>
                <w:rFonts w:ascii="Arial Narrow" w:hAnsi="Arial Narrow"/>
                <w:color w:val="000000"/>
                <w:sz w:val="20"/>
                <w:szCs w:val="20"/>
              </w:rPr>
            </w:pPr>
          </w:p>
        </w:tc>
        <w:tc>
          <w:tcPr>
            <w:tcW w:w="673" w:type="dxa"/>
            <w:vAlign w:val="center"/>
          </w:tcPr>
          <w:p w14:paraId="33E3D5C0" w14:textId="77777777" w:rsidR="003557D8" w:rsidRPr="00C2193F" w:rsidRDefault="003557D8" w:rsidP="00624A83">
            <w:pPr>
              <w:keepNext/>
              <w:ind w:left="-42" w:right="-67"/>
              <w:contextualSpacing/>
              <w:jc w:val="center"/>
              <w:rPr>
                <w:rFonts w:ascii="Arial Narrow" w:hAnsi="Arial Narrow" w:cs="Calibri"/>
                <w:b/>
                <w:bCs/>
                <w:color w:val="000000"/>
                <w:sz w:val="20"/>
                <w:szCs w:val="20"/>
              </w:rPr>
            </w:pPr>
            <w:r w:rsidRPr="00C2193F">
              <w:rPr>
                <w:rFonts w:ascii="Arial Narrow" w:hAnsi="Arial Narrow" w:cs="Calibri"/>
                <w:b/>
                <w:bCs/>
                <w:color w:val="000000"/>
                <w:sz w:val="20"/>
                <w:szCs w:val="20"/>
              </w:rPr>
              <w:t>SPS</w:t>
            </w:r>
          </w:p>
        </w:tc>
        <w:tc>
          <w:tcPr>
            <w:tcW w:w="623" w:type="dxa"/>
            <w:vAlign w:val="center"/>
          </w:tcPr>
          <w:p w14:paraId="468BE876" w14:textId="77777777" w:rsidR="003557D8" w:rsidRPr="00C2193F" w:rsidRDefault="003557D8" w:rsidP="00624A83">
            <w:pPr>
              <w:keepNext/>
              <w:ind w:left="-42" w:right="-67"/>
              <w:contextualSpacing/>
              <w:jc w:val="center"/>
              <w:rPr>
                <w:rFonts w:ascii="Arial Narrow" w:hAnsi="Arial Narrow" w:cs="Calibri"/>
                <w:b/>
                <w:bCs/>
                <w:color w:val="000000"/>
                <w:sz w:val="20"/>
                <w:szCs w:val="20"/>
              </w:rPr>
            </w:pPr>
            <w:r w:rsidRPr="00C2193F">
              <w:rPr>
                <w:rFonts w:ascii="Arial Narrow" w:hAnsi="Arial Narrow" w:cs="Calibri"/>
                <w:b/>
                <w:bCs/>
                <w:color w:val="000000"/>
                <w:sz w:val="20"/>
                <w:szCs w:val="20"/>
              </w:rPr>
              <w:t>SC</w:t>
            </w:r>
          </w:p>
        </w:tc>
        <w:tc>
          <w:tcPr>
            <w:tcW w:w="932" w:type="dxa"/>
            <w:vMerge/>
            <w:shd w:val="clear" w:color="auto" w:fill="auto"/>
            <w:noWrap/>
            <w:vAlign w:val="center"/>
          </w:tcPr>
          <w:p w14:paraId="0061DC2D" w14:textId="77777777" w:rsidR="003557D8" w:rsidRPr="001B3F87" w:rsidRDefault="003557D8" w:rsidP="00624A83">
            <w:pPr>
              <w:keepNext/>
              <w:ind w:left="-42" w:right="-67"/>
              <w:contextualSpacing/>
              <w:jc w:val="center"/>
              <w:rPr>
                <w:rFonts w:ascii="Arial Narrow" w:hAnsi="Arial Narrow" w:cs="Calibri"/>
                <w:color w:val="000000"/>
                <w:sz w:val="20"/>
                <w:szCs w:val="20"/>
              </w:rPr>
            </w:pPr>
          </w:p>
        </w:tc>
        <w:tc>
          <w:tcPr>
            <w:tcW w:w="881" w:type="dxa"/>
            <w:vMerge/>
            <w:shd w:val="clear" w:color="auto" w:fill="auto"/>
            <w:noWrap/>
            <w:vAlign w:val="center"/>
          </w:tcPr>
          <w:p w14:paraId="45484DA4" w14:textId="77777777" w:rsidR="003557D8" w:rsidRPr="001B3F87" w:rsidRDefault="003557D8" w:rsidP="00624A83">
            <w:pPr>
              <w:keepNext/>
              <w:ind w:left="-42" w:right="-67"/>
              <w:contextualSpacing/>
              <w:jc w:val="center"/>
              <w:rPr>
                <w:rFonts w:ascii="Arial Narrow" w:hAnsi="Arial Narrow"/>
                <w:color w:val="000000"/>
                <w:sz w:val="20"/>
                <w:szCs w:val="20"/>
              </w:rPr>
            </w:pPr>
          </w:p>
        </w:tc>
        <w:tc>
          <w:tcPr>
            <w:tcW w:w="1021" w:type="dxa"/>
            <w:vMerge/>
            <w:shd w:val="clear" w:color="auto" w:fill="auto"/>
            <w:noWrap/>
            <w:vAlign w:val="center"/>
          </w:tcPr>
          <w:p w14:paraId="01D75544" w14:textId="77777777" w:rsidR="003557D8" w:rsidRPr="001B3F87" w:rsidRDefault="003557D8" w:rsidP="00624A83">
            <w:pPr>
              <w:keepNext/>
              <w:ind w:left="-42" w:right="-67"/>
              <w:contextualSpacing/>
              <w:jc w:val="center"/>
              <w:rPr>
                <w:rFonts w:ascii="Arial Narrow" w:hAnsi="Arial Narrow"/>
                <w:color w:val="000000"/>
                <w:sz w:val="20"/>
                <w:szCs w:val="20"/>
              </w:rPr>
            </w:pPr>
          </w:p>
        </w:tc>
        <w:tc>
          <w:tcPr>
            <w:tcW w:w="973" w:type="dxa"/>
            <w:vMerge/>
            <w:vAlign w:val="center"/>
          </w:tcPr>
          <w:p w14:paraId="3CEEB48C" w14:textId="77777777" w:rsidR="003557D8" w:rsidRPr="001B3F87" w:rsidRDefault="003557D8" w:rsidP="00624A83">
            <w:pPr>
              <w:keepNext/>
              <w:ind w:left="-42" w:right="-67"/>
              <w:contextualSpacing/>
              <w:jc w:val="center"/>
              <w:rPr>
                <w:rFonts w:ascii="Arial Narrow" w:hAnsi="Arial Narrow" w:cs="Calibri"/>
                <w:color w:val="000000"/>
                <w:sz w:val="20"/>
                <w:szCs w:val="20"/>
              </w:rPr>
            </w:pPr>
          </w:p>
        </w:tc>
        <w:tc>
          <w:tcPr>
            <w:tcW w:w="853" w:type="dxa"/>
            <w:vMerge/>
            <w:vAlign w:val="center"/>
          </w:tcPr>
          <w:p w14:paraId="2C912419" w14:textId="77777777" w:rsidR="003557D8" w:rsidRPr="001B3F87" w:rsidRDefault="003557D8" w:rsidP="00624A83">
            <w:pPr>
              <w:keepNext/>
              <w:ind w:left="-42" w:right="-67"/>
              <w:contextualSpacing/>
              <w:jc w:val="center"/>
              <w:rPr>
                <w:rFonts w:ascii="Arial Narrow" w:hAnsi="Arial Narrow" w:cs="Calibri"/>
                <w:color w:val="000000"/>
                <w:sz w:val="20"/>
                <w:szCs w:val="20"/>
              </w:rPr>
            </w:pPr>
          </w:p>
        </w:tc>
        <w:tc>
          <w:tcPr>
            <w:tcW w:w="932" w:type="dxa"/>
            <w:vMerge/>
            <w:vAlign w:val="center"/>
          </w:tcPr>
          <w:p w14:paraId="57229744" w14:textId="77777777" w:rsidR="003557D8" w:rsidRPr="001B3F87" w:rsidRDefault="003557D8" w:rsidP="00624A83">
            <w:pPr>
              <w:keepNext/>
              <w:ind w:left="-42" w:right="-67"/>
              <w:contextualSpacing/>
              <w:jc w:val="center"/>
              <w:rPr>
                <w:rFonts w:ascii="Arial Narrow" w:hAnsi="Arial Narrow" w:cs="Calibri"/>
                <w:color w:val="000000"/>
                <w:sz w:val="20"/>
                <w:szCs w:val="20"/>
              </w:rPr>
            </w:pPr>
          </w:p>
        </w:tc>
      </w:tr>
      <w:tr w:rsidR="003557D8" w:rsidRPr="001B3F87" w14:paraId="15BC1A0F" w14:textId="77777777" w:rsidTr="00624A83">
        <w:tc>
          <w:tcPr>
            <w:tcW w:w="1276" w:type="dxa"/>
            <w:shd w:val="clear" w:color="auto" w:fill="auto"/>
            <w:vAlign w:val="center"/>
          </w:tcPr>
          <w:p w14:paraId="7C4F03C4" w14:textId="77777777" w:rsidR="003557D8" w:rsidRPr="001B3F87" w:rsidRDefault="003557D8" w:rsidP="00624A83">
            <w:pPr>
              <w:keepNext/>
              <w:ind w:left="-50" w:right="-75"/>
              <w:jc w:val="left"/>
              <w:rPr>
                <w:rFonts w:ascii="Arial Narrow" w:hAnsi="Arial Narrow"/>
                <w:sz w:val="20"/>
                <w:szCs w:val="20"/>
              </w:rPr>
            </w:pPr>
            <w:r w:rsidRPr="001B3F87">
              <w:rPr>
                <w:rFonts w:ascii="Arial Narrow" w:hAnsi="Arial Narrow"/>
                <w:sz w:val="20"/>
                <w:szCs w:val="20"/>
              </w:rPr>
              <w:t>N</w:t>
            </w:r>
          </w:p>
        </w:tc>
        <w:tc>
          <w:tcPr>
            <w:tcW w:w="851" w:type="dxa"/>
            <w:shd w:val="clear" w:color="auto" w:fill="auto"/>
            <w:noWrap/>
            <w:vAlign w:val="center"/>
          </w:tcPr>
          <w:p w14:paraId="7E50719B" w14:textId="77777777" w:rsidR="003557D8" w:rsidRPr="002D21CD" w:rsidRDefault="003557D8" w:rsidP="00624A83">
            <w:pPr>
              <w:keepNext/>
              <w:ind w:left="-42" w:right="-67"/>
              <w:contextualSpacing/>
              <w:jc w:val="center"/>
              <w:rPr>
                <w:rFonts w:ascii="Arial Narrow" w:hAnsi="Arial Narrow"/>
                <w:color w:val="000000"/>
                <w:sz w:val="20"/>
                <w:szCs w:val="20"/>
              </w:rPr>
            </w:pPr>
            <w:r w:rsidRPr="002D21CD">
              <w:rPr>
                <w:rFonts w:ascii="Arial Narrow" w:hAnsi="Arial Narrow"/>
                <w:color w:val="000000"/>
                <w:sz w:val="20"/>
                <w:szCs w:val="20"/>
              </w:rPr>
              <w:t>23</w:t>
            </w:r>
          </w:p>
        </w:tc>
        <w:tc>
          <w:tcPr>
            <w:tcW w:w="673" w:type="dxa"/>
            <w:vAlign w:val="center"/>
          </w:tcPr>
          <w:p w14:paraId="6F234DCD" w14:textId="77777777" w:rsidR="003557D8" w:rsidRPr="002D21CD" w:rsidRDefault="003557D8" w:rsidP="00624A83">
            <w:pPr>
              <w:keepNext/>
              <w:ind w:left="-42" w:right="-67"/>
              <w:contextualSpacing/>
              <w:jc w:val="center"/>
              <w:rPr>
                <w:rFonts w:ascii="Arial Narrow" w:hAnsi="Arial Narrow" w:cs="Calibri"/>
                <w:color w:val="000000"/>
                <w:sz w:val="20"/>
                <w:szCs w:val="20"/>
              </w:rPr>
            </w:pPr>
            <w:r w:rsidRPr="002D21CD">
              <w:rPr>
                <w:rFonts w:ascii="Arial Narrow" w:hAnsi="Arial Narrow" w:cs="Calibri"/>
                <w:color w:val="000000"/>
                <w:sz w:val="20"/>
                <w:szCs w:val="20"/>
              </w:rPr>
              <w:t>15</w:t>
            </w:r>
          </w:p>
        </w:tc>
        <w:tc>
          <w:tcPr>
            <w:tcW w:w="623" w:type="dxa"/>
            <w:vAlign w:val="center"/>
          </w:tcPr>
          <w:p w14:paraId="386CB379" w14:textId="77777777" w:rsidR="003557D8" w:rsidRPr="002D21CD" w:rsidRDefault="003557D8" w:rsidP="00624A83">
            <w:pPr>
              <w:keepNext/>
              <w:ind w:left="-42" w:right="-67"/>
              <w:contextualSpacing/>
              <w:jc w:val="center"/>
              <w:rPr>
                <w:rFonts w:ascii="Arial Narrow" w:hAnsi="Arial Narrow" w:cs="Calibri"/>
                <w:color w:val="000000"/>
                <w:sz w:val="20"/>
                <w:szCs w:val="20"/>
              </w:rPr>
            </w:pPr>
            <w:r w:rsidRPr="002D21CD">
              <w:rPr>
                <w:rFonts w:ascii="Arial Narrow" w:hAnsi="Arial Narrow" w:cs="Calibri"/>
                <w:color w:val="000000"/>
                <w:sz w:val="20"/>
                <w:szCs w:val="20"/>
              </w:rPr>
              <w:t>17</w:t>
            </w:r>
          </w:p>
        </w:tc>
        <w:tc>
          <w:tcPr>
            <w:tcW w:w="932" w:type="dxa"/>
            <w:shd w:val="clear" w:color="auto" w:fill="auto"/>
            <w:noWrap/>
            <w:vAlign w:val="center"/>
          </w:tcPr>
          <w:p w14:paraId="3D2E087E" w14:textId="77777777" w:rsidR="003557D8" w:rsidRPr="002D21CD" w:rsidRDefault="003557D8" w:rsidP="00624A83">
            <w:pPr>
              <w:keepNext/>
              <w:ind w:left="-42" w:right="-67"/>
              <w:contextualSpacing/>
              <w:jc w:val="center"/>
              <w:rPr>
                <w:rFonts w:ascii="Arial Narrow" w:hAnsi="Arial Narrow"/>
                <w:color w:val="000000"/>
                <w:sz w:val="20"/>
                <w:szCs w:val="20"/>
              </w:rPr>
            </w:pPr>
            <w:r w:rsidRPr="002D21CD">
              <w:rPr>
                <w:rFonts w:ascii="Arial Narrow" w:hAnsi="Arial Narrow" w:cs="Calibri"/>
                <w:color w:val="000000"/>
                <w:sz w:val="20"/>
                <w:szCs w:val="20"/>
              </w:rPr>
              <w:t>432</w:t>
            </w:r>
          </w:p>
        </w:tc>
        <w:tc>
          <w:tcPr>
            <w:tcW w:w="881" w:type="dxa"/>
            <w:shd w:val="clear" w:color="auto" w:fill="auto"/>
            <w:noWrap/>
            <w:vAlign w:val="center"/>
          </w:tcPr>
          <w:p w14:paraId="2A0893F4" w14:textId="77777777" w:rsidR="003557D8" w:rsidRPr="002D21CD" w:rsidRDefault="003557D8" w:rsidP="00624A83">
            <w:pPr>
              <w:keepNext/>
              <w:ind w:left="-42" w:right="-67"/>
              <w:contextualSpacing/>
              <w:jc w:val="center"/>
              <w:rPr>
                <w:rFonts w:ascii="Arial Narrow" w:hAnsi="Arial Narrow"/>
                <w:color w:val="000000"/>
                <w:sz w:val="20"/>
                <w:szCs w:val="20"/>
              </w:rPr>
            </w:pPr>
            <w:r w:rsidRPr="002D21CD">
              <w:rPr>
                <w:rFonts w:ascii="Arial Narrow" w:hAnsi="Arial Narrow"/>
                <w:color w:val="000000"/>
                <w:sz w:val="20"/>
                <w:szCs w:val="20"/>
              </w:rPr>
              <w:t>14</w:t>
            </w:r>
          </w:p>
        </w:tc>
        <w:tc>
          <w:tcPr>
            <w:tcW w:w="1021" w:type="dxa"/>
            <w:shd w:val="clear" w:color="auto" w:fill="auto"/>
            <w:noWrap/>
            <w:vAlign w:val="center"/>
          </w:tcPr>
          <w:p w14:paraId="2620CABD" w14:textId="77777777" w:rsidR="003557D8" w:rsidRPr="002D21CD" w:rsidRDefault="003557D8" w:rsidP="00624A83">
            <w:pPr>
              <w:keepNext/>
              <w:ind w:left="-42" w:right="-67"/>
              <w:contextualSpacing/>
              <w:jc w:val="center"/>
              <w:rPr>
                <w:rFonts w:ascii="Arial Narrow" w:hAnsi="Arial Narrow"/>
                <w:color w:val="000000"/>
                <w:sz w:val="20"/>
                <w:szCs w:val="20"/>
              </w:rPr>
            </w:pPr>
            <w:r w:rsidRPr="002D21CD">
              <w:rPr>
                <w:rFonts w:ascii="Arial Narrow" w:hAnsi="Arial Narrow"/>
                <w:color w:val="000000"/>
                <w:sz w:val="20"/>
                <w:szCs w:val="20"/>
              </w:rPr>
              <w:t>26</w:t>
            </w:r>
          </w:p>
        </w:tc>
        <w:tc>
          <w:tcPr>
            <w:tcW w:w="973" w:type="dxa"/>
            <w:vAlign w:val="center"/>
          </w:tcPr>
          <w:p w14:paraId="530E78FE" w14:textId="77777777" w:rsidR="003557D8" w:rsidRPr="002D21CD" w:rsidRDefault="003557D8" w:rsidP="00624A83">
            <w:pPr>
              <w:keepNext/>
              <w:ind w:left="-42" w:right="-67"/>
              <w:contextualSpacing/>
              <w:jc w:val="center"/>
              <w:rPr>
                <w:rFonts w:ascii="Arial Narrow" w:hAnsi="Arial Narrow" w:cs="Calibri"/>
                <w:color w:val="000000"/>
                <w:sz w:val="20"/>
                <w:szCs w:val="20"/>
              </w:rPr>
            </w:pPr>
            <w:r w:rsidRPr="002D21CD">
              <w:rPr>
                <w:rFonts w:ascii="Arial Narrow" w:hAnsi="Arial Narrow" w:cs="Calibri"/>
                <w:color w:val="000000"/>
                <w:sz w:val="20"/>
                <w:szCs w:val="20"/>
              </w:rPr>
              <w:t>2,402</w:t>
            </w:r>
          </w:p>
        </w:tc>
        <w:tc>
          <w:tcPr>
            <w:tcW w:w="853" w:type="dxa"/>
            <w:vAlign w:val="center"/>
          </w:tcPr>
          <w:p w14:paraId="6D449B49" w14:textId="77777777" w:rsidR="003557D8" w:rsidRPr="002D21CD" w:rsidRDefault="003557D8" w:rsidP="00624A83">
            <w:pPr>
              <w:keepNext/>
              <w:ind w:left="-42" w:right="-67"/>
              <w:contextualSpacing/>
              <w:jc w:val="center"/>
              <w:rPr>
                <w:rFonts w:ascii="Arial Narrow" w:hAnsi="Arial Narrow" w:cs="Calibri"/>
                <w:color w:val="000000"/>
                <w:sz w:val="20"/>
                <w:szCs w:val="20"/>
              </w:rPr>
            </w:pPr>
            <w:r w:rsidRPr="002D21CD">
              <w:rPr>
                <w:rFonts w:ascii="Arial Narrow" w:hAnsi="Arial Narrow" w:cs="Calibri"/>
                <w:color w:val="000000"/>
                <w:sz w:val="20"/>
                <w:szCs w:val="20"/>
              </w:rPr>
              <w:t>98</w:t>
            </w:r>
          </w:p>
        </w:tc>
        <w:tc>
          <w:tcPr>
            <w:tcW w:w="932" w:type="dxa"/>
            <w:vAlign w:val="center"/>
          </w:tcPr>
          <w:p w14:paraId="7C0638C0" w14:textId="77777777" w:rsidR="003557D8" w:rsidRPr="002D21CD" w:rsidRDefault="003557D8" w:rsidP="00624A83">
            <w:pPr>
              <w:keepNext/>
              <w:ind w:left="-42" w:right="-67"/>
              <w:contextualSpacing/>
              <w:jc w:val="center"/>
              <w:rPr>
                <w:rFonts w:ascii="Arial Narrow" w:hAnsi="Arial Narrow" w:cs="Calibri"/>
                <w:color w:val="000000"/>
                <w:sz w:val="20"/>
                <w:szCs w:val="20"/>
              </w:rPr>
            </w:pPr>
            <w:r w:rsidRPr="002D21CD">
              <w:rPr>
                <w:rFonts w:ascii="Arial Narrow" w:hAnsi="Arial Narrow" w:cs="Calibri"/>
                <w:color w:val="000000"/>
                <w:sz w:val="20"/>
                <w:szCs w:val="20"/>
              </w:rPr>
              <w:t>247</w:t>
            </w:r>
          </w:p>
        </w:tc>
      </w:tr>
      <w:tr w:rsidR="003557D8" w:rsidRPr="001B3F87" w14:paraId="29A850A5" w14:textId="77777777" w:rsidTr="00624A83">
        <w:tc>
          <w:tcPr>
            <w:tcW w:w="1276" w:type="dxa"/>
            <w:shd w:val="clear" w:color="auto" w:fill="auto"/>
            <w:vAlign w:val="center"/>
          </w:tcPr>
          <w:p w14:paraId="6C40721C" w14:textId="77777777" w:rsidR="003557D8" w:rsidRPr="001B3F87" w:rsidRDefault="003557D8" w:rsidP="00624A83">
            <w:pPr>
              <w:keepNext/>
              <w:ind w:left="-50" w:right="-75"/>
              <w:jc w:val="left"/>
              <w:rPr>
                <w:rFonts w:ascii="Arial Narrow" w:hAnsi="Arial Narrow"/>
                <w:sz w:val="20"/>
                <w:szCs w:val="20"/>
              </w:rPr>
            </w:pPr>
            <w:r w:rsidRPr="001B3F87">
              <w:rPr>
                <w:rFonts w:ascii="Arial Narrow" w:hAnsi="Arial Narrow"/>
                <w:sz w:val="20"/>
                <w:szCs w:val="20"/>
              </w:rPr>
              <w:t>Minor AEs</w:t>
            </w:r>
          </w:p>
        </w:tc>
        <w:tc>
          <w:tcPr>
            <w:tcW w:w="851" w:type="dxa"/>
            <w:shd w:val="clear" w:color="auto" w:fill="auto"/>
            <w:noWrap/>
            <w:vAlign w:val="center"/>
          </w:tcPr>
          <w:p w14:paraId="7F669301" w14:textId="77777777" w:rsidR="003557D8" w:rsidRPr="002D21CD" w:rsidRDefault="003557D8" w:rsidP="00624A83">
            <w:pPr>
              <w:keepNext/>
              <w:ind w:left="-42" w:right="-67"/>
              <w:contextualSpacing/>
              <w:jc w:val="center"/>
              <w:rPr>
                <w:rFonts w:ascii="Arial Narrow" w:hAnsi="Arial Narrow"/>
                <w:color w:val="000000"/>
                <w:sz w:val="20"/>
                <w:szCs w:val="20"/>
              </w:rPr>
            </w:pPr>
            <w:r w:rsidRPr="002D21CD">
              <w:rPr>
                <w:rFonts w:ascii="Arial Narrow" w:hAnsi="Arial Narrow"/>
                <w:color w:val="000000"/>
                <w:sz w:val="20"/>
                <w:szCs w:val="20"/>
              </w:rPr>
              <w:t>2</w:t>
            </w:r>
          </w:p>
        </w:tc>
        <w:tc>
          <w:tcPr>
            <w:tcW w:w="673" w:type="dxa"/>
            <w:vAlign w:val="center"/>
          </w:tcPr>
          <w:p w14:paraId="1D2290DD" w14:textId="77777777" w:rsidR="003557D8" w:rsidRPr="002D21CD" w:rsidRDefault="003557D8" w:rsidP="00624A83">
            <w:pPr>
              <w:keepNext/>
              <w:ind w:left="-42" w:right="-67"/>
              <w:contextualSpacing/>
              <w:jc w:val="center"/>
              <w:rPr>
                <w:rFonts w:ascii="Arial Narrow" w:hAnsi="Arial Narrow" w:cs="Calibri"/>
                <w:color w:val="000000"/>
                <w:sz w:val="20"/>
                <w:szCs w:val="20"/>
              </w:rPr>
            </w:pPr>
            <w:r w:rsidRPr="002D21CD">
              <w:rPr>
                <w:rFonts w:ascii="Arial Narrow" w:hAnsi="Arial Narrow" w:cs="Calibri"/>
                <w:color w:val="000000"/>
                <w:sz w:val="20"/>
                <w:szCs w:val="20"/>
              </w:rPr>
              <w:t>16</w:t>
            </w:r>
          </w:p>
        </w:tc>
        <w:tc>
          <w:tcPr>
            <w:tcW w:w="623" w:type="dxa"/>
            <w:vAlign w:val="center"/>
          </w:tcPr>
          <w:p w14:paraId="521C3FBB" w14:textId="77777777" w:rsidR="003557D8" w:rsidRPr="002D21CD" w:rsidRDefault="003557D8" w:rsidP="00624A83">
            <w:pPr>
              <w:keepNext/>
              <w:ind w:left="-42" w:right="-67"/>
              <w:contextualSpacing/>
              <w:jc w:val="center"/>
              <w:rPr>
                <w:rFonts w:ascii="Arial Narrow" w:hAnsi="Arial Narrow" w:cs="Calibri"/>
                <w:color w:val="000000"/>
                <w:sz w:val="20"/>
                <w:szCs w:val="20"/>
              </w:rPr>
            </w:pPr>
            <w:r w:rsidRPr="002D21CD">
              <w:rPr>
                <w:rFonts w:ascii="Arial Narrow" w:hAnsi="Arial Narrow" w:cs="Calibri"/>
                <w:color w:val="000000"/>
                <w:sz w:val="20"/>
                <w:szCs w:val="20"/>
              </w:rPr>
              <w:t>5</w:t>
            </w:r>
          </w:p>
        </w:tc>
        <w:tc>
          <w:tcPr>
            <w:tcW w:w="932" w:type="dxa"/>
            <w:shd w:val="clear" w:color="auto" w:fill="auto"/>
            <w:noWrap/>
            <w:vAlign w:val="center"/>
          </w:tcPr>
          <w:p w14:paraId="20C5D3C9" w14:textId="77777777" w:rsidR="003557D8" w:rsidRPr="002D21CD" w:rsidRDefault="003557D8" w:rsidP="00624A83">
            <w:pPr>
              <w:keepNext/>
              <w:ind w:left="-42" w:right="-67"/>
              <w:contextualSpacing/>
              <w:jc w:val="center"/>
              <w:rPr>
                <w:rFonts w:ascii="Arial Narrow" w:hAnsi="Arial Narrow"/>
                <w:color w:val="000000"/>
                <w:sz w:val="20"/>
                <w:szCs w:val="20"/>
              </w:rPr>
            </w:pPr>
            <w:r w:rsidRPr="002D21CD">
              <w:rPr>
                <w:rFonts w:ascii="Arial Narrow" w:hAnsi="Arial Narrow"/>
                <w:color w:val="000000"/>
                <w:sz w:val="20"/>
                <w:szCs w:val="20"/>
              </w:rPr>
              <w:t>NR</w:t>
            </w:r>
          </w:p>
        </w:tc>
        <w:tc>
          <w:tcPr>
            <w:tcW w:w="881" w:type="dxa"/>
            <w:shd w:val="clear" w:color="auto" w:fill="auto"/>
            <w:noWrap/>
            <w:vAlign w:val="center"/>
          </w:tcPr>
          <w:p w14:paraId="605A7A3E" w14:textId="77777777" w:rsidR="003557D8" w:rsidRPr="002D21CD" w:rsidRDefault="003557D8" w:rsidP="00624A83">
            <w:pPr>
              <w:keepNext/>
              <w:ind w:left="-42" w:right="-67"/>
              <w:contextualSpacing/>
              <w:jc w:val="center"/>
              <w:rPr>
                <w:rFonts w:ascii="Arial Narrow" w:hAnsi="Arial Narrow"/>
                <w:color w:val="000000"/>
                <w:sz w:val="20"/>
                <w:szCs w:val="20"/>
              </w:rPr>
            </w:pPr>
            <w:r w:rsidRPr="002D21CD">
              <w:rPr>
                <w:rFonts w:ascii="Arial Narrow" w:hAnsi="Arial Narrow"/>
                <w:color w:val="000000"/>
                <w:sz w:val="20"/>
                <w:szCs w:val="20"/>
              </w:rPr>
              <w:t>NR</w:t>
            </w:r>
          </w:p>
        </w:tc>
        <w:tc>
          <w:tcPr>
            <w:tcW w:w="1021" w:type="dxa"/>
            <w:shd w:val="clear" w:color="auto" w:fill="auto"/>
            <w:noWrap/>
            <w:vAlign w:val="center"/>
          </w:tcPr>
          <w:p w14:paraId="0A108D85" w14:textId="77777777" w:rsidR="003557D8" w:rsidRPr="002D21CD" w:rsidRDefault="003557D8" w:rsidP="00624A83">
            <w:pPr>
              <w:keepNext/>
              <w:ind w:left="-42" w:right="-67"/>
              <w:contextualSpacing/>
              <w:jc w:val="center"/>
              <w:rPr>
                <w:rFonts w:ascii="Arial Narrow" w:hAnsi="Arial Narrow"/>
                <w:color w:val="000000"/>
                <w:sz w:val="20"/>
                <w:szCs w:val="20"/>
              </w:rPr>
            </w:pPr>
            <w:r w:rsidRPr="002D21CD">
              <w:rPr>
                <w:rFonts w:ascii="Arial Narrow" w:hAnsi="Arial Narrow"/>
                <w:color w:val="000000"/>
                <w:sz w:val="20"/>
                <w:szCs w:val="20"/>
              </w:rPr>
              <w:t>15</w:t>
            </w:r>
          </w:p>
        </w:tc>
        <w:tc>
          <w:tcPr>
            <w:tcW w:w="973" w:type="dxa"/>
            <w:vAlign w:val="center"/>
          </w:tcPr>
          <w:p w14:paraId="3811D77F" w14:textId="77777777" w:rsidR="003557D8" w:rsidRPr="002D21CD" w:rsidRDefault="003557D8" w:rsidP="00624A83">
            <w:pPr>
              <w:keepNext/>
              <w:ind w:left="-42" w:right="-67"/>
              <w:contextualSpacing/>
              <w:jc w:val="center"/>
              <w:rPr>
                <w:rFonts w:ascii="Arial Narrow" w:hAnsi="Arial Narrow" w:cs="Calibri"/>
                <w:color w:val="000000"/>
                <w:sz w:val="20"/>
                <w:szCs w:val="20"/>
              </w:rPr>
            </w:pPr>
            <w:r w:rsidRPr="002D21CD">
              <w:rPr>
                <w:rFonts w:ascii="Arial Narrow" w:hAnsi="Arial Narrow" w:cs="Calibri"/>
                <w:color w:val="000000"/>
                <w:sz w:val="20"/>
                <w:szCs w:val="20"/>
              </w:rPr>
              <w:t>NR</w:t>
            </w:r>
          </w:p>
        </w:tc>
        <w:tc>
          <w:tcPr>
            <w:tcW w:w="853" w:type="dxa"/>
            <w:vAlign w:val="center"/>
          </w:tcPr>
          <w:p w14:paraId="1F84F51C" w14:textId="77777777" w:rsidR="003557D8" w:rsidRPr="002D21CD" w:rsidRDefault="003557D8" w:rsidP="00624A83">
            <w:pPr>
              <w:keepNext/>
              <w:ind w:left="-42" w:right="-67"/>
              <w:contextualSpacing/>
              <w:jc w:val="center"/>
              <w:rPr>
                <w:rFonts w:ascii="Arial Narrow" w:hAnsi="Arial Narrow" w:cs="Calibri"/>
                <w:color w:val="000000"/>
                <w:sz w:val="20"/>
                <w:szCs w:val="20"/>
              </w:rPr>
            </w:pPr>
            <w:r w:rsidRPr="002D21CD">
              <w:rPr>
                <w:rFonts w:ascii="Arial Narrow" w:hAnsi="Arial Narrow" w:cs="Calibri"/>
                <w:color w:val="000000"/>
                <w:sz w:val="20"/>
                <w:szCs w:val="20"/>
              </w:rPr>
              <w:t>NR</w:t>
            </w:r>
          </w:p>
        </w:tc>
        <w:tc>
          <w:tcPr>
            <w:tcW w:w="932" w:type="dxa"/>
            <w:vAlign w:val="center"/>
          </w:tcPr>
          <w:p w14:paraId="4ABC0212" w14:textId="77777777" w:rsidR="003557D8" w:rsidRPr="002D21CD" w:rsidRDefault="003557D8" w:rsidP="00624A83">
            <w:pPr>
              <w:keepNext/>
              <w:ind w:left="-42" w:right="-67"/>
              <w:contextualSpacing/>
              <w:jc w:val="center"/>
              <w:rPr>
                <w:rFonts w:ascii="Arial Narrow" w:hAnsi="Arial Narrow" w:cs="Calibri"/>
                <w:color w:val="000000"/>
                <w:sz w:val="20"/>
                <w:szCs w:val="20"/>
              </w:rPr>
            </w:pPr>
            <w:r w:rsidRPr="002D21CD">
              <w:rPr>
                <w:rFonts w:ascii="Arial Narrow" w:hAnsi="Arial Narrow" w:cs="Calibri"/>
                <w:color w:val="000000"/>
                <w:sz w:val="20"/>
                <w:szCs w:val="20"/>
              </w:rPr>
              <w:t>NR</w:t>
            </w:r>
          </w:p>
        </w:tc>
      </w:tr>
      <w:tr w:rsidR="003557D8" w:rsidRPr="001B3F87" w14:paraId="0E0B29BF" w14:textId="77777777" w:rsidTr="00624A83">
        <w:tc>
          <w:tcPr>
            <w:tcW w:w="1276" w:type="dxa"/>
            <w:shd w:val="clear" w:color="auto" w:fill="auto"/>
            <w:vAlign w:val="center"/>
          </w:tcPr>
          <w:p w14:paraId="392A9731" w14:textId="77777777" w:rsidR="003557D8" w:rsidRPr="001B3F87" w:rsidRDefault="003557D8" w:rsidP="00624A83">
            <w:pPr>
              <w:keepNext/>
              <w:ind w:left="-50" w:right="-75"/>
              <w:jc w:val="left"/>
              <w:rPr>
                <w:rFonts w:ascii="Arial Narrow" w:hAnsi="Arial Narrow"/>
                <w:sz w:val="20"/>
                <w:szCs w:val="20"/>
              </w:rPr>
            </w:pPr>
            <w:r w:rsidRPr="001B3F87">
              <w:rPr>
                <w:rFonts w:ascii="Arial Narrow" w:hAnsi="Arial Narrow"/>
                <w:sz w:val="20"/>
                <w:szCs w:val="20"/>
              </w:rPr>
              <w:t>Minor GI AEs</w:t>
            </w:r>
          </w:p>
        </w:tc>
        <w:tc>
          <w:tcPr>
            <w:tcW w:w="851" w:type="dxa"/>
            <w:shd w:val="clear" w:color="auto" w:fill="auto"/>
            <w:noWrap/>
            <w:vAlign w:val="center"/>
          </w:tcPr>
          <w:p w14:paraId="31F7170E" w14:textId="77777777" w:rsidR="003557D8" w:rsidRPr="002D21CD" w:rsidRDefault="003557D8" w:rsidP="00624A83">
            <w:pPr>
              <w:keepNext/>
              <w:ind w:left="-42" w:right="-67"/>
              <w:contextualSpacing/>
              <w:jc w:val="center"/>
              <w:rPr>
                <w:rFonts w:ascii="Arial Narrow" w:hAnsi="Arial Narrow" w:cs="Calibri"/>
                <w:color w:val="000000"/>
                <w:sz w:val="20"/>
                <w:szCs w:val="20"/>
              </w:rPr>
            </w:pPr>
            <w:r w:rsidRPr="002D21CD">
              <w:rPr>
                <w:rFonts w:ascii="Arial Narrow" w:hAnsi="Arial Narrow" w:cs="Calibri"/>
                <w:color w:val="000000"/>
                <w:sz w:val="20"/>
                <w:szCs w:val="20"/>
              </w:rPr>
              <w:t>0</w:t>
            </w:r>
          </w:p>
        </w:tc>
        <w:tc>
          <w:tcPr>
            <w:tcW w:w="673" w:type="dxa"/>
            <w:vAlign w:val="center"/>
          </w:tcPr>
          <w:p w14:paraId="6F3C4F45" w14:textId="77777777" w:rsidR="003557D8" w:rsidRPr="002D21CD" w:rsidRDefault="003557D8" w:rsidP="00624A83">
            <w:pPr>
              <w:keepNext/>
              <w:ind w:left="-42" w:right="-67"/>
              <w:contextualSpacing/>
              <w:jc w:val="center"/>
              <w:rPr>
                <w:rFonts w:ascii="Arial Narrow" w:hAnsi="Arial Narrow" w:cs="Calibri"/>
                <w:color w:val="000000"/>
                <w:sz w:val="20"/>
                <w:szCs w:val="20"/>
              </w:rPr>
            </w:pPr>
            <w:r w:rsidRPr="002D21CD">
              <w:rPr>
                <w:rFonts w:ascii="Arial Narrow" w:hAnsi="Arial Narrow" w:cs="Calibri"/>
                <w:color w:val="000000"/>
                <w:sz w:val="20"/>
                <w:szCs w:val="20"/>
              </w:rPr>
              <w:t>14</w:t>
            </w:r>
          </w:p>
        </w:tc>
        <w:tc>
          <w:tcPr>
            <w:tcW w:w="623" w:type="dxa"/>
            <w:vAlign w:val="center"/>
          </w:tcPr>
          <w:p w14:paraId="77BA0C70" w14:textId="77777777" w:rsidR="003557D8" w:rsidRPr="002D21CD" w:rsidRDefault="003557D8" w:rsidP="00624A83">
            <w:pPr>
              <w:keepNext/>
              <w:ind w:left="-42" w:right="-67"/>
              <w:contextualSpacing/>
              <w:jc w:val="center"/>
              <w:rPr>
                <w:rFonts w:ascii="Arial Narrow" w:hAnsi="Arial Narrow" w:cs="Calibri"/>
                <w:color w:val="000000"/>
                <w:sz w:val="20"/>
                <w:szCs w:val="20"/>
              </w:rPr>
            </w:pPr>
            <w:r w:rsidRPr="002D21CD">
              <w:rPr>
                <w:rFonts w:ascii="Arial Narrow" w:hAnsi="Arial Narrow" w:cs="Calibri"/>
                <w:color w:val="000000"/>
                <w:sz w:val="20"/>
                <w:szCs w:val="20"/>
              </w:rPr>
              <w:t>5</w:t>
            </w:r>
          </w:p>
        </w:tc>
        <w:tc>
          <w:tcPr>
            <w:tcW w:w="932" w:type="dxa"/>
            <w:shd w:val="clear" w:color="auto" w:fill="auto"/>
            <w:noWrap/>
            <w:vAlign w:val="center"/>
          </w:tcPr>
          <w:p w14:paraId="377C26FD" w14:textId="77777777" w:rsidR="003557D8" w:rsidRPr="002D21CD" w:rsidRDefault="003557D8" w:rsidP="00624A83">
            <w:pPr>
              <w:keepNext/>
              <w:ind w:left="-42" w:right="-67"/>
              <w:contextualSpacing/>
              <w:jc w:val="center"/>
              <w:rPr>
                <w:rFonts w:ascii="Arial Narrow" w:hAnsi="Arial Narrow"/>
                <w:color w:val="000000"/>
                <w:sz w:val="20"/>
                <w:szCs w:val="20"/>
              </w:rPr>
            </w:pPr>
            <w:r w:rsidRPr="002D21CD">
              <w:rPr>
                <w:rFonts w:ascii="Arial Narrow" w:hAnsi="Arial Narrow"/>
                <w:color w:val="000000"/>
                <w:sz w:val="20"/>
                <w:szCs w:val="20"/>
              </w:rPr>
              <w:t>NR</w:t>
            </w:r>
          </w:p>
        </w:tc>
        <w:tc>
          <w:tcPr>
            <w:tcW w:w="881" w:type="dxa"/>
            <w:shd w:val="clear" w:color="auto" w:fill="auto"/>
            <w:noWrap/>
            <w:vAlign w:val="center"/>
          </w:tcPr>
          <w:p w14:paraId="30F08CF4" w14:textId="77777777" w:rsidR="003557D8" w:rsidRPr="002D21CD" w:rsidRDefault="003557D8" w:rsidP="00624A83">
            <w:pPr>
              <w:keepNext/>
              <w:ind w:left="-42" w:right="-67"/>
              <w:contextualSpacing/>
              <w:jc w:val="center"/>
              <w:rPr>
                <w:rFonts w:ascii="Arial Narrow" w:hAnsi="Arial Narrow"/>
                <w:color w:val="000000"/>
                <w:sz w:val="20"/>
                <w:szCs w:val="20"/>
              </w:rPr>
            </w:pPr>
            <w:r w:rsidRPr="002D21CD">
              <w:rPr>
                <w:rFonts w:ascii="Arial Narrow" w:hAnsi="Arial Narrow"/>
                <w:color w:val="000000"/>
                <w:sz w:val="20"/>
                <w:szCs w:val="20"/>
              </w:rPr>
              <w:t>4</w:t>
            </w:r>
          </w:p>
        </w:tc>
        <w:tc>
          <w:tcPr>
            <w:tcW w:w="1021" w:type="dxa"/>
            <w:shd w:val="clear" w:color="auto" w:fill="auto"/>
            <w:noWrap/>
            <w:vAlign w:val="center"/>
          </w:tcPr>
          <w:p w14:paraId="175C4CB4" w14:textId="77777777" w:rsidR="003557D8" w:rsidRPr="002D21CD" w:rsidRDefault="003557D8" w:rsidP="00624A83">
            <w:pPr>
              <w:keepNext/>
              <w:ind w:left="-42" w:right="-67"/>
              <w:contextualSpacing/>
              <w:jc w:val="center"/>
              <w:rPr>
                <w:rFonts w:ascii="Arial Narrow" w:hAnsi="Arial Narrow"/>
                <w:color w:val="000000"/>
                <w:sz w:val="20"/>
                <w:szCs w:val="20"/>
              </w:rPr>
            </w:pPr>
            <w:r w:rsidRPr="002D21CD">
              <w:rPr>
                <w:rFonts w:ascii="Arial Narrow" w:hAnsi="Arial Narrow"/>
                <w:color w:val="000000"/>
                <w:sz w:val="20"/>
                <w:szCs w:val="20"/>
              </w:rPr>
              <w:t>0</w:t>
            </w:r>
          </w:p>
        </w:tc>
        <w:tc>
          <w:tcPr>
            <w:tcW w:w="973" w:type="dxa"/>
            <w:vAlign w:val="center"/>
          </w:tcPr>
          <w:p w14:paraId="4AF7439F" w14:textId="77777777" w:rsidR="003557D8" w:rsidRPr="002D21CD" w:rsidRDefault="003557D8" w:rsidP="00624A83">
            <w:pPr>
              <w:keepNext/>
              <w:ind w:left="-42" w:right="-67"/>
              <w:contextualSpacing/>
              <w:jc w:val="center"/>
              <w:rPr>
                <w:rFonts w:ascii="Arial Narrow" w:hAnsi="Arial Narrow" w:cs="Calibri"/>
                <w:color w:val="000000"/>
                <w:sz w:val="20"/>
                <w:szCs w:val="20"/>
                <w:vertAlign w:val="superscript"/>
              </w:rPr>
            </w:pPr>
            <w:r w:rsidRPr="002D21CD">
              <w:rPr>
                <w:rFonts w:ascii="Arial Narrow" w:hAnsi="Arial Narrow" w:cs="Calibri"/>
                <w:color w:val="000000"/>
                <w:sz w:val="20"/>
                <w:szCs w:val="20"/>
              </w:rPr>
              <w:t>1,149</w:t>
            </w:r>
            <w:r w:rsidRPr="002D21CD">
              <w:rPr>
                <w:rFonts w:ascii="Arial Narrow" w:hAnsi="Arial Narrow" w:cs="Calibri"/>
                <w:color w:val="000000"/>
                <w:sz w:val="20"/>
                <w:szCs w:val="20"/>
                <w:vertAlign w:val="superscript"/>
              </w:rPr>
              <w:t>c</w:t>
            </w:r>
          </w:p>
        </w:tc>
        <w:tc>
          <w:tcPr>
            <w:tcW w:w="853" w:type="dxa"/>
            <w:vAlign w:val="center"/>
          </w:tcPr>
          <w:p w14:paraId="0AEA0760" w14:textId="77777777" w:rsidR="003557D8" w:rsidRPr="002D21CD" w:rsidRDefault="003557D8" w:rsidP="00624A83">
            <w:pPr>
              <w:keepNext/>
              <w:ind w:left="-42" w:right="-67"/>
              <w:contextualSpacing/>
              <w:jc w:val="center"/>
              <w:rPr>
                <w:rFonts w:ascii="Arial Narrow" w:hAnsi="Arial Narrow" w:cs="Calibri"/>
                <w:color w:val="000000"/>
                <w:sz w:val="20"/>
                <w:szCs w:val="20"/>
              </w:rPr>
            </w:pPr>
            <w:r w:rsidRPr="002D21CD">
              <w:rPr>
                <w:rFonts w:ascii="Arial Narrow" w:hAnsi="Arial Narrow" w:cs="Calibri"/>
                <w:color w:val="000000"/>
                <w:sz w:val="20"/>
                <w:szCs w:val="20"/>
              </w:rPr>
              <w:t>10</w:t>
            </w:r>
          </w:p>
        </w:tc>
        <w:tc>
          <w:tcPr>
            <w:tcW w:w="932" w:type="dxa"/>
            <w:vAlign w:val="center"/>
          </w:tcPr>
          <w:p w14:paraId="4F29B4D5" w14:textId="77777777" w:rsidR="003557D8" w:rsidRPr="002D21CD" w:rsidRDefault="003557D8" w:rsidP="00624A83">
            <w:pPr>
              <w:keepNext/>
              <w:ind w:left="-42" w:right="-67"/>
              <w:contextualSpacing/>
              <w:jc w:val="center"/>
              <w:rPr>
                <w:rFonts w:ascii="Arial Narrow" w:hAnsi="Arial Narrow" w:cs="Calibri"/>
                <w:color w:val="000000"/>
                <w:sz w:val="20"/>
                <w:szCs w:val="20"/>
              </w:rPr>
            </w:pPr>
            <w:r w:rsidRPr="002D21CD">
              <w:rPr>
                <w:rFonts w:ascii="Arial Narrow" w:hAnsi="Arial Narrow" w:cs="Calibri"/>
                <w:color w:val="000000"/>
                <w:sz w:val="20"/>
                <w:szCs w:val="20"/>
              </w:rPr>
              <w:t>≥19</w:t>
            </w:r>
          </w:p>
        </w:tc>
      </w:tr>
      <w:tr w:rsidR="003557D8" w:rsidRPr="001B3F87" w14:paraId="76A7D654" w14:textId="77777777" w:rsidTr="00624A83">
        <w:tc>
          <w:tcPr>
            <w:tcW w:w="1276" w:type="dxa"/>
            <w:shd w:val="clear" w:color="auto" w:fill="auto"/>
            <w:vAlign w:val="center"/>
          </w:tcPr>
          <w:p w14:paraId="5D4D3A1C" w14:textId="77777777" w:rsidR="003557D8" w:rsidRPr="001B3F87" w:rsidRDefault="003557D8" w:rsidP="00624A83">
            <w:pPr>
              <w:keepNext/>
              <w:ind w:left="-50" w:right="-75"/>
              <w:jc w:val="left"/>
              <w:rPr>
                <w:rFonts w:ascii="Arial Narrow" w:hAnsi="Arial Narrow"/>
                <w:sz w:val="20"/>
                <w:szCs w:val="20"/>
              </w:rPr>
            </w:pPr>
            <w:r w:rsidRPr="001B3F87">
              <w:rPr>
                <w:rFonts w:ascii="Arial Narrow" w:hAnsi="Arial Narrow"/>
                <w:sz w:val="20"/>
                <w:szCs w:val="20"/>
              </w:rPr>
              <w:t>Serious AEs</w:t>
            </w:r>
          </w:p>
        </w:tc>
        <w:tc>
          <w:tcPr>
            <w:tcW w:w="851" w:type="dxa"/>
            <w:shd w:val="clear" w:color="auto" w:fill="auto"/>
            <w:vAlign w:val="center"/>
          </w:tcPr>
          <w:p w14:paraId="76BB2713" w14:textId="77777777" w:rsidR="003557D8" w:rsidRPr="002D21CD" w:rsidRDefault="003557D8" w:rsidP="00624A83">
            <w:pPr>
              <w:keepNext/>
              <w:ind w:left="-42" w:right="-67"/>
              <w:contextualSpacing/>
              <w:jc w:val="center"/>
              <w:rPr>
                <w:rFonts w:ascii="Arial Narrow" w:hAnsi="Arial Narrow"/>
                <w:color w:val="000000"/>
                <w:sz w:val="20"/>
                <w:szCs w:val="20"/>
              </w:rPr>
            </w:pPr>
            <w:r w:rsidRPr="002D21CD">
              <w:rPr>
                <w:rFonts w:ascii="Arial Narrow" w:hAnsi="Arial Narrow"/>
                <w:color w:val="000000"/>
                <w:sz w:val="20"/>
                <w:szCs w:val="20"/>
              </w:rPr>
              <w:t>0</w:t>
            </w:r>
          </w:p>
        </w:tc>
        <w:tc>
          <w:tcPr>
            <w:tcW w:w="673" w:type="dxa"/>
            <w:vAlign w:val="center"/>
          </w:tcPr>
          <w:p w14:paraId="04D6FB1E" w14:textId="77777777" w:rsidR="003557D8" w:rsidRPr="002D21CD" w:rsidRDefault="003557D8" w:rsidP="00624A83">
            <w:pPr>
              <w:keepNext/>
              <w:ind w:left="-42" w:right="-67"/>
              <w:contextualSpacing/>
              <w:jc w:val="center"/>
              <w:rPr>
                <w:rFonts w:ascii="Arial Narrow" w:hAnsi="Arial Narrow" w:cs="Calibri"/>
                <w:color w:val="000000"/>
                <w:sz w:val="20"/>
                <w:szCs w:val="20"/>
              </w:rPr>
            </w:pPr>
            <w:r w:rsidRPr="002D21CD">
              <w:rPr>
                <w:rFonts w:ascii="Arial Narrow" w:hAnsi="Arial Narrow" w:cs="Calibri"/>
                <w:color w:val="000000"/>
                <w:sz w:val="20"/>
                <w:szCs w:val="20"/>
              </w:rPr>
              <w:t>2</w:t>
            </w:r>
          </w:p>
        </w:tc>
        <w:tc>
          <w:tcPr>
            <w:tcW w:w="623" w:type="dxa"/>
            <w:vAlign w:val="center"/>
          </w:tcPr>
          <w:p w14:paraId="466C6113" w14:textId="77777777" w:rsidR="003557D8" w:rsidRPr="002D21CD" w:rsidRDefault="003557D8" w:rsidP="00624A83">
            <w:pPr>
              <w:keepNext/>
              <w:ind w:left="-42" w:right="-67"/>
              <w:contextualSpacing/>
              <w:jc w:val="center"/>
              <w:rPr>
                <w:rFonts w:ascii="Arial Narrow" w:hAnsi="Arial Narrow" w:cs="Calibri"/>
                <w:color w:val="000000"/>
                <w:sz w:val="20"/>
                <w:szCs w:val="20"/>
              </w:rPr>
            </w:pPr>
            <w:r w:rsidRPr="002D21CD">
              <w:rPr>
                <w:rFonts w:ascii="Arial Narrow" w:hAnsi="Arial Narrow" w:cs="Calibri"/>
                <w:color w:val="000000"/>
                <w:sz w:val="20"/>
                <w:szCs w:val="20"/>
              </w:rPr>
              <w:t>0</w:t>
            </w:r>
          </w:p>
        </w:tc>
        <w:tc>
          <w:tcPr>
            <w:tcW w:w="932" w:type="dxa"/>
            <w:shd w:val="clear" w:color="auto" w:fill="auto"/>
            <w:noWrap/>
            <w:vAlign w:val="center"/>
          </w:tcPr>
          <w:p w14:paraId="46D4F210" w14:textId="77777777" w:rsidR="003557D8" w:rsidRPr="002D21CD" w:rsidRDefault="003557D8" w:rsidP="00624A83">
            <w:pPr>
              <w:keepNext/>
              <w:ind w:left="-42" w:right="-67"/>
              <w:contextualSpacing/>
              <w:jc w:val="center"/>
              <w:rPr>
                <w:rFonts w:ascii="Arial Narrow" w:hAnsi="Arial Narrow"/>
                <w:color w:val="000000"/>
                <w:sz w:val="20"/>
                <w:szCs w:val="20"/>
              </w:rPr>
            </w:pPr>
            <w:r w:rsidRPr="002D21CD">
              <w:rPr>
                <w:rFonts w:ascii="Arial Narrow" w:hAnsi="Arial Narrow"/>
                <w:color w:val="000000"/>
                <w:sz w:val="20"/>
                <w:szCs w:val="20"/>
              </w:rPr>
              <w:t>0</w:t>
            </w:r>
          </w:p>
        </w:tc>
        <w:tc>
          <w:tcPr>
            <w:tcW w:w="881" w:type="dxa"/>
            <w:shd w:val="clear" w:color="auto" w:fill="auto"/>
            <w:noWrap/>
            <w:vAlign w:val="center"/>
          </w:tcPr>
          <w:p w14:paraId="725739AF" w14:textId="77777777" w:rsidR="003557D8" w:rsidRPr="002D21CD" w:rsidRDefault="003557D8" w:rsidP="00624A83">
            <w:pPr>
              <w:keepNext/>
              <w:ind w:left="-42" w:right="-67"/>
              <w:contextualSpacing/>
              <w:jc w:val="center"/>
              <w:rPr>
                <w:rFonts w:ascii="Arial Narrow" w:hAnsi="Arial Narrow" w:cs="Calibri"/>
                <w:color w:val="000000"/>
                <w:sz w:val="20"/>
                <w:szCs w:val="20"/>
                <w:vertAlign w:val="superscript"/>
              </w:rPr>
            </w:pPr>
            <w:r w:rsidRPr="002D21CD">
              <w:rPr>
                <w:rFonts w:ascii="Arial Narrow" w:hAnsi="Arial Narrow" w:cs="Calibri"/>
                <w:color w:val="000000"/>
                <w:sz w:val="20"/>
                <w:szCs w:val="20"/>
              </w:rPr>
              <w:t>17</w:t>
            </w:r>
            <w:r w:rsidRPr="002D21CD">
              <w:rPr>
                <w:rFonts w:ascii="Arial Narrow" w:hAnsi="Arial Narrow" w:cs="Calibri"/>
                <w:color w:val="000000"/>
                <w:sz w:val="20"/>
                <w:szCs w:val="20"/>
                <w:vertAlign w:val="superscript"/>
              </w:rPr>
              <w:t>a</w:t>
            </w:r>
          </w:p>
        </w:tc>
        <w:tc>
          <w:tcPr>
            <w:tcW w:w="1021" w:type="dxa"/>
            <w:shd w:val="clear" w:color="auto" w:fill="auto"/>
            <w:noWrap/>
            <w:vAlign w:val="center"/>
          </w:tcPr>
          <w:p w14:paraId="174CE1AB" w14:textId="77777777" w:rsidR="003557D8" w:rsidRPr="002D21CD" w:rsidRDefault="003557D8" w:rsidP="00624A83">
            <w:pPr>
              <w:keepNext/>
              <w:ind w:left="-42" w:right="-67"/>
              <w:contextualSpacing/>
              <w:jc w:val="center"/>
              <w:rPr>
                <w:rFonts w:ascii="Arial Narrow" w:hAnsi="Arial Narrow"/>
                <w:color w:val="000000"/>
                <w:sz w:val="20"/>
                <w:szCs w:val="20"/>
              </w:rPr>
            </w:pPr>
            <w:r w:rsidRPr="002D21CD">
              <w:rPr>
                <w:rFonts w:ascii="Arial Narrow" w:hAnsi="Arial Narrow"/>
                <w:color w:val="000000"/>
                <w:sz w:val="20"/>
                <w:szCs w:val="20"/>
              </w:rPr>
              <w:t>0</w:t>
            </w:r>
          </w:p>
        </w:tc>
        <w:tc>
          <w:tcPr>
            <w:tcW w:w="973" w:type="dxa"/>
            <w:vAlign w:val="center"/>
          </w:tcPr>
          <w:p w14:paraId="7B7A1098" w14:textId="77777777" w:rsidR="003557D8" w:rsidRPr="002D21CD" w:rsidRDefault="003557D8" w:rsidP="00624A83">
            <w:pPr>
              <w:keepNext/>
              <w:ind w:right="-67"/>
              <w:contextualSpacing/>
              <w:jc w:val="center"/>
              <w:rPr>
                <w:rFonts w:ascii="Arial Narrow" w:hAnsi="Arial Narrow" w:cs="Calibri"/>
                <w:color w:val="000000"/>
                <w:sz w:val="20"/>
                <w:szCs w:val="20"/>
              </w:rPr>
            </w:pPr>
            <w:r w:rsidRPr="002D21CD">
              <w:rPr>
                <w:rFonts w:ascii="Arial Narrow" w:hAnsi="Arial Narrow" w:cs="Calibri"/>
                <w:color w:val="000000"/>
                <w:sz w:val="20"/>
                <w:szCs w:val="20"/>
              </w:rPr>
              <w:t>NR</w:t>
            </w:r>
          </w:p>
        </w:tc>
        <w:tc>
          <w:tcPr>
            <w:tcW w:w="853" w:type="dxa"/>
            <w:vAlign w:val="center"/>
          </w:tcPr>
          <w:p w14:paraId="14DB8F42" w14:textId="77777777" w:rsidR="003557D8" w:rsidRPr="002D21CD" w:rsidRDefault="003557D8" w:rsidP="00624A83">
            <w:pPr>
              <w:keepNext/>
              <w:ind w:left="-42" w:right="-67"/>
              <w:contextualSpacing/>
              <w:jc w:val="center"/>
              <w:rPr>
                <w:rFonts w:ascii="Arial Narrow" w:hAnsi="Arial Narrow" w:cs="Calibri"/>
                <w:color w:val="000000"/>
                <w:sz w:val="20"/>
                <w:szCs w:val="20"/>
              </w:rPr>
            </w:pPr>
            <w:r w:rsidRPr="002D21CD">
              <w:rPr>
                <w:rFonts w:ascii="Arial Narrow" w:hAnsi="Arial Narrow" w:cs="Calibri"/>
                <w:color w:val="000000"/>
                <w:sz w:val="20"/>
                <w:szCs w:val="20"/>
              </w:rPr>
              <w:t>0</w:t>
            </w:r>
          </w:p>
        </w:tc>
        <w:tc>
          <w:tcPr>
            <w:tcW w:w="932" w:type="dxa"/>
            <w:vAlign w:val="center"/>
          </w:tcPr>
          <w:p w14:paraId="46138A27" w14:textId="77777777" w:rsidR="003557D8" w:rsidRPr="002D21CD" w:rsidRDefault="003557D8" w:rsidP="00624A83">
            <w:pPr>
              <w:keepNext/>
              <w:ind w:left="-42" w:right="-67"/>
              <w:contextualSpacing/>
              <w:jc w:val="center"/>
              <w:rPr>
                <w:rFonts w:ascii="Arial Narrow" w:hAnsi="Arial Narrow" w:cs="Calibri"/>
                <w:color w:val="000000"/>
                <w:sz w:val="20"/>
                <w:szCs w:val="20"/>
              </w:rPr>
            </w:pPr>
            <w:r w:rsidRPr="002D21CD">
              <w:rPr>
                <w:rFonts w:ascii="Arial Narrow" w:hAnsi="Arial Narrow" w:cs="Calibri"/>
                <w:color w:val="000000"/>
                <w:sz w:val="20"/>
                <w:szCs w:val="20"/>
              </w:rPr>
              <w:t>0</w:t>
            </w:r>
          </w:p>
        </w:tc>
      </w:tr>
      <w:tr w:rsidR="003557D8" w:rsidRPr="001B3F87" w14:paraId="42D1229E" w14:textId="77777777" w:rsidTr="00624A83">
        <w:tc>
          <w:tcPr>
            <w:tcW w:w="1276" w:type="dxa"/>
            <w:shd w:val="clear" w:color="auto" w:fill="auto"/>
            <w:vAlign w:val="center"/>
          </w:tcPr>
          <w:p w14:paraId="1FD63E64" w14:textId="77777777" w:rsidR="003557D8" w:rsidRPr="001B3F87" w:rsidRDefault="003557D8" w:rsidP="00624A83">
            <w:pPr>
              <w:keepNext/>
              <w:ind w:left="-50" w:right="-75"/>
              <w:jc w:val="left"/>
              <w:rPr>
                <w:rFonts w:ascii="Arial Narrow" w:hAnsi="Arial Narrow"/>
                <w:sz w:val="20"/>
                <w:szCs w:val="20"/>
              </w:rPr>
            </w:pPr>
            <w:r w:rsidRPr="001B3F87">
              <w:rPr>
                <w:rFonts w:ascii="Arial Narrow" w:hAnsi="Arial Narrow"/>
                <w:sz w:val="20"/>
                <w:szCs w:val="20"/>
              </w:rPr>
              <w:t>Serious GI AEs</w:t>
            </w:r>
          </w:p>
        </w:tc>
        <w:tc>
          <w:tcPr>
            <w:tcW w:w="851" w:type="dxa"/>
            <w:shd w:val="clear" w:color="auto" w:fill="auto"/>
            <w:vAlign w:val="center"/>
          </w:tcPr>
          <w:p w14:paraId="79244F20" w14:textId="77777777" w:rsidR="003557D8" w:rsidRPr="002D21CD" w:rsidRDefault="003557D8" w:rsidP="00624A83">
            <w:pPr>
              <w:keepNext/>
              <w:ind w:left="-42" w:right="-67"/>
              <w:contextualSpacing/>
              <w:jc w:val="center"/>
              <w:rPr>
                <w:rFonts w:ascii="Arial Narrow" w:hAnsi="Arial Narrow"/>
                <w:color w:val="000000"/>
                <w:sz w:val="20"/>
                <w:szCs w:val="20"/>
              </w:rPr>
            </w:pPr>
            <w:r w:rsidRPr="002D21CD">
              <w:rPr>
                <w:rFonts w:ascii="Arial Narrow" w:hAnsi="Arial Narrow"/>
                <w:color w:val="000000"/>
                <w:sz w:val="20"/>
                <w:szCs w:val="20"/>
              </w:rPr>
              <w:t>0</w:t>
            </w:r>
          </w:p>
        </w:tc>
        <w:tc>
          <w:tcPr>
            <w:tcW w:w="673" w:type="dxa"/>
            <w:vAlign w:val="center"/>
          </w:tcPr>
          <w:p w14:paraId="00FC85CD" w14:textId="77777777" w:rsidR="003557D8" w:rsidRPr="002D21CD" w:rsidRDefault="003557D8" w:rsidP="00624A83">
            <w:pPr>
              <w:keepNext/>
              <w:ind w:left="-42" w:right="-67"/>
              <w:contextualSpacing/>
              <w:jc w:val="center"/>
              <w:rPr>
                <w:rFonts w:ascii="Arial Narrow" w:hAnsi="Arial Narrow" w:cs="Calibri"/>
                <w:color w:val="000000"/>
                <w:sz w:val="20"/>
                <w:szCs w:val="20"/>
              </w:rPr>
            </w:pPr>
            <w:r w:rsidRPr="002D21CD">
              <w:rPr>
                <w:rFonts w:ascii="Arial Narrow" w:hAnsi="Arial Narrow" w:cs="Calibri"/>
                <w:color w:val="000000"/>
                <w:sz w:val="20"/>
                <w:szCs w:val="20"/>
              </w:rPr>
              <w:t>0</w:t>
            </w:r>
          </w:p>
        </w:tc>
        <w:tc>
          <w:tcPr>
            <w:tcW w:w="623" w:type="dxa"/>
            <w:vAlign w:val="center"/>
          </w:tcPr>
          <w:p w14:paraId="72A5B0A8" w14:textId="77777777" w:rsidR="003557D8" w:rsidRPr="002D21CD" w:rsidRDefault="003557D8" w:rsidP="00624A83">
            <w:pPr>
              <w:keepNext/>
              <w:ind w:left="-42" w:right="-67"/>
              <w:contextualSpacing/>
              <w:jc w:val="center"/>
              <w:rPr>
                <w:rFonts w:ascii="Arial Narrow" w:hAnsi="Arial Narrow" w:cs="Calibri"/>
                <w:color w:val="000000"/>
                <w:sz w:val="20"/>
                <w:szCs w:val="20"/>
              </w:rPr>
            </w:pPr>
            <w:r w:rsidRPr="002D21CD">
              <w:rPr>
                <w:rFonts w:ascii="Arial Narrow" w:hAnsi="Arial Narrow" w:cs="Calibri"/>
                <w:color w:val="000000"/>
                <w:sz w:val="20"/>
                <w:szCs w:val="20"/>
              </w:rPr>
              <w:t>0</w:t>
            </w:r>
          </w:p>
        </w:tc>
        <w:tc>
          <w:tcPr>
            <w:tcW w:w="932" w:type="dxa"/>
            <w:shd w:val="clear" w:color="auto" w:fill="auto"/>
            <w:noWrap/>
            <w:vAlign w:val="center"/>
          </w:tcPr>
          <w:p w14:paraId="59771D29" w14:textId="77777777" w:rsidR="003557D8" w:rsidRPr="002D21CD" w:rsidRDefault="003557D8" w:rsidP="00624A83">
            <w:pPr>
              <w:keepNext/>
              <w:ind w:left="-42" w:right="-67"/>
              <w:contextualSpacing/>
              <w:jc w:val="center"/>
              <w:rPr>
                <w:rFonts w:ascii="Arial Narrow" w:hAnsi="Arial Narrow"/>
                <w:color w:val="000000"/>
                <w:sz w:val="20"/>
                <w:szCs w:val="20"/>
              </w:rPr>
            </w:pPr>
            <w:r w:rsidRPr="002D21CD">
              <w:rPr>
                <w:rFonts w:ascii="Arial Narrow" w:hAnsi="Arial Narrow"/>
                <w:color w:val="000000"/>
                <w:sz w:val="20"/>
                <w:szCs w:val="20"/>
              </w:rPr>
              <w:t>0</w:t>
            </w:r>
          </w:p>
        </w:tc>
        <w:tc>
          <w:tcPr>
            <w:tcW w:w="881" w:type="dxa"/>
            <w:shd w:val="clear" w:color="auto" w:fill="auto"/>
            <w:noWrap/>
            <w:vAlign w:val="center"/>
          </w:tcPr>
          <w:p w14:paraId="49A68423" w14:textId="77777777" w:rsidR="003557D8" w:rsidRPr="002D21CD" w:rsidRDefault="003557D8" w:rsidP="00624A83">
            <w:pPr>
              <w:keepNext/>
              <w:ind w:left="-42" w:right="-67"/>
              <w:contextualSpacing/>
              <w:jc w:val="center"/>
              <w:rPr>
                <w:rFonts w:ascii="Arial Narrow" w:hAnsi="Arial Narrow"/>
                <w:color w:val="000000"/>
                <w:sz w:val="20"/>
                <w:szCs w:val="20"/>
                <w:vertAlign w:val="superscript"/>
              </w:rPr>
            </w:pPr>
            <w:r w:rsidRPr="002D21CD">
              <w:rPr>
                <w:rFonts w:ascii="Arial Narrow" w:hAnsi="Arial Narrow"/>
                <w:color w:val="000000"/>
                <w:sz w:val="20"/>
                <w:szCs w:val="20"/>
              </w:rPr>
              <w:t>3</w:t>
            </w:r>
            <w:r w:rsidRPr="002D21CD">
              <w:rPr>
                <w:rFonts w:ascii="Arial Narrow" w:hAnsi="Arial Narrow"/>
                <w:color w:val="000000"/>
                <w:sz w:val="20"/>
                <w:szCs w:val="20"/>
                <w:vertAlign w:val="superscript"/>
              </w:rPr>
              <w:t>a</w:t>
            </w:r>
          </w:p>
        </w:tc>
        <w:tc>
          <w:tcPr>
            <w:tcW w:w="1021" w:type="dxa"/>
            <w:shd w:val="clear" w:color="auto" w:fill="auto"/>
            <w:noWrap/>
            <w:vAlign w:val="center"/>
          </w:tcPr>
          <w:p w14:paraId="14280F2E" w14:textId="77777777" w:rsidR="003557D8" w:rsidRPr="002D21CD" w:rsidRDefault="003557D8" w:rsidP="00624A83">
            <w:pPr>
              <w:keepNext/>
              <w:ind w:left="-42" w:right="-67"/>
              <w:contextualSpacing/>
              <w:jc w:val="center"/>
              <w:rPr>
                <w:rFonts w:ascii="Arial Narrow" w:hAnsi="Arial Narrow"/>
                <w:color w:val="000000"/>
                <w:sz w:val="20"/>
                <w:szCs w:val="20"/>
                <w:vertAlign w:val="superscript"/>
              </w:rPr>
            </w:pPr>
            <w:r w:rsidRPr="002D21CD">
              <w:rPr>
                <w:rFonts w:ascii="Arial Narrow" w:hAnsi="Arial Narrow"/>
                <w:color w:val="000000"/>
                <w:sz w:val="20"/>
                <w:szCs w:val="20"/>
              </w:rPr>
              <w:t>0</w:t>
            </w:r>
            <w:r w:rsidRPr="002D21CD">
              <w:rPr>
                <w:rFonts w:ascii="Arial Narrow" w:hAnsi="Arial Narrow"/>
                <w:color w:val="000000"/>
                <w:sz w:val="20"/>
                <w:szCs w:val="20"/>
                <w:vertAlign w:val="superscript"/>
              </w:rPr>
              <w:t>b</w:t>
            </w:r>
          </w:p>
        </w:tc>
        <w:tc>
          <w:tcPr>
            <w:tcW w:w="973" w:type="dxa"/>
            <w:vAlign w:val="center"/>
          </w:tcPr>
          <w:p w14:paraId="5FDB10BB" w14:textId="77777777" w:rsidR="003557D8" w:rsidRPr="002D21CD" w:rsidRDefault="003557D8" w:rsidP="00624A83">
            <w:pPr>
              <w:keepNext/>
              <w:ind w:left="-42" w:right="-67"/>
              <w:contextualSpacing/>
              <w:jc w:val="center"/>
              <w:rPr>
                <w:rFonts w:ascii="Arial Narrow" w:hAnsi="Arial Narrow" w:cs="Calibri"/>
                <w:color w:val="000000"/>
                <w:sz w:val="20"/>
                <w:szCs w:val="20"/>
                <w:vertAlign w:val="superscript"/>
              </w:rPr>
            </w:pPr>
            <w:r w:rsidRPr="002D21CD">
              <w:rPr>
                <w:rFonts w:ascii="Arial Narrow" w:hAnsi="Arial Narrow" w:cs="Calibri"/>
                <w:color w:val="000000"/>
                <w:sz w:val="20"/>
                <w:szCs w:val="20"/>
              </w:rPr>
              <w:t>202</w:t>
            </w:r>
            <w:r w:rsidRPr="002D21CD">
              <w:rPr>
                <w:rFonts w:ascii="Arial Narrow" w:hAnsi="Arial Narrow" w:cs="Calibri"/>
                <w:color w:val="000000"/>
                <w:sz w:val="20"/>
                <w:szCs w:val="20"/>
                <w:vertAlign w:val="superscript"/>
              </w:rPr>
              <w:t>d</w:t>
            </w:r>
          </w:p>
        </w:tc>
        <w:tc>
          <w:tcPr>
            <w:tcW w:w="853" w:type="dxa"/>
            <w:vAlign w:val="center"/>
          </w:tcPr>
          <w:p w14:paraId="721DB889" w14:textId="77777777" w:rsidR="003557D8" w:rsidRPr="002D21CD" w:rsidRDefault="003557D8" w:rsidP="00624A83">
            <w:pPr>
              <w:keepNext/>
              <w:ind w:left="-42" w:right="-67"/>
              <w:contextualSpacing/>
              <w:jc w:val="center"/>
              <w:rPr>
                <w:rFonts w:ascii="Arial Narrow" w:hAnsi="Arial Narrow" w:cs="Calibri"/>
                <w:color w:val="000000"/>
                <w:sz w:val="20"/>
                <w:szCs w:val="20"/>
              </w:rPr>
            </w:pPr>
            <w:r w:rsidRPr="002D21CD">
              <w:rPr>
                <w:rFonts w:ascii="Arial Narrow" w:hAnsi="Arial Narrow" w:cs="Calibri"/>
                <w:color w:val="000000"/>
                <w:sz w:val="20"/>
                <w:szCs w:val="20"/>
              </w:rPr>
              <w:t>0</w:t>
            </w:r>
          </w:p>
        </w:tc>
        <w:tc>
          <w:tcPr>
            <w:tcW w:w="932" w:type="dxa"/>
            <w:vAlign w:val="center"/>
          </w:tcPr>
          <w:p w14:paraId="793D6178" w14:textId="77777777" w:rsidR="003557D8" w:rsidRPr="002D21CD" w:rsidRDefault="003557D8" w:rsidP="00624A83">
            <w:pPr>
              <w:keepNext/>
              <w:ind w:left="-42" w:right="-67"/>
              <w:contextualSpacing/>
              <w:jc w:val="center"/>
              <w:rPr>
                <w:rFonts w:ascii="Arial Narrow" w:hAnsi="Arial Narrow" w:cs="Calibri"/>
                <w:color w:val="000000"/>
                <w:sz w:val="20"/>
                <w:szCs w:val="20"/>
              </w:rPr>
            </w:pPr>
            <w:r w:rsidRPr="002D21CD">
              <w:rPr>
                <w:rFonts w:ascii="Arial Narrow" w:hAnsi="Arial Narrow" w:cs="Calibri"/>
                <w:color w:val="000000"/>
                <w:sz w:val="20"/>
                <w:szCs w:val="20"/>
              </w:rPr>
              <w:t>0</w:t>
            </w:r>
          </w:p>
        </w:tc>
      </w:tr>
      <w:tr w:rsidR="003557D8" w:rsidRPr="001B3F87" w14:paraId="58F78B86" w14:textId="77777777" w:rsidTr="00624A83">
        <w:tc>
          <w:tcPr>
            <w:tcW w:w="1276" w:type="dxa"/>
            <w:shd w:val="clear" w:color="auto" w:fill="auto"/>
            <w:vAlign w:val="center"/>
          </w:tcPr>
          <w:p w14:paraId="6C29E222" w14:textId="77777777" w:rsidR="003557D8" w:rsidRPr="001B3F87" w:rsidRDefault="003557D8" w:rsidP="00624A83">
            <w:pPr>
              <w:keepNext/>
              <w:ind w:left="-50" w:right="-75"/>
              <w:jc w:val="left"/>
              <w:rPr>
                <w:rFonts w:ascii="Arial Narrow" w:hAnsi="Arial Narrow"/>
                <w:sz w:val="20"/>
                <w:szCs w:val="20"/>
              </w:rPr>
            </w:pPr>
            <w:r w:rsidRPr="001B3F87">
              <w:rPr>
                <w:rFonts w:ascii="Arial Narrow" w:hAnsi="Arial Narrow"/>
                <w:sz w:val="20"/>
                <w:szCs w:val="20"/>
              </w:rPr>
              <w:t>Deaths</w:t>
            </w:r>
          </w:p>
        </w:tc>
        <w:tc>
          <w:tcPr>
            <w:tcW w:w="851" w:type="dxa"/>
            <w:shd w:val="clear" w:color="auto" w:fill="auto"/>
            <w:vAlign w:val="center"/>
          </w:tcPr>
          <w:p w14:paraId="1DD53148" w14:textId="77777777" w:rsidR="003557D8" w:rsidRPr="002D21CD" w:rsidRDefault="003557D8" w:rsidP="00624A83">
            <w:pPr>
              <w:keepNext/>
              <w:ind w:left="-42" w:right="-67"/>
              <w:contextualSpacing/>
              <w:jc w:val="center"/>
              <w:rPr>
                <w:rFonts w:ascii="Arial Narrow" w:hAnsi="Arial Narrow" w:cs="Calibri"/>
                <w:color w:val="000000"/>
                <w:sz w:val="20"/>
                <w:szCs w:val="20"/>
              </w:rPr>
            </w:pPr>
            <w:r w:rsidRPr="002D21CD">
              <w:rPr>
                <w:rFonts w:ascii="Arial Narrow" w:hAnsi="Arial Narrow" w:cs="Calibri"/>
                <w:color w:val="000000"/>
                <w:sz w:val="20"/>
                <w:szCs w:val="20"/>
              </w:rPr>
              <w:t>0</w:t>
            </w:r>
          </w:p>
        </w:tc>
        <w:tc>
          <w:tcPr>
            <w:tcW w:w="673" w:type="dxa"/>
            <w:vAlign w:val="center"/>
          </w:tcPr>
          <w:p w14:paraId="16D0659C" w14:textId="77777777" w:rsidR="003557D8" w:rsidRPr="002D21CD" w:rsidRDefault="003557D8" w:rsidP="00624A83">
            <w:pPr>
              <w:keepNext/>
              <w:ind w:left="-42" w:right="-67"/>
              <w:contextualSpacing/>
              <w:jc w:val="center"/>
              <w:rPr>
                <w:rFonts w:ascii="Arial Narrow" w:hAnsi="Arial Narrow" w:cs="Calibri"/>
                <w:color w:val="000000"/>
                <w:sz w:val="20"/>
                <w:szCs w:val="20"/>
              </w:rPr>
            </w:pPr>
            <w:r w:rsidRPr="002D21CD">
              <w:rPr>
                <w:rFonts w:ascii="Arial Narrow" w:hAnsi="Arial Narrow" w:cs="Calibri"/>
                <w:color w:val="000000"/>
                <w:sz w:val="20"/>
                <w:szCs w:val="20"/>
              </w:rPr>
              <w:t>0</w:t>
            </w:r>
          </w:p>
        </w:tc>
        <w:tc>
          <w:tcPr>
            <w:tcW w:w="623" w:type="dxa"/>
            <w:vAlign w:val="center"/>
          </w:tcPr>
          <w:p w14:paraId="53D6CBF7" w14:textId="77777777" w:rsidR="003557D8" w:rsidRPr="002D21CD" w:rsidRDefault="003557D8" w:rsidP="00624A83">
            <w:pPr>
              <w:keepNext/>
              <w:ind w:left="-42" w:right="-67"/>
              <w:contextualSpacing/>
              <w:jc w:val="center"/>
              <w:rPr>
                <w:rFonts w:ascii="Arial Narrow" w:hAnsi="Arial Narrow" w:cs="Calibri"/>
                <w:color w:val="000000"/>
                <w:sz w:val="20"/>
                <w:szCs w:val="20"/>
              </w:rPr>
            </w:pPr>
            <w:r w:rsidRPr="002D21CD">
              <w:rPr>
                <w:rFonts w:ascii="Arial Narrow" w:hAnsi="Arial Narrow" w:cs="Calibri"/>
                <w:color w:val="000000"/>
                <w:sz w:val="20"/>
                <w:szCs w:val="20"/>
              </w:rPr>
              <w:t>0</w:t>
            </w:r>
          </w:p>
        </w:tc>
        <w:tc>
          <w:tcPr>
            <w:tcW w:w="932" w:type="dxa"/>
            <w:shd w:val="clear" w:color="auto" w:fill="auto"/>
            <w:noWrap/>
            <w:vAlign w:val="center"/>
          </w:tcPr>
          <w:p w14:paraId="725BA8B5" w14:textId="77777777" w:rsidR="003557D8" w:rsidRPr="002D21CD" w:rsidRDefault="003557D8" w:rsidP="00624A83">
            <w:pPr>
              <w:keepNext/>
              <w:ind w:left="-42" w:right="-67"/>
              <w:contextualSpacing/>
              <w:jc w:val="center"/>
              <w:rPr>
                <w:rFonts w:ascii="Arial Narrow" w:hAnsi="Arial Narrow" w:cs="Calibri"/>
                <w:color w:val="000000"/>
                <w:sz w:val="20"/>
                <w:szCs w:val="20"/>
              </w:rPr>
            </w:pPr>
            <w:r w:rsidRPr="002D21CD">
              <w:rPr>
                <w:rFonts w:ascii="Arial Narrow" w:hAnsi="Arial Narrow" w:cs="Calibri"/>
                <w:color w:val="000000"/>
                <w:sz w:val="20"/>
                <w:szCs w:val="20"/>
              </w:rPr>
              <w:t>0</w:t>
            </w:r>
          </w:p>
        </w:tc>
        <w:tc>
          <w:tcPr>
            <w:tcW w:w="881" w:type="dxa"/>
            <w:shd w:val="clear" w:color="auto" w:fill="auto"/>
            <w:noWrap/>
            <w:vAlign w:val="center"/>
          </w:tcPr>
          <w:p w14:paraId="416409C3" w14:textId="77777777" w:rsidR="003557D8" w:rsidRPr="002D21CD" w:rsidRDefault="003557D8" w:rsidP="00624A83">
            <w:pPr>
              <w:keepNext/>
              <w:ind w:left="-42" w:right="-67"/>
              <w:contextualSpacing/>
              <w:jc w:val="center"/>
              <w:rPr>
                <w:rFonts w:ascii="Arial Narrow" w:hAnsi="Arial Narrow" w:cs="Calibri"/>
                <w:color w:val="000000"/>
                <w:sz w:val="20"/>
                <w:szCs w:val="20"/>
              </w:rPr>
            </w:pPr>
            <w:r w:rsidRPr="002D21CD">
              <w:rPr>
                <w:rFonts w:ascii="Arial Narrow" w:hAnsi="Arial Narrow" w:cs="Calibri"/>
                <w:color w:val="000000"/>
                <w:sz w:val="20"/>
                <w:szCs w:val="20"/>
              </w:rPr>
              <w:t>1</w:t>
            </w:r>
          </w:p>
        </w:tc>
        <w:tc>
          <w:tcPr>
            <w:tcW w:w="1021" w:type="dxa"/>
            <w:shd w:val="clear" w:color="auto" w:fill="auto"/>
            <w:noWrap/>
            <w:vAlign w:val="center"/>
          </w:tcPr>
          <w:p w14:paraId="35D747CC" w14:textId="77777777" w:rsidR="003557D8" w:rsidRPr="002D21CD" w:rsidRDefault="003557D8" w:rsidP="00624A83">
            <w:pPr>
              <w:keepNext/>
              <w:ind w:left="-42" w:right="-67"/>
              <w:contextualSpacing/>
              <w:jc w:val="center"/>
              <w:rPr>
                <w:rFonts w:ascii="Arial Narrow" w:hAnsi="Arial Narrow" w:cs="Calibri"/>
                <w:color w:val="000000"/>
                <w:sz w:val="20"/>
                <w:szCs w:val="20"/>
              </w:rPr>
            </w:pPr>
            <w:r w:rsidRPr="002D21CD">
              <w:rPr>
                <w:rFonts w:ascii="Arial Narrow" w:hAnsi="Arial Narrow" w:cs="Calibri"/>
                <w:color w:val="000000"/>
                <w:sz w:val="20"/>
                <w:szCs w:val="20"/>
              </w:rPr>
              <w:t>NR</w:t>
            </w:r>
          </w:p>
        </w:tc>
        <w:tc>
          <w:tcPr>
            <w:tcW w:w="973" w:type="dxa"/>
            <w:vAlign w:val="center"/>
          </w:tcPr>
          <w:p w14:paraId="1EEA1B4D" w14:textId="77777777" w:rsidR="003557D8" w:rsidRPr="002D21CD" w:rsidRDefault="003557D8" w:rsidP="00624A83">
            <w:pPr>
              <w:keepNext/>
              <w:ind w:left="-42" w:right="-67"/>
              <w:contextualSpacing/>
              <w:jc w:val="center"/>
              <w:rPr>
                <w:rFonts w:ascii="Arial Narrow" w:hAnsi="Arial Narrow" w:cs="Calibri"/>
                <w:color w:val="000000"/>
                <w:sz w:val="20"/>
                <w:szCs w:val="20"/>
              </w:rPr>
            </w:pPr>
            <w:r w:rsidRPr="002D21CD">
              <w:rPr>
                <w:rFonts w:ascii="Arial Narrow" w:hAnsi="Arial Narrow" w:cs="Calibri"/>
                <w:color w:val="000000"/>
                <w:sz w:val="20"/>
                <w:szCs w:val="20"/>
              </w:rPr>
              <w:t>NR</w:t>
            </w:r>
          </w:p>
        </w:tc>
        <w:tc>
          <w:tcPr>
            <w:tcW w:w="853" w:type="dxa"/>
            <w:vAlign w:val="center"/>
          </w:tcPr>
          <w:p w14:paraId="162629AC" w14:textId="77777777" w:rsidR="003557D8" w:rsidRPr="002D21CD" w:rsidRDefault="003557D8" w:rsidP="00624A83">
            <w:pPr>
              <w:keepNext/>
              <w:ind w:left="-42" w:right="-67"/>
              <w:contextualSpacing/>
              <w:jc w:val="center"/>
              <w:rPr>
                <w:rFonts w:ascii="Arial Narrow" w:hAnsi="Arial Narrow" w:cs="Calibri"/>
                <w:color w:val="000000"/>
                <w:sz w:val="20"/>
                <w:szCs w:val="20"/>
              </w:rPr>
            </w:pPr>
            <w:r w:rsidRPr="002D21CD">
              <w:rPr>
                <w:rFonts w:ascii="Arial Narrow" w:hAnsi="Arial Narrow" w:cs="Calibri"/>
                <w:color w:val="000000"/>
                <w:sz w:val="20"/>
                <w:szCs w:val="20"/>
              </w:rPr>
              <w:t>0</w:t>
            </w:r>
          </w:p>
        </w:tc>
        <w:tc>
          <w:tcPr>
            <w:tcW w:w="932" w:type="dxa"/>
            <w:vAlign w:val="center"/>
          </w:tcPr>
          <w:p w14:paraId="51197703" w14:textId="77777777" w:rsidR="003557D8" w:rsidRPr="002D21CD" w:rsidRDefault="003557D8" w:rsidP="00624A83">
            <w:pPr>
              <w:keepNext/>
              <w:ind w:left="-42" w:right="-67"/>
              <w:contextualSpacing/>
              <w:jc w:val="center"/>
              <w:rPr>
                <w:rFonts w:ascii="Arial Narrow" w:hAnsi="Arial Narrow" w:cs="Calibri"/>
                <w:color w:val="000000"/>
                <w:sz w:val="20"/>
                <w:szCs w:val="20"/>
              </w:rPr>
            </w:pPr>
            <w:r w:rsidRPr="002D21CD">
              <w:rPr>
                <w:rFonts w:ascii="Arial Narrow" w:hAnsi="Arial Narrow" w:cs="Calibri"/>
                <w:color w:val="000000"/>
                <w:sz w:val="20"/>
                <w:szCs w:val="20"/>
              </w:rPr>
              <w:t>0</w:t>
            </w:r>
          </w:p>
        </w:tc>
      </w:tr>
    </w:tbl>
    <w:p w14:paraId="2BB080ED" w14:textId="77777777" w:rsidR="003557D8" w:rsidRPr="001B3F87" w:rsidRDefault="003557D8" w:rsidP="003557D8">
      <w:pPr>
        <w:pStyle w:val="COMTablefooter"/>
      </w:pPr>
      <w:r w:rsidRPr="001B3F87">
        <w:t>Source:</w:t>
      </w:r>
      <w:r>
        <w:t xml:space="preserve"> </w:t>
      </w:r>
      <w:r w:rsidRPr="001B3F87">
        <w:t>Table 2.5.4, p48 of Patiromer vs SPS,CPS evaluation (Attachment 11 to the resubmission).</w:t>
      </w:r>
    </w:p>
    <w:p w14:paraId="2D4ED77F" w14:textId="77777777" w:rsidR="003557D8" w:rsidRPr="001B3F87" w:rsidRDefault="003557D8" w:rsidP="003557D8">
      <w:pPr>
        <w:pStyle w:val="COMTablefooter"/>
      </w:pPr>
      <w:r w:rsidRPr="001B3F87">
        <w:t xml:space="preserve">Abbreviations: AE, adverse event; CPS, calcium polystyrene sulfonate; GI, gastrointestinal; NR, not reported; </w:t>
      </w:r>
      <w:r>
        <w:t xml:space="preserve">SC, standard care; </w:t>
      </w:r>
      <w:r w:rsidRPr="001B3F87">
        <w:t>SPS, sodium polystyrene sulfonate.</w:t>
      </w:r>
    </w:p>
    <w:p w14:paraId="44ADDCFB" w14:textId="77777777" w:rsidR="003557D8" w:rsidRPr="001B3F87" w:rsidRDefault="003557D8" w:rsidP="003557D8">
      <w:pPr>
        <w:pStyle w:val="COMTablefooter"/>
      </w:pPr>
      <w:r w:rsidRPr="001B3F87">
        <w:rPr>
          <w:vertAlign w:val="superscript"/>
        </w:rPr>
        <w:t>a</w:t>
      </w:r>
      <w:r w:rsidRPr="001B3F87">
        <w:t xml:space="preserve"> Assumed based on 17 hospitalisations of 9 patients.</w:t>
      </w:r>
    </w:p>
    <w:p w14:paraId="5D036BB6" w14:textId="77777777" w:rsidR="003557D8" w:rsidRDefault="003557D8" w:rsidP="003557D8">
      <w:pPr>
        <w:pStyle w:val="COMTablefooter"/>
      </w:pPr>
      <w:r w:rsidRPr="001B3F87">
        <w:rPr>
          <w:vertAlign w:val="superscript"/>
        </w:rPr>
        <w:t>b</w:t>
      </w:r>
      <w:r w:rsidRPr="001B3F87">
        <w:t xml:space="preserve"> No serious gastrointestinal adverse events were reported. Corrected during the evaluation.</w:t>
      </w:r>
    </w:p>
    <w:p w14:paraId="67481FD9" w14:textId="77777777" w:rsidR="003557D8" w:rsidRDefault="003557D8" w:rsidP="003557D8">
      <w:pPr>
        <w:pStyle w:val="COMTablefooter"/>
      </w:pPr>
      <w:r>
        <w:rPr>
          <w:vertAlign w:val="superscript"/>
        </w:rPr>
        <w:lastRenderedPageBreak/>
        <w:t>c</w:t>
      </w:r>
      <w:r>
        <w:t xml:space="preserve"> Incidence rate of 200 per 1,000 patient years (95% CI 189, 212)</w:t>
      </w:r>
      <w:r>
        <w:rPr>
          <w:rFonts w:cs="Calibri"/>
        </w:rPr>
        <w:t>.</w:t>
      </w:r>
    </w:p>
    <w:p w14:paraId="54FAB5E7" w14:textId="77777777" w:rsidR="003557D8" w:rsidRPr="005823FC" w:rsidRDefault="003557D8" w:rsidP="003557D8">
      <w:pPr>
        <w:pStyle w:val="COMTablefooter"/>
      </w:pPr>
      <w:r>
        <w:rPr>
          <w:vertAlign w:val="superscript"/>
        </w:rPr>
        <w:t>d</w:t>
      </w:r>
      <w:r>
        <w:t xml:space="preserve"> Incidence rate of 16 per 1,000 patient years (95% CI 14, 19)</w:t>
      </w:r>
      <w:r>
        <w:rPr>
          <w:rFonts w:cs="Calibri"/>
        </w:rPr>
        <w:t>.</w:t>
      </w:r>
    </w:p>
    <w:p w14:paraId="2580331B" w14:textId="293B053B" w:rsidR="007D6EAB" w:rsidRPr="002F6665" w:rsidRDefault="007D6EAB" w:rsidP="007D6EAB">
      <w:pPr>
        <w:pStyle w:val="COMexecsumnumberedpara"/>
        <w:rPr>
          <w:color w:val="0066FF"/>
        </w:rPr>
      </w:pPr>
      <w:r w:rsidRPr="002F6665">
        <w:t xml:space="preserve">Most adverse events reported in the studies were minor. High rates of adverse events in NCT01866709 may </w:t>
      </w:r>
      <w:r w:rsidR="00854BC7">
        <w:t xml:space="preserve">have </w:t>
      </w:r>
      <w:r w:rsidRPr="002F6665">
        <w:t>be</w:t>
      </w:r>
      <w:r w:rsidR="00854BC7">
        <w:t>en</w:t>
      </w:r>
      <w:r w:rsidRPr="002F6665">
        <w:t xml:space="preserve"> related to the high doses of SPS resins administered in the study (SPS 45 g/day).</w:t>
      </w:r>
    </w:p>
    <w:p w14:paraId="67980A3C" w14:textId="77777777" w:rsidR="00644B48" w:rsidRPr="002F6665" w:rsidRDefault="00A43A1B" w:rsidP="00644B48">
      <w:pPr>
        <w:pStyle w:val="COMexecsumnumberedpara"/>
        <w:spacing w:after="0"/>
      </w:pPr>
      <w:r w:rsidRPr="002F6665">
        <w:t>The resubmission compared the estimated rates of minor and severe gastrointestinal adverse events for patiromer (derived from post-marketing data derived from the 2021 PSUR) and SPS (derived from Laureati 2020)</w:t>
      </w:r>
      <w:r w:rsidR="00644B48" w:rsidRPr="002F6665">
        <w:t>:</w:t>
      </w:r>
    </w:p>
    <w:p w14:paraId="04579042" w14:textId="77777777" w:rsidR="00644B48" w:rsidRPr="002F6665" w:rsidRDefault="00644B48" w:rsidP="00804745">
      <w:pPr>
        <w:pStyle w:val="COMexecsumnumberedpara"/>
        <w:numPr>
          <w:ilvl w:val="0"/>
          <w:numId w:val="19"/>
        </w:numPr>
        <w:spacing w:after="0"/>
        <w:ind w:left="1077" w:hanging="357"/>
        <w:rPr>
          <w:color w:val="0066FF"/>
        </w:rPr>
      </w:pPr>
      <w:r w:rsidRPr="002F6665">
        <w:t>M</w:t>
      </w:r>
      <w:r w:rsidR="00A43A1B" w:rsidRPr="002F6665">
        <w:t>inor gastrointestinal adverse events</w:t>
      </w:r>
      <w:r w:rsidRPr="002F6665">
        <w:t>:</w:t>
      </w:r>
      <w:r w:rsidR="00A43A1B" w:rsidRPr="002F6665">
        <w:t xml:space="preserve"> patiromer 42 per 1,000 patient years versus SPS 200 per 1,000 patient years</w:t>
      </w:r>
      <w:r w:rsidRPr="002F6665">
        <w:t>.</w:t>
      </w:r>
    </w:p>
    <w:p w14:paraId="41DA9ED1" w14:textId="30B39AB4" w:rsidR="00644B48" w:rsidRPr="002F6665" w:rsidRDefault="00644B48" w:rsidP="00804745">
      <w:pPr>
        <w:pStyle w:val="COMexecsumnumberedpara"/>
        <w:numPr>
          <w:ilvl w:val="0"/>
          <w:numId w:val="19"/>
        </w:numPr>
        <w:ind w:left="1077" w:hanging="357"/>
        <w:rPr>
          <w:color w:val="0066FF"/>
        </w:rPr>
      </w:pPr>
      <w:r w:rsidRPr="002F6665">
        <w:t>S</w:t>
      </w:r>
      <w:r w:rsidR="00A43A1B" w:rsidRPr="002F6665">
        <w:t>erious gastrointestinal adverse events</w:t>
      </w:r>
      <w:r w:rsidRPr="002F6665">
        <w:t xml:space="preserve">: </w:t>
      </w:r>
      <w:r w:rsidR="00A43A1B" w:rsidRPr="002F6665">
        <w:t>patiromer 6 per 1,000 patient years versus SPS 16 per 1,000 patient years.</w:t>
      </w:r>
    </w:p>
    <w:p w14:paraId="1E64D2B4" w14:textId="2E7556F1" w:rsidR="00644B48" w:rsidRPr="002F6665" w:rsidRDefault="00644B48" w:rsidP="00866D8C">
      <w:pPr>
        <w:pStyle w:val="COMexecsumnumberedpara"/>
      </w:pPr>
      <w:r w:rsidRPr="002F6665">
        <w:t>However, Laureati (2020) reported adverse events in patients with CKD Stage 4 (31%) or CKD Stage 5 (69%) and included patients treated with dialysis</w:t>
      </w:r>
      <w:r w:rsidR="00E40E35">
        <w:t xml:space="preserve"> who were more</w:t>
      </w:r>
      <w:r w:rsidRPr="002F6665">
        <w:t xml:space="preserve"> likely to experience </w:t>
      </w:r>
      <w:r w:rsidR="00E40E35" w:rsidRPr="00E40E35">
        <w:t>severe gastrointestinal adverse events compared to the wider population informing the PSUR analysis</w:t>
      </w:r>
      <w:r w:rsidRPr="002F6665">
        <w:t xml:space="preserve">. The estimated differences in gastrointestinal adverse events </w:t>
      </w:r>
      <w:r w:rsidR="00854BC7">
        <w:t>we</w:t>
      </w:r>
      <w:r w:rsidRPr="002F6665">
        <w:t>re likely overestimated, and favour</w:t>
      </w:r>
      <w:r w:rsidR="00854BC7">
        <w:t>ed</w:t>
      </w:r>
      <w:r w:rsidRPr="002F6665">
        <w:t xml:space="preserve"> patiromer.</w:t>
      </w:r>
    </w:p>
    <w:p w14:paraId="7470E8FB" w14:textId="40A01D7F" w:rsidR="004366C1" w:rsidRPr="002F6665" w:rsidRDefault="004366C1" w:rsidP="004366C1">
      <w:pPr>
        <w:pStyle w:val="COMexecsumnumberedpara"/>
        <w:rPr>
          <w:color w:val="0066FF"/>
        </w:rPr>
      </w:pPr>
      <w:r w:rsidRPr="002F6665">
        <w:t xml:space="preserve">The resubmission also presented a comparison of pre- and post-index all-cause hospital admissions and emergency department visits from the US Cohort Study, in patients initiating patiromer, SPS or continuing with no </w:t>
      </w:r>
      <w:r w:rsidR="0001246B" w:rsidRPr="002F6665">
        <w:t>potassium</w:t>
      </w:r>
      <w:r w:rsidRPr="002F6665">
        <w:t xml:space="preserve"> binder. The comparison showed a reduction in the proportions of patients experiencing hospital admissions treated with continuous patiromer (-9.4%) or continuous SPS resin (-7.2%). A similar reduction was reported in the proportions of patients treated with continuous patiromer experiencing emergency department visits (-12.2%), and a small reduction for patients treated with continuous SPS resin (-0.4%). However, differences in emergency department visits between continuous patiromer and SPS treatments may </w:t>
      </w:r>
      <w:r w:rsidR="00854BC7">
        <w:t xml:space="preserve">have </w:t>
      </w:r>
      <w:r w:rsidRPr="002F6665">
        <w:t>be</w:t>
      </w:r>
      <w:r w:rsidR="00854BC7">
        <w:t>en</w:t>
      </w:r>
      <w:r w:rsidRPr="002F6665">
        <w:t xml:space="preserve"> related to the higher incidence of pre-index visits in patients initiating patiromer</w:t>
      </w:r>
      <w:r w:rsidR="00854BC7">
        <w:t>. D</w:t>
      </w:r>
      <w:r w:rsidRPr="002F6665">
        <w:t xml:space="preserve">ifferences in the proportions of patients experiencing all cause hospitalisation events may have been related to differences in baseline serum </w:t>
      </w:r>
      <w:r w:rsidR="009C69BA">
        <w:t>potassium</w:t>
      </w:r>
      <w:r w:rsidRPr="002F6665">
        <w:t xml:space="preserve"> between treatment arms, given patiromer patients reported lower serum </w:t>
      </w:r>
      <w:r w:rsidR="009C69BA">
        <w:t>potassium</w:t>
      </w:r>
      <w:r w:rsidRPr="002F6665">
        <w:t xml:space="preserve"> and less progressed CKD compared to patients treated with SPS resin.</w:t>
      </w:r>
    </w:p>
    <w:p w14:paraId="04908C7F" w14:textId="415B9B7D" w:rsidR="007F1017" w:rsidRPr="001159D0" w:rsidRDefault="007F1017" w:rsidP="00D86231">
      <w:pPr>
        <w:pStyle w:val="COMH2-non-numbered"/>
      </w:pPr>
      <w:bookmarkStart w:id="36" w:name="_Toc22897643"/>
      <w:bookmarkStart w:id="37" w:name="_Toc111818933"/>
      <w:r w:rsidRPr="001159D0">
        <w:t>Benefits/harms</w:t>
      </w:r>
      <w:bookmarkEnd w:id="36"/>
      <w:bookmarkEnd w:id="37"/>
    </w:p>
    <w:p w14:paraId="3C85DE63" w14:textId="77777777" w:rsidR="00990E6A" w:rsidRPr="002F6665" w:rsidRDefault="00990E6A" w:rsidP="00990E6A">
      <w:pPr>
        <w:pStyle w:val="ListParagraph"/>
        <w:numPr>
          <w:ilvl w:val="1"/>
          <w:numId w:val="1"/>
        </w:numPr>
        <w:spacing w:after="0"/>
        <w:ind w:left="720" w:hanging="720"/>
      </w:pPr>
      <w:r w:rsidRPr="002F6665">
        <w:t>On the basis of the evidence presented in the submission from the OPAL-HK-Part B withdrawal study, for every 100 patients treated with patiromer in comparison to placebo and over a duration of 8 weeks:</w:t>
      </w:r>
    </w:p>
    <w:p w14:paraId="76B15880" w14:textId="663D7B0A" w:rsidR="00990E6A" w:rsidRPr="002F6665" w:rsidRDefault="00990E6A" w:rsidP="00804745">
      <w:pPr>
        <w:pStyle w:val="ListParagraph"/>
        <w:numPr>
          <w:ilvl w:val="0"/>
          <w:numId w:val="20"/>
        </w:numPr>
        <w:spacing w:after="0"/>
        <w:ind w:left="1077" w:hanging="357"/>
      </w:pPr>
      <w:r w:rsidRPr="002F6665">
        <w:t>Approximately 45 fewer patients would experience serum potassium concentrations &gt; 5.5 mmol/L</w:t>
      </w:r>
      <w:r w:rsidR="00F43435" w:rsidRPr="002F6665">
        <w:t>.</w:t>
      </w:r>
    </w:p>
    <w:p w14:paraId="0002E5D5" w14:textId="1831C08A" w:rsidR="00990E6A" w:rsidRPr="002F6665" w:rsidRDefault="00990E6A" w:rsidP="00804745">
      <w:pPr>
        <w:pStyle w:val="ListParagraph"/>
        <w:numPr>
          <w:ilvl w:val="0"/>
          <w:numId w:val="20"/>
        </w:numPr>
        <w:spacing w:after="0"/>
        <w:ind w:left="1077" w:hanging="357"/>
      </w:pPr>
      <w:r w:rsidRPr="002F6665">
        <w:t>Approximately 60 fewer patients would experience reductions in RAASi doses due to hyperkalaemia</w:t>
      </w:r>
      <w:r w:rsidR="00F43435" w:rsidRPr="002F6665">
        <w:t>.</w:t>
      </w:r>
    </w:p>
    <w:p w14:paraId="0A37DFAB" w14:textId="2DFEC07F" w:rsidR="00990E6A" w:rsidRPr="002F6665" w:rsidRDefault="00990E6A" w:rsidP="00804745">
      <w:pPr>
        <w:pStyle w:val="ListParagraph"/>
        <w:numPr>
          <w:ilvl w:val="0"/>
          <w:numId w:val="20"/>
        </w:numPr>
        <w:spacing w:after="0"/>
        <w:ind w:left="1077" w:hanging="357"/>
      </w:pPr>
      <w:r w:rsidRPr="002F6665">
        <w:t>Approximately 50 fewer patients would discontinue RAASi therapies due to hyperkalaemia</w:t>
      </w:r>
      <w:r w:rsidR="00F43435" w:rsidRPr="002F6665">
        <w:t>.</w:t>
      </w:r>
    </w:p>
    <w:p w14:paraId="1C8C5AF2" w14:textId="26DB074D" w:rsidR="00990E6A" w:rsidRPr="002F6665" w:rsidRDefault="00990E6A" w:rsidP="00804745">
      <w:pPr>
        <w:pStyle w:val="ListParagraph"/>
        <w:numPr>
          <w:ilvl w:val="0"/>
          <w:numId w:val="20"/>
        </w:numPr>
        <w:spacing w:after="0"/>
        <w:ind w:left="1077" w:hanging="357"/>
      </w:pPr>
      <w:r w:rsidRPr="002F6665">
        <w:lastRenderedPageBreak/>
        <w:t>Approximately 1 fewer patient would experience a serious adverse event</w:t>
      </w:r>
      <w:r w:rsidR="00F43435" w:rsidRPr="002F6665">
        <w:t>.</w:t>
      </w:r>
    </w:p>
    <w:p w14:paraId="100F8791" w14:textId="66694DDB" w:rsidR="00C5668E" w:rsidRPr="003D4A23" w:rsidRDefault="00990E6A" w:rsidP="00804745">
      <w:pPr>
        <w:pStyle w:val="ListParagraph"/>
        <w:numPr>
          <w:ilvl w:val="0"/>
          <w:numId w:val="20"/>
        </w:numPr>
        <w:ind w:left="1077" w:hanging="357"/>
      </w:pPr>
      <w:r w:rsidRPr="002F6665">
        <w:t xml:space="preserve">Approximately </w:t>
      </w:r>
      <w:r w:rsidR="00F43435" w:rsidRPr="002F6665">
        <w:t>7</w:t>
      </w:r>
      <w:r w:rsidRPr="002F6665">
        <w:t xml:space="preserve"> additional patients would experience a gastrointestinal adverse event.</w:t>
      </w:r>
    </w:p>
    <w:p w14:paraId="471A267A" w14:textId="19DE4E46" w:rsidR="00994DEC" w:rsidRPr="002F6665" w:rsidRDefault="00994DEC" w:rsidP="00994DEC">
      <w:pPr>
        <w:pStyle w:val="COMexecsumnumberedpara"/>
        <w:rPr>
          <w:snapToGrid/>
        </w:rPr>
      </w:pPr>
      <w:r w:rsidRPr="002F6665">
        <w:rPr>
          <w:snapToGrid/>
        </w:rPr>
        <w:t>A benefits/harms analysis was not presented for the comparison of patiromer versus SPS/CPS resins due to the claim of non</w:t>
      </w:r>
      <w:r w:rsidR="003636FD">
        <w:rPr>
          <w:snapToGrid/>
        </w:rPr>
        <w:t>-</w:t>
      </w:r>
      <w:r w:rsidRPr="002F6665">
        <w:rPr>
          <w:snapToGrid/>
        </w:rPr>
        <w:t>inferiority.</w:t>
      </w:r>
    </w:p>
    <w:p w14:paraId="7A1772B6" w14:textId="23BB3145" w:rsidR="00B60939" w:rsidRPr="000521F0" w:rsidRDefault="00B60939" w:rsidP="00E9094A">
      <w:pPr>
        <w:pStyle w:val="COMH2-non-numbered"/>
      </w:pPr>
      <w:bookmarkStart w:id="38" w:name="_Toc22897644"/>
      <w:bookmarkStart w:id="39" w:name="_Toc111818934"/>
      <w:r w:rsidRPr="001159D0">
        <w:t>Clinical claim</w:t>
      </w:r>
      <w:bookmarkEnd w:id="38"/>
      <w:bookmarkEnd w:id="39"/>
    </w:p>
    <w:p w14:paraId="3CBABB8A" w14:textId="77777777" w:rsidR="00191738" w:rsidRPr="001159D0" w:rsidRDefault="00191738" w:rsidP="00191738">
      <w:pPr>
        <w:pStyle w:val="COMH3"/>
      </w:pPr>
      <w:r w:rsidRPr="001159D0">
        <w:t>Patiromer versus standard care</w:t>
      </w:r>
    </w:p>
    <w:p w14:paraId="289EAA5E" w14:textId="374E7895" w:rsidR="007C70FF" w:rsidRPr="005255A7" w:rsidRDefault="00E72B1B" w:rsidP="00E9094A">
      <w:pPr>
        <w:pStyle w:val="COMexecsumnumberedpara"/>
      </w:pPr>
      <w:r w:rsidRPr="000521F0">
        <w:t xml:space="preserve">The resubmission described patiromer as superior in terms of effectiveness </w:t>
      </w:r>
      <w:r w:rsidR="00CB4230" w:rsidRPr="000521F0">
        <w:t>with a</w:t>
      </w:r>
      <w:r w:rsidR="00676F0C" w:rsidRPr="000521F0">
        <w:t xml:space="preserve"> slightly inferior safety profile compared to standard care.</w:t>
      </w:r>
    </w:p>
    <w:p w14:paraId="6C334FFA" w14:textId="747F7845" w:rsidR="00E72B1B" w:rsidRPr="00FF512C" w:rsidRDefault="00E72B1B" w:rsidP="00C84EAD">
      <w:pPr>
        <w:pStyle w:val="COMexecsumnumberedpara"/>
        <w:spacing w:after="0"/>
        <w:rPr>
          <w:color w:val="0066FF"/>
        </w:rPr>
      </w:pPr>
      <w:bookmarkStart w:id="40" w:name="_Ref120543197"/>
      <w:r w:rsidRPr="000521F0">
        <w:t>The</w:t>
      </w:r>
      <w:r w:rsidR="00676F0C" w:rsidRPr="000521F0">
        <w:t xml:space="preserve"> ESC considered that the</w:t>
      </w:r>
      <w:r w:rsidRPr="000521F0">
        <w:t xml:space="preserve"> therapeutic conclusion</w:t>
      </w:r>
      <w:r w:rsidR="00A916D7" w:rsidRPr="000521F0">
        <w:t xml:space="preserve"> </w:t>
      </w:r>
      <w:r w:rsidR="00E72BEB" w:rsidRPr="000521F0">
        <w:t>of superior</w:t>
      </w:r>
      <w:r w:rsidR="00A916D7" w:rsidRPr="000521F0">
        <w:t xml:space="preserve"> efficacy</w:t>
      </w:r>
      <w:r w:rsidRPr="000521F0">
        <w:t xml:space="preserve"> </w:t>
      </w:r>
      <w:r w:rsidR="00620CAA" w:rsidRPr="000521F0">
        <w:t xml:space="preserve">versus standard care </w:t>
      </w:r>
      <w:r w:rsidR="00A916D7" w:rsidRPr="007E6C44">
        <w:t>was</w:t>
      </w:r>
      <w:r w:rsidRPr="007E6C44">
        <w:t xml:space="preserve"> supported by the evidence presented </w:t>
      </w:r>
      <w:r w:rsidR="00E72BEB" w:rsidRPr="007E6C44">
        <w:t xml:space="preserve">in terms of patiromer reducing serum potassium levels and that the majority of patiromer treated patients </w:t>
      </w:r>
      <w:r w:rsidR="00E72BEB" w:rsidRPr="000521F0">
        <w:t>remained on RAASi therapies for up to 12 months</w:t>
      </w:r>
      <w:r w:rsidR="00B278B0" w:rsidRPr="000521F0">
        <w:t>, however the magnitude and clinical relevance of the superior efficacy remained uncertain</w:t>
      </w:r>
      <w:r w:rsidR="00E72BEB" w:rsidRPr="000521F0">
        <w:t>. The ESC</w:t>
      </w:r>
      <w:r w:rsidR="00A916D7" w:rsidRPr="000521F0">
        <w:t xml:space="preserve"> </w:t>
      </w:r>
      <w:r w:rsidR="00B278B0" w:rsidRPr="000521F0">
        <w:t xml:space="preserve">additionally </w:t>
      </w:r>
      <w:r w:rsidR="00A916D7" w:rsidRPr="000521F0">
        <w:t>noted</w:t>
      </w:r>
      <w:r w:rsidR="00E72BEB" w:rsidRPr="000521F0">
        <w:t xml:space="preserve"> </w:t>
      </w:r>
      <w:r w:rsidR="00A916D7" w:rsidRPr="000521F0">
        <w:t xml:space="preserve">that </w:t>
      </w:r>
      <w:r w:rsidRPr="000521F0">
        <w:t>the following</w:t>
      </w:r>
      <w:r w:rsidR="00676F0C" w:rsidRPr="000521F0">
        <w:t xml:space="preserve"> issues</w:t>
      </w:r>
      <w:r w:rsidR="00A916D7" w:rsidRPr="000521F0">
        <w:t xml:space="preserve"> remained</w:t>
      </w:r>
      <w:r w:rsidRPr="00FF512C">
        <w:t>:</w:t>
      </w:r>
      <w:bookmarkEnd w:id="40"/>
    </w:p>
    <w:p w14:paraId="5816B6F4" w14:textId="3783BB43" w:rsidR="00E72B1B" w:rsidRPr="00FF512C" w:rsidRDefault="00E72B1B" w:rsidP="00804745">
      <w:pPr>
        <w:pStyle w:val="ListParagraph"/>
        <w:numPr>
          <w:ilvl w:val="0"/>
          <w:numId w:val="8"/>
        </w:numPr>
        <w:spacing w:after="0"/>
        <w:ind w:left="1077" w:hanging="357"/>
        <w:contextualSpacing/>
        <w:rPr>
          <w:lang w:eastAsia="zh-CN"/>
        </w:rPr>
      </w:pPr>
      <w:r w:rsidRPr="00FF512C">
        <w:rPr>
          <w:lang w:eastAsia="zh-CN"/>
        </w:rPr>
        <w:t xml:space="preserve">At the November 2020 meeting the PBAC considered that it was unknown whether patiromer confers a clinically important benefit in terms of </w:t>
      </w:r>
      <w:r w:rsidR="00676F0C" w:rsidRPr="00FF512C">
        <w:rPr>
          <w:lang w:eastAsia="zh-CN"/>
        </w:rPr>
        <w:t xml:space="preserve">i) </w:t>
      </w:r>
      <w:r w:rsidRPr="00FF512C">
        <w:rPr>
          <w:lang w:eastAsia="zh-CN"/>
        </w:rPr>
        <w:t>optimisation/</w:t>
      </w:r>
      <w:r w:rsidR="00C84EAD" w:rsidRPr="00FF512C">
        <w:rPr>
          <w:lang w:eastAsia="zh-CN"/>
        </w:rPr>
        <w:t xml:space="preserve"> </w:t>
      </w:r>
      <w:r w:rsidRPr="00FF512C">
        <w:rPr>
          <w:lang w:eastAsia="zh-CN"/>
        </w:rPr>
        <w:t xml:space="preserve">maintenance of RAASi treatment, </w:t>
      </w:r>
      <w:r w:rsidR="00676F0C" w:rsidRPr="00FF512C">
        <w:rPr>
          <w:lang w:eastAsia="zh-CN"/>
        </w:rPr>
        <w:t xml:space="preserve">ii) </w:t>
      </w:r>
      <w:r w:rsidRPr="00FF512C">
        <w:rPr>
          <w:lang w:eastAsia="zh-CN"/>
        </w:rPr>
        <w:t xml:space="preserve">long term efficacy beyond the duration of the OPAL-HK trial and </w:t>
      </w:r>
      <w:r w:rsidR="00676F0C" w:rsidRPr="00FF512C">
        <w:rPr>
          <w:lang w:eastAsia="zh-CN"/>
        </w:rPr>
        <w:t xml:space="preserve">iii) </w:t>
      </w:r>
      <w:r w:rsidRPr="00FF512C">
        <w:rPr>
          <w:lang w:eastAsia="zh-CN"/>
        </w:rPr>
        <w:t>long-term cardiovascular and renal outcomes. The resubmission has not adequately addressed these issues</w:t>
      </w:r>
      <w:r w:rsidR="00676F0C" w:rsidRPr="00FF512C">
        <w:rPr>
          <w:lang w:eastAsia="zh-CN"/>
        </w:rPr>
        <w:t xml:space="preserve"> as</w:t>
      </w:r>
      <w:r w:rsidRPr="00FF512C">
        <w:rPr>
          <w:lang w:eastAsia="zh-CN"/>
        </w:rPr>
        <w:t>:</w:t>
      </w:r>
    </w:p>
    <w:p w14:paraId="7A7590B8" w14:textId="750466CA" w:rsidR="00E72B1B" w:rsidRPr="00FF512C" w:rsidRDefault="00E72B1B" w:rsidP="00804745">
      <w:pPr>
        <w:pStyle w:val="ListBullet"/>
        <w:numPr>
          <w:ilvl w:val="0"/>
          <w:numId w:val="14"/>
        </w:numPr>
        <w:ind w:left="1418" w:hanging="357"/>
        <w:rPr>
          <w:lang w:eastAsia="zh-CN"/>
        </w:rPr>
      </w:pPr>
      <w:r w:rsidRPr="00FF512C">
        <w:rPr>
          <w:lang w:eastAsia="zh-CN"/>
        </w:rPr>
        <w:t xml:space="preserve">Long-term cardiovascular and renal outcomes expected to be available </w:t>
      </w:r>
      <w:r w:rsidR="00676F0C" w:rsidRPr="00FF512C">
        <w:rPr>
          <w:lang w:eastAsia="zh-CN"/>
        </w:rPr>
        <w:t xml:space="preserve">from </w:t>
      </w:r>
      <w:r w:rsidRPr="00FF512C">
        <w:rPr>
          <w:lang w:eastAsia="zh-CN"/>
        </w:rPr>
        <w:t xml:space="preserve">the DIAMOND trial were not able to be presented as </w:t>
      </w:r>
      <w:r w:rsidRPr="00FF512C">
        <w:rPr>
          <w:rFonts w:asciiTheme="minorHAnsi" w:hAnsiTheme="minorHAnsi" w:cstheme="minorHAnsi"/>
        </w:rPr>
        <w:t>recruitment for the trial was impacted by COVID-19. The long</w:t>
      </w:r>
      <w:r w:rsidR="003D4A23" w:rsidRPr="00FF512C">
        <w:rPr>
          <w:rFonts w:asciiTheme="minorHAnsi" w:hAnsiTheme="minorHAnsi" w:cstheme="minorHAnsi"/>
        </w:rPr>
        <w:t>-</w:t>
      </w:r>
      <w:r w:rsidRPr="00FF512C">
        <w:rPr>
          <w:rFonts w:asciiTheme="minorHAnsi" w:hAnsiTheme="minorHAnsi" w:cstheme="minorHAnsi"/>
        </w:rPr>
        <w:t xml:space="preserve">term impact of patiromer on </w:t>
      </w:r>
      <w:r w:rsidRPr="00FF512C">
        <w:rPr>
          <w:lang w:eastAsia="zh-CN"/>
        </w:rPr>
        <w:t xml:space="preserve">cardiovascular and renal outcomes </w:t>
      </w:r>
      <w:r w:rsidR="00676F0C" w:rsidRPr="00FF512C">
        <w:rPr>
          <w:lang w:eastAsia="zh-CN"/>
        </w:rPr>
        <w:t xml:space="preserve">therefore </w:t>
      </w:r>
      <w:r w:rsidRPr="00FF512C">
        <w:rPr>
          <w:lang w:eastAsia="zh-CN"/>
        </w:rPr>
        <w:t>remains unknown.</w:t>
      </w:r>
    </w:p>
    <w:p w14:paraId="0B3DDA22" w14:textId="1E1547AD" w:rsidR="00E72B1B" w:rsidRPr="00FF512C" w:rsidRDefault="00E72B1B" w:rsidP="00804745">
      <w:pPr>
        <w:pStyle w:val="ListBullet"/>
        <w:numPr>
          <w:ilvl w:val="0"/>
          <w:numId w:val="14"/>
        </w:numPr>
        <w:ind w:left="1418" w:hanging="357"/>
        <w:rPr>
          <w:lang w:eastAsia="zh-CN"/>
        </w:rPr>
      </w:pPr>
      <w:r w:rsidRPr="00FF512C">
        <w:rPr>
          <w:lang w:eastAsia="zh-CN"/>
        </w:rPr>
        <w:t>The observational studies presented in the resubmission to support the long</w:t>
      </w:r>
      <w:r w:rsidR="003D4A23" w:rsidRPr="00FF512C">
        <w:rPr>
          <w:lang w:eastAsia="zh-CN"/>
        </w:rPr>
        <w:t>-</w:t>
      </w:r>
      <w:r w:rsidRPr="00FF512C">
        <w:rPr>
          <w:lang w:eastAsia="zh-CN"/>
        </w:rPr>
        <w:t>term efficacy of patiromer had limited applicability to the eligible Australian population</w:t>
      </w:r>
      <w:r w:rsidR="00676F0C" w:rsidRPr="00FF512C">
        <w:rPr>
          <w:lang w:eastAsia="zh-CN"/>
        </w:rPr>
        <w:t xml:space="preserve">. In addition, </w:t>
      </w:r>
      <w:r w:rsidRPr="00FF512C">
        <w:t xml:space="preserve">the results of the studies should be interpreted with caution given the high risk of bias associated with the use of observational data and the substantial differences in patient characteristics between treatment arms. </w:t>
      </w:r>
      <w:r w:rsidR="00676F0C" w:rsidRPr="00FF512C">
        <w:t>T</w:t>
      </w:r>
      <w:r w:rsidRPr="00FF512C">
        <w:t xml:space="preserve">he selected populations were not comparable </w:t>
      </w:r>
      <w:r w:rsidR="00676F0C" w:rsidRPr="00FF512C">
        <w:t xml:space="preserve">with </w:t>
      </w:r>
      <w:r w:rsidRPr="00FF512C">
        <w:t>the OPAL-HK and AMETHYST-DN trials.</w:t>
      </w:r>
    </w:p>
    <w:p w14:paraId="5EE6046B" w14:textId="4843D89D" w:rsidR="00E72B1B" w:rsidRPr="00FF512C" w:rsidRDefault="00E72B1B" w:rsidP="00804745">
      <w:pPr>
        <w:pStyle w:val="ListBullet"/>
        <w:numPr>
          <w:ilvl w:val="0"/>
          <w:numId w:val="14"/>
        </w:numPr>
        <w:ind w:left="1418" w:hanging="357"/>
        <w:rPr>
          <w:lang w:eastAsia="zh-CN"/>
        </w:rPr>
      </w:pPr>
      <w:r w:rsidRPr="00FF512C">
        <w:rPr>
          <w:lang w:eastAsia="zh-CN"/>
        </w:rPr>
        <w:t xml:space="preserve">The post hoc analysis of RAASi dose adjustment in the AMETHYST-DN LTMP showed large proportions of patients continued </w:t>
      </w:r>
      <w:r w:rsidR="009B74C2" w:rsidRPr="00FF512C">
        <w:rPr>
          <w:lang w:eastAsia="zh-CN"/>
        </w:rPr>
        <w:t>RAASi</w:t>
      </w:r>
      <w:r w:rsidRPr="00FF512C">
        <w:rPr>
          <w:lang w:eastAsia="zh-CN"/>
        </w:rPr>
        <w:t xml:space="preserve"> therapy without requiring further </w:t>
      </w:r>
      <w:r w:rsidR="00676F0C" w:rsidRPr="00FF512C">
        <w:rPr>
          <w:lang w:eastAsia="zh-CN"/>
        </w:rPr>
        <w:t xml:space="preserve">dose </w:t>
      </w:r>
      <w:r w:rsidRPr="00FF512C">
        <w:rPr>
          <w:lang w:eastAsia="zh-CN"/>
        </w:rPr>
        <w:t xml:space="preserve">adjustment. However, </w:t>
      </w:r>
      <w:r w:rsidRPr="00FF512C">
        <w:t>notwithstanding enrichment of the LTMP continuing population by survivorship, some patients continued to experience RAASi dose adjustments, 2 patients discontinued due to hyperkalaemia, and 5 patients discontinued due to hypokalaemia.</w:t>
      </w:r>
    </w:p>
    <w:p w14:paraId="122EC2B5" w14:textId="708EBF53" w:rsidR="00E72B1B" w:rsidRPr="00FF512C" w:rsidRDefault="00E72B1B" w:rsidP="00804745">
      <w:pPr>
        <w:pStyle w:val="ListParagraph"/>
        <w:numPr>
          <w:ilvl w:val="0"/>
          <w:numId w:val="8"/>
        </w:numPr>
        <w:spacing w:after="0"/>
        <w:ind w:left="1077" w:hanging="357"/>
        <w:contextualSpacing/>
        <w:rPr>
          <w:lang w:eastAsia="zh-CN"/>
        </w:rPr>
      </w:pPr>
      <w:r w:rsidRPr="00FF512C">
        <w:rPr>
          <w:lang w:eastAsia="zh-CN"/>
        </w:rPr>
        <w:t xml:space="preserve">At the November 2020 meeting the PBAC considered that the intense monitoring and the strict patiromer/RAASi titration protocol in OPAL-HK was not broadly applicable to Australian clinical practice and likely led to the implausibly high rates </w:t>
      </w:r>
      <w:r w:rsidRPr="00FF512C">
        <w:rPr>
          <w:lang w:eastAsia="zh-CN"/>
        </w:rPr>
        <w:lastRenderedPageBreak/>
        <w:t>of RAASi discontinuation observed (52% of patients in the placebo arm of Part-B). The resubmission argued that the intensive monitoring and patiromer dose titration used in the OPAL-HK trial aligns with the patiromer Product Information recommendations and the monitoring of patients with CKD in the clinical guidelines. However, the patiromer Product Information and clinical guidelines recommend monitoring and dose titration as required, and do not include strict regimens similar to the OPAL-HK trial protocol.</w:t>
      </w:r>
    </w:p>
    <w:p w14:paraId="26F06296" w14:textId="77777777" w:rsidR="00E72B1B" w:rsidRPr="00FF512C" w:rsidRDefault="00E72B1B" w:rsidP="00804745">
      <w:pPr>
        <w:pStyle w:val="ListParagraph"/>
        <w:numPr>
          <w:ilvl w:val="0"/>
          <w:numId w:val="8"/>
        </w:numPr>
        <w:ind w:left="1077" w:hanging="357"/>
        <w:contextualSpacing/>
        <w:rPr>
          <w:lang w:eastAsia="zh-CN"/>
        </w:rPr>
      </w:pPr>
      <w:r w:rsidRPr="00FF512C">
        <w:rPr>
          <w:lang w:eastAsia="zh-CN"/>
        </w:rPr>
        <w:t>Other key issues of concern related to the OPAL-HK study (small sample size; high risk of bias; differences in RAASi titration protocols between treatment arms; high maximum patiromer dose; and enriched Part B population), remain unresolved.</w:t>
      </w:r>
    </w:p>
    <w:p w14:paraId="716EE40F" w14:textId="342BA0E2" w:rsidR="000521F0" w:rsidRPr="000521F0" w:rsidRDefault="00CB4230" w:rsidP="00D3343D">
      <w:pPr>
        <w:pStyle w:val="COMexecsumnumberedpara"/>
        <w:rPr>
          <w:lang w:eastAsia="zh-CN"/>
        </w:rPr>
      </w:pPr>
      <w:r w:rsidRPr="00FF512C">
        <w:rPr>
          <w:lang w:eastAsia="zh-CN"/>
        </w:rPr>
        <w:t>The ESC noted that the PBAC had previously considered a claim of inferior comparative safety was reasonable, noting the potential for hypokalaemia and hypomagnesaemia with patiromer (paragraph 6.46, patiromer PSD, November 2020)</w:t>
      </w:r>
      <w:r w:rsidR="007A2145">
        <w:rPr>
          <w:lang w:eastAsia="zh-CN"/>
        </w:rPr>
        <w:t>, as well as a higher rate of gastrointestinal adverse events compared to standard of care</w:t>
      </w:r>
      <w:r w:rsidRPr="00FF512C">
        <w:rPr>
          <w:lang w:eastAsia="zh-CN"/>
        </w:rPr>
        <w:t>.</w:t>
      </w:r>
      <w:r>
        <w:rPr>
          <w:lang w:eastAsia="zh-CN"/>
        </w:rPr>
        <w:t xml:space="preserve"> </w:t>
      </w:r>
    </w:p>
    <w:p w14:paraId="58D03F60" w14:textId="321A4406" w:rsidR="000521F0" w:rsidRPr="000521F0" w:rsidRDefault="000521F0" w:rsidP="00427202">
      <w:pPr>
        <w:pStyle w:val="COMexecsumnumberedpara"/>
      </w:pPr>
      <w:r>
        <w:rPr>
          <w:lang w:eastAsia="zh-CN"/>
        </w:rPr>
        <w:t xml:space="preserve">The PBAC considered that the claim of superior efficacy versus standard care was reasonable for the outcome of reducing potassium levels, but that the resubmission had not adequately demonstrated that patiromer would be associated with </w:t>
      </w:r>
      <w:r w:rsidRPr="000521F0">
        <w:rPr>
          <w:lang w:eastAsia="zh-CN"/>
        </w:rPr>
        <w:t xml:space="preserve">a </w:t>
      </w:r>
      <w:bookmarkStart w:id="41" w:name="_Hlk120528149"/>
      <w:r w:rsidRPr="000521F0">
        <w:rPr>
          <w:lang w:eastAsia="zh-CN"/>
        </w:rPr>
        <w:t>clinically important difference in terms of optimisation/maintenance of RAASi treatment and</w:t>
      </w:r>
      <w:r w:rsidR="007A2145">
        <w:rPr>
          <w:lang w:eastAsia="zh-CN"/>
        </w:rPr>
        <w:t>,</w:t>
      </w:r>
      <w:r w:rsidRPr="000521F0">
        <w:rPr>
          <w:lang w:eastAsia="zh-CN"/>
        </w:rPr>
        <w:t xml:space="preserve"> </w:t>
      </w:r>
      <w:r w:rsidR="007A2145">
        <w:rPr>
          <w:lang w:eastAsia="zh-CN"/>
        </w:rPr>
        <w:t xml:space="preserve">consequently on, </w:t>
      </w:r>
      <w:r w:rsidRPr="000521F0">
        <w:rPr>
          <w:lang w:eastAsia="zh-CN"/>
        </w:rPr>
        <w:t>long-term cardiovascular and renal outcomes</w:t>
      </w:r>
      <w:bookmarkEnd w:id="41"/>
      <w:r>
        <w:rPr>
          <w:lang w:eastAsia="zh-CN"/>
        </w:rPr>
        <w:t xml:space="preserve">. </w:t>
      </w:r>
      <w:r w:rsidRPr="000521F0">
        <w:rPr>
          <w:lang w:eastAsia="zh-CN"/>
        </w:rPr>
        <w:t>The PBAC accepted the claim that patiromer was inferior compared to standard of care in terms of safety.</w:t>
      </w:r>
    </w:p>
    <w:p w14:paraId="747EDB30" w14:textId="77777777" w:rsidR="005255A7" w:rsidRPr="005255A7" w:rsidRDefault="005255A7" w:rsidP="00D345A9">
      <w:pPr>
        <w:pStyle w:val="COMexecsumnumberedpara"/>
        <w:keepNext/>
        <w:numPr>
          <w:ilvl w:val="0"/>
          <w:numId w:val="0"/>
        </w:numPr>
        <w:rPr>
          <w:b/>
          <w:sz w:val="28"/>
          <w:szCs w:val="28"/>
        </w:rPr>
      </w:pPr>
      <w:r w:rsidRPr="005255A7">
        <w:rPr>
          <w:b/>
          <w:sz w:val="28"/>
          <w:szCs w:val="28"/>
        </w:rPr>
        <w:t>Patiromer versus SPS/CPS resins</w:t>
      </w:r>
    </w:p>
    <w:p w14:paraId="01AAB01C" w14:textId="10827BBD" w:rsidR="00F81429" w:rsidRDefault="00E72B1B" w:rsidP="00D345A9">
      <w:pPr>
        <w:pStyle w:val="COMexecsumnumberedpara"/>
        <w:keepNext/>
        <w:rPr>
          <w:rFonts w:eastAsia="Calibri"/>
        </w:rPr>
      </w:pPr>
      <w:r w:rsidRPr="000521F0">
        <w:t>The resubmission described patiromer as non</w:t>
      </w:r>
      <w:r w:rsidR="00190256" w:rsidRPr="000521F0">
        <w:t>-</w:t>
      </w:r>
      <w:r w:rsidRPr="000521F0">
        <w:t xml:space="preserve">inferior </w:t>
      </w:r>
      <w:r w:rsidRPr="00FF512C">
        <w:t>in terms of effectiveness and superior in terms of safety compared to SPS/CPS resins.</w:t>
      </w:r>
      <w:r w:rsidR="00BC591F" w:rsidRPr="00FF512C">
        <w:rPr>
          <w:rFonts w:eastAsia="Calibri"/>
        </w:rPr>
        <w:t xml:space="preserve"> </w:t>
      </w:r>
      <w:r w:rsidR="00A916D7" w:rsidRPr="00FF512C">
        <w:t>The PSCR revised the safety claim versus SPS/CPS to that of non-inferiority.</w:t>
      </w:r>
    </w:p>
    <w:p w14:paraId="0B630E52" w14:textId="348741AC" w:rsidR="00735126" w:rsidRPr="00CE791F" w:rsidRDefault="00E72B1B" w:rsidP="00F81429">
      <w:pPr>
        <w:pStyle w:val="COMexecsumnumberedpara"/>
        <w:rPr>
          <w:rFonts w:eastAsia="Calibri"/>
        </w:rPr>
      </w:pPr>
      <w:r w:rsidRPr="00FF512C">
        <w:t xml:space="preserve">The </w:t>
      </w:r>
      <w:r w:rsidR="00A916D7" w:rsidRPr="00FF512C">
        <w:t xml:space="preserve">ESC considered that the </w:t>
      </w:r>
      <w:r w:rsidRPr="00FF512C">
        <w:t xml:space="preserve">therapeutic </w:t>
      </w:r>
      <w:r w:rsidR="001D3DBD" w:rsidRPr="00FF512C">
        <w:t xml:space="preserve">conclusion of non-inferior efficacy </w:t>
      </w:r>
      <w:r w:rsidR="00620CAA" w:rsidRPr="00FF512C">
        <w:t xml:space="preserve">versus SPS/CPS resins </w:t>
      </w:r>
      <w:r w:rsidRPr="00FF512C">
        <w:t xml:space="preserve">presented in the resubmission </w:t>
      </w:r>
      <w:r w:rsidR="001D3DBD" w:rsidRPr="00FF512C">
        <w:t xml:space="preserve">was </w:t>
      </w:r>
      <w:r w:rsidRPr="00FF512C">
        <w:t xml:space="preserve">not adequately supported by the evidence presented </w:t>
      </w:r>
      <w:r w:rsidR="00A916D7" w:rsidRPr="00FF512C">
        <w:t>as</w:t>
      </w:r>
      <w:r w:rsidR="007A2145">
        <w:t>,</w:t>
      </w:r>
      <w:r w:rsidR="00F81429">
        <w:t xml:space="preserve"> a</w:t>
      </w:r>
      <w:r w:rsidR="00A916D7" w:rsidRPr="00FF512C">
        <w:rPr>
          <w:lang w:eastAsia="zh-CN"/>
        </w:rPr>
        <w:t>lthough</w:t>
      </w:r>
      <w:r w:rsidRPr="00FF512C">
        <w:rPr>
          <w:lang w:eastAsia="zh-CN"/>
        </w:rPr>
        <w:t xml:space="preserve"> both patiromer and SPS/CPS resins are effective in reducing serum </w:t>
      </w:r>
      <w:r w:rsidR="009C69BA" w:rsidRPr="00FF512C">
        <w:t>potassium</w:t>
      </w:r>
      <w:r w:rsidRPr="00FF512C">
        <w:rPr>
          <w:lang w:eastAsia="zh-CN"/>
        </w:rPr>
        <w:t xml:space="preserve"> in patients with CKD Stage 3-4 using RAASi therapies</w:t>
      </w:r>
      <w:r w:rsidR="000F0F0E" w:rsidRPr="00FF512C">
        <w:rPr>
          <w:lang w:eastAsia="zh-CN"/>
        </w:rPr>
        <w:t>, the quality of the studies included in the unanchored indirect comparison was poor</w:t>
      </w:r>
      <w:r w:rsidR="007A1761" w:rsidRPr="00FF512C">
        <w:rPr>
          <w:lang w:eastAsia="zh-CN"/>
        </w:rPr>
        <w:t>,</w:t>
      </w:r>
      <w:r w:rsidR="000F0F0E" w:rsidRPr="00FF512C">
        <w:rPr>
          <w:lang w:eastAsia="zh-CN"/>
        </w:rPr>
        <w:t xml:space="preserve"> the risk of bias was high and the results of the comparison were unreliable</w:t>
      </w:r>
      <w:r w:rsidR="007A1761" w:rsidRPr="00FF512C">
        <w:rPr>
          <w:lang w:eastAsia="zh-CN"/>
        </w:rPr>
        <w:t xml:space="preserve"> and did not demonstrate superiority</w:t>
      </w:r>
      <w:r w:rsidRPr="00FF512C">
        <w:rPr>
          <w:lang w:eastAsia="zh-CN"/>
        </w:rPr>
        <w:t xml:space="preserve">. </w:t>
      </w:r>
      <w:r w:rsidR="000F0F0E" w:rsidRPr="00FF512C">
        <w:rPr>
          <w:lang w:eastAsia="zh-CN"/>
        </w:rPr>
        <w:t>The</w:t>
      </w:r>
      <w:r w:rsidRPr="00FF512C">
        <w:rPr>
          <w:lang w:eastAsia="zh-CN"/>
        </w:rPr>
        <w:t xml:space="preserve"> comparison between patiromer and SPS/CPS resins relied on pooled results of an OPAL-HK Part A subgroup (K+ ≥5.5 mmol/L) and AMETHYST-DN LTMP Stratum 2 subgroups, and results from </w:t>
      </w:r>
      <w:r w:rsidR="007A2145">
        <w:rPr>
          <w:lang w:eastAsia="zh-CN"/>
        </w:rPr>
        <w:t xml:space="preserve">two </w:t>
      </w:r>
      <w:r w:rsidRPr="00FF512C">
        <w:rPr>
          <w:lang w:eastAsia="zh-CN"/>
        </w:rPr>
        <w:t xml:space="preserve">SPS/CPS studies (Georgianos 2017, Yu 2017) with substantial differences between study populations in terms of age, gender, CKD stage, incidence of comorbid heart failure and diabetes, baseline serum </w:t>
      </w:r>
      <w:r w:rsidR="009C69BA" w:rsidRPr="00FF512C">
        <w:t>potassium</w:t>
      </w:r>
      <w:r w:rsidRPr="00FF512C">
        <w:rPr>
          <w:lang w:eastAsia="zh-CN"/>
        </w:rPr>
        <w:t xml:space="preserve"> and baseline RAASi use, </w:t>
      </w:r>
      <w:r w:rsidR="007A2145">
        <w:rPr>
          <w:lang w:eastAsia="zh-CN"/>
        </w:rPr>
        <w:t>as well as</w:t>
      </w:r>
      <w:r w:rsidRPr="00FF512C">
        <w:rPr>
          <w:lang w:eastAsia="zh-CN"/>
        </w:rPr>
        <w:t xml:space="preserve"> important differences between studies in terms patiromer versus SPS/CPS dose regimens and treatment duration. </w:t>
      </w:r>
    </w:p>
    <w:p w14:paraId="73C6407C" w14:textId="42E9C6CE" w:rsidR="00CE791F" w:rsidRPr="00F81429" w:rsidRDefault="00CE791F" w:rsidP="00F81429">
      <w:pPr>
        <w:pStyle w:val="COMexecsumnumberedpara"/>
        <w:rPr>
          <w:rFonts w:eastAsia="Calibri"/>
        </w:rPr>
      </w:pPr>
      <w:r>
        <w:rPr>
          <w:lang w:eastAsia="zh-CN"/>
        </w:rPr>
        <w:t>The PBAC considered that the claim that patiromer was non-inferior in terms of reducing potassium levels compared to SPS/CPS resins was likely reasonable.</w:t>
      </w:r>
    </w:p>
    <w:p w14:paraId="7742B6AD" w14:textId="640FCEFC" w:rsidR="00E72B1B" w:rsidRPr="00CE791F" w:rsidRDefault="002841A2" w:rsidP="00E40E35">
      <w:pPr>
        <w:pStyle w:val="COMexecsumnumberedpara"/>
        <w:rPr>
          <w:lang w:eastAsia="zh-CN"/>
        </w:rPr>
      </w:pPr>
      <w:r w:rsidRPr="00FF512C">
        <w:rPr>
          <w:lang w:eastAsia="zh-CN"/>
        </w:rPr>
        <w:lastRenderedPageBreak/>
        <w:t>The ESC agreed with the PSCR’s revised claim of non-inferior safety versus SPS/CPS resins.</w:t>
      </w:r>
      <w:r w:rsidR="009C5F50" w:rsidRPr="00FF512C">
        <w:rPr>
          <w:lang w:eastAsia="zh-CN"/>
        </w:rPr>
        <w:t xml:space="preserve"> </w:t>
      </w:r>
      <w:r w:rsidR="000F0F0E" w:rsidRPr="00FF512C">
        <w:rPr>
          <w:lang w:eastAsia="zh-CN"/>
        </w:rPr>
        <w:t xml:space="preserve">The ESC </w:t>
      </w:r>
      <w:r w:rsidR="007A1761" w:rsidRPr="00FF512C">
        <w:rPr>
          <w:lang w:eastAsia="zh-CN"/>
        </w:rPr>
        <w:t>noted that patiromer appeared to be more palatable t</w:t>
      </w:r>
      <w:r w:rsidR="00E40E35" w:rsidRPr="00FF512C">
        <w:rPr>
          <w:lang w:eastAsia="zh-CN"/>
        </w:rPr>
        <w:t>han</w:t>
      </w:r>
      <w:r w:rsidR="007A1761" w:rsidRPr="00FF512C">
        <w:rPr>
          <w:lang w:eastAsia="zh-CN"/>
        </w:rPr>
        <w:t xml:space="preserve"> SPS/CPS </w:t>
      </w:r>
      <w:r w:rsidR="00E40E35" w:rsidRPr="00FF512C">
        <w:rPr>
          <w:lang w:eastAsia="zh-CN"/>
        </w:rPr>
        <w:t xml:space="preserve">resins </w:t>
      </w:r>
      <w:r w:rsidR="007A1761" w:rsidRPr="00FF512C">
        <w:rPr>
          <w:lang w:eastAsia="zh-CN"/>
        </w:rPr>
        <w:t xml:space="preserve">and was </w:t>
      </w:r>
      <w:r w:rsidR="001D3DBD" w:rsidRPr="00FF512C">
        <w:rPr>
          <w:lang w:eastAsia="zh-CN"/>
        </w:rPr>
        <w:t xml:space="preserve">possibly </w:t>
      </w:r>
      <w:r w:rsidR="007A1761" w:rsidRPr="00FF512C">
        <w:rPr>
          <w:lang w:eastAsia="zh-CN"/>
        </w:rPr>
        <w:t>associated with fewer gastrointestinal adverse events</w:t>
      </w:r>
      <w:r w:rsidR="005A6610" w:rsidRPr="00FF512C">
        <w:rPr>
          <w:lang w:eastAsia="zh-CN"/>
        </w:rPr>
        <w:t xml:space="preserve">; </w:t>
      </w:r>
      <w:r w:rsidR="005A6610" w:rsidRPr="00CE791F">
        <w:rPr>
          <w:lang w:eastAsia="zh-CN"/>
        </w:rPr>
        <w:t xml:space="preserve">however, </w:t>
      </w:r>
      <w:r w:rsidR="001D3DBD" w:rsidRPr="00CE791F">
        <w:rPr>
          <w:lang w:eastAsia="zh-CN"/>
        </w:rPr>
        <w:t xml:space="preserve">agreed with the PSCR </w:t>
      </w:r>
      <w:r w:rsidR="000F0F0E" w:rsidRPr="00CE791F">
        <w:rPr>
          <w:lang w:eastAsia="zh-CN"/>
        </w:rPr>
        <w:t xml:space="preserve">that </w:t>
      </w:r>
      <w:r w:rsidR="005A6610" w:rsidRPr="00CE791F">
        <w:rPr>
          <w:lang w:eastAsia="zh-CN"/>
        </w:rPr>
        <w:t xml:space="preserve">superior safety had not been demonstrated and that </w:t>
      </w:r>
      <w:r w:rsidR="001D3DBD" w:rsidRPr="00CE791F">
        <w:rPr>
          <w:lang w:eastAsia="zh-CN"/>
        </w:rPr>
        <w:t>the</w:t>
      </w:r>
      <w:r w:rsidR="00063250" w:rsidRPr="00CE791F">
        <w:rPr>
          <w:lang w:eastAsia="zh-CN"/>
        </w:rPr>
        <w:t xml:space="preserve"> </w:t>
      </w:r>
      <w:r w:rsidR="005A6610" w:rsidRPr="00CE791F">
        <w:rPr>
          <w:lang w:eastAsia="zh-CN"/>
        </w:rPr>
        <w:t xml:space="preserve">revised </w:t>
      </w:r>
      <w:r w:rsidR="000F0F0E" w:rsidRPr="00CE791F">
        <w:rPr>
          <w:lang w:eastAsia="zh-CN"/>
        </w:rPr>
        <w:t>claim of non-inferior safety was more appropriate.</w:t>
      </w:r>
    </w:p>
    <w:p w14:paraId="4D848658" w14:textId="189AFA2B" w:rsidR="00804745" w:rsidRPr="00CE791F" w:rsidRDefault="00804745" w:rsidP="00804745">
      <w:pPr>
        <w:pStyle w:val="COMexecsumnumberedpara"/>
      </w:pPr>
      <w:bookmarkStart w:id="42" w:name="_Hlk76376200"/>
      <w:r w:rsidRPr="00CE791F">
        <w:t xml:space="preserve">The PBAC considered that the claim </w:t>
      </w:r>
      <w:r w:rsidR="00CE791F" w:rsidRPr="00CE791F">
        <w:t xml:space="preserve">that patiromer was </w:t>
      </w:r>
      <w:r w:rsidRPr="00CE791F">
        <w:t>non-inferior</w:t>
      </w:r>
      <w:r w:rsidR="00CE791F" w:rsidRPr="00CE791F">
        <w:t xml:space="preserve"> compared to SPS/CPS resins in terms of </w:t>
      </w:r>
      <w:r w:rsidRPr="00CE791F">
        <w:t>safety was reasonable</w:t>
      </w:r>
      <w:r w:rsidR="00126C72">
        <w:t xml:space="preserve"> and considered that patiromer may be</w:t>
      </w:r>
      <w:r w:rsidR="00126C72" w:rsidRPr="00126C72">
        <w:t xml:space="preserve"> associated with fewer gastrointestinal adverse events</w:t>
      </w:r>
      <w:r w:rsidRPr="00CE791F">
        <w:t>.</w:t>
      </w:r>
      <w:bookmarkEnd w:id="42"/>
    </w:p>
    <w:p w14:paraId="74A1172E" w14:textId="0C3B6F46" w:rsidR="00B60939" w:rsidRPr="001159D0" w:rsidRDefault="00B60939" w:rsidP="00E9094A">
      <w:pPr>
        <w:pStyle w:val="COMH2-non-numbered"/>
      </w:pPr>
      <w:bookmarkStart w:id="43" w:name="_Toc22897645"/>
      <w:bookmarkStart w:id="44" w:name="_Toc111818935"/>
      <w:r w:rsidRPr="00CE791F">
        <w:t>Economic analysis</w:t>
      </w:r>
      <w:bookmarkEnd w:id="43"/>
      <w:bookmarkEnd w:id="44"/>
      <w:r w:rsidR="00491B3A" w:rsidRPr="001159D0">
        <w:t xml:space="preserve"> </w:t>
      </w:r>
    </w:p>
    <w:p w14:paraId="369D79E6" w14:textId="77777777" w:rsidR="00FE7043" w:rsidRPr="002F6665" w:rsidRDefault="00FE7043" w:rsidP="00866D8C">
      <w:pPr>
        <w:pStyle w:val="COMexecsumnumberedpara"/>
        <w:spacing w:after="0"/>
        <w:contextualSpacing/>
      </w:pPr>
      <w:bookmarkStart w:id="45" w:name="_Toc22897646"/>
      <w:r w:rsidRPr="002F6665">
        <w:t>Separate economic analyses were presented in the resubmission for the two nominated comparators for patiromer in the treatment of hyperkalaemia associated with RAASi use in CKD 3-4 patients:</w:t>
      </w:r>
    </w:p>
    <w:p w14:paraId="525A4126" w14:textId="1A4E799B" w:rsidR="00FE7043" w:rsidRPr="002F6665" w:rsidRDefault="00FE7043" w:rsidP="00804745">
      <w:pPr>
        <w:pStyle w:val="ListParagraph"/>
        <w:numPr>
          <w:ilvl w:val="0"/>
          <w:numId w:val="8"/>
        </w:numPr>
        <w:spacing w:after="0"/>
        <w:ind w:left="1077" w:hanging="357"/>
        <w:contextualSpacing/>
        <w:rPr>
          <w:lang w:eastAsia="zh-CN"/>
        </w:rPr>
      </w:pPr>
      <w:r w:rsidRPr="002F6665">
        <w:rPr>
          <w:lang w:eastAsia="zh-CN"/>
        </w:rPr>
        <w:t>A cost-effectiveness/cost-utility analysis comparing patiromer with standard care</w:t>
      </w:r>
      <w:r w:rsidR="00375702" w:rsidRPr="002F6665">
        <w:rPr>
          <w:lang w:eastAsia="zh-CN"/>
        </w:rPr>
        <w:t xml:space="preserve">, assumed to represent </w:t>
      </w:r>
      <w:r w:rsidR="003E2BEF" w:rsidRPr="0072046C">
        <w:rPr>
          <w:color w:val="000000"/>
          <w:w w:val="15"/>
          <w:shd w:val="solid" w:color="000000" w:fill="000000"/>
          <w:fitText w:val="-20" w:id="-1304706801"/>
          <w:lang w:eastAsia="zh-CN"/>
          <w14:textFill>
            <w14:solidFill>
              <w14:srgbClr w14:val="000000">
                <w14:alpha w14:val="100000"/>
              </w14:srgbClr>
            </w14:solidFill>
          </w14:textFill>
        </w:rPr>
        <w:t xml:space="preserve">|  </w:t>
      </w:r>
      <w:r w:rsidR="003E2BEF" w:rsidRPr="0072046C">
        <w:rPr>
          <w:color w:val="000000"/>
          <w:spacing w:val="-69"/>
          <w:w w:val="15"/>
          <w:shd w:val="solid" w:color="000000" w:fill="000000"/>
          <w:fitText w:val="-20" w:id="-1304706801"/>
          <w:lang w:eastAsia="zh-CN"/>
          <w14:textFill>
            <w14:solidFill>
              <w14:srgbClr w14:val="000000">
                <w14:alpha w14:val="100000"/>
              </w14:srgbClr>
            </w14:solidFill>
          </w14:textFill>
        </w:rPr>
        <w:t>|</w:t>
      </w:r>
      <w:r w:rsidR="00375702" w:rsidRPr="00EB4A92">
        <w:rPr>
          <w:lang w:eastAsia="zh-CN"/>
        </w:rPr>
        <w:t>%</w:t>
      </w:r>
      <w:r w:rsidR="00375702" w:rsidRPr="002F6665">
        <w:rPr>
          <w:lang w:eastAsia="zh-CN"/>
        </w:rPr>
        <w:t xml:space="preserve"> of use</w:t>
      </w:r>
      <w:r w:rsidRPr="002F6665">
        <w:rPr>
          <w:lang w:eastAsia="zh-CN"/>
        </w:rPr>
        <w:t>.</w:t>
      </w:r>
    </w:p>
    <w:p w14:paraId="6B822B6A" w14:textId="5DD33B51" w:rsidR="00FE7043" w:rsidRPr="002F6665" w:rsidRDefault="00FE7043" w:rsidP="00804745">
      <w:pPr>
        <w:pStyle w:val="ListParagraph"/>
        <w:numPr>
          <w:ilvl w:val="0"/>
          <w:numId w:val="8"/>
        </w:numPr>
        <w:ind w:left="1077" w:hanging="357"/>
        <w:contextualSpacing/>
        <w:rPr>
          <w:lang w:eastAsia="zh-CN"/>
        </w:rPr>
      </w:pPr>
      <w:r w:rsidRPr="002F6665">
        <w:rPr>
          <w:lang w:eastAsia="zh-CN"/>
        </w:rPr>
        <w:t>A cost minimisation approach comparing patiromer with SPS/CPS</w:t>
      </w:r>
      <w:r w:rsidR="00734B79" w:rsidRPr="002F6665">
        <w:rPr>
          <w:lang w:eastAsia="zh-CN"/>
        </w:rPr>
        <w:t xml:space="preserve">, assumed to </w:t>
      </w:r>
      <w:r w:rsidR="00734B79" w:rsidRPr="00EB4A92">
        <w:rPr>
          <w:lang w:eastAsia="zh-CN"/>
        </w:rPr>
        <w:t xml:space="preserve">represent </w:t>
      </w:r>
      <w:r w:rsidR="003E2BEF" w:rsidRPr="0072046C">
        <w:rPr>
          <w:color w:val="000000"/>
          <w:w w:val="15"/>
          <w:shd w:val="solid" w:color="000000" w:fill="000000"/>
          <w:fitText w:val="-20" w:id="-1304706800"/>
          <w:lang w:eastAsia="zh-CN"/>
          <w14:textFill>
            <w14:solidFill>
              <w14:srgbClr w14:val="000000">
                <w14:alpha w14:val="100000"/>
              </w14:srgbClr>
            </w14:solidFill>
          </w14:textFill>
        </w:rPr>
        <w:t xml:space="preserve">|  </w:t>
      </w:r>
      <w:r w:rsidR="003E2BEF" w:rsidRPr="0072046C">
        <w:rPr>
          <w:color w:val="000000"/>
          <w:spacing w:val="-69"/>
          <w:w w:val="15"/>
          <w:shd w:val="solid" w:color="000000" w:fill="000000"/>
          <w:fitText w:val="-20" w:id="-1304706800"/>
          <w:lang w:eastAsia="zh-CN"/>
          <w14:textFill>
            <w14:solidFill>
              <w14:srgbClr w14:val="000000">
                <w14:alpha w14:val="100000"/>
              </w14:srgbClr>
            </w14:solidFill>
          </w14:textFill>
        </w:rPr>
        <w:t>|</w:t>
      </w:r>
      <w:r w:rsidR="00734B79" w:rsidRPr="00EB4A92">
        <w:rPr>
          <w:lang w:eastAsia="zh-CN"/>
        </w:rPr>
        <w:t>%</w:t>
      </w:r>
      <w:r w:rsidR="00734B79" w:rsidRPr="002F6665">
        <w:rPr>
          <w:lang w:eastAsia="zh-CN"/>
        </w:rPr>
        <w:t xml:space="preserve"> of use</w:t>
      </w:r>
      <w:r w:rsidRPr="002F6665">
        <w:rPr>
          <w:lang w:eastAsia="zh-CN"/>
        </w:rPr>
        <w:t>.</w:t>
      </w:r>
    </w:p>
    <w:p w14:paraId="53509574" w14:textId="3076BF59" w:rsidR="00FE7043" w:rsidRPr="00202697" w:rsidRDefault="00FE7043" w:rsidP="00DF453A">
      <w:pPr>
        <w:pStyle w:val="4-SubsectSubhead"/>
      </w:pPr>
      <w:r w:rsidRPr="00202697">
        <w:t>Cost-effectiveness/cost-utility analysis</w:t>
      </w:r>
    </w:p>
    <w:p w14:paraId="533A2110" w14:textId="0AAE02ED" w:rsidR="00D56512" w:rsidRPr="001159D0" w:rsidRDefault="00D56512" w:rsidP="00D56512">
      <w:pPr>
        <w:pStyle w:val="COMexecsumnumberedpara"/>
        <w:numPr>
          <w:ilvl w:val="1"/>
          <w:numId w:val="1"/>
        </w:numPr>
      </w:pPr>
      <w:r w:rsidRPr="001159D0">
        <w:t xml:space="preserve">The </w:t>
      </w:r>
      <w:r w:rsidR="00734B79">
        <w:t>resubmission presented</w:t>
      </w:r>
      <w:r w:rsidRPr="001159D0">
        <w:t xml:space="preserve"> a new economic analysis instead of revising the economic analysis presented in November 2020 given the substantial issues raised regarding the previous economic model.</w:t>
      </w:r>
    </w:p>
    <w:p w14:paraId="78133348" w14:textId="3A09D2B8" w:rsidR="00D56512" w:rsidRPr="001159D0" w:rsidRDefault="00D56512" w:rsidP="00D56512">
      <w:pPr>
        <w:pStyle w:val="COMexecsumnumberedpara"/>
        <w:numPr>
          <w:ilvl w:val="1"/>
          <w:numId w:val="1"/>
        </w:numPr>
      </w:pPr>
      <w:r w:rsidRPr="001159D0">
        <w:t>The resubmission presented a stepped economic evaluation of patiromer compared to placebo for the treatment of hyperkalaemia associated with chronic kidney disease. The economic evaluation was based on the analysis of the OPAL-HK study with additional modelled data. The economic evaluation was presented as a cost-effectiveness/cost-utility analysis.</w:t>
      </w:r>
    </w:p>
    <w:p w14:paraId="25A26493" w14:textId="38908E86" w:rsidR="00186EA6" w:rsidRPr="001159D0" w:rsidRDefault="00186EA6" w:rsidP="00B74E0E">
      <w:pPr>
        <w:pStyle w:val="COMTableheadingrow"/>
        <w:rPr>
          <w:lang w:val="en-AU"/>
        </w:rPr>
      </w:pPr>
      <w:r w:rsidRPr="001159D0">
        <w:rPr>
          <w:lang w:val="en-AU"/>
        </w:rPr>
        <w:t xml:space="preserve">Table </w:t>
      </w:r>
      <w:r w:rsidRPr="001159D0">
        <w:rPr>
          <w:lang w:val="en-AU"/>
        </w:rPr>
        <w:fldChar w:fldCharType="begin"/>
      </w:r>
      <w:r w:rsidRPr="001159D0">
        <w:rPr>
          <w:lang w:val="en-AU"/>
        </w:rPr>
        <w:instrText xml:space="preserve"> SEQ Table \* ARABIC </w:instrText>
      </w:r>
      <w:r w:rsidRPr="001159D0">
        <w:rPr>
          <w:lang w:val="en-AU"/>
        </w:rPr>
        <w:fldChar w:fldCharType="separate"/>
      </w:r>
      <w:r w:rsidR="00565456">
        <w:rPr>
          <w:noProof/>
          <w:lang w:val="en-AU"/>
        </w:rPr>
        <w:t>11</w:t>
      </w:r>
      <w:r w:rsidRPr="001159D0">
        <w:rPr>
          <w:lang w:val="en-AU"/>
        </w:rPr>
        <w:fldChar w:fldCharType="end"/>
      </w:r>
      <w:r w:rsidRPr="001159D0">
        <w:rPr>
          <w:lang w:val="en-AU"/>
        </w:rPr>
        <w:t>: Key components of the economic evaluation</w:t>
      </w:r>
    </w:p>
    <w:tbl>
      <w:tblPr>
        <w:tblW w:w="4999" w:type="pct"/>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405"/>
        <w:gridCol w:w="7610"/>
      </w:tblGrid>
      <w:tr w:rsidR="00186EA6" w:rsidRPr="001159D0" w14:paraId="79027B54" w14:textId="77777777" w:rsidTr="00624A83">
        <w:trPr>
          <w:tblHeader/>
        </w:trPr>
        <w:tc>
          <w:tcPr>
            <w:tcW w:w="779" w:type="pct"/>
            <w:shd w:val="clear" w:color="auto" w:fill="auto"/>
          </w:tcPr>
          <w:p w14:paraId="61F93098" w14:textId="77777777" w:rsidR="00186EA6" w:rsidRPr="001159D0" w:rsidRDefault="00186EA6" w:rsidP="00B74E0E">
            <w:pPr>
              <w:pStyle w:val="TableText0"/>
              <w:widowControl w:val="0"/>
              <w:rPr>
                <w:b/>
              </w:rPr>
            </w:pPr>
            <w:r w:rsidRPr="001159D0">
              <w:rPr>
                <w:b/>
              </w:rPr>
              <w:t xml:space="preserve">Component </w:t>
            </w:r>
          </w:p>
        </w:tc>
        <w:tc>
          <w:tcPr>
            <w:tcW w:w="4221" w:type="pct"/>
            <w:shd w:val="clear" w:color="auto" w:fill="auto"/>
          </w:tcPr>
          <w:p w14:paraId="2FCA2537" w14:textId="77777777" w:rsidR="00186EA6" w:rsidRPr="001159D0" w:rsidRDefault="00186EA6" w:rsidP="00B74E0E">
            <w:pPr>
              <w:pStyle w:val="TableText0"/>
              <w:widowControl w:val="0"/>
              <w:rPr>
                <w:b/>
              </w:rPr>
            </w:pPr>
            <w:r w:rsidRPr="001159D0">
              <w:rPr>
                <w:b/>
              </w:rPr>
              <w:t>Description</w:t>
            </w:r>
          </w:p>
        </w:tc>
      </w:tr>
      <w:tr w:rsidR="00186EA6" w:rsidRPr="001159D0" w14:paraId="79915304" w14:textId="77777777" w:rsidTr="00624A83">
        <w:tc>
          <w:tcPr>
            <w:tcW w:w="779" w:type="pct"/>
            <w:shd w:val="clear" w:color="auto" w:fill="auto"/>
            <w:vAlign w:val="center"/>
          </w:tcPr>
          <w:p w14:paraId="6F42493D" w14:textId="77777777" w:rsidR="00186EA6" w:rsidRPr="001159D0" w:rsidRDefault="00186EA6" w:rsidP="00B74E0E">
            <w:pPr>
              <w:pStyle w:val="TableText0"/>
              <w:widowControl w:val="0"/>
            </w:pPr>
            <w:r w:rsidRPr="001159D0">
              <w:t xml:space="preserve">Type of analysis </w:t>
            </w:r>
          </w:p>
        </w:tc>
        <w:tc>
          <w:tcPr>
            <w:tcW w:w="4221" w:type="pct"/>
            <w:shd w:val="clear" w:color="auto" w:fill="auto"/>
            <w:vAlign w:val="center"/>
          </w:tcPr>
          <w:p w14:paraId="5D008F96" w14:textId="77777777" w:rsidR="00186EA6" w:rsidRPr="001159D0" w:rsidRDefault="00186EA6" w:rsidP="00B74E0E">
            <w:pPr>
              <w:pStyle w:val="TableText0"/>
              <w:widowControl w:val="0"/>
              <w:rPr>
                <w:rFonts w:ascii="Times" w:eastAsia="Times New Roman" w:hAnsi="Times" w:cs="Times New Roman"/>
                <w:szCs w:val="20"/>
              </w:rPr>
            </w:pPr>
            <w:r w:rsidRPr="001159D0">
              <w:t>Cost-effectiveness/cost-utility analysis</w:t>
            </w:r>
          </w:p>
        </w:tc>
      </w:tr>
      <w:tr w:rsidR="00186EA6" w:rsidRPr="001159D0" w14:paraId="7F53A7A1" w14:textId="77777777" w:rsidTr="00624A83">
        <w:tc>
          <w:tcPr>
            <w:tcW w:w="779" w:type="pct"/>
            <w:shd w:val="clear" w:color="auto" w:fill="auto"/>
            <w:vAlign w:val="center"/>
          </w:tcPr>
          <w:p w14:paraId="572AC560" w14:textId="77777777" w:rsidR="00186EA6" w:rsidRPr="001159D0" w:rsidRDefault="00186EA6" w:rsidP="00B74E0E">
            <w:pPr>
              <w:pStyle w:val="TableText0"/>
              <w:widowControl w:val="0"/>
              <w:rPr>
                <w:rFonts w:ascii="Times" w:eastAsia="Times New Roman" w:hAnsi="Times" w:cs="Times New Roman"/>
                <w:szCs w:val="20"/>
              </w:rPr>
            </w:pPr>
            <w:r w:rsidRPr="001159D0">
              <w:t>Outcomes</w:t>
            </w:r>
          </w:p>
        </w:tc>
        <w:tc>
          <w:tcPr>
            <w:tcW w:w="4221" w:type="pct"/>
            <w:shd w:val="clear" w:color="auto" w:fill="auto"/>
            <w:vAlign w:val="center"/>
          </w:tcPr>
          <w:p w14:paraId="1EE2D6B5" w14:textId="77777777" w:rsidR="00186EA6" w:rsidRPr="001159D0" w:rsidRDefault="00186EA6" w:rsidP="00B74E0E">
            <w:pPr>
              <w:pStyle w:val="TableText0"/>
              <w:widowControl w:val="0"/>
            </w:pPr>
            <w:r w:rsidRPr="001159D0">
              <w:t>Life years; quality adjusted life years</w:t>
            </w:r>
          </w:p>
        </w:tc>
      </w:tr>
      <w:tr w:rsidR="00186EA6" w:rsidRPr="001159D0" w14:paraId="6E0AB63F" w14:textId="77777777" w:rsidTr="00624A83">
        <w:tc>
          <w:tcPr>
            <w:tcW w:w="779" w:type="pct"/>
            <w:shd w:val="clear" w:color="auto" w:fill="auto"/>
            <w:vAlign w:val="center"/>
          </w:tcPr>
          <w:p w14:paraId="4752CF70" w14:textId="77777777" w:rsidR="00186EA6" w:rsidRPr="001159D0" w:rsidRDefault="00186EA6" w:rsidP="00B74E0E">
            <w:pPr>
              <w:pStyle w:val="TableText0"/>
              <w:widowControl w:val="0"/>
              <w:rPr>
                <w:rFonts w:ascii="Times" w:eastAsia="Times New Roman" w:hAnsi="Times" w:cs="Times New Roman"/>
                <w:szCs w:val="20"/>
              </w:rPr>
            </w:pPr>
            <w:r w:rsidRPr="001159D0">
              <w:t>Time horizon</w:t>
            </w:r>
          </w:p>
        </w:tc>
        <w:tc>
          <w:tcPr>
            <w:tcW w:w="4221" w:type="pct"/>
            <w:shd w:val="clear" w:color="auto" w:fill="auto"/>
            <w:vAlign w:val="center"/>
          </w:tcPr>
          <w:p w14:paraId="4EECD095" w14:textId="77777777" w:rsidR="00186EA6" w:rsidRPr="001159D0" w:rsidRDefault="00186EA6" w:rsidP="00B74E0E">
            <w:pPr>
              <w:pStyle w:val="TableText0"/>
              <w:widowControl w:val="0"/>
              <w:rPr>
                <w:rFonts w:ascii="Times" w:eastAsia="Times New Roman" w:hAnsi="Times" w:cs="Times New Roman"/>
                <w:szCs w:val="20"/>
              </w:rPr>
            </w:pPr>
            <w:r w:rsidRPr="001159D0">
              <w:t>30 years</w:t>
            </w:r>
          </w:p>
        </w:tc>
      </w:tr>
      <w:tr w:rsidR="00186EA6" w:rsidRPr="001159D0" w14:paraId="40834C6E" w14:textId="77777777" w:rsidTr="00624A83">
        <w:tc>
          <w:tcPr>
            <w:tcW w:w="779" w:type="pct"/>
            <w:shd w:val="clear" w:color="auto" w:fill="auto"/>
            <w:vAlign w:val="center"/>
          </w:tcPr>
          <w:p w14:paraId="2BFE9216" w14:textId="77777777" w:rsidR="00186EA6" w:rsidRPr="001159D0" w:rsidRDefault="00186EA6" w:rsidP="00B74E0E">
            <w:pPr>
              <w:pStyle w:val="TableText0"/>
              <w:widowControl w:val="0"/>
              <w:rPr>
                <w:rFonts w:ascii="Times" w:eastAsia="Times New Roman" w:hAnsi="Times" w:cs="Times New Roman"/>
                <w:szCs w:val="20"/>
              </w:rPr>
            </w:pPr>
            <w:r w:rsidRPr="001159D0">
              <w:t>Methods used to generate results</w:t>
            </w:r>
          </w:p>
        </w:tc>
        <w:tc>
          <w:tcPr>
            <w:tcW w:w="4221" w:type="pct"/>
            <w:shd w:val="clear" w:color="auto" w:fill="auto"/>
            <w:vAlign w:val="center"/>
          </w:tcPr>
          <w:p w14:paraId="603731ED" w14:textId="77777777" w:rsidR="00186EA6" w:rsidRPr="001159D0" w:rsidRDefault="00186EA6" w:rsidP="00B74E0E">
            <w:pPr>
              <w:pStyle w:val="TableText0"/>
              <w:widowControl w:val="0"/>
            </w:pPr>
            <w:r w:rsidRPr="001159D0">
              <w:t>Markov state transition cohort model</w:t>
            </w:r>
          </w:p>
        </w:tc>
      </w:tr>
      <w:tr w:rsidR="00186EA6" w:rsidRPr="001159D0" w14:paraId="78589CEC" w14:textId="77777777" w:rsidTr="00624A83">
        <w:tc>
          <w:tcPr>
            <w:tcW w:w="779" w:type="pct"/>
            <w:shd w:val="clear" w:color="auto" w:fill="auto"/>
            <w:vAlign w:val="center"/>
          </w:tcPr>
          <w:p w14:paraId="0817F10E" w14:textId="77777777" w:rsidR="00186EA6" w:rsidRPr="001159D0" w:rsidRDefault="00186EA6" w:rsidP="00B74E0E">
            <w:pPr>
              <w:pStyle w:val="TableText0"/>
              <w:widowControl w:val="0"/>
            </w:pPr>
            <w:r w:rsidRPr="001159D0">
              <w:t>Treatments</w:t>
            </w:r>
          </w:p>
        </w:tc>
        <w:tc>
          <w:tcPr>
            <w:tcW w:w="4221" w:type="pct"/>
            <w:shd w:val="clear" w:color="auto" w:fill="auto"/>
            <w:vAlign w:val="center"/>
          </w:tcPr>
          <w:p w14:paraId="19875871" w14:textId="77777777" w:rsidR="00186EA6" w:rsidRPr="001159D0" w:rsidRDefault="00186EA6" w:rsidP="00B74E0E">
            <w:pPr>
              <w:pStyle w:val="TableText0"/>
              <w:widowControl w:val="0"/>
            </w:pPr>
            <w:r w:rsidRPr="001159D0">
              <w:t>Patiromer; placebo</w:t>
            </w:r>
          </w:p>
        </w:tc>
      </w:tr>
      <w:tr w:rsidR="00186EA6" w:rsidRPr="001159D0" w14:paraId="03767E8C" w14:textId="77777777" w:rsidTr="00624A83">
        <w:tc>
          <w:tcPr>
            <w:tcW w:w="779" w:type="pct"/>
            <w:shd w:val="clear" w:color="auto" w:fill="auto"/>
            <w:vAlign w:val="center"/>
          </w:tcPr>
          <w:p w14:paraId="7A88FA93" w14:textId="77777777" w:rsidR="00186EA6" w:rsidRPr="001159D0" w:rsidRDefault="00186EA6" w:rsidP="00B74E0E">
            <w:pPr>
              <w:pStyle w:val="TableText0"/>
              <w:widowControl w:val="0"/>
              <w:rPr>
                <w:rFonts w:ascii="Times" w:eastAsia="Times New Roman" w:hAnsi="Times" w:cs="Times New Roman"/>
                <w:szCs w:val="20"/>
              </w:rPr>
            </w:pPr>
            <w:r w:rsidRPr="001159D0">
              <w:t>Health states</w:t>
            </w:r>
          </w:p>
        </w:tc>
        <w:tc>
          <w:tcPr>
            <w:tcW w:w="4221" w:type="pct"/>
            <w:shd w:val="clear" w:color="auto" w:fill="auto"/>
            <w:vAlign w:val="center"/>
          </w:tcPr>
          <w:p w14:paraId="7401C885" w14:textId="77777777" w:rsidR="00186EA6" w:rsidRPr="001159D0" w:rsidRDefault="00186EA6" w:rsidP="00B74E0E">
            <w:pPr>
              <w:pStyle w:val="TableText0"/>
              <w:widowControl w:val="0"/>
            </w:pPr>
            <w:r w:rsidRPr="001159D0">
              <w:t>600 treatment/health states based on hyperkalaemia status (none, mild, moderate, severe); patiromer treatment status (on treatment, off treatment); RAASi treatment status (maximal, submaximal, none); severity of kidney disease (CKD 3, CKD 4, CKD 5, dialysis, transplantation); severity of heart failure (none, NYHA I, NYHA II, NYHA III, NYHA IV). The model also includes one death state. RAASi dose modifications, cardiovascular events, hospitalisations and dialysis complications were modelled as events.</w:t>
            </w:r>
          </w:p>
        </w:tc>
      </w:tr>
      <w:tr w:rsidR="00186EA6" w:rsidRPr="001159D0" w14:paraId="27973D5B" w14:textId="77777777" w:rsidTr="00624A83">
        <w:tc>
          <w:tcPr>
            <w:tcW w:w="779" w:type="pct"/>
            <w:shd w:val="clear" w:color="auto" w:fill="auto"/>
            <w:vAlign w:val="center"/>
          </w:tcPr>
          <w:p w14:paraId="73E16772" w14:textId="77777777" w:rsidR="00186EA6" w:rsidRPr="001159D0" w:rsidRDefault="00186EA6" w:rsidP="00624A83">
            <w:pPr>
              <w:pStyle w:val="TableText0"/>
              <w:keepNext w:val="0"/>
              <w:widowControl w:val="0"/>
              <w:rPr>
                <w:rFonts w:ascii="Times" w:eastAsia="Times New Roman" w:hAnsi="Times" w:cs="Times New Roman"/>
                <w:szCs w:val="20"/>
              </w:rPr>
            </w:pPr>
            <w:r w:rsidRPr="001159D0">
              <w:t>Cycle length</w:t>
            </w:r>
          </w:p>
        </w:tc>
        <w:tc>
          <w:tcPr>
            <w:tcW w:w="4221" w:type="pct"/>
            <w:shd w:val="clear" w:color="auto" w:fill="auto"/>
            <w:vAlign w:val="center"/>
          </w:tcPr>
          <w:p w14:paraId="294A6F29" w14:textId="77777777" w:rsidR="00186EA6" w:rsidRPr="001159D0" w:rsidRDefault="00186EA6" w:rsidP="00624A83">
            <w:pPr>
              <w:pStyle w:val="TableText0"/>
              <w:keepNext w:val="0"/>
              <w:widowControl w:val="0"/>
            </w:pPr>
            <w:r w:rsidRPr="001159D0">
              <w:t>1 month</w:t>
            </w:r>
          </w:p>
        </w:tc>
      </w:tr>
      <w:tr w:rsidR="00186EA6" w:rsidRPr="001159D0" w14:paraId="7823CCB5" w14:textId="77777777" w:rsidTr="00624A83">
        <w:tc>
          <w:tcPr>
            <w:tcW w:w="779" w:type="pct"/>
            <w:shd w:val="clear" w:color="auto" w:fill="auto"/>
            <w:vAlign w:val="center"/>
          </w:tcPr>
          <w:p w14:paraId="70198E25" w14:textId="77777777" w:rsidR="00186EA6" w:rsidRPr="001159D0" w:rsidRDefault="00186EA6" w:rsidP="00624A83">
            <w:pPr>
              <w:pStyle w:val="TableText0"/>
              <w:keepNext w:val="0"/>
              <w:widowControl w:val="0"/>
            </w:pPr>
            <w:r w:rsidRPr="001159D0">
              <w:t xml:space="preserve">Transition probabilities </w:t>
            </w:r>
          </w:p>
        </w:tc>
        <w:tc>
          <w:tcPr>
            <w:tcW w:w="4221" w:type="pct"/>
            <w:shd w:val="clear" w:color="auto" w:fill="auto"/>
            <w:vAlign w:val="center"/>
          </w:tcPr>
          <w:p w14:paraId="1F6F033A" w14:textId="77777777" w:rsidR="00186EA6" w:rsidRPr="001159D0" w:rsidRDefault="00186EA6" w:rsidP="00624A83">
            <w:pPr>
              <w:pStyle w:val="TableText0"/>
              <w:keepNext w:val="0"/>
              <w:widowControl w:val="0"/>
              <w:spacing w:after="120"/>
              <w:rPr>
                <w:szCs w:val="20"/>
              </w:rPr>
            </w:pPr>
            <w:r w:rsidRPr="001159D0">
              <w:rPr>
                <w:szCs w:val="20"/>
              </w:rPr>
              <w:t>The resubmission estimated hyperkalaemia status, patiromer treatment status and RAASi treatment status in the first 3 months based on the OPAL-HK study.</w:t>
            </w:r>
          </w:p>
          <w:p w14:paraId="00DB7D33" w14:textId="77777777" w:rsidR="00186EA6" w:rsidRPr="001159D0" w:rsidRDefault="00186EA6" w:rsidP="00624A83">
            <w:pPr>
              <w:pStyle w:val="TableText0"/>
              <w:keepNext w:val="0"/>
              <w:widowControl w:val="0"/>
              <w:spacing w:after="120"/>
              <w:rPr>
                <w:szCs w:val="20"/>
              </w:rPr>
            </w:pPr>
            <w:r w:rsidRPr="001159D0">
              <w:rPr>
                <w:szCs w:val="20"/>
              </w:rPr>
              <w:t>Longer term hyperkalaemia risk and RAASi treatment effects on hyperkalaemia risk were based on an</w:t>
            </w:r>
            <w:r w:rsidRPr="001159D0">
              <w:t xml:space="preserve"> </w:t>
            </w:r>
            <w:r w:rsidRPr="001159D0">
              <w:rPr>
                <w:szCs w:val="20"/>
              </w:rPr>
              <w:lastRenderedPageBreak/>
              <w:t>observational study of health outcomes following a hyperkalaemia episode in England (Horne 2019) with patiromer treatment effects based on the OPAL-HK Part B study.</w:t>
            </w:r>
          </w:p>
          <w:p w14:paraId="7F5EB8AF" w14:textId="77777777" w:rsidR="00186EA6" w:rsidRPr="001159D0" w:rsidRDefault="00186EA6" w:rsidP="00624A83">
            <w:pPr>
              <w:pStyle w:val="TableText0"/>
              <w:keepNext w:val="0"/>
              <w:widowControl w:val="0"/>
              <w:spacing w:after="120"/>
              <w:rPr>
                <w:szCs w:val="20"/>
              </w:rPr>
            </w:pPr>
            <w:r w:rsidRPr="001159D0">
              <w:rPr>
                <w:szCs w:val="20"/>
              </w:rPr>
              <w:t>Longer term patiromer treatment status was based on utilisation estimates from the sponsor’s compassionate access program (VCAP).</w:t>
            </w:r>
          </w:p>
          <w:p w14:paraId="6FE00364" w14:textId="77777777" w:rsidR="00186EA6" w:rsidRPr="001159D0" w:rsidRDefault="00186EA6" w:rsidP="00624A83">
            <w:pPr>
              <w:pStyle w:val="TableText0"/>
              <w:keepNext w:val="0"/>
              <w:widowControl w:val="0"/>
              <w:spacing w:after="120"/>
              <w:rPr>
                <w:szCs w:val="20"/>
              </w:rPr>
            </w:pPr>
            <w:r w:rsidRPr="001159D0">
              <w:rPr>
                <w:szCs w:val="20"/>
              </w:rPr>
              <w:t>Longer term RAASi treatment status was based on an observational study of CKD/HF patients receiving maximal, submaximal or no RAASi therapy in the United Kingdom (Linde 2019) with patiromer treatment effects based on the OPAL-HK Part B study.</w:t>
            </w:r>
          </w:p>
          <w:p w14:paraId="7FEEF568" w14:textId="77777777" w:rsidR="00186EA6" w:rsidRPr="001159D0" w:rsidRDefault="00186EA6" w:rsidP="00624A83">
            <w:pPr>
              <w:pStyle w:val="TableText0"/>
              <w:keepNext w:val="0"/>
              <w:widowControl w:val="0"/>
              <w:spacing w:after="120"/>
              <w:rPr>
                <w:szCs w:val="20"/>
              </w:rPr>
            </w:pPr>
            <w:r w:rsidRPr="001159D0">
              <w:rPr>
                <w:szCs w:val="20"/>
              </w:rPr>
              <w:t>The risk of CKD disease progression to CKD Stage 4 and Stage 5 was based on a published cost effectiveness analysis of Vitamin D analogues in CKD patients (Nuijten 2010), progression to dialysis was based on the average time to dialysis in an RCT comparing early and late initiation of dialysis (Cooper 2010), progression to transplant and switches between dialysis and transplant were based on 2018/2019 UK transplant registry data (NHSBT 2018/2019 report) and UK renal registry data (UKRR 8th report, 23rd report). RAASi treatment effects were based on a network meta-analysis of treatments for CKD (Xie 2016).</w:t>
            </w:r>
          </w:p>
          <w:p w14:paraId="0D498E25" w14:textId="77777777" w:rsidR="00186EA6" w:rsidRPr="001159D0" w:rsidRDefault="00186EA6" w:rsidP="00624A83">
            <w:pPr>
              <w:pStyle w:val="TableText0"/>
              <w:keepNext w:val="0"/>
              <w:widowControl w:val="0"/>
              <w:spacing w:after="120"/>
              <w:rPr>
                <w:szCs w:val="20"/>
              </w:rPr>
            </w:pPr>
            <w:r w:rsidRPr="001159D0">
              <w:rPr>
                <w:szCs w:val="20"/>
              </w:rPr>
              <w:t>The risks of HF disease improvement/worsening were based on an RCT in patients with heart failure and cardiac dyssynchrony who had moderate or severe symptoms despite pharmacological therapy (Yao 2007). No RAASi treatment effects were assumed for heart failure improvement/ worsening.</w:t>
            </w:r>
          </w:p>
          <w:p w14:paraId="59DEE28E" w14:textId="77777777" w:rsidR="00186EA6" w:rsidRPr="001159D0" w:rsidRDefault="00186EA6" w:rsidP="00624A83">
            <w:pPr>
              <w:pStyle w:val="TableText0"/>
              <w:keepNext w:val="0"/>
              <w:widowControl w:val="0"/>
              <w:spacing w:after="120"/>
              <w:rPr>
                <w:szCs w:val="20"/>
              </w:rPr>
            </w:pPr>
            <w:r w:rsidRPr="001159D0">
              <w:rPr>
                <w:szCs w:val="20"/>
              </w:rPr>
              <w:t xml:space="preserve">The risk of death in CKD patients without HF was based on the higher monthly probability for all-cause death in CKD patients or general population mortality. The risk of death in CKD patients with HF was based on the highest monthly probability for all-cause death in CKD patients, all-cause death in HF patients or general population mortality. </w:t>
            </w:r>
          </w:p>
          <w:p w14:paraId="56A63581" w14:textId="77777777" w:rsidR="00186EA6" w:rsidRPr="001159D0" w:rsidRDefault="00186EA6" w:rsidP="00624A83">
            <w:pPr>
              <w:pStyle w:val="TableText0"/>
              <w:keepNext w:val="0"/>
              <w:widowControl w:val="0"/>
              <w:spacing w:after="120"/>
              <w:rPr>
                <w:szCs w:val="20"/>
              </w:rPr>
            </w:pPr>
            <w:r w:rsidRPr="001159D0">
              <w:rPr>
                <w:szCs w:val="20"/>
              </w:rPr>
              <w:t>All-cause mortality rates for CKD patients were based on a longitudinal study on clinical outcomes associated with renal function (Go 2004) with an additional risk multiplier for hyperkalaemia based on a longitudinal study of potassium and clinical outcomes in patients with CKD (Luo 2016). RAASi treatment effects on mortality were estimated based on an observational study of RAASi use in the UK (Linde 2019). Dialysis and transplant death were based on UK registry data (UKRR 23rd report,</w:t>
            </w:r>
            <w:r w:rsidRPr="001159D0">
              <w:t xml:space="preserve"> </w:t>
            </w:r>
            <w:r w:rsidRPr="001159D0">
              <w:rPr>
                <w:szCs w:val="20"/>
              </w:rPr>
              <w:t xml:space="preserve">NHSBT 2018/2019 report). </w:t>
            </w:r>
          </w:p>
          <w:p w14:paraId="415F807D" w14:textId="00B3B78B" w:rsidR="00186EA6" w:rsidRPr="001159D0" w:rsidRDefault="00186EA6" w:rsidP="00624A83">
            <w:pPr>
              <w:pStyle w:val="TableText0"/>
              <w:keepNext w:val="0"/>
              <w:widowControl w:val="0"/>
              <w:spacing w:after="120"/>
              <w:rPr>
                <w:szCs w:val="20"/>
              </w:rPr>
            </w:pPr>
            <w:r w:rsidRPr="001159D0">
              <w:rPr>
                <w:szCs w:val="20"/>
              </w:rPr>
              <w:t xml:space="preserve">All-cause mortality risk and RAASi treatment effects for heart failure patients </w:t>
            </w:r>
            <w:r w:rsidR="00734B79">
              <w:rPr>
                <w:szCs w:val="20"/>
              </w:rPr>
              <w:t xml:space="preserve">were </w:t>
            </w:r>
            <w:r w:rsidRPr="001159D0">
              <w:rPr>
                <w:szCs w:val="20"/>
              </w:rPr>
              <w:t>based on the Seattle Heart Failure model (Levy 2006) with hyperkalaemia risk multipliers from an analysis of Danish registry data on patients with a recent myocardial infarction who were receiving a loop diuretic (Krogager 2015).</w:t>
            </w:r>
          </w:p>
          <w:p w14:paraId="07D10119" w14:textId="77777777" w:rsidR="00186EA6" w:rsidRPr="001159D0" w:rsidRDefault="00186EA6" w:rsidP="00624A83">
            <w:pPr>
              <w:pStyle w:val="TableText0"/>
              <w:keepNext w:val="0"/>
              <w:widowControl w:val="0"/>
              <w:rPr>
                <w:szCs w:val="20"/>
              </w:rPr>
            </w:pPr>
            <w:r w:rsidRPr="001159D0">
              <w:rPr>
                <w:szCs w:val="20"/>
              </w:rPr>
              <w:t>General population mortality was based on Irish life tables.</w:t>
            </w:r>
          </w:p>
        </w:tc>
      </w:tr>
      <w:tr w:rsidR="00186EA6" w:rsidRPr="001159D0" w14:paraId="12EA293F" w14:textId="77777777" w:rsidTr="00624A83">
        <w:tc>
          <w:tcPr>
            <w:tcW w:w="779" w:type="pct"/>
            <w:shd w:val="clear" w:color="auto" w:fill="auto"/>
            <w:vAlign w:val="center"/>
          </w:tcPr>
          <w:p w14:paraId="1071378A" w14:textId="77777777" w:rsidR="00186EA6" w:rsidRPr="001159D0" w:rsidRDefault="00186EA6" w:rsidP="00624A83">
            <w:pPr>
              <w:pStyle w:val="TableText0"/>
              <w:keepNext w:val="0"/>
              <w:widowControl w:val="0"/>
            </w:pPr>
            <w:r w:rsidRPr="001159D0">
              <w:lastRenderedPageBreak/>
              <w:t>Event probabilities</w:t>
            </w:r>
          </w:p>
        </w:tc>
        <w:tc>
          <w:tcPr>
            <w:tcW w:w="4221" w:type="pct"/>
            <w:shd w:val="clear" w:color="auto" w:fill="auto"/>
            <w:vAlign w:val="center"/>
          </w:tcPr>
          <w:p w14:paraId="626C5F4E" w14:textId="77777777" w:rsidR="00186EA6" w:rsidRPr="001159D0" w:rsidRDefault="00186EA6" w:rsidP="00624A83">
            <w:pPr>
              <w:pStyle w:val="Tabletext"/>
              <w:widowControl w:val="0"/>
              <w:spacing w:after="120"/>
            </w:pPr>
            <w:r w:rsidRPr="001159D0">
              <w:t>The resubmission assumed no adverse events occurred in the base case economic analysis.</w:t>
            </w:r>
          </w:p>
          <w:p w14:paraId="729119AF" w14:textId="77777777" w:rsidR="00186EA6" w:rsidRPr="001159D0" w:rsidRDefault="00186EA6" w:rsidP="00624A83">
            <w:pPr>
              <w:pStyle w:val="Tabletext"/>
              <w:widowControl w:val="0"/>
              <w:spacing w:after="120"/>
            </w:pPr>
            <w:r w:rsidRPr="001159D0">
              <w:t>RAASi dose modification events were estimated based on the proportion of patients switching RAASi health states.</w:t>
            </w:r>
          </w:p>
          <w:p w14:paraId="4393536C" w14:textId="4F004084" w:rsidR="00186EA6" w:rsidRPr="001159D0" w:rsidRDefault="00186EA6" w:rsidP="00624A83">
            <w:pPr>
              <w:pStyle w:val="TableText0"/>
              <w:keepNext w:val="0"/>
              <w:widowControl w:val="0"/>
              <w:spacing w:after="120"/>
              <w:rPr>
                <w:szCs w:val="20"/>
              </w:rPr>
            </w:pPr>
            <w:r w:rsidRPr="001159D0">
              <w:rPr>
                <w:rStyle w:val="COMTabletextChar"/>
              </w:rPr>
              <w:t xml:space="preserve">The risk of cardiovascular events and hospitalisation in CKD </w:t>
            </w:r>
            <w:r w:rsidR="00734B79">
              <w:rPr>
                <w:rStyle w:val="COMTabletextChar"/>
              </w:rPr>
              <w:t xml:space="preserve">patients </w:t>
            </w:r>
            <w:r w:rsidRPr="001159D0">
              <w:rPr>
                <w:rStyle w:val="COMTabletextChar"/>
              </w:rPr>
              <w:t>without HF was estimated based on a longitudinal study on clinical outcomes associated with renal function (Go 2004) with an additional risk multiplier for hyperkalaemia based on a longitudinal study of potassium and clinical outcomes in patients with CKD (Luo 2016). RAASi treatment effects on cardiovascular events were estimated based on an observational study of RAASi use in the UK (Linde 2019).</w:t>
            </w:r>
            <w:r w:rsidRPr="001159D0">
              <w:rPr>
                <w:szCs w:val="20"/>
              </w:rPr>
              <w:t xml:space="preserve"> No treatment effects were assumed for hospitalisation in CKD patients.</w:t>
            </w:r>
          </w:p>
          <w:p w14:paraId="05F43207" w14:textId="77777777" w:rsidR="00186EA6" w:rsidRPr="001159D0" w:rsidRDefault="00186EA6" w:rsidP="00624A83">
            <w:pPr>
              <w:pStyle w:val="Tabletext"/>
              <w:widowControl w:val="0"/>
              <w:spacing w:after="120"/>
            </w:pPr>
            <w:r w:rsidRPr="001159D0">
              <w:t>The risk of cardiovascular events in HF patients was estimated based on an observational study of CKD/HF patients receiving maximal, submaximal or no RAASi therapy in the United Kingdom (Linde 2019) with an additional risk multiplier for hyperkalaemia based on a longitudinal study of potassium and clinical outcomes in patients with CKD (Luo 2016). RAASi treatment effects were already included in the underlying risk estimate used to derive values. The model selected the higher risk of cardiovascular events from CKD or HF to represent CKD patients with HF.</w:t>
            </w:r>
          </w:p>
          <w:p w14:paraId="042FD737" w14:textId="202C7BEB" w:rsidR="00186EA6" w:rsidRPr="001159D0" w:rsidRDefault="00186EA6" w:rsidP="00624A83">
            <w:pPr>
              <w:pStyle w:val="Tabletext"/>
              <w:widowControl w:val="0"/>
              <w:spacing w:after="120"/>
            </w:pPr>
            <w:r w:rsidRPr="003636FD">
              <w:t xml:space="preserve">The </w:t>
            </w:r>
            <w:r w:rsidR="004438FA" w:rsidRPr="003636FD">
              <w:t>ESC noted that</w:t>
            </w:r>
            <w:r w:rsidR="004438FA">
              <w:t xml:space="preserve"> the </w:t>
            </w:r>
            <w:r w:rsidRPr="001159D0">
              <w:t xml:space="preserve">risk of hospitalisation events in HF patients was </w:t>
            </w:r>
            <w:r w:rsidR="004438FA" w:rsidRPr="003636FD">
              <w:t xml:space="preserve">inappropriately </w:t>
            </w:r>
            <w:r w:rsidRPr="001159D0">
              <w:t xml:space="preserve">estimated based on a published economic analysis of Hawthorn extract for the treatment of heart failure (Ford </w:t>
            </w:r>
            <w:r w:rsidRPr="001159D0">
              <w:lastRenderedPageBreak/>
              <w:t>2012) with an additional risk multiplier for hyperkalaemia based on a longitudinal study of potassium and clinical outcomes in patients with CKD (Luo 2016). RAASi treatment effects on hospitalisation were based on a pooled analysis of individual patient data from trials assessing ACEi in heart failure (Flather 2000). The model selected the higher risk of hospitalisations from CKD or HF to represent CKD patients with HF.</w:t>
            </w:r>
          </w:p>
          <w:p w14:paraId="3A6013F3" w14:textId="77777777" w:rsidR="00186EA6" w:rsidRPr="001159D0" w:rsidRDefault="00186EA6" w:rsidP="00624A83">
            <w:pPr>
              <w:pStyle w:val="TableText0"/>
              <w:keepNext w:val="0"/>
              <w:widowControl w:val="0"/>
              <w:rPr>
                <w:szCs w:val="20"/>
              </w:rPr>
            </w:pPr>
            <w:r w:rsidRPr="001159D0">
              <w:rPr>
                <w:rFonts w:eastAsia="Calibri"/>
              </w:rPr>
              <w:t xml:space="preserve">The risk of dialysis complications was estimated based on </w:t>
            </w:r>
            <w:r w:rsidRPr="001159D0">
              <w:rPr>
                <w:szCs w:val="20"/>
              </w:rPr>
              <w:t>UK renal registry data (UKRR 23</w:t>
            </w:r>
            <w:r w:rsidRPr="001159D0">
              <w:rPr>
                <w:szCs w:val="20"/>
                <w:vertAlign w:val="superscript"/>
              </w:rPr>
              <w:t>rd</w:t>
            </w:r>
            <w:r w:rsidRPr="001159D0">
              <w:rPr>
                <w:szCs w:val="20"/>
              </w:rPr>
              <w:t xml:space="preserve"> report).</w:t>
            </w:r>
            <w:r w:rsidRPr="001159D0">
              <w:rPr>
                <w:rFonts w:eastAsia="Calibri"/>
              </w:rPr>
              <w:t xml:space="preserve"> </w:t>
            </w:r>
          </w:p>
        </w:tc>
      </w:tr>
      <w:tr w:rsidR="00186EA6" w:rsidRPr="001159D0" w14:paraId="32EC15CA" w14:textId="77777777" w:rsidTr="00624A83">
        <w:tc>
          <w:tcPr>
            <w:tcW w:w="779" w:type="pct"/>
            <w:shd w:val="clear" w:color="auto" w:fill="auto"/>
            <w:vAlign w:val="center"/>
          </w:tcPr>
          <w:p w14:paraId="3C3D12CE" w14:textId="77777777" w:rsidR="00186EA6" w:rsidRPr="001159D0" w:rsidRDefault="00186EA6" w:rsidP="00624A83">
            <w:pPr>
              <w:pStyle w:val="TableText0"/>
              <w:keepNext w:val="0"/>
              <w:widowControl w:val="0"/>
            </w:pPr>
            <w:r w:rsidRPr="001159D0">
              <w:lastRenderedPageBreak/>
              <w:t>Utility values</w:t>
            </w:r>
          </w:p>
        </w:tc>
        <w:tc>
          <w:tcPr>
            <w:tcW w:w="4221" w:type="pct"/>
            <w:shd w:val="clear" w:color="auto" w:fill="auto"/>
            <w:vAlign w:val="center"/>
          </w:tcPr>
          <w:p w14:paraId="0E07362A" w14:textId="77777777" w:rsidR="00186EA6" w:rsidRPr="001159D0" w:rsidRDefault="00186EA6" w:rsidP="00624A83">
            <w:pPr>
              <w:pStyle w:val="Tabletext"/>
              <w:widowControl w:val="0"/>
              <w:spacing w:after="120"/>
            </w:pPr>
            <w:r w:rsidRPr="001159D0">
              <w:t>Health state utility values for CKD Stage 3 and Stage 4 were based on TTO utility measures in patients with chronic kidney disease (Gorodetskaya 2005). Health state utility values for CKD Stage 5, dialysis and transplantation were based on EQ-5D-3L utility measures reported for patients with renal failure (Lee 2005).</w:t>
            </w:r>
          </w:p>
          <w:p w14:paraId="45B5AE1E" w14:textId="77777777" w:rsidR="00186EA6" w:rsidRPr="001159D0" w:rsidRDefault="00186EA6" w:rsidP="00624A83">
            <w:pPr>
              <w:pStyle w:val="Tabletext"/>
              <w:widowControl w:val="0"/>
              <w:spacing w:after="120"/>
            </w:pPr>
            <w:r w:rsidRPr="001159D0">
              <w:t>Health state utility values for heart failure (NYHA Class I-IV) were based on a reanalysis of available EQ-5D-3L data from an RCT in heart failure patients with a prior myocardial infarction (Gohler 2009).</w:t>
            </w:r>
          </w:p>
          <w:p w14:paraId="65E58BF7" w14:textId="77777777" w:rsidR="00186EA6" w:rsidRPr="001159D0" w:rsidRDefault="00186EA6" w:rsidP="00624A83">
            <w:pPr>
              <w:pStyle w:val="Tabletext"/>
              <w:widowControl w:val="0"/>
              <w:spacing w:after="120"/>
            </w:pPr>
            <w:r w:rsidRPr="001159D0">
              <w:t xml:space="preserve">The resubmission assumed that hyperkalaemia events and adverse events were not associated with any disutility. </w:t>
            </w:r>
          </w:p>
          <w:p w14:paraId="32375F1E" w14:textId="77777777" w:rsidR="00186EA6" w:rsidRPr="001159D0" w:rsidRDefault="00186EA6" w:rsidP="00624A83">
            <w:pPr>
              <w:pStyle w:val="Tabletext"/>
              <w:widowControl w:val="0"/>
              <w:spacing w:after="120"/>
            </w:pPr>
            <w:r w:rsidRPr="001159D0">
              <w:t>The disutility associated with cardiovascular events was based on a published economic analysis of diagnostic strategies in patients with a recent non-ST elevated myocardial infarction (Kent 2013). The disutility associated with a hospitalisation event was based on a reanalysis of available EQ-5D-3L data from an RCT in heart failure patients with a prior myocardial infarction (Gohler 2009). The disutility associated with dialysis complications was based on a published economic analysis of dialysis modalities (Sennfalt 2002) and NICE guidance on the use of renal replacement therapy and conservative management (CG125).</w:t>
            </w:r>
          </w:p>
          <w:p w14:paraId="1148DA51" w14:textId="77777777" w:rsidR="00186EA6" w:rsidRPr="001159D0" w:rsidRDefault="00186EA6" w:rsidP="00624A83">
            <w:pPr>
              <w:pStyle w:val="TableText0"/>
              <w:keepNext w:val="0"/>
              <w:widowControl w:val="0"/>
              <w:rPr>
                <w:szCs w:val="20"/>
              </w:rPr>
            </w:pPr>
            <w:r w:rsidRPr="001159D0">
              <w:rPr>
                <w:rFonts w:eastAsia="Calibri"/>
              </w:rPr>
              <w:t>The resubmission assumed that the utility values associated with CKD Stage 3-5 and NHYA Class I-IV were multiplicative but assumed that health state utility values for heart failure would not apply to patients using renal replacement therapies. The resubmission also assumed the disutility values for each event were additive with other events and health state utility values.</w:t>
            </w:r>
          </w:p>
        </w:tc>
      </w:tr>
      <w:tr w:rsidR="00186EA6" w:rsidRPr="001159D0" w14:paraId="1D68C2FD" w14:textId="77777777" w:rsidTr="00624A83">
        <w:tc>
          <w:tcPr>
            <w:tcW w:w="779" w:type="pct"/>
            <w:shd w:val="clear" w:color="auto" w:fill="auto"/>
            <w:vAlign w:val="center"/>
          </w:tcPr>
          <w:p w14:paraId="260CC159" w14:textId="77777777" w:rsidR="00186EA6" w:rsidRPr="001159D0" w:rsidRDefault="00186EA6" w:rsidP="00624A83">
            <w:pPr>
              <w:pStyle w:val="TableText0"/>
              <w:keepNext w:val="0"/>
              <w:widowControl w:val="0"/>
            </w:pPr>
            <w:r w:rsidRPr="001159D0">
              <w:t>Discount rate</w:t>
            </w:r>
          </w:p>
        </w:tc>
        <w:tc>
          <w:tcPr>
            <w:tcW w:w="4221" w:type="pct"/>
            <w:shd w:val="clear" w:color="auto" w:fill="auto"/>
            <w:vAlign w:val="center"/>
          </w:tcPr>
          <w:p w14:paraId="52623A70" w14:textId="77777777" w:rsidR="00186EA6" w:rsidRPr="001159D0" w:rsidRDefault="00186EA6" w:rsidP="00624A83">
            <w:pPr>
              <w:pStyle w:val="TableText0"/>
              <w:keepNext w:val="0"/>
              <w:widowControl w:val="0"/>
            </w:pPr>
            <w:r w:rsidRPr="001159D0">
              <w:t>5% for costs and outcomes</w:t>
            </w:r>
          </w:p>
        </w:tc>
      </w:tr>
      <w:tr w:rsidR="00186EA6" w:rsidRPr="001159D0" w14:paraId="520FB15F" w14:textId="77777777" w:rsidTr="00624A83">
        <w:tc>
          <w:tcPr>
            <w:tcW w:w="779" w:type="pct"/>
            <w:shd w:val="clear" w:color="auto" w:fill="auto"/>
            <w:vAlign w:val="center"/>
          </w:tcPr>
          <w:p w14:paraId="570D37C1" w14:textId="77777777" w:rsidR="00186EA6" w:rsidRPr="001159D0" w:rsidRDefault="00186EA6" w:rsidP="00624A83">
            <w:pPr>
              <w:pStyle w:val="TableText0"/>
              <w:keepNext w:val="0"/>
              <w:widowControl w:val="0"/>
              <w:rPr>
                <w:rFonts w:ascii="Times" w:eastAsia="Times New Roman" w:hAnsi="Times" w:cs="Times New Roman"/>
                <w:szCs w:val="20"/>
              </w:rPr>
            </w:pPr>
            <w:r w:rsidRPr="001159D0">
              <w:t>Software package</w:t>
            </w:r>
          </w:p>
        </w:tc>
        <w:tc>
          <w:tcPr>
            <w:tcW w:w="4221" w:type="pct"/>
            <w:shd w:val="clear" w:color="auto" w:fill="auto"/>
            <w:vAlign w:val="center"/>
          </w:tcPr>
          <w:p w14:paraId="3120CAC5" w14:textId="77777777" w:rsidR="00186EA6" w:rsidRPr="001159D0" w:rsidRDefault="00186EA6" w:rsidP="00624A83">
            <w:pPr>
              <w:pStyle w:val="TableText0"/>
              <w:keepNext w:val="0"/>
              <w:widowControl w:val="0"/>
            </w:pPr>
            <w:r w:rsidRPr="001159D0">
              <w:t>Microsoft Excel</w:t>
            </w:r>
          </w:p>
        </w:tc>
      </w:tr>
    </w:tbl>
    <w:p w14:paraId="3F146021" w14:textId="77777777" w:rsidR="00186EA6" w:rsidRPr="001159D0" w:rsidRDefault="00186EA6" w:rsidP="00186EA6">
      <w:pPr>
        <w:pStyle w:val="COMTablefooter"/>
      </w:pPr>
      <w:r w:rsidRPr="001159D0">
        <w:t>Source: Table 3.1.1, p159 of the resubmission</w:t>
      </w:r>
    </w:p>
    <w:p w14:paraId="0BB8AAEF" w14:textId="77777777" w:rsidR="00186EA6" w:rsidRPr="001159D0" w:rsidRDefault="00186EA6" w:rsidP="00186EA6">
      <w:pPr>
        <w:pStyle w:val="COMTablefooter"/>
      </w:pPr>
      <w:r w:rsidRPr="001159D0">
        <w:t>Abbreviations: CKD, chronic kidney disease; NYHA, New York Heart Association; RAASi, renin-angiotensin-aldosterone system inhibitors; RCT, randomised controlled trial</w:t>
      </w:r>
    </w:p>
    <w:p w14:paraId="18E52721" w14:textId="2D5B6E79" w:rsidR="005D1E92" w:rsidRPr="00FF512C" w:rsidRDefault="005D1E92" w:rsidP="005D1E92">
      <w:pPr>
        <w:pStyle w:val="COMexecsumnumberedpara"/>
        <w:numPr>
          <w:ilvl w:val="1"/>
          <w:numId w:val="1"/>
        </w:numPr>
      </w:pPr>
      <w:r w:rsidRPr="00FF512C">
        <w:t>The previous economic analysis was based on a Markov cohort model (26 health states defined by potassium level, CKD stage, and history of cardiovascular disease) with a 35 year time horizon developed in TreeAge. The current economic analysis was based on a Markov cohort model (600 health states defined by hyperkalaemia status, patiromer and RAASi treatment, CKD stage and severity of heart failure) with a 30 year time horizon developed in Excel.</w:t>
      </w:r>
      <w:r w:rsidR="008C0FEC" w:rsidRPr="00FF512C">
        <w:t xml:space="preserve"> The ESC considered the 30 year time horizon was associated with significant uncertainty and </w:t>
      </w:r>
      <w:r w:rsidR="00C151ED" w:rsidRPr="00FF512C">
        <w:t xml:space="preserve">that while a shorter time horizon </w:t>
      </w:r>
      <w:r w:rsidR="008C0FEC" w:rsidRPr="00FF512C">
        <w:t>would be more appropriate</w:t>
      </w:r>
      <w:r w:rsidR="00C151ED" w:rsidRPr="00FF512C">
        <w:t xml:space="preserve">, the ESC noted the ICER reduced </w:t>
      </w:r>
      <w:r w:rsidR="00331535" w:rsidRPr="00FF512C">
        <w:t xml:space="preserve">slightly </w:t>
      </w:r>
      <w:r w:rsidR="00C151ED" w:rsidRPr="00FF512C">
        <w:t>with a 10 or 20 year time horizon</w:t>
      </w:r>
      <w:r w:rsidR="008C0FEC" w:rsidRPr="00FF512C">
        <w:t>.</w:t>
      </w:r>
    </w:p>
    <w:p w14:paraId="2A1AE55F" w14:textId="00DA7382" w:rsidR="005D1E92" w:rsidRPr="00FF512C" w:rsidRDefault="005D1E92" w:rsidP="005D1E92">
      <w:pPr>
        <w:pStyle w:val="COMexecsumnumberedpara"/>
        <w:numPr>
          <w:ilvl w:val="1"/>
          <w:numId w:val="1"/>
        </w:numPr>
      </w:pPr>
      <w:r w:rsidRPr="00FF512C">
        <w:t xml:space="preserve">All patients begin the model with either Stage 3 or 4 chronic kidney disease (with or without comorbid heart failure) during a severe hyperkalaemia episode while being treated with maximal RAASi therapy. </w:t>
      </w:r>
      <w:r w:rsidR="002841A2" w:rsidRPr="00FF512C">
        <w:t xml:space="preserve">The ESC considered this may not reflect clinical practice as many patients in the requested population (with </w:t>
      </w:r>
      <w:r w:rsidR="002841A2" w:rsidRPr="00FF512C">
        <w:rPr>
          <w:rFonts w:cstheme="minorHAnsi"/>
        </w:rPr>
        <w:t>≥ </w:t>
      </w:r>
      <w:r w:rsidR="002841A2" w:rsidRPr="00FF512C">
        <w:t xml:space="preserve">2 episodes of hyperkalaemia) would not re-commence RAASi therapy until stabilised. </w:t>
      </w:r>
      <w:r w:rsidRPr="00FF512C">
        <w:t xml:space="preserve">During each cycle of the Markov model, patients could remain in their current health state; have an improvement or worsening of hyperkalaemia; discontinue, reduce or restart RAASi </w:t>
      </w:r>
      <w:r w:rsidRPr="00FF512C">
        <w:lastRenderedPageBreak/>
        <w:t>therapy; experience kidney disease progression; have dialysis complications; experience an improvement/worsening of heart failure; have a cardiovascular event; experience a hospitalisation; or die. Patients in the patiromer arm could discontinue treatment in any cycle and adopt the same risks as the placebo arm. Patients in the patiromer arm could also receive retreatment if they experienced another severe hyperkalaemia episode while using RAASi therapy. New cases of heart failure could not develop during the model and cardiovascular events and hospitalisations were not directly linked to mortality.</w:t>
      </w:r>
    </w:p>
    <w:p w14:paraId="22E1922A" w14:textId="479933EA" w:rsidR="00AC1BBC" w:rsidRPr="00FF512C" w:rsidRDefault="005D1E92" w:rsidP="00AC1BBC">
      <w:pPr>
        <w:pStyle w:val="COMexecsumnumberedpara"/>
        <w:numPr>
          <w:ilvl w:val="1"/>
          <w:numId w:val="1"/>
        </w:numPr>
      </w:pPr>
      <w:r w:rsidRPr="00FF512C">
        <w:t>The core premise of the economic model in the current and previous submissions is that short-term patiromer treatment would lead to patients remaining on maximal RAASi therapy for a prolonged period and gaining long-term cardiovascular and renal benefits, with associated improvements in survival. During the evaluation, it was noted that the resubmission has continued to build on this premise with substantial additional complexity associated with modelling new features such as hospitalisation, heart failure and renal replacement therapy. The current model includes 600 health states (populated based on limited short-term data from the OPAL-HK Part B study as well as a substantial number of additional external data sources, expert opinion and assumptions)</w:t>
      </w:r>
      <w:r w:rsidR="0032603B" w:rsidRPr="00FF512C">
        <w:t>.</w:t>
      </w:r>
      <w:r w:rsidRPr="00FF512C">
        <w:t xml:space="preserve"> </w:t>
      </w:r>
    </w:p>
    <w:p w14:paraId="5D3B7B68" w14:textId="29364AD5" w:rsidR="00AC1BBC" w:rsidRPr="00FF512C" w:rsidRDefault="00AC1BBC" w:rsidP="00AC1BBC">
      <w:pPr>
        <w:pStyle w:val="COMexecsumnumberedpara"/>
        <w:numPr>
          <w:ilvl w:val="1"/>
          <w:numId w:val="1"/>
        </w:numPr>
      </w:pPr>
      <w:r w:rsidRPr="00FF512C">
        <w:t>The PSCR stated that the new economic model addressed the key concerns of the PBAC from November 2020 by:</w:t>
      </w:r>
    </w:p>
    <w:p w14:paraId="4DFA2CC8" w14:textId="18F193D4" w:rsidR="00AC1BBC" w:rsidRPr="00FF512C" w:rsidRDefault="0032603B" w:rsidP="00804745">
      <w:pPr>
        <w:pStyle w:val="COMexecsummmainissuesbullets"/>
        <w:numPr>
          <w:ilvl w:val="0"/>
          <w:numId w:val="25"/>
        </w:numPr>
        <w:rPr>
          <w:color w:val="auto"/>
        </w:rPr>
      </w:pPr>
      <w:r w:rsidRPr="00FF512C">
        <w:rPr>
          <w:color w:val="auto"/>
        </w:rPr>
        <w:t>a</w:t>
      </w:r>
      <w:r w:rsidR="00AC1BBC" w:rsidRPr="00FF512C">
        <w:rPr>
          <w:color w:val="auto"/>
        </w:rPr>
        <w:t>ssuming that in the first month of treatment (OPAL-A) both patiromer and SOC exhibit the same efficacy;</w:t>
      </w:r>
    </w:p>
    <w:p w14:paraId="1194D2FE" w14:textId="5C802F34" w:rsidR="00AC1BBC" w:rsidRPr="00FF512C" w:rsidRDefault="0032603B" w:rsidP="00804745">
      <w:pPr>
        <w:pStyle w:val="COMexecsummmainissuesbullets"/>
        <w:numPr>
          <w:ilvl w:val="0"/>
          <w:numId w:val="25"/>
        </w:numPr>
        <w:rPr>
          <w:color w:val="auto"/>
        </w:rPr>
      </w:pPr>
      <w:r w:rsidRPr="00FF512C">
        <w:rPr>
          <w:color w:val="auto"/>
        </w:rPr>
        <w:t>a</w:t>
      </w:r>
      <w:r w:rsidR="00AC1BBC" w:rsidRPr="00FF512C">
        <w:rPr>
          <w:color w:val="auto"/>
        </w:rPr>
        <w:t>llowing for re-treatment with patiromer for recurrence of hyperkalemic events;</w:t>
      </w:r>
    </w:p>
    <w:p w14:paraId="156F280D" w14:textId="5ACA9F64" w:rsidR="00AC1BBC" w:rsidRPr="00FF512C" w:rsidRDefault="0032603B" w:rsidP="00804745">
      <w:pPr>
        <w:pStyle w:val="COMexecsummmainissuesbullets"/>
        <w:numPr>
          <w:ilvl w:val="0"/>
          <w:numId w:val="25"/>
        </w:numPr>
        <w:rPr>
          <w:color w:val="auto"/>
        </w:rPr>
      </w:pPr>
      <w:r w:rsidRPr="00FF512C">
        <w:rPr>
          <w:color w:val="auto"/>
        </w:rPr>
        <w:t>a</w:t>
      </w:r>
      <w:r w:rsidR="00AC1BBC" w:rsidRPr="00FF512C">
        <w:rPr>
          <w:color w:val="auto"/>
        </w:rPr>
        <w:t>pplying a significantly longer treatment duration with patiromer over time, justified by utilisation data from a local compassionate access program; and</w:t>
      </w:r>
    </w:p>
    <w:p w14:paraId="64604307" w14:textId="1A02FA8D" w:rsidR="00AC1BBC" w:rsidRPr="00FF512C" w:rsidRDefault="0032603B" w:rsidP="00804745">
      <w:pPr>
        <w:pStyle w:val="COMexecsummmainissuesbullets"/>
        <w:numPr>
          <w:ilvl w:val="0"/>
          <w:numId w:val="25"/>
        </w:numPr>
        <w:rPr>
          <w:color w:val="auto"/>
        </w:rPr>
      </w:pPr>
      <w:r w:rsidRPr="00FF512C">
        <w:rPr>
          <w:color w:val="auto"/>
        </w:rPr>
        <w:t>a</w:t>
      </w:r>
      <w:r w:rsidR="00AC1BBC" w:rsidRPr="00FF512C">
        <w:rPr>
          <w:color w:val="auto"/>
        </w:rPr>
        <w:t>llowing for a dynamic relationship between potassium levels and RAASi use.</w:t>
      </w:r>
    </w:p>
    <w:p w14:paraId="0D8F7EA8" w14:textId="12128C59" w:rsidR="00451408" w:rsidRPr="00FF512C" w:rsidRDefault="00451408" w:rsidP="005D1E92">
      <w:pPr>
        <w:pStyle w:val="COMexecsumnumberedpara"/>
        <w:numPr>
          <w:ilvl w:val="1"/>
          <w:numId w:val="1"/>
        </w:numPr>
      </w:pPr>
      <w:r w:rsidRPr="00FF512C">
        <w:t>The PSCR stated that the assumed duration of patiromer treatment is approximately four times longer (11.9 months versus 3 months) in the revised model and allowed for retreatment with patiromer.</w:t>
      </w:r>
    </w:p>
    <w:p w14:paraId="23D1323B" w14:textId="694731B6" w:rsidR="0032603B" w:rsidRPr="00FF512C" w:rsidRDefault="0032603B" w:rsidP="005D1E92">
      <w:pPr>
        <w:pStyle w:val="COMexecsumnumberedpara"/>
        <w:numPr>
          <w:ilvl w:val="1"/>
          <w:numId w:val="1"/>
        </w:numPr>
      </w:pPr>
      <w:r w:rsidRPr="00FF512C">
        <w:t xml:space="preserve">The ESC considered that much of the additional complexity did not directly address </w:t>
      </w:r>
      <w:r w:rsidR="00E40034">
        <w:t xml:space="preserve">the </w:t>
      </w:r>
      <w:r w:rsidRPr="00FF512C">
        <w:t>PBAC’s concerns regarding the implausibility of the underlying premise that short-term patiromer treatment would lead to patients remaining on maximal RAASi therapy and gaining long</w:t>
      </w:r>
      <w:r w:rsidR="00451408" w:rsidRPr="00FF512C">
        <w:t>-</w:t>
      </w:r>
      <w:r w:rsidRPr="00FF512C">
        <w:t>term cardiovascular, renal and survival benefits (paragraph 7.7, patiromer PSD, November 2020).</w:t>
      </w:r>
    </w:p>
    <w:p w14:paraId="3B507CCE" w14:textId="38D70885" w:rsidR="005D1E92" w:rsidRPr="00FF512C" w:rsidRDefault="005D1E92" w:rsidP="005D1E92">
      <w:pPr>
        <w:pStyle w:val="COMexecsumnumberedpara"/>
        <w:numPr>
          <w:ilvl w:val="1"/>
          <w:numId w:val="1"/>
        </w:numPr>
      </w:pPr>
      <w:r w:rsidRPr="00FF512C">
        <w:t xml:space="preserve">The </w:t>
      </w:r>
      <w:r w:rsidR="004438FA" w:rsidRPr="00FF512C">
        <w:t xml:space="preserve">ESC noted that </w:t>
      </w:r>
      <w:r w:rsidRPr="00FF512C">
        <w:t xml:space="preserve">evaluation of the economic analysis was hindered by the lack of documentation for many of the data sources, assumptions, calculations and values used in the economic model. </w:t>
      </w:r>
      <w:r w:rsidR="000F0D70" w:rsidRPr="00FF512C">
        <w:t xml:space="preserve">Examples of </w:t>
      </w:r>
      <w:r w:rsidR="00972507" w:rsidRPr="00FF512C">
        <w:t>inputs that could not be validated included</w:t>
      </w:r>
      <w:r w:rsidR="007A2145">
        <w:t>:</w:t>
      </w:r>
      <w:r w:rsidR="00972507" w:rsidRPr="00FF512C">
        <w:t xml:space="preserve"> the monthly probabilities of RAASi discontinuation and reduction (the methodology used to calculate the values was not adequately described); risk of CKD disease </w:t>
      </w:r>
      <w:r w:rsidR="00972507" w:rsidRPr="00FF512C">
        <w:lastRenderedPageBreak/>
        <w:t xml:space="preserve">progression from Stage 3 to Stage 4 and Stage 4 to 5 (corresponding information could not be identified in the publication); the risk of CKD progression from Stage 5 to transplantation as well as transitions between dialysis and transplantation (the methodology used to calculate the values was not adequately described); and the disutility associated with dialysis complications (the corresponding information could not be identified in the source documents). </w:t>
      </w:r>
      <w:r w:rsidRPr="00FF512C">
        <w:t>As such, many of the estimates presented in the resubmission could not be validated during the evaluation.</w:t>
      </w:r>
      <w:r w:rsidR="00672A3D" w:rsidRPr="00FF512C">
        <w:t xml:space="preserve"> </w:t>
      </w:r>
    </w:p>
    <w:p w14:paraId="19D0AE80" w14:textId="48B8870B" w:rsidR="005D1E92" w:rsidRPr="00FF512C" w:rsidRDefault="005D1E92" w:rsidP="005D1E92">
      <w:pPr>
        <w:pStyle w:val="COMexecsumnumberedpara"/>
        <w:numPr>
          <w:ilvl w:val="1"/>
          <w:numId w:val="1"/>
        </w:numPr>
      </w:pPr>
      <w:r w:rsidRPr="00FF512C">
        <w:t xml:space="preserve">Key drivers of the economic model are summarised in </w:t>
      </w:r>
      <w:r w:rsidRPr="00FF512C">
        <w:fldChar w:fldCharType="begin"/>
      </w:r>
      <w:r w:rsidRPr="00FF512C">
        <w:instrText xml:space="preserve"> REF _Ref111658699 \h </w:instrText>
      </w:r>
      <w:r w:rsidR="002F6665" w:rsidRPr="00FF512C">
        <w:instrText xml:space="preserve"> \* MERGEFORMAT </w:instrText>
      </w:r>
      <w:r w:rsidRPr="00FF512C">
        <w:fldChar w:fldCharType="separate"/>
      </w:r>
      <w:r w:rsidR="00565456" w:rsidRPr="001159D0">
        <w:t xml:space="preserve">Table </w:t>
      </w:r>
      <w:r w:rsidR="00565456">
        <w:rPr>
          <w:noProof/>
        </w:rPr>
        <w:t>12</w:t>
      </w:r>
      <w:r w:rsidRPr="00FF512C">
        <w:fldChar w:fldCharType="end"/>
      </w:r>
      <w:r w:rsidRPr="00FF512C">
        <w:t xml:space="preserve"> below.</w:t>
      </w:r>
    </w:p>
    <w:p w14:paraId="7E0F09A3" w14:textId="0B933B25" w:rsidR="0021081C" w:rsidRPr="001159D0" w:rsidRDefault="0021081C" w:rsidP="00320A2B">
      <w:pPr>
        <w:pStyle w:val="COMtablefigcaption"/>
        <w:keepNext w:val="0"/>
        <w:keepLines/>
        <w:widowControl w:val="0"/>
      </w:pPr>
      <w:bookmarkStart w:id="46" w:name="_Ref104805122"/>
      <w:bookmarkStart w:id="47" w:name="_Ref111658699"/>
      <w:bookmarkStart w:id="48" w:name="_Ref111658681"/>
      <w:r w:rsidRPr="001159D0">
        <w:t>Table</w:t>
      </w:r>
      <w:bookmarkEnd w:id="46"/>
      <w:r w:rsidRPr="001159D0">
        <w:t xml:space="preserve"> </w:t>
      </w:r>
      <w:r w:rsidR="005F4857">
        <w:fldChar w:fldCharType="begin"/>
      </w:r>
      <w:r w:rsidR="005F4857">
        <w:instrText xml:space="preserve"> SEQ Table \* ARABIC </w:instrText>
      </w:r>
      <w:r w:rsidR="005F4857">
        <w:fldChar w:fldCharType="separate"/>
      </w:r>
      <w:r w:rsidR="00565456">
        <w:rPr>
          <w:noProof/>
        </w:rPr>
        <w:t>12</w:t>
      </w:r>
      <w:r w:rsidR="005F4857">
        <w:rPr>
          <w:noProof/>
        </w:rPr>
        <w:fldChar w:fldCharType="end"/>
      </w:r>
      <w:bookmarkEnd w:id="47"/>
      <w:r w:rsidRPr="001159D0">
        <w:t>: Key drivers of the model</w:t>
      </w:r>
      <w:bookmarkEnd w:id="48"/>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129"/>
        <w:gridCol w:w="6804"/>
        <w:gridCol w:w="1084"/>
      </w:tblGrid>
      <w:tr w:rsidR="0021081C" w:rsidRPr="001159D0" w14:paraId="47FB2140" w14:textId="77777777" w:rsidTr="00624A83">
        <w:trPr>
          <w:tblHeader/>
        </w:trPr>
        <w:tc>
          <w:tcPr>
            <w:tcW w:w="626" w:type="pct"/>
            <w:shd w:val="clear" w:color="auto" w:fill="auto"/>
            <w:vAlign w:val="center"/>
          </w:tcPr>
          <w:p w14:paraId="21F1A96E" w14:textId="77777777" w:rsidR="0021081C" w:rsidRPr="00FF512C" w:rsidRDefault="0021081C" w:rsidP="00320A2B">
            <w:pPr>
              <w:pStyle w:val="COMTableheadingrow"/>
              <w:keepNext w:val="0"/>
              <w:keepLines/>
              <w:widowControl w:val="0"/>
              <w:jc w:val="center"/>
              <w:rPr>
                <w:lang w:val="en-AU"/>
              </w:rPr>
            </w:pPr>
            <w:r w:rsidRPr="00FF512C">
              <w:rPr>
                <w:lang w:val="en-AU"/>
              </w:rPr>
              <w:t>Description</w:t>
            </w:r>
          </w:p>
        </w:tc>
        <w:tc>
          <w:tcPr>
            <w:tcW w:w="3773" w:type="pct"/>
            <w:shd w:val="clear" w:color="auto" w:fill="auto"/>
            <w:vAlign w:val="center"/>
          </w:tcPr>
          <w:p w14:paraId="4EFD9423" w14:textId="77777777" w:rsidR="0021081C" w:rsidRPr="00FF512C" w:rsidRDefault="0021081C" w:rsidP="00320A2B">
            <w:pPr>
              <w:pStyle w:val="COMTableheadingrow"/>
              <w:keepNext w:val="0"/>
              <w:keepLines/>
              <w:widowControl w:val="0"/>
              <w:jc w:val="center"/>
              <w:rPr>
                <w:lang w:val="en-AU"/>
              </w:rPr>
            </w:pPr>
            <w:r w:rsidRPr="00FF512C">
              <w:rPr>
                <w:lang w:val="en-AU"/>
              </w:rPr>
              <w:t>Method/Value</w:t>
            </w:r>
          </w:p>
        </w:tc>
        <w:tc>
          <w:tcPr>
            <w:tcW w:w="601" w:type="pct"/>
            <w:shd w:val="clear" w:color="auto" w:fill="auto"/>
            <w:vAlign w:val="center"/>
          </w:tcPr>
          <w:p w14:paraId="7128DEE0" w14:textId="77777777" w:rsidR="0021081C" w:rsidRPr="00FF512C" w:rsidRDefault="0021081C" w:rsidP="00320A2B">
            <w:pPr>
              <w:pStyle w:val="COMTableheadingrow"/>
              <w:keepNext w:val="0"/>
              <w:keepLines/>
              <w:widowControl w:val="0"/>
              <w:jc w:val="center"/>
              <w:rPr>
                <w:lang w:val="en-AU"/>
              </w:rPr>
            </w:pPr>
            <w:r w:rsidRPr="00FF512C">
              <w:rPr>
                <w:lang w:val="en-AU"/>
              </w:rPr>
              <w:t>Impact</w:t>
            </w:r>
          </w:p>
        </w:tc>
      </w:tr>
      <w:tr w:rsidR="0021081C" w:rsidRPr="001159D0" w14:paraId="5DA53811" w14:textId="77777777" w:rsidTr="00624A83">
        <w:tc>
          <w:tcPr>
            <w:tcW w:w="626" w:type="pct"/>
            <w:shd w:val="clear" w:color="auto" w:fill="auto"/>
            <w:vAlign w:val="center"/>
          </w:tcPr>
          <w:p w14:paraId="0837610E" w14:textId="77777777" w:rsidR="0021081C" w:rsidRPr="00FF512C" w:rsidRDefault="0021081C" w:rsidP="00320A2B">
            <w:pPr>
              <w:pStyle w:val="COMTabletext"/>
              <w:keepNext w:val="0"/>
              <w:keepLines/>
              <w:widowControl w:val="0"/>
            </w:pPr>
            <w:r w:rsidRPr="00FF512C">
              <w:t>Patiromer use</w:t>
            </w:r>
          </w:p>
        </w:tc>
        <w:tc>
          <w:tcPr>
            <w:tcW w:w="3773" w:type="pct"/>
            <w:shd w:val="clear" w:color="auto" w:fill="auto"/>
            <w:vAlign w:val="center"/>
          </w:tcPr>
          <w:p w14:paraId="4F931088" w14:textId="77777777" w:rsidR="0021081C" w:rsidRPr="00FF512C" w:rsidRDefault="0021081C" w:rsidP="00320A2B">
            <w:pPr>
              <w:pStyle w:val="COMTabletext"/>
              <w:keepNext w:val="0"/>
              <w:keepLines/>
              <w:widowControl w:val="0"/>
              <w:spacing w:after="120"/>
            </w:pPr>
            <w:r w:rsidRPr="00FF512C">
              <w:t>Cohort initialisation: The resubmission assumed that all patiromer non-responders would discontinue therapy in the first month. This was an artificial constraint applied to the model to mimic OPAL-HK Part A and does not reflect use in clinical practice.</w:t>
            </w:r>
          </w:p>
          <w:p w14:paraId="57EDFEF5" w14:textId="00E11E52" w:rsidR="0021081C" w:rsidRPr="00FF512C" w:rsidRDefault="0021081C" w:rsidP="00320A2B">
            <w:pPr>
              <w:pStyle w:val="COMTabletext"/>
              <w:keepNext w:val="0"/>
              <w:keepLines/>
              <w:widowControl w:val="0"/>
              <w:spacing w:after="120"/>
            </w:pPr>
            <w:r w:rsidRPr="00FF512C">
              <w:t>Longer term: The resubmission estimated patiromer utilisation patterns in clinical practice based on individual patient data from the sponsor’s Australian compassionate access program (VCAP). Program eligibility was restricted to patients with hyperkalaemia due to chronic kidney disease, heart failure or other medical conditions who had previously discontinued o</w:t>
            </w:r>
            <w:r w:rsidR="00734B79" w:rsidRPr="00FF512C">
              <w:t>r</w:t>
            </w:r>
            <w:r w:rsidRPr="00FF512C">
              <w:t xml:space="preserve"> failed other potassium management strategies. Patients were recruited between June 2020 and February 2022 (6 month average follow-up duration). The resubmission claimed that the data suggest that patients in the program were using much lower doses than reported in the OPAL-HK Part B study</w:t>
            </w:r>
            <w:r w:rsidR="00D2659E" w:rsidRPr="00FF512C">
              <w:t xml:space="preserve"> as they were protocol driven</w:t>
            </w:r>
            <w:r w:rsidRPr="00FF512C">
              <w:t>. The resubmission noted that the follow-up of patients under VCAP was insufficient to reach the median duration of treatment. Therefore, the resubmission estimated a monthly discontinuation rate based on Kaplan-Meier estimates of persistence over the first 500 days assuming a constant rate of discontinuations over time.</w:t>
            </w:r>
          </w:p>
          <w:p w14:paraId="605AD6C4" w14:textId="77777777" w:rsidR="0021081C" w:rsidRPr="00FF512C" w:rsidRDefault="0021081C" w:rsidP="00320A2B">
            <w:pPr>
              <w:pStyle w:val="COMTabletext"/>
              <w:keepNext w:val="0"/>
              <w:keepLines/>
              <w:widowControl w:val="0"/>
              <w:spacing w:after="120"/>
            </w:pPr>
            <w:r w:rsidRPr="00FF512C">
              <w:t xml:space="preserve">The resubmission did not address the applicability of the VCAP data to the modelled population given differences in eligibility criteria (the modelled population was limited to CKD patients with two of more episodes of severe hyperkalaemia in the past 12 months despite diet modification, while the VCAP program included patients with a variety of conditions with no specific hyperkalaemia criteria but who were using patiromer predominantly as a second-line therapy after SPS/CPS resins) as well as differences in available dose strengths and the amount supplied per script/authorisation. Also, the limited duration of follow-up data makes extrapolation of discontinuation patterns over time inherently uncertain.  </w:t>
            </w:r>
          </w:p>
          <w:p w14:paraId="17EE0E46" w14:textId="77777777" w:rsidR="0021081C" w:rsidRPr="00FF512C" w:rsidRDefault="0021081C" w:rsidP="00320A2B">
            <w:pPr>
              <w:pStyle w:val="COMTabletext"/>
              <w:keepNext w:val="0"/>
              <w:keepLines/>
              <w:widowControl w:val="0"/>
              <w:spacing w:after="120"/>
            </w:pPr>
            <w:r w:rsidRPr="00FF512C">
              <w:t>The comparative efficacy/safety of patiromer relative to placebo at the claimed lower doses was unclear. However, an alternative analysis of individual patient data conducted during the evaluation indicated that some patients were being supplied patiromer in amounts far in excess of their claimed dose, suggesting that patients may actually be using higher doses.</w:t>
            </w:r>
          </w:p>
          <w:p w14:paraId="22A64A94" w14:textId="77777777" w:rsidR="0021081C" w:rsidRPr="00FF512C" w:rsidRDefault="0021081C" w:rsidP="00320A2B">
            <w:pPr>
              <w:pStyle w:val="COMTabletext"/>
              <w:keepNext w:val="0"/>
              <w:keepLines/>
              <w:widowControl w:val="0"/>
              <w:spacing w:after="120"/>
            </w:pPr>
            <w:r w:rsidRPr="00FF512C">
              <w:t xml:space="preserve">The resubmission did not adequately address the widely divergent estimates of treatment persistence from US claims data (observed median duration 2-3 months), clinical trial data (extrapolated median duration of 6-22 months assuming constant discontinuation) and other observational datasets (extrapolated median duration of 12-14 months assuming constant discontinuation). </w:t>
            </w:r>
          </w:p>
          <w:p w14:paraId="6087DD9D" w14:textId="77777777" w:rsidR="0021081C" w:rsidRPr="00FF512C" w:rsidRDefault="0021081C" w:rsidP="00320A2B">
            <w:pPr>
              <w:pStyle w:val="COMTabletext"/>
              <w:keepNext w:val="0"/>
              <w:keepLines/>
              <w:widowControl w:val="0"/>
            </w:pPr>
            <w:r w:rsidRPr="00FF512C">
              <w:t>The resubmission assumed that any patient previously treated with patiromer who experienced another severe hyperkalaemia episode while receiving treatment with a RAASi would receive re-treatment with patiromer. The resubmission did not justify this assumption particularly given that the proposed PBS continuation criteria do not prevent re-treatment for mild or moderate hyperkalaemia.</w:t>
            </w:r>
          </w:p>
        </w:tc>
        <w:tc>
          <w:tcPr>
            <w:tcW w:w="601" w:type="pct"/>
            <w:shd w:val="clear" w:color="auto" w:fill="auto"/>
            <w:vAlign w:val="center"/>
          </w:tcPr>
          <w:p w14:paraId="574DC5AC" w14:textId="77777777" w:rsidR="0021081C" w:rsidRPr="00FF512C" w:rsidRDefault="0021081C" w:rsidP="00320A2B">
            <w:pPr>
              <w:pStyle w:val="COMTabletext"/>
              <w:keepNext w:val="0"/>
              <w:keepLines/>
              <w:widowControl w:val="0"/>
            </w:pPr>
            <w:r w:rsidRPr="00FF512C">
              <w:t>High, favours patiromer</w:t>
            </w:r>
          </w:p>
        </w:tc>
      </w:tr>
      <w:tr w:rsidR="0021081C" w:rsidRPr="001159D0" w14:paraId="5ADE1370" w14:textId="77777777" w:rsidTr="00624A83">
        <w:tc>
          <w:tcPr>
            <w:tcW w:w="626" w:type="pct"/>
            <w:shd w:val="clear" w:color="auto" w:fill="auto"/>
            <w:vAlign w:val="center"/>
          </w:tcPr>
          <w:p w14:paraId="2664C330" w14:textId="77777777" w:rsidR="0021081C" w:rsidRPr="00FF512C" w:rsidRDefault="0021081C" w:rsidP="00320A2B">
            <w:pPr>
              <w:pStyle w:val="COMTabletext"/>
              <w:keepNext w:val="0"/>
              <w:widowControl w:val="0"/>
            </w:pPr>
            <w:r w:rsidRPr="00FF512C">
              <w:t>RAASi use</w:t>
            </w:r>
          </w:p>
        </w:tc>
        <w:tc>
          <w:tcPr>
            <w:tcW w:w="3773" w:type="pct"/>
            <w:shd w:val="clear" w:color="auto" w:fill="auto"/>
            <w:vAlign w:val="center"/>
          </w:tcPr>
          <w:p w14:paraId="73808016" w14:textId="38F426D3" w:rsidR="00AC1BBC" w:rsidRPr="00FF512C" w:rsidRDefault="00AC1BBC" w:rsidP="00320A2B">
            <w:pPr>
              <w:pStyle w:val="COMTabletext"/>
              <w:keepNext w:val="0"/>
              <w:widowControl w:val="0"/>
              <w:spacing w:after="120"/>
            </w:pPr>
            <w:r w:rsidRPr="00FF512C">
              <w:t xml:space="preserve">The ESC noted that key drivers included: i) minimal rates of RAASi discontinuation and dose </w:t>
            </w:r>
            <w:r w:rsidRPr="00FF512C">
              <w:lastRenderedPageBreak/>
              <w:t xml:space="preserve">reduction for patiromer responders, ii) high levels of discontinuation and dose reduction for placebo patients and iii) very low rates of recurrent hyperkalaemia (especially severe hyperkalaemia). The ESC noted that placebo RAASi effects were very different to the observational data and may have reflected trial protocols. In addition, recurrence rates may not have reflected the proposed indication which requires patients to have experienced </w:t>
            </w:r>
            <w:r w:rsidRPr="00FF512C">
              <w:rPr>
                <w:rFonts w:cstheme="minorHAnsi"/>
              </w:rPr>
              <w:t xml:space="preserve">≥ </w:t>
            </w:r>
            <w:r w:rsidRPr="00FF512C">
              <w:t>2 cases of severe hyperkalaemia in the previous 12 months.</w:t>
            </w:r>
          </w:p>
          <w:p w14:paraId="02A0C835" w14:textId="6F02C705" w:rsidR="0021081C" w:rsidRPr="00FF512C" w:rsidRDefault="0021081C" w:rsidP="00320A2B">
            <w:pPr>
              <w:pStyle w:val="COMTabletext"/>
              <w:keepNext w:val="0"/>
              <w:widowControl w:val="0"/>
              <w:spacing w:after="120"/>
            </w:pPr>
            <w:r w:rsidRPr="00FF512C">
              <w:t xml:space="preserve">Baseline: The resubmission assumed </w:t>
            </w:r>
            <w:bookmarkStart w:id="49" w:name="_Hlk116894433"/>
            <w:r w:rsidRPr="00FF512C">
              <w:t>all patients were using maximal RAASi dose at baseline</w:t>
            </w:r>
            <w:bookmarkEnd w:id="49"/>
            <w:r w:rsidRPr="00FF512C">
              <w:t xml:space="preserve">. </w:t>
            </w:r>
            <w:r w:rsidR="00B01083" w:rsidRPr="00FF512C">
              <w:t>The ESC noted that n</w:t>
            </w:r>
            <w:r w:rsidRPr="00FF512C">
              <w:t>o justification for this assumption was provided in the resubmission and this assumption was unlikely to reflect clinical practice given that patients may use submaximal doses for a variety of reasons other than hyperkalaemia. The OPAL-HK Part B study indicated that 39% of patients were on maximal RAASi therapy at baseline although it was unclear if this definition of maximal RAASi therapy aligned with other parts of the economic model.</w:t>
            </w:r>
            <w:r w:rsidR="00451408" w:rsidRPr="00FF512C">
              <w:t xml:space="preserve"> The PSCR acknowledged the variability regarding RAASi therapy and stated that i) the approach was designed to best reflect anticipated clinical efficacy which is aligned with the OPAL-HK study, and ii) patiromer use would most likely be targeted at patients receiving or eligible to receive, maximal RAASi doses.</w:t>
            </w:r>
            <w:r w:rsidR="002841A2" w:rsidRPr="00FF512C">
              <w:t xml:space="preserve"> However, the ESC considered this assumption may not reflect clinical practice as many patients in the requested population (with ≥ 2 episodes of hyperkalaemia) would not re-commence RAASi therapy until stabilised.</w:t>
            </w:r>
          </w:p>
          <w:p w14:paraId="6D2D3C78" w14:textId="4CAC32AF" w:rsidR="0021081C" w:rsidRPr="00FF512C" w:rsidRDefault="0021081C" w:rsidP="00320A2B">
            <w:pPr>
              <w:pStyle w:val="COMTabletext"/>
              <w:keepNext w:val="0"/>
              <w:widowControl w:val="0"/>
              <w:spacing w:after="120"/>
            </w:pPr>
            <w:r w:rsidRPr="00FF512C">
              <w:t xml:space="preserve">Cohort initialisation: The resubmission estimated the change in RAASi use over the first 3 months based on the OPAL-HK study, assuming that modelled patients would gain the same treatment effects as patients in the study despite differences in patiromer dosing (3.5% versus 54.55% using </w:t>
            </w:r>
            <w:r w:rsidRPr="00FF512C">
              <w:rPr>
                <w:u w:val="single"/>
              </w:rPr>
              <w:t>&gt;</w:t>
            </w:r>
            <w:r w:rsidRPr="00FF512C">
              <w:t xml:space="preserve"> 25.2 g/day). </w:t>
            </w:r>
            <w:r w:rsidR="00E54D60" w:rsidRPr="00FF512C">
              <w:t>The ESC considered t</w:t>
            </w:r>
            <w:r w:rsidRPr="00FF512C">
              <w:t xml:space="preserve">his assumption was not adequately justified in the resubmission. </w:t>
            </w:r>
          </w:p>
          <w:p w14:paraId="7B75AFAB" w14:textId="0B4C4817" w:rsidR="0021081C" w:rsidRPr="00FF512C" w:rsidRDefault="0021081C" w:rsidP="00320A2B">
            <w:pPr>
              <w:pStyle w:val="COMTabletext"/>
              <w:keepNext w:val="0"/>
              <w:widowControl w:val="0"/>
              <w:spacing w:after="120"/>
            </w:pPr>
            <w:r w:rsidRPr="00FF512C">
              <w:t>Longer term: The resubmission estimated the probability of RAASi dose modification (discontinuation, reduction, restart) in subsequent months based on an observational study of patients receiving maximal, submaximal or no RAASi therapy in the United Kingdom</w:t>
            </w:r>
            <w:r w:rsidR="00D2659E" w:rsidRPr="00FF512C">
              <w:t xml:space="preserve"> that did not represent the indicated population, i.e. patients with ≥ 2 cases of severe </w:t>
            </w:r>
            <w:r w:rsidR="00AC1BBC" w:rsidRPr="00FF512C">
              <w:t>hyperkalaemia</w:t>
            </w:r>
            <w:r w:rsidR="00D2659E" w:rsidRPr="00FF512C">
              <w:t xml:space="preserve"> in the previous 12 months</w:t>
            </w:r>
            <w:r w:rsidRPr="00FF512C">
              <w:t xml:space="preserve"> (Linde 2019). The resubmission used the proportion of scripts that were discontinued or down-titrated within 7 days of a serum potassium test to calculate monthly probabilities of RAASi discontinuation or reduction. The resubmission estimated the monthly probability of RAASi restart based on the reported mean duration of discontinuation in CKD patients. The resubmission assumed that patiromer use would reduce RAASi discontinuations consistent with estimates from the OPAL-HK Part B study. The proportion of patients with dose modifications only applies to patients who have had a potassium test within 7 days. Inclusion of scripts without potassium testing is likely to substantially reduce the probability of dose modification particularly in patients without hyperkalaemia. Inadequate details were provided in the publication to adequately assess the validity of the RAASi restart estimate.</w:t>
            </w:r>
          </w:p>
          <w:p w14:paraId="6CE12F6D" w14:textId="77777777" w:rsidR="0021081C" w:rsidRPr="00FF512C" w:rsidRDefault="0021081C" w:rsidP="00320A2B">
            <w:pPr>
              <w:pStyle w:val="COMTabletext"/>
              <w:keepNext w:val="0"/>
              <w:widowControl w:val="0"/>
              <w:spacing w:after="120"/>
            </w:pPr>
            <w:r w:rsidRPr="00FF512C">
              <w:t>The resubmission also assumed that patiromer treatment would decrease the risk of RAASi discontinuation in patients who were not experiencing hyperkalaemia. This assumption was unjustified and was unlikely to be clinically plausible.</w:t>
            </w:r>
          </w:p>
          <w:p w14:paraId="15E54FA1" w14:textId="77777777" w:rsidR="0021081C" w:rsidRPr="00FF512C" w:rsidRDefault="0021081C" w:rsidP="00320A2B">
            <w:pPr>
              <w:pStyle w:val="COMTabletext"/>
              <w:keepNext w:val="0"/>
              <w:widowControl w:val="0"/>
            </w:pPr>
            <w:r w:rsidRPr="00FF512C">
              <w:t xml:space="preserve">The assumption that the largely protocol-driven differences in RAASi use between treatment arms in the OPAL-HK Part B study can be generalised to clinical practice was not appropriate. Patients in the study were expected to discontinue all RAASi therapy if they experienced 2 or more mild/moderate hyperkalaemia episodes or experienced at least one severe hyperkalaemia episode during the intensively monitored 8 week study period. However, this was inconsistent with the observational data from the Linde study which strongly suggests that the majority of patients, even those experiencing a severe hyperkalaemia episode, do not discontinue their RAASi therapy in clinical practice. </w:t>
            </w:r>
          </w:p>
        </w:tc>
        <w:tc>
          <w:tcPr>
            <w:tcW w:w="601" w:type="pct"/>
            <w:shd w:val="clear" w:color="auto" w:fill="auto"/>
            <w:vAlign w:val="center"/>
          </w:tcPr>
          <w:p w14:paraId="192C7DAD" w14:textId="77777777" w:rsidR="0021081C" w:rsidRPr="00FF512C" w:rsidRDefault="0021081C" w:rsidP="00320A2B">
            <w:pPr>
              <w:pStyle w:val="COMTabletext"/>
              <w:keepNext w:val="0"/>
              <w:widowControl w:val="0"/>
            </w:pPr>
            <w:r w:rsidRPr="00FF512C">
              <w:lastRenderedPageBreak/>
              <w:t xml:space="preserve">High, favours </w:t>
            </w:r>
            <w:r w:rsidRPr="00FF512C">
              <w:lastRenderedPageBreak/>
              <w:t>patiromer</w:t>
            </w:r>
          </w:p>
        </w:tc>
      </w:tr>
      <w:tr w:rsidR="0021081C" w:rsidRPr="001159D0" w14:paraId="2ACBFE63" w14:textId="77777777" w:rsidTr="00624A83">
        <w:tc>
          <w:tcPr>
            <w:tcW w:w="626" w:type="pct"/>
            <w:shd w:val="clear" w:color="auto" w:fill="auto"/>
            <w:vAlign w:val="center"/>
          </w:tcPr>
          <w:p w14:paraId="149C955E" w14:textId="77777777" w:rsidR="0021081C" w:rsidRPr="00FF512C" w:rsidRDefault="0021081C" w:rsidP="00320A2B">
            <w:pPr>
              <w:pStyle w:val="COMTabletext"/>
              <w:keepNext w:val="0"/>
              <w:widowControl w:val="0"/>
            </w:pPr>
            <w:r w:rsidRPr="00FF512C">
              <w:lastRenderedPageBreak/>
              <w:t>RAASi treatment effects</w:t>
            </w:r>
          </w:p>
        </w:tc>
        <w:tc>
          <w:tcPr>
            <w:tcW w:w="3773" w:type="pct"/>
            <w:shd w:val="clear" w:color="auto" w:fill="auto"/>
            <w:vAlign w:val="center"/>
          </w:tcPr>
          <w:p w14:paraId="561AFD48" w14:textId="597B4B4B" w:rsidR="0021081C" w:rsidRPr="00FF512C" w:rsidRDefault="0021081C" w:rsidP="00320A2B">
            <w:pPr>
              <w:pStyle w:val="COMTabletext"/>
              <w:keepNext w:val="0"/>
              <w:widowControl w:val="0"/>
              <w:spacing w:after="120"/>
            </w:pPr>
            <w:r w:rsidRPr="00FF512C">
              <w:t>The resubmission estimated RAASi treatment effects on hyperkalaemia based on an observational study of health outcomes following a hyperkalaemia episode in England (Horne 2019).</w:t>
            </w:r>
          </w:p>
          <w:p w14:paraId="64738D98" w14:textId="77777777" w:rsidR="0021081C" w:rsidRPr="00FF512C" w:rsidRDefault="0021081C" w:rsidP="00320A2B">
            <w:pPr>
              <w:pStyle w:val="COMTabletext"/>
              <w:keepNext w:val="0"/>
              <w:widowControl w:val="0"/>
              <w:spacing w:after="120"/>
            </w:pPr>
            <w:r w:rsidRPr="00FF512C">
              <w:t>RAASi treatment effects on chronic kidney disease progression were based on a network meta-analysis of treatments for CKD (Xie 2016).</w:t>
            </w:r>
          </w:p>
          <w:p w14:paraId="400BE346" w14:textId="77777777" w:rsidR="0021081C" w:rsidRPr="00FF512C" w:rsidRDefault="0021081C" w:rsidP="00320A2B">
            <w:pPr>
              <w:pStyle w:val="COMTabletext"/>
              <w:keepNext w:val="0"/>
              <w:widowControl w:val="0"/>
              <w:spacing w:after="120"/>
            </w:pPr>
            <w:r w:rsidRPr="00FF512C">
              <w:t>RAASi treatment effects on all-cause mortality in heart failure patients were based on the Seattle Heart Failure Model (Levy 2006).</w:t>
            </w:r>
          </w:p>
          <w:p w14:paraId="231AD337" w14:textId="77777777" w:rsidR="0021081C" w:rsidRPr="00FF512C" w:rsidRDefault="0021081C" w:rsidP="00320A2B">
            <w:pPr>
              <w:pStyle w:val="COMTabletext"/>
              <w:keepNext w:val="0"/>
              <w:widowControl w:val="0"/>
              <w:spacing w:after="120"/>
            </w:pPr>
            <w:r w:rsidRPr="00FF512C">
              <w:t xml:space="preserve">The resubmission estimated RAASi treatment effects on heart failure hospitalisation based on a pooled analysis of individual patient data from trials comparing ACEi with placebo for the treatment of heart failure (Flather 2000). The resubmission did not address the appropriateness of using comparisons of RAASi therapy with placebo given the availability of other treatment alternatives (such as beta blockers and SGLT2 inhibitors).  </w:t>
            </w:r>
          </w:p>
          <w:p w14:paraId="5725B634" w14:textId="7EA058C4" w:rsidR="0021081C" w:rsidRPr="00FF512C" w:rsidRDefault="0021081C" w:rsidP="00320A2B">
            <w:pPr>
              <w:pStyle w:val="COMTabletext"/>
              <w:keepNext w:val="0"/>
              <w:widowControl w:val="0"/>
              <w:spacing w:after="120"/>
            </w:pPr>
            <w:r w:rsidRPr="00FF512C">
              <w:t xml:space="preserve">RAASi treatment effects on cardiovascular events and all-cause mortality in chronic kidney disease patients were based on an observational study of patients receiving maximal, submaximal or no RAASi therapy in the United Kingdom (Linde 2019). There were substantial differences in the baseline characteristics of patients using maximal versus submaximal RAASi therapy in terms of patient demographics, clinical history and concomitant medication use and the robustness of the analysis is unclear. The publication acknowledged that key limitations with the analysis included the potential for unadjusted confounders, the lack of dosing guidelines for RAASi use in CKD, and reliance on the accuracy and completeness of linked datasets. </w:t>
            </w:r>
          </w:p>
          <w:p w14:paraId="5CCBBED5" w14:textId="097577CC" w:rsidR="0021081C" w:rsidRPr="00FF512C" w:rsidRDefault="0021081C" w:rsidP="00320A2B">
            <w:pPr>
              <w:pStyle w:val="COMTabletext"/>
              <w:keepNext w:val="0"/>
              <w:widowControl w:val="0"/>
            </w:pPr>
            <w:r w:rsidRPr="00FF512C">
              <w:t>It should be noted that the claimed real-world treatment effects for maximal versus submaximal RAASi therapy in patients with CKD (</w:t>
            </w:r>
            <w:r w:rsidR="005A15F9" w:rsidRPr="00FF512C">
              <w:t>all-cause</w:t>
            </w:r>
            <w:r w:rsidRPr="00FF512C">
              <w:t xml:space="preserve"> mortality: 1/IRR 5.59 = 0.1789) and patients with heart failure (all-cause mortality: 1/IRR 7.33 = 0.1364) were substantially larger than has been reported in any clinical trial of RAASi therapies versus placebo for these conditions (Xie 2016; Tromp 2022). </w:t>
            </w:r>
          </w:p>
        </w:tc>
        <w:tc>
          <w:tcPr>
            <w:tcW w:w="601" w:type="pct"/>
            <w:shd w:val="clear" w:color="auto" w:fill="auto"/>
            <w:vAlign w:val="center"/>
          </w:tcPr>
          <w:p w14:paraId="0F64D855" w14:textId="77777777" w:rsidR="0021081C" w:rsidRPr="00FF512C" w:rsidRDefault="0021081C" w:rsidP="00320A2B">
            <w:pPr>
              <w:pStyle w:val="COMTabletext"/>
              <w:keepNext w:val="0"/>
              <w:widowControl w:val="0"/>
            </w:pPr>
            <w:r w:rsidRPr="00FF512C">
              <w:t>High, favours patiromer</w:t>
            </w:r>
          </w:p>
        </w:tc>
      </w:tr>
    </w:tbl>
    <w:p w14:paraId="6EEAD6B5" w14:textId="6AE5F1F0" w:rsidR="0021081C" w:rsidRDefault="0021081C" w:rsidP="00320A2B">
      <w:pPr>
        <w:pStyle w:val="COMTablefooter"/>
        <w:widowControl w:val="0"/>
      </w:pPr>
      <w:r w:rsidRPr="001159D0">
        <w:t>Source: Constructed during the evaluation</w:t>
      </w:r>
    </w:p>
    <w:p w14:paraId="4DE7717E" w14:textId="0C046F9B" w:rsidR="00B32770" w:rsidRPr="001159D0" w:rsidRDefault="00B32770" w:rsidP="00320A2B">
      <w:pPr>
        <w:pStyle w:val="COMTablefooter"/>
      </w:pPr>
      <w:r w:rsidRPr="001159D0">
        <w:t xml:space="preserve">Abbreviations: </w:t>
      </w:r>
      <w:r w:rsidR="00CD6990" w:rsidRPr="001159D0">
        <w:t xml:space="preserve">ACEi, angiotensin converting enzyme inhibitor; </w:t>
      </w:r>
      <w:r w:rsidRPr="001159D0">
        <w:t xml:space="preserve">CKD, chronic kidney disease; </w:t>
      </w:r>
      <w:r w:rsidR="003A1215" w:rsidRPr="001159D0">
        <w:rPr>
          <w:snapToGrid/>
        </w:rPr>
        <w:t xml:space="preserve">CPS, calcium polystyrene sulfonate; </w:t>
      </w:r>
      <w:r w:rsidRPr="001159D0">
        <w:t>RAASi, renin-angiotensin-aldosterone system inhibitors; RCT, randomised controlled trial</w:t>
      </w:r>
      <w:r w:rsidR="003A1215" w:rsidRPr="001159D0">
        <w:rPr>
          <w:snapToGrid/>
        </w:rPr>
        <w:t>; SPS, sodium polystyrene sulfonate; VCAP, Veltassa Compassionate Access Program.</w:t>
      </w:r>
    </w:p>
    <w:p w14:paraId="4AE23030" w14:textId="1AE3DF53" w:rsidR="00E54D60" w:rsidRPr="00FF512C" w:rsidRDefault="00E40034" w:rsidP="00D2659E">
      <w:pPr>
        <w:pStyle w:val="COMexecsumnumberedpara"/>
        <w:numPr>
          <w:ilvl w:val="1"/>
          <w:numId w:val="1"/>
        </w:numPr>
      </w:pPr>
      <w:r>
        <w:fldChar w:fldCharType="begin"/>
      </w:r>
      <w:r>
        <w:instrText xml:space="preserve"> REF _Ref120536635 \h  \* MERGEFORMAT </w:instrText>
      </w:r>
      <w:r>
        <w:fldChar w:fldCharType="separate"/>
      </w:r>
      <w:r w:rsidR="00565456" w:rsidRPr="00565456">
        <w:t>Table 13</w:t>
      </w:r>
      <w:r>
        <w:fldChar w:fldCharType="end"/>
      </w:r>
      <w:r>
        <w:t xml:space="preserve"> </w:t>
      </w:r>
      <w:r w:rsidR="004438FA" w:rsidRPr="00FF512C">
        <w:t xml:space="preserve">highlights some of </w:t>
      </w:r>
      <w:r w:rsidR="00D2659E" w:rsidRPr="00FF512C">
        <w:t xml:space="preserve">the model parameters </w:t>
      </w:r>
      <w:r w:rsidR="004438FA" w:rsidRPr="00FF512C">
        <w:t>which were identified as key drivers of the model by</w:t>
      </w:r>
      <w:r>
        <w:t xml:space="preserve"> the</w:t>
      </w:r>
      <w:r w:rsidR="004438FA" w:rsidRPr="00FF512C">
        <w:t xml:space="preserve"> ESC, including the large short-term treatment effects of patiromer on RAASi discontinuation and dose reduction</w:t>
      </w:r>
      <w:r w:rsidR="00B01083" w:rsidRPr="00FF512C">
        <w:t>, the low long-term probability of RAASi discontinuation</w:t>
      </w:r>
      <w:r w:rsidR="004438FA" w:rsidRPr="00FF512C">
        <w:t xml:space="preserve"> and the very low long-term risk of hyperkalaemia</w:t>
      </w:r>
      <w:r w:rsidR="00C45F30" w:rsidRPr="00FF512C">
        <w:t>, especially severe hyperkalaemia</w:t>
      </w:r>
      <w:r w:rsidR="004438FA" w:rsidRPr="00FF512C">
        <w:t>.</w:t>
      </w:r>
      <w:r w:rsidR="00B01083" w:rsidRPr="00FF512C">
        <w:t xml:space="preserve"> The ESC </w:t>
      </w:r>
      <w:r w:rsidR="00C45F30" w:rsidRPr="00FF512C">
        <w:t>noted that</w:t>
      </w:r>
      <w:r w:rsidR="00E54D60" w:rsidRPr="00FF512C">
        <w:t>:</w:t>
      </w:r>
    </w:p>
    <w:p w14:paraId="601DFF4B" w14:textId="16708E38" w:rsidR="00E54D60" w:rsidRPr="00FF512C" w:rsidRDefault="00C45F30" w:rsidP="00804745">
      <w:pPr>
        <w:pStyle w:val="COMexecsumnumberedpara"/>
        <w:numPr>
          <w:ilvl w:val="0"/>
          <w:numId w:val="26"/>
        </w:numPr>
        <w:ind w:left="1134"/>
      </w:pPr>
      <w:r w:rsidRPr="00FF512C">
        <w:t xml:space="preserve">patients in the patiromer arm of the model had a low short-term probability of discontinuing RAASi therapy </w:t>
      </w:r>
      <w:r w:rsidR="00672A3D" w:rsidRPr="00FF512C">
        <w:t>(monthly probability of 0.03</w:t>
      </w:r>
      <w:r w:rsidR="00E54D60" w:rsidRPr="00FF512C">
        <w:t xml:space="preserve"> in Months 2-3</w:t>
      </w:r>
      <w:r w:rsidR="00672A3D" w:rsidRPr="00FF512C">
        <w:t xml:space="preserve">) </w:t>
      </w:r>
      <w:r w:rsidRPr="00FF512C">
        <w:t>and a zero probability of reducing their RAASi dose compared to the probabilities applied to placebo/patiromer non-responder patients</w:t>
      </w:r>
      <w:r w:rsidR="00672A3D" w:rsidRPr="00FF512C">
        <w:t xml:space="preserve"> (monthly probabilities of 0.34 and 0.36, respectively)</w:t>
      </w:r>
      <w:r w:rsidRPr="00FF512C">
        <w:t xml:space="preserve">. The ESC </w:t>
      </w:r>
      <w:r w:rsidR="00B01083" w:rsidRPr="00FF512C">
        <w:t>considered that the rate of RAASi discontinuation for placebo/patiromer non-responders was implausibly high</w:t>
      </w:r>
      <w:r w:rsidR="008C0FEC" w:rsidRPr="00FF512C">
        <w:t xml:space="preserve"> and inappropriate</w:t>
      </w:r>
      <w:r w:rsidR="00E40E35" w:rsidRPr="00FF512C">
        <w:t>. While</w:t>
      </w:r>
      <w:r w:rsidR="00EA1C7C" w:rsidRPr="00FF512C">
        <w:t xml:space="preserve"> based on OPAL</w:t>
      </w:r>
      <w:r w:rsidR="00EA1C7C" w:rsidRPr="00FF512C">
        <w:noBreakHyphen/>
        <w:t xml:space="preserve">HK, </w:t>
      </w:r>
      <w:r w:rsidR="00E40E35" w:rsidRPr="00FF512C">
        <w:t>the discontinuation rates</w:t>
      </w:r>
      <w:r w:rsidR="00EA1C7C" w:rsidRPr="00FF512C">
        <w:t xml:space="preserve"> may have been due to differences in RAASi titration protocols between treatment arms</w:t>
      </w:r>
      <w:r w:rsidR="00B01083" w:rsidRPr="00FF512C">
        <w:t>.</w:t>
      </w:r>
      <w:r w:rsidRPr="00FF512C">
        <w:t xml:space="preserve"> </w:t>
      </w:r>
      <w:r w:rsidR="004F4C8C" w:rsidRPr="00FF512C">
        <w:t xml:space="preserve">Further, the ESC considered that the model estimates of RAASi discontinuation/dose reduction in the placebo arm </w:t>
      </w:r>
      <w:r w:rsidR="00E54D60" w:rsidRPr="00FF512C">
        <w:t xml:space="preserve">appeared to </w:t>
      </w:r>
      <w:r w:rsidR="004F4C8C" w:rsidRPr="00FF512C">
        <w:t xml:space="preserve">have been overestimated compared with observational </w:t>
      </w:r>
      <w:r w:rsidR="00EA1C7C" w:rsidRPr="00FF512C">
        <w:t>data</w:t>
      </w:r>
      <w:r w:rsidR="004F4C8C" w:rsidRPr="00FF512C">
        <w:t>.</w:t>
      </w:r>
      <w:r w:rsidR="00EA1C7C" w:rsidRPr="00FF512C">
        <w:t xml:space="preserve"> </w:t>
      </w:r>
      <w:r w:rsidR="00F81429">
        <w:t xml:space="preserve">The pre-PBAC response reiterated that the rate of RAASi </w:t>
      </w:r>
      <w:r w:rsidR="00F81429">
        <w:lastRenderedPageBreak/>
        <w:t>discontinuation in placebo patients assumed in the model was consistent with the clinical trial and that observed in clinical practice.</w:t>
      </w:r>
    </w:p>
    <w:p w14:paraId="687EA57A" w14:textId="0087C96F" w:rsidR="00D2659E" w:rsidRPr="00FF512C" w:rsidRDefault="00C45F30" w:rsidP="00804745">
      <w:pPr>
        <w:pStyle w:val="COMexecsumnumberedpara"/>
        <w:numPr>
          <w:ilvl w:val="0"/>
          <w:numId w:val="26"/>
        </w:numPr>
        <w:ind w:left="1134"/>
      </w:pPr>
      <w:r w:rsidRPr="00FF512C">
        <w:t>rates of recurrent hyperkalaemia were based on a UK observational stud</w:t>
      </w:r>
      <w:r w:rsidR="004F4C8C" w:rsidRPr="00FF512C">
        <w:t>y</w:t>
      </w:r>
      <w:r w:rsidRPr="00FF512C">
        <w:t xml:space="preserve"> (Horne 2019) which may have underestimated hyperkalaemia recurrence</w:t>
      </w:r>
      <w:r w:rsidR="00F27ED6" w:rsidRPr="00FF512C">
        <w:t xml:space="preserve"> due to infrequent testing of </w:t>
      </w:r>
      <w:r w:rsidR="004F4C8C" w:rsidRPr="00FF512C">
        <w:t>potassium</w:t>
      </w:r>
      <w:r w:rsidR="00F27ED6" w:rsidRPr="00FF512C">
        <w:t xml:space="preserve"> levels</w:t>
      </w:r>
      <w:r w:rsidR="004F4C8C" w:rsidRPr="00FF512C">
        <w:t xml:space="preserve">, and </w:t>
      </w:r>
      <w:r w:rsidR="000E45D6" w:rsidRPr="00FF512C">
        <w:t>may have reflected a patient population with less severe hyperkalaemia at baseline (the proposed indication requires patients to have experienced ≥ 2 cases of severe hyperkalaemia in the previous 12 months, while Horne 2019 was based on patients with ≥ 1 case of hyperkalaemia)</w:t>
      </w:r>
      <w:r w:rsidR="00F27ED6" w:rsidRPr="00FF512C">
        <w:t>.</w:t>
      </w:r>
      <w:r w:rsidR="00EA1C7C" w:rsidRPr="00FF512C">
        <w:t xml:space="preserve"> This meant that responding patients have a low chance of experiencing subsequent events.</w:t>
      </w:r>
    </w:p>
    <w:p w14:paraId="468D1E4A" w14:textId="3B16AB8D" w:rsidR="00AC1BBC" w:rsidRPr="00FF512C" w:rsidRDefault="00A33CD1" w:rsidP="00D0477A">
      <w:pPr>
        <w:pStyle w:val="Caption"/>
        <w:rPr>
          <w:sz w:val="20"/>
          <w:szCs w:val="20"/>
        </w:rPr>
      </w:pPr>
      <w:bookmarkStart w:id="50" w:name="_Ref120536635"/>
      <w:r w:rsidRPr="00FF512C">
        <w:rPr>
          <w:sz w:val="20"/>
          <w:szCs w:val="20"/>
        </w:rPr>
        <w:t xml:space="preserve">Table </w:t>
      </w:r>
      <w:r w:rsidRPr="00FF512C">
        <w:rPr>
          <w:sz w:val="20"/>
          <w:szCs w:val="20"/>
        </w:rPr>
        <w:fldChar w:fldCharType="begin"/>
      </w:r>
      <w:r w:rsidRPr="00FF512C">
        <w:rPr>
          <w:sz w:val="20"/>
          <w:szCs w:val="20"/>
        </w:rPr>
        <w:instrText xml:space="preserve"> SEQ Table \* ARABIC </w:instrText>
      </w:r>
      <w:r w:rsidRPr="00FF512C">
        <w:rPr>
          <w:sz w:val="20"/>
          <w:szCs w:val="20"/>
        </w:rPr>
        <w:fldChar w:fldCharType="separate"/>
      </w:r>
      <w:r w:rsidR="00565456">
        <w:rPr>
          <w:noProof/>
          <w:sz w:val="20"/>
          <w:szCs w:val="20"/>
        </w:rPr>
        <w:t>13</w:t>
      </w:r>
      <w:r w:rsidRPr="00FF512C">
        <w:rPr>
          <w:sz w:val="20"/>
          <w:szCs w:val="20"/>
        </w:rPr>
        <w:fldChar w:fldCharType="end"/>
      </w:r>
      <w:bookmarkEnd w:id="50"/>
      <w:r w:rsidR="00AC1BBC" w:rsidRPr="00FF512C">
        <w:rPr>
          <w:sz w:val="20"/>
          <w:szCs w:val="20"/>
        </w:rPr>
        <w:t>:</w:t>
      </w:r>
      <w:r w:rsidR="00AC1BBC" w:rsidRPr="00FF512C">
        <w:t xml:space="preserve"> </w:t>
      </w:r>
      <w:r w:rsidR="00AC1BBC" w:rsidRPr="00FF512C">
        <w:rPr>
          <w:sz w:val="20"/>
          <w:szCs w:val="20"/>
        </w:rPr>
        <w:t>Model parameters which were key drivers of the model</w:t>
      </w:r>
    </w:p>
    <w:tbl>
      <w:tblPr>
        <w:tblStyle w:val="TableGrid"/>
        <w:tblW w:w="0" w:type="auto"/>
        <w:tblLook w:val="04A0" w:firstRow="1" w:lastRow="0" w:firstColumn="1" w:lastColumn="0" w:noHBand="0" w:noVBand="1"/>
      </w:tblPr>
      <w:tblGrid>
        <w:gridCol w:w="4531"/>
        <w:gridCol w:w="2127"/>
        <w:gridCol w:w="2358"/>
      </w:tblGrid>
      <w:tr w:rsidR="00AC1BBC" w:rsidRPr="00FF512C" w14:paraId="6EFAE761" w14:textId="77777777" w:rsidTr="00A25036">
        <w:tc>
          <w:tcPr>
            <w:tcW w:w="9016" w:type="dxa"/>
            <w:gridSpan w:val="3"/>
          </w:tcPr>
          <w:p w14:paraId="4F93AA59" w14:textId="7AD684DA" w:rsidR="00AC1BBC" w:rsidRPr="00FF512C" w:rsidRDefault="00AE3319" w:rsidP="00D0477A">
            <w:pPr>
              <w:keepNext/>
              <w:keepLines/>
              <w:rPr>
                <w:rFonts w:ascii="Arial Narrow" w:hAnsi="Arial Narrow"/>
                <w:b/>
                <w:bCs/>
                <w:sz w:val="20"/>
                <w:szCs w:val="20"/>
              </w:rPr>
            </w:pPr>
            <w:r w:rsidRPr="00FF512C">
              <w:rPr>
                <w:rFonts w:ascii="Arial Narrow" w:hAnsi="Arial Narrow"/>
                <w:b/>
                <w:bCs/>
                <w:sz w:val="20"/>
                <w:szCs w:val="20"/>
              </w:rPr>
              <w:t>Monthly probability of discontinuation/dose reduction in patients receiving maximal/submaximal RAASi in months 2-3 of the model</w:t>
            </w:r>
          </w:p>
        </w:tc>
      </w:tr>
      <w:tr w:rsidR="00D2659E" w:rsidRPr="00FF512C" w14:paraId="6B8BAFBB" w14:textId="77777777" w:rsidTr="00E40034">
        <w:tc>
          <w:tcPr>
            <w:tcW w:w="4531" w:type="dxa"/>
          </w:tcPr>
          <w:p w14:paraId="3C6F4964" w14:textId="77777777" w:rsidR="00D2659E" w:rsidRPr="00FF512C" w:rsidRDefault="00D2659E" w:rsidP="00D0477A">
            <w:pPr>
              <w:keepNext/>
              <w:keepLines/>
              <w:rPr>
                <w:rFonts w:ascii="Arial Narrow" w:hAnsi="Arial Narrow"/>
                <w:sz w:val="20"/>
                <w:szCs w:val="20"/>
              </w:rPr>
            </w:pPr>
          </w:p>
        </w:tc>
        <w:tc>
          <w:tcPr>
            <w:tcW w:w="2127" w:type="dxa"/>
          </w:tcPr>
          <w:p w14:paraId="145F6403" w14:textId="77777777" w:rsidR="00D2659E" w:rsidRPr="00E40034" w:rsidRDefault="00D2659E" w:rsidP="00D0477A">
            <w:pPr>
              <w:keepNext/>
              <w:keepLines/>
              <w:jc w:val="center"/>
              <w:rPr>
                <w:rFonts w:ascii="Arial Narrow" w:hAnsi="Arial Narrow"/>
                <w:b/>
                <w:bCs/>
                <w:sz w:val="20"/>
                <w:szCs w:val="20"/>
              </w:rPr>
            </w:pPr>
            <w:r w:rsidRPr="00E40034">
              <w:rPr>
                <w:rFonts w:ascii="Arial Narrow" w:hAnsi="Arial Narrow"/>
                <w:b/>
                <w:bCs/>
                <w:sz w:val="20"/>
                <w:szCs w:val="20"/>
              </w:rPr>
              <w:t>Patiromer responders</w:t>
            </w:r>
          </w:p>
        </w:tc>
        <w:tc>
          <w:tcPr>
            <w:tcW w:w="2358" w:type="dxa"/>
          </w:tcPr>
          <w:p w14:paraId="2A8C8309" w14:textId="77777777" w:rsidR="00D2659E" w:rsidRPr="00E40034" w:rsidRDefault="00D2659E" w:rsidP="00D0477A">
            <w:pPr>
              <w:keepNext/>
              <w:keepLines/>
              <w:jc w:val="center"/>
              <w:rPr>
                <w:rFonts w:ascii="Arial Narrow" w:hAnsi="Arial Narrow"/>
                <w:b/>
                <w:bCs/>
                <w:sz w:val="20"/>
                <w:szCs w:val="20"/>
              </w:rPr>
            </w:pPr>
            <w:r w:rsidRPr="00E40034">
              <w:rPr>
                <w:rFonts w:ascii="Arial Narrow" w:hAnsi="Arial Narrow"/>
                <w:b/>
                <w:bCs/>
                <w:sz w:val="20"/>
                <w:szCs w:val="20"/>
              </w:rPr>
              <w:t>Placebo/non-responders</w:t>
            </w:r>
          </w:p>
        </w:tc>
      </w:tr>
      <w:tr w:rsidR="00D2659E" w:rsidRPr="00FF512C" w14:paraId="5CAA4573" w14:textId="77777777" w:rsidTr="00E40034">
        <w:tc>
          <w:tcPr>
            <w:tcW w:w="4531" w:type="dxa"/>
          </w:tcPr>
          <w:p w14:paraId="68E1935D" w14:textId="77777777" w:rsidR="00D2659E" w:rsidRPr="00FF512C" w:rsidRDefault="00D2659E" w:rsidP="00D0477A">
            <w:pPr>
              <w:keepNext/>
              <w:keepLines/>
              <w:rPr>
                <w:rFonts w:ascii="Arial Narrow" w:hAnsi="Arial Narrow"/>
                <w:sz w:val="20"/>
                <w:szCs w:val="20"/>
              </w:rPr>
            </w:pPr>
            <w:r w:rsidRPr="00FF512C">
              <w:rPr>
                <w:rFonts w:ascii="Arial Narrow" w:hAnsi="Arial Narrow"/>
                <w:sz w:val="20"/>
                <w:szCs w:val="20"/>
              </w:rPr>
              <w:t>Discontinuation</w:t>
            </w:r>
          </w:p>
        </w:tc>
        <w:tc>
          <w:tcPr>
            <w:tcW w:w="2127" w:type="dxa"/>
          </w:tcPr>
          <w:p w14:paraId="30DF4F7F" w14:textId="115E2D90" w:rsidR="00D2659E" w:rsidRPr="00FF512C" w:rsidRDefault="00D2659E" w:rsidP="00D0477A">
            <w:pPr>
              <w:keepNext/>
              <w:keepLines/>
              <w:jc w:val="center"/>
              <w:rPr>
                <w:rFonts w:ascii="Arial Narrow" w:hAnsi="Arial Narrow"/>
                <w:sz w:val="20"/>
                <w:szCs w:val="20"/>
              </w:rPr>
            </w:pPr>
            <w:r w:rsidRPr="00FF512C">
              <w:rPr>
                <w:rFonts w:ascii="Arial Narrow" w:hAnsi="Arial Narrow"/>
                <w:sz w:val="20"/>
                <w:szCs w:val="20"/>
              </w:rPr>
              <w:t>0.033</w:t>
            </w:r>
            <w:r w:rsidR="00AE3319" w:rsidRPr="00FF512C">
              <w:rPr>
                <w:rFonts w:ascii="Arial Narrow" w:hAnsi="Arial Narrow"/>
                <w:sz w:val="20"/>
                <w:szCs w:val="20"/>
              </w:rPr>
              <w:t>36</w:t>
            </w:r>
          </w:p>
        </w:tc>
        <w:tc>
          <w:tcPr>
            <w:tcW w:w="2358" w:type="dxa"/>
          </w:tcPr>
          <w:p w14:paraId="01F98685" w14:textId="2DF819BE" w:rsidR="00D2659E" w:rsidRPr="00FF512C" w:rsidRDefault="00D2659E" w:rsidP="00D0477A">
            <w:pPr>
              <w:keepNext/>
              <w:keepLines/>
              <w:jc w:val="center"/>
              <w:rPr>
                <w:rFonts w:ascii="Arial Narrow" w:hAnsi="Arial Narrow"/>
                <w:sz w:val="20"/>
                <w:szCs w:val="20"/>
              </w:rPr>
            </w:pPr>
            <w:r w:rsidRPr="00FF512C">
              <w:rPr>
                <w:rFonts w:ascii="Arial Narrow" w:hAnsi="Arial Narrow"/>
                <w:sz w:val="20"/>
                <w:szCs w:val="20"/>
              </w:rPr>
              <w:t>0.344</w:t>
            </w:r>
            <w:r w:rsidR="00AE3319" w:rsidRPr="00FF512C">
              <w:rPr>
                <w:rFonts w:ascii="Arial Narrow" w:hAnsi="Arial Narrow"/>
                <w:sz w:val="20"/>
                <w:szCs w:val="20"/>
              </w:rPr>
              <w:t>38</w:t>
            </w:r>
          </w:p>
        </w:tc>
      </w:tr>
      <w:tr w:rsidR="00D2659E" w:rsidRPr="00FF512C" w14:paraId="601703F0" w14:textId="77777777" w:rsidTr="00E40034">
        <w:tc>
          <w:tcPr>
            <w:tcW w:w="4531" w:type="dxa"/>
          </w:tcPr>
          <w:p w14:paraId="0B374245" w14:textId="77777777" w:rsidR="00D2659E" w:rsidRPr="00FF512C" w:rsidRDefault="00D2659E" w:rsidP="00D0477A">
            <w:pPr>
              <w:keepNext/>
              <w:keepLines/>
              <w:rPr>
                <w:rFonts w:ascii="Arial Narrow" w:hAnsi="Arial Narrow"/>
                <w:sz w:val="20"/>
                <w:szCs w:val="20"/>
              </w:rPr>
            </w:pPr>
            <w:r w:rsidRPr="00FF512C">
              <w:rPr>
                <w:rFonts w:ascii="Arial Narrow" w:hAnsi="Arial Narrow"/>
                <w:sz w:val="20"/>
                <w:szCs w:val="20"/>
              </w:rPr>
              <w:t>Dose reduction</w:t>
            </w:r>
          </w:p>
        </w:tc>
        <w:tc>
          <w:tcPr>
            <w:tcW w:w="2127" w:type="dxa"/>
          </w:tcPr>
          <w:p w14:paraId="61F6145A" w14:textId="4D8C31F0" w:rsidR="00D2659E" w:rsidRPr="00FF512C" w:rsidRDefault="00D2659E" w:rsidP="00D0477A">
            <w:pPr>
              <w:keepNext/>
              <w:keepLines/>
              <w:jc w:val="center"/>
              <w:rPr>
                <w:rFonts w:ascii="Arial Narrow" w:hAnsi="Arial Narrow"/>
                <w:sz w:val="20"/>
                <w:szCs w:val="20"/>
              </w:rPr>
            </w:pPr>
            <w:r w:rsidRPr="00FF512C">
              <w:rPr>
                <w:rFonts w:ascii="Arial Narrow" w:hAnsi="Arial Narrow"/>
                <w:sz w:val="20"/>
                <w:szCs w:val="20"/>
              </w:rPr>
              <w:t>0.000</w:t>
            </w:r>
            <w:r w:rsidR="00AE3319" w:rsidRPr="00FF512C">
              <w:rPr>
                <w:rFonts w:ascii="Arial Narrow" w:hAnsi="Arial Narrow"/>
                <w:sz w:val="20"/>
                <w:szCs w:val="20"/>
              </w:rPr>
              <w:t>00</w:t>
            </w:r>
          </w:p>
        </w:tc>
        <w:tc>
          <w:tcPr>
            <w:tcW w:w="2358" w:type="dxa"/>
          </w:tcPr>
          <w:p w14:paraId="38779EE2" w14:textId="00842A2A" w:rsidR="00D2659E" w:rsidRPr="00FF512C" w:rsidRDefault="00D2659E" w:rsidP="00D0477A">
            <w:pPr>
              <w:keepNext/>
              <w:keepLines/>
              <w:jc w:val="center"/>
              <w:rPr>
                <w:rFonts w:ascii="Arial Narrow" w:hAnsi="Arial Narrow"/>
                <w:sz w:val="20"/>
                <w:szCs w:val="20"/>
              </w:rPr>
            </w:pPr>
            <w:r w:rsidRPr="00FF512C">
              <w:rPr>
                <w:rFonts w:ascii="Arial Narrow" w:hAnsi="Arial Narrow"/>
                <w:sz w:val="20"/>
                <w:szCs w:val="20"/>
              </w:rPr>
              <w:t>0.355</w:t>
            </w:r>
            <w:r w:rsidR="00AE3319" w:rsidRPr="00FF512C">
              <w:rPr>
                <w:rFonts w:ascii="Arial Narrow" w:hAnsi="Arial Narrow"/>
                <w:sz w:val="20"/>
                <w:szCs w:val="20"/>
              </w:rPr>
              <w:t>49</w:t>
            </w:r>
          </w:p>
        </w:tc>
      </w:tr>
      <w:tr w:rsidR="00AC1BBC" w:rsidRPr="00FF512C" w14:paraId="688D04B4" w14:textId="77777777" w:rsidTr="002B7C2A">
        <w:tc>
          <w:tcPr>
            <w:tcW w:w="9016" w:type="dxa"/>
            <w:gridSpan w:val="3"/>
          </w:tcPr>
          <w:p w14:paraId="386A7EBE" w14:textId="5C2DDB13" w:rsidR="00AC1BBC" w:rsidRPr="00FF512C" w:rsidRDefault="00AE3319" w:rsidP="00D0477A">
            <w:pPr>
              <w:keepNext/>
              <w:keepLines/>
              <w:rPr>
                <w:rFonts w:ascii="Arial Narrow" w:hAnsi="Arial Narrow"/>
                <w:b/>
                <w:bCs/>
                <w:sz w:val="20"/>
                <w:szCs w:val="20"/>
              </w:rPr>
            </w:pPr>
            <w:r w:rsidRPr="00FF512C">
              <w:rPr>
                <w:rFonts w:ascii="Arial Narrow" w:hAnsi="Arial Narrow"/>
                <w:b/>
                <w:bCs/>
                <w:sz w:val="20"/>
                <w:szCs w:val="20"/>
              </w:rPr>
              <w:t xml:space="preserve">Monthly probability of dose modification </w:t>
            </w:r>
            <w:r w:rsidR="0032603B" w:rsidRPr="00FF512C">
              <w:rPr>
                <w:rFonts w:ascii="Arial Narrow" w:hAnsi="Arial Narrow"/>
                <w:b/>
                <w:bCs/>
                <w:sz w:val="20"/>
                <w:szCs w:val="20"/>
              </w:rPr>
              <w:t xml:space="preserve">in </w:t>
            </w:r>
            <w:r w:rsidRPr="00FF512C">
              <w:rPr>
                <w:rFonts w:ascii="Arial Narrow" w:hAnsi="Arial Narrow"/>
                <w:b/>
                <w:bCs/>
                <w:sz w:val="20"/>
                <w:szCs w:val="20"/>
              </w:rPr>
              <w:t>month</w:t>
            </w:r>
            <w:r w:rsidR="0032603B" w:rsidRPr="00FF512C">
              <w:rPr>
                <w:rFonts w:ascii="Arial Narrow" w:hAnsi="Arial Narrow"/>
                <w:b/>
                <w:bCs/>
                <w:sz w:val="20"/>
                <w:szCs w:val="20"/>
              </w:rPr>
              <w:t>s</w:t>
            </w:r>
            <w:r w:rsidRPr="00FF512C">
              <w:rPr>
                <w:rFonts w:ascii="Arial Narrow" w:hAnsi="Arial Narrow"/>
                <w:b/>
                <w:bCs/>
                <w:sz w:val="20"/>
                <w:szCs w:val="20"/>
              </w:rPr>
              <w:t xml:space="preserve"> 4+</w:t>
            </w:r>
            <w:r w:rsidR="0032603B" w:rsidRPr="00FF512C">
              <w:rPr>
                <w:rFonts w:ascii="Arial Narrow" w:hAnsi="Arial Narrow"/>
                <w:b/>
                <w:bCs/>
                <w:sz w:val="20"/>
                <w:szCs w:val="20"/>
              </w:rPr>
              <w:t xml:space="preserve"> of the model</w:t>
            </w:r>
          </w:p>
        </w:tc>
      </w:tr>
      <w:tr w:rsidR="0032603B" w:rsidRPr="00FF512C" w14:paraId="48C38A00" w14:textId="77777777" w:rsidTr="00E40034">
        <w:tc>
          <w:tcPr>
            <w:tcW w:w="4531" w:type="dxa"/>
          </w:tcPr>
          <w:p w14:paraId="0BA437DE" w14:textId="21426661" w:rsidR="0032603B" w:rsidRPr="00FF512C" w:rsidRDefault="0032603B" w:rsidP="00D0477A">
            <w:pPr>
              <w:keepNext/>
              <w:keepLines/>
              <w:rPr>
                <w:rFonts w:ascii="Arial Narrow" w:hAnsi="Arial Narrow"/>
                <w:sz w:val="20"/>
                <w:szCs w:val="20"/>
              </w:rPr>
            </w:pPr>
            <w:r w:rsidRPr="00FF512C">
              <w:rPr>
                <w:rFonts w:ascii="Arial Narrow" w:hAnsi="Arial Narrow"/>
                <w:sz w:val="20"/>
                <w:szCs w:val="20"/>
              </w:rPr>
              <w:t>RAASi discontinuation with severe hyperkalaemia</w:t>
            </w:r>
          </w:p>
        </w:tc>
        <w:tc>
          <w:tcPr>
            <w:tcW w:w="4485" w:type="dxa"/>
            <w:gridSpan w:val="2"/>
          </w:tcPr>
          <w:p w14:paraId="37D6DC05" w14:textId="2499531E" w:rsidR="0032603B" w:rsidRPr="00FF512C" w:rsidRDefault="0032603B" w:rsidP="00D0477A">
            <w:pPr>
              <w:keepNext/>
              <w:keepLines/>
              <w:jc w:val="center"/>
              <w:rPr>
                <w:rFonts w:ascii="Arial Narrow" w:hAnsi="Arial Narrow"/>
                <w:sz w:val="20"/>
                <w:szCs w:val="20"/>
              </w:rPr>
            </w:pPr>
            <w:r w:rsidRPr="00FF512C">
              <w:rPr>
                <w:rFonts w:ascii="Arial Narrow" w:hAnsi="Arial Narrow"/>
                <w:sz w:val="20"/>
                <w:szCs w:val="20"/>
              </w:rPr>
              <w:t>0.1000</w:t>
            </w:r>
          </w:p>
        </w:tc>
      </w:tr>
      <w:tr w:rsidR="00AE3319" w:rsidRPr="00FF512C" w14:paraId="6A109F1C" w14:textId="77777777" w:rsidTr="0032603B">
        <w:trPr>
          <w:trHeight w:val="239"/>
        </w:trPr>
        <w:tc>
          <w:tcPr>
            <w:tcW w:w="9016" w:type="dxa"/>
            <w:gridSpan w:val="3"/>
          </w:tcPr>
          <w:p w14:paraId="3B208810" w14:textId="48980D53" w:rsidR="00AE3319" w:rsidRPr="00FF512C" w:rsidRDefault="0032603B" w:rsidP="00D0477A">
            <w:pPr>
              <w:pStyle w:val="COMH1numbered"/>
              <w:keepLines/>
              <w:numPr>
                <w:ilvl w:val="0"/>
                <w:numId w:val="0"/>
              </w:numPr>
              <w:spacing w:before="0" w:after="0"/>
              <w:rPr>
                <w:rFonts w:ascii="Arial Narrow" w:hAnsi="Arial Narrow"/>
                <w:bCs/>
                <w:sz w:val="20"/>
                <w:szCs w:val="20"/>
              </w:rPr>
            </w:pPr>
            <w:r w:rsidRPr="00FF512C">
              <w:rPr>
                <w:rFonts w:ascii="Arial Narrow" w:hAnsi="Arial Narrow"/>
                <w:bCs/>
                <w:sz w:val="20"/>
                <w:szCs w:val="20"/>
              </w:rPr>
              <w:t>Monthly probability of hyperkalaemia in months 4+ of the model</w:t>
            </w:r>
          </w:p>
        </w:tc>
      </w:tr>
      <w:tr w:rsidR="0032603B" w:rsidRPr="00FF512C" w14:paraId="7A238A8F" w14:textId="77777777" w:rsidTr="00E40034">
        <w:tc>
          <w:tcPr>
            <w:tcW w:w="4531" w:type="dxa"/>
          </w:tcPr>
          <w:p w14:paraId="45AE5DAD" w14:textId="68A82B0F" w:rsidR="0032603B" w:rsidRPr="00FF512C" w:rsidRDefault="0032603B" w:rsidP="00D0477A">
            <w:pPr>
              <w:keepNext/>
              <w:keepLines/>
              <w:rPr>
                <w:rFonts w:ascii="Arial Narrow" w:hAnsi="Arial Narrow"/>
                <w:sz w:val="20"/>
                <w:szCs w:val="20"/>
              </w:rPr>
            </w:pPr>
            <w:r w:rsidRPr="00FF512C">
              <w:rPr>
                <w:rFonts w:ascii="Arial Narrow" w:hAnsi="Arial Narrow"/>
                <w:sz w:val="20"/>
                <w:szCs w:val="20"/>
              </w:rPr>
              <w:t xml:space="preserve">Mild hyperkalaemia </w:t>
            </w:r>
          </w:p>
        </w:tc>
        <w:tc>
          <w:tcPr>
            <w:tcW w:w="4485" w:type="dxa"/>
            <w:gridSpan w:val="2"/>
          </w:tcPr>
          <w:p w14:paraId="0D8D2079" w14:textId="05A62213" w:rsidR="0032603B" w:rsidRPr="00FF512C" w:rsidRDefault="0032603B" w:rsidP="00D0477A">
            <w:pPr>
              <w:keepNext/>
              <w:keepLines/>
              <w:jc w:val="center"/>
              <w:rPr>
                <w:rFonts w:ascii="Arial Narrow" w:hAnsi="Arial Narrow"/>
                <w:sz w:val="20"/>
                <w:szCs w:val="20"/>
              </w:rPr>
            </w:pPr>
            <w:r w:rsidRPr="00FF512C">
              <w:rPr>
                <w:rFonts w:ascii="Arial Narrow" w:hAnsi="Arial Narrow"/>
                <w:sz w:val="20"/>
                <w:szCs w:val="20"/>
              </w:rPr>
              <w:t>0.01158</w:t>
            </w:r>
          </w:p>
        </w:tc>
      </w:tr>
      <w:tr w:rsidR="0032603B" w:rsidRPr="00FF512C" w14:paraId="7DDA8CD3" w14:textId="77777777" w:rsidTr="00E40034">
        <w:tc>
          <w:tcPr>
            <w:tcW w:w="4531" w:type="dxa"/>
          </w:tcPr>
          <w:p w14:paraId="36141560" w14:textId="174652B8" w:rsidR="0032603B" w:rsidRPr="00FF512C" w:rsidRDefault="0032603B" w:rsidP="00D0477A">
            <w:pPr>
              <w:keepNext/>
              <w:keepLines/>
              <w:rPr>
                <w:rFonts w:ascii="Arial Narrow" w:hAnsi="Arial Narrow"/>
                <w:sz w:val="20"/>
                <w:szCs w:val="20"/>
              </w:rPr>
            </w:pPr>
            <w:r w:rsidRPr="00FF512C">
              <w:rPr>
                <w:rFonts w:ascii="Arial Narrow" w:hAnsi="Arial Narrow"/>
                <w:sz w:val="20"/>
                <w:szCs w:val="20"/>
              </w:rPr>
              <w:t xml:space="preserve">Moderate hyperkalaemia </w:t>
            </w:r>
          </w:p>
        </w:tc>
        <w:tc>
          <w:tcPr>
            <w:tcW w:w="4485" w:type="dxa"/>
            <w:gridSpan w:val="2"/>
          </w:tcPr>
          <w:p w14:paraId="743A5BA4" w14:textId="2528C91B" w:rsidR="0032603B" w:rsidRPr="00FF512C" w:rsidRDefault="0032603B" w:rsidP="00D0477A">
            <w:pPr>
              <w:keepNext/>
              <w:keepLines/>
              <w:jc w:val="center"/>
              <w:rPr>
                <w:rFonts w:ascii="Arial Narrow" w:hAnsi="Arial Narrow"/>
                <w:sz w:val="20"/>
                <w:szCs w:val="20"/>
              </w:rPr>
            </w:pPr>
            <w:r w:rsidRPr="00FF512C">
              <w:rPr>
                <w:rFonts w:ascii="Arial Narrow" w:hAnsi="Arial Narrow"/>
                <w:sz w:val="20"/>
                <w:szCs w:val="20"/>
              </w:rPr>
              <w:t>0.00092</w:t>
            </w:r>
          </w:p>
        </w:tc>
      </w:tr>
      <w:tr w:rsidR="0032603B" w:rsidRPr="00FF512C" w14:paraId="56CEE66A" w14:textId="77777777" w:rsidTr="00E40034">
        <w:tc>
          <w:tcPr>
            <w:tcW w:w="4531" w:type="dxa"/>
          </w:tcPr>
          <w:p w14:paraId="63AB04C5" w14:textId="54B62ABE" w:rsidR="0032603B" w:rsidRPr="00FF512C" w:rsidRDefault="0032603B" w:rsidP="00D0477A">
            <w:pPr>
              <w:keepNext/>
              <w:keepLines/>
              <w:rPr>
                <w:rFonts w:ascii="Arial Narrow" w:hAnsi="Arial Narrow"/>
                <w:sz w:val="20"/>
                <w:szCs w:val="20"/>
              </w:rPr>
            </w:pPr>
            <w:r w:rsidRPr="00FF512C">
              <w:rPr>
                <w:rFonts w:ascii="Arial Narrow" w:hAnsi="Arial Narrow"/>
                <w:sz w:val="20"/>
                <w:szCs w:val="20"/>
              </w:rPr>
              <w:t xml:space="preserve">Severe hyperkalaemia </w:t>
            </w:r>
          </w:p>
        </w:tc>
        <w:tc>
          <w:tcPr>
            <w:tcW w:w="4485" w:type="dxa"/>
            <w:gridSpan w:val="2"/>
          </w:tcPr>
          <w:p w14:paraId="459DEE61" w14:textId="461991CB" w:rsidR="0032603B" w:rsidRPr="00FF512C" w:rsidRDefault="0032603B" w:rsidP="00D0477A">
            <w:pPr>
              <w:keepNext/>
              <w:keepLines/>
              <w:jc w:val="center"/>
              <w:rPr>
                <w:rFonts w:ascii="Arial Narrow" w:hAnsi="Arial Narrow"/>
                <w:sz w:val="20"/>
                <w:szCs w:val="20"/>
              </w:rPr>
            </w:pPr>
            <w:r w:rsidRPr="00FF512C">
              <w:rPr>
                <w:rFonts w:ascii="Arial Narrow" w:hAnsi="Arial Narrow"/>
                <w:sz w:val="20"/>
                <w:szCs w:val="20"/>
              </w:rPr>
              <w:t>0.00021</w:t>
            </w:r>
          </w:p>
        </w:tc>
      </w:tr>
    </w:tbl>
    <w:p w14:paraId="0EE6DFA9" w14:textId="1291928F" w:rsidR="00BF7985" w:rsidRPr="00FF512C" w:rsidRDefault="00BF7985" w:rsidP="00D0477A">
      <w:pPr>
        <w:pStyle w:val="COMTablefooter"/>
        <w:keepNext/>
        <w:keepLines/>
      </w:pPr>
      <w:r w:rsidRPr="00FF512C">
        <w:t>Source: patiromer cost effectiveness model</w:t>
      </w:r>
    </w:p>
    <w:p w14:paraId="458EA8E0" w14:textId="31F59317" w:rsidR="00BF7985" w:rsidRPr="00FF512C" w:rsidRDefault="00BF7985" w:rsidP="00D0477A">
      <w:pPr>
        <w:pStyle w:val="COMTablefooter"/>
        <w:keepNext/>
        <w:keepLines/>
        <w:rPr>
          <w:color w:val="3366FF"/>
        </w:rPr>
      </w:pPr>
      <w:r w:rsidRPr="00FF512C">
        <w:t xml:space="preserve">Abbreviations: RAASi, renin-angiotensin-aldosterone system inhibitors </w:t>
      </w:r>
    </w:p>
    <w:p w14:paraId="7F441E8B" w14:textId="6010EE95" w:rsidR="006E63FD" w:rsidRPr="002F6665" w:rsidRDefault="006E63FD" w:rsidP="006E63FD">
      <w:pPr>
        <w:pStyle w:val="COMexecsumnumberedpara"/>
        <w:numPr>
          <w:ilvl w:val="1"/>
          <w:numId w:val="1"/>
        </w:numPr>
      </w:pPr>
      <w:r w:rsidRPr="002F6665">
        <w:t>During the evaluation, a systemic error was identified in the calculation of risk multipliers in the economic model. In brief, the resubmission estimated the ratio of outcomes in patients with a condition to patients without a condition and then applied this ratio to an overall rate from the total population. This approach does not account for the total population being a mix of patients with and without the condition.</w:t>
      </w:r>
    </w:p>
    <w:p w14:paraId="7354BE4B" w14:textId="77777777" w:rsidR="006E63FD" w:rsidRPr="002F6665" w:rsidRDefault="006E63FD" w:rsidP="006E63FD">
      <w:pPr>
        <w:pStyle w:val="COMexecsumnumberedpara"/>
        <w:numPr>
          <w:ilvl w:val="1"/>
          <w:numId w:val="1"/>
        </w:numPr>
      </w:pPr>
      <w:r w:rsidRPr="002F6665">
        <w:t xml:space="preserve">Additionally, during the evaluation it was noted that the definitions of hospitalisation (sometimes identified as all-cause hospitalisation and sometimes as heart failure hospitalisation) and cardiovascular events (typically including hospitalisations for stroke, myocardial infarction, heart failure) overlapped in the model, leading to substantial double-counting of events. </w:t>
      </w:r>
    </w:p>
    <w:p w14:paraId="15153092" w14:textId="77777777" w:rsidR="006E63FD" w:rsidRPr="002F6665" w:rsidRDefault="006E63FD" w:rsidP="006E63FD">
      <w:pPr>
        <w:pStyle w:val="COMexecsumnumberedpara"/>
        <w:numPr>
          <w:ilvl w:val="1"/>
          <w:numId w:val="1"/>
        </w:numPr>
      </w:pPr>
      <w:r w:rsidRPr="002F6665">
        <w:t>It was also noted during the evaluation that the costs of RAASi dose alteration events were poorly justified and appeared to overlap with costs estimated for hyperkalaemia events.</w:t>
      </w:r>
    </w:p>
    <w:p w14:paraId="68F5051D" w14:textId="6500EF57" w:rsidR="006E63FD" w:rsidRPr="002F6665" w:rsidRDefault="006E63FD" w:rsidP="006E63FD">
      <w:pPr>
        <w:pStyle w:val="COMexecsumnumberedpara"/>
        <w:numPr>
          <w:ilvl w:val="1"/>
          <w:numId w:val="1"/>
        </w:numPr>
      </w:pPr>
      <w:r w:rsidRPr="002F6665">
        <w:t xml:space="preserve">The Markov trace of RAASi changes over time in </w:t>
      </w:r>
      <w:r w:rsidRPr="002F6665">
        <w:fldChar w:fldCharType="begin"/>
      </w:r>
      <w:r w:rsidRPr="002F6665">
        <w:instrText xml:space="preserve"> REF _Ref111659599 \h  \* MERGEFORMAT </w:instrText>
      </w:r>
      <w:r w:rsidRPr="002F6665">
        <w:fldChar w:fldCharType="separate"/>
      </w:r>
      <w:r w:rsidR="00565456" w:rsidRPr="001159D0">
        <w:t xml:space="preserve">Figure </w:t>
      </w:r>
      <w:r w:rsidR="00565456">
        <w:rPr>
          <w:noProof/>
        </w:rPr>
        <w:t>2</w:t>
      </w:r>
      <w:r w:rsidRPr="002F6665">
        <w:fldChar w:fldCharType="end"/>
      </w:r>
      <w:r w:rsidRPr="002F6665">
        <w:t xml:space="preserve"> shows that, like previous models, the current economic analysis is highly dependent on RAASi changes during the first 3 months based on data from the OPAL-HK trial which bears little resemblance to later transition probabilities. </w:t>
      </w:r>
    </w:p>
    <w:p w14:paraId="40B60E38" w14:textId="030015C8" w:rsidR="003A7E95" w:rsidRPr="001159D0" w:rsidRDefault="003A7E95" w:rsidP="003A7E95">
      <w:pPr>
        <w:pStyle w:val="COMTableheadingrow"/>
        <w:rPr>
          <w:lang w:val="en-AU"/>
        </w:rPr>
      </w:pPr>
      <w:bookmarkStart w:id="51" w:name="_Ref111659599"/>
      <w:r w:rsidRPr="001159D0">
        <w:rPr>
          <w:lang w:val="en-AU"/>
        </w:rPr>
        <w:lastRenderedPageBreak/>
        <w:t xml:space="preserve">Figure </w:t>
      </w:r>
      <w:r w:rsidR="0021051F">
        <w:rPr>
          <w:lang w:val="en-AU"/>
        </w:rPr>
        <w:fldChar w:fldCharType="begin"/>
      </w:r>
      <w:r w:rsidR="0021051F">
        <w:rPr>
          <w:lang w:val="en-AU"/>
        </w:rPr>
        <w:instrText xml:space="preserve"> SEQ Figure \* ARABIC </w:instrText>
      </w:r>
      <w:r w:rsidR="0021051F">
        <w:rPr>
          <w:lang w:val="en-AU"/>
        </w:rPr>
        <w:fldChar w:fldCharType="separate"/>
      </w:r>
      <w:r w:rsidR="00565456">
        <w:rPr>
          <w:noProof/>
          <w:lang w:val="en-AU"/>
        </w:rPr>
        <w:t>2</w:t>
      </w:r>
      <w:r w:rsidR="0021051F">
        <w:rPr>
          <w:lang w:val="en-AU"/>
        </w:rPr>
        <w:fldChar w:fldCharType="end"/>
      </w:r>
      <w:bookmarkEnd w:id="51"/>
      <w:r w:rsidRPr="001159D0">
        <w:rPr>
          <w:lang w:val="en-AU"/>
        </w:rPr>
        <w:t>: RAASi dose over 30-year modelled time horizon (inset over 1 year)</w:t>
      </w:r>
    </w:p>
    <w:p w14:paraId="605B36C6" w14:textId="4CCF243A" w:rsidR="006E63FD" w:rsidRPr="00320A2B" w:rsidRDefault="003A7E95" w:rsidP="00320A2B">
      <w:pPr>
        <w:pStyle w:val="COMTablefooter"/>
        <w:rPr>
          <w:snapToGrid/>
        </w:rPr>
      </w:pPr>
      <w:r w:rsidRPr="001159D0">
        <w:rPr>
          <w:rStyle w:val="TableFooterChar"/>
          <w:rFonts w:eastAsia="Calibri"/>
          <w:noProof/>
        </w:rPr>
        <mc:AlternateContent>
          <mc:Choice Requires="wpg">
            <w:drawing>
              <wp:inline distT="0" distB="0" distL="0" distR="0" wp14:anchorId="403E1828" wp14:editId="50422231">
                <wp:extent cx="5688330" cy="3602990"/>
                <wp:effectExtent l="0" t="0" r="7620" b="0"/>
                <wp:docPr id="25" name="Group 25" descr="Figure 2: RAASi dose over 30-year modelled time horizon (inset over 1 year)"/>
                <wp:cNvGraphicFramePr/>
                <a:graphic xmlns:a="http://schemas.openxmlformats.org/drawingml/2006/main">
                  <a:graphicData uri="http://schemas.microsoft.com/office/word/2010/wordprocessingGroup">
                    <wpg:wgp>
                      <wpg:cNvGrpSpPr/>
                      <wpg:grpSpPr>
                        <a:xfrm>
                          <a:off x="0" y="0"/>
                          <a:ext cx="5688330" cy="3602990"/>
                          <a:chOff x="0" y="0"/>
                          <a:chExt cx="5688330" cy="3602990"/>
                        </a:xfrm>
                      </wpg:grpSpPr>
                      <pic:pic xmlns:pic="http://schemas.openxmlformats.org/drawingml/2006/picture">
                        <pic:nvPicPr>
                          <pic:cNvPr id="26" name="Picture 26" descr="Chart&#10;&#10;Description automatically generated"/>
                          <pic:cNvPicPr>
                            <a:picLocks noChangeAspect="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88330" cy="3602990"/>
                          </a:xfrm>
                          <a:prstGeom prst="rect">
                            <a:avLst/>
                          </a:prstGeom>
                          <a:noFill/>
                        </pic:spPr>
                      </pic:pic>
                      <pic:pic xmlns:pic="http://schemas.openxmlformats.org/drawingml/2006/picture">
                        <pic:nvPicPr>
                          <pic:cNvPr id="27" name="Picture 27"/>
                          <pic:cNvPicPr>
                            <a:picLocks noChangeAspect="1"/>
                          </pic:cNvPicPr>
                        </pic:nvPicPr>
                        <pic:blipFill>
                          <a:blip r:embed="rId10">
                            <a:extLst>
                              <a:ext uri="{28A0092B-C50C-407E-A947-70E740481C1C}">
                                <a14:useLocalDpi xmlns:a14="http://schemas.microsoft.com/office/drawing/2010/main" val="0"/>
                              </a:ext>
                            </a:extLst>
                          </a:blip>
                          <a:srcRect/>
                          <a:stretch>
                            <a:fillRect/>
                          </a:stretch>
                        </pic:blipFill>
                        <pic:spPr bwMode="auto">
                          <a:xfrm>
                            <a:off x="2743200" y="247650"/>
                            <a:ext cx="2847340" cy="1864360"/>
                          </a:xfrm>
                          <a:prstGeom prst="rect">
                            <a:avLst/>
                          </a:prstGeom>
                          <a:noFill/>
                        </pic:spPr>
                      </pic:pic>
                    </wpg:wgp>
                  </a:graphicData>
                </a:graphic>
              </wp:inline>
            </w:drawing>
          </mc:Choice>
          <mc:Fallback>
            <w:pict>
              <v:group w14:anchorId="2FB6180D" id="Group 25" o:spid="_x0000_s1026" alt="Figure 2: RAASi dose over 30-year modelled time horizon (inset over 1 year)" style="width:447.9pt;height:283.7pt;mso-position-horizontal-relative:char;mso-position-vertical-relative:line" coordsize="56883,3602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6" o:spid="_x0000_s1027" type="#_x0000_t75" alt="Chart&#10;&#10;Description automatically generated" style="position:absolute;width:56883;height:360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">
                  <v:imagedata r:id="rId14" o:title="Chart&#10;&#10;Description automatically generated"/>
                </v:shape>
                <v:shape id="Picture 27" o:spid="_x0000_s1028" type="#_x0000_t75" style="position:absolute;left:27432;top:2476;width:28473;height:186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">
                  <v:imagedata r:id="rId15" o:title=""/>
                </v:shape>
                <w10:anchorlock/>
              </v:group>
            </w:pict>
          </mc:Fallback>
        </mc:AlternateContent>
      </w:r>
      <w:r w:rsidRPr="001159D0">
        <w:rPr>
          <w:rStyle w:val="TableFooterChar"/>
          <w:rFonts w:eastAsia="Calibri"/>
        </w:rPr>
        <w:t>Source: Constructed during the evaluation using ‘Attachment 13a - Veltassa Cost Effectiveness Analysis’ spreadsheet provided with</w:t>
      </w:r>
      <w:r w:rsidRPr="001159D0">
        <w:rPr>
          <w:snapToGrid/>
        </w:rPr>
        <w:t xml:space="preserve"> </w:t>
      </w:r>
      <w:r w:rsidRPr="001159D0">
        <w:rPr>
          <w:rStyle w:val="TableFooterChar"/>
          <w:rFonts w:eastAsia="Calibri"/>
        </w:rPr>
        <w:t>the resubmission</w:t>
      </w:r>
    </w:p>
    <w:p w14:paraId="30AE1E1E" w14:textId="53169D4D" w:rsidR="00BD3EEE" w:rsidRPr="002F6665" w:rsidRDefault="00BD3EEE" w:rsidP="00BD3EEE">
      <w:pPr>
        <w:pStyle w:val="COMexecsumnumberedpara"/>
        <w:numPr>
          <w:ilvl w:val="1"/>
          <w:numId w:val="1"/>
        </w:numPr>
      </w:pPr>
      <w:r w:rsidRPr="002F6665">
        <w:t xml:space="preserve">The model then translates these differences in RAASi utilisation into small survival gains (see </w:t>
      </w:r>
      <w:r w:rsidRPr="002F6665">
        <w:fldChar w:fldCharType="begin"/>
      </w:r>
      <w:r w:rsidRPr="002F6665">
        <w:instrText xml:space="preserve"> REF _Ref111659670 \h  \* MERGEFORMAT </w:instrText>
      </w:r>
      <w:r w:rsidRPr="002F6665">
        <w:fldChar w:fldCharType="separate"/>
      </w:r>
      <w:r w:rsidR="00565456" w:rsidRPr="001159D0">
        <w:t xml:space="preserve">Figure </w:t>
      </w:r>
      <w:r w:rsidR="00565456">
        <w:rPr>
          <w:noProof/>
        </w:rPr>
        <w:t>3</w:t>
      </w:r>
      <w:r w:rsidRPr="002F6665">
        <w:fldChar w:fldCharType="end"/>
      </w:r>
      <w:r w:rsidRPr="002F6665">
        <w:t xml:space="preserve"> below), which is the primary benefit of patiromer treatment in the economic model. </w:t>
      </w:r>
    </w:p>
    <w:p w14:paraId="2B02DA8C" w14:textId="51F0DD8F" w:rsidR="005D014A" w:rsidRPr="001159D0" w:rsidRDefault="005D014A" w:rsidP="005D014A">
      <w:pPr>
        <w:pStyle w:val="COMTableheadingrow"/>
        <w:rPr>
          <w:lang w:val="en-AU"/>
        </w:rPr>
      </w:pPr>
      <w:bookmarkStart w:id="52" w:name="_Ref111659670"/>
      <w:r w:rsidRPr="001159D0">
        <w:rPr>
          <w:lang w:val="en-AU"/>
        </w:rPr>
        <w:lastRenderedPageBreak/>
        <w:t xml:space="preserve">Figure </w:t>
      </w:r>
      <w:r w:rsidR="0021051F">
        <w:rPr>
          <w:lang w:val="en-AU"/>
        </w:rPr>
        <w:fldChar w:fldCharType="begin"/>
      </w:r>
      <w:r w:rsidR="0021051F">
        <w:rPr>
          <w:lang w:val="en-AU"/>
        </w:rPr>
        <w:instrText xml:space="preserve"> SEQ Figure \* ARABIC </w:instrText>
      </w:r>
      <w:r w:rsidR="0021051F">
        <w:rPr>
          <w:lang w:val="en-AU"/>
        </w:rPr>
        <w:fldChar w:fldCharType="separate"/>
      </w:r>
      <w:r w:rsidR="00565456">
        <w:rPr>
          <w:noProof/>
          <w:lang w:val="en-AU"/>
        </w:rPr>
        <w:t>3</w:t>
      </w:r>
      <w:r w:rsidR="0021051F">
        <w:rPr>
          <w:lang w:val="en-AU"/>
        </w:rPr>
        <w:fldChar w:fldCharType="end"/>
      </w:r>
      <w:bookmarkEnd w:id="52"/>
      <w:r w:rsidRPr="001159D0">
        <w:rPr>
          <w:lang w:val="en-AU"/>
        </w:rPr>
        <w:t>: Overall survival over 30-year modelled time horizon</w:t>
      </w:r>
    </w:p>
    <w:p w14:paraId="2786EEC3" w14:textId="77777777" w:rsidR="005D014A" w:rsidRPr="001159D0" w:rsidRDefault="005D014A" w:rsidP="005D014A">
      <w:pPr>
        <w:pStyle w:val="TableFooter"/>
      </w:pPr>
      <w:r w:rsidRPr="001159D0">
        <w:rPr>
          <w:noProof/>
        </w:rPr>
        <w:drawing>
          <wp:inline distT="0" distB="0" distL="0" distR="0" wp14:anchorId="6C76CE59" wp14:editId="7F18BA60">
            <wp:extent cx="5688330" cy="3596640"/>
            <wp:effectExtent l="0" t="0" r="7620" b="3810"/>
            <wp:docPr id="28" name="Picture 28" descr="Figure 3: Overall survival over 30-year modelled time horiz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descr="Figure 3: Overall survival over 30-year modelled time horizon"/>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688330" cy="3596640"/>
                    </a:xfrm>
                    <a:prstGeom prst="rect">
                      <a:avLst/>
                    </a:prstGeom>
                    <a:noFill/>
                  </pic:spPr>
                </pic:pic>
              </a:graphicData>
            </a:graphic>
          </wp:inline>
        </w:drawing>
      </w:r>
    </w:p>
    <w:p w14:paraId="7E826C04" w14:textId="77777777" w:rsidR="005D014A" w:rsidRPr="001159D0" w:rsidRDefault="005D014A" w:rsidP="005D014A">
      <w:pPr>
        <w:pStyle w:val="COMTablefooter"/>
        <w:rPr>
          <w:snapToGrid/>
        </w:rPr>
      </w:pPr>
      <w:r w:rsidRPr="001159D0">
        <w:rPr>
          <w:snapToGrid/>
        </w:rPr>
        <w:t>Source: Constructed during the evaluation using ‘Attachment 13a - Veltassa Cost Effectiveness Analysis’ spreadsheet provided with the resubmission</w:t>
      </w:r>
    </w:p>
    <w:p w14:paraId="5E86CD23" w14:textId="7F40B256" w:rsidR="002A35AB" w:rsidRPr="00FF512C" w:rsidRDefault="002A35AB" w:rsidP="002A35AB">
      <w:pPr>
        <w:pStyle w:val="COMexecsumnumberedpara"/>
      </w:pPr>
      <w:r w:rsidRPr="00FF512C">
        <w:t>The ESC noted that the health state utility values applied in the base case (0.9 for C</w:t>
      </w:r>
      <w:r w:rsidR="007E0DBC" w:rsidRPr="00FF512C">
        <w:t>KD</w:t>
      </w:r>
      <w:r w:rsidRPr="00FF512C">
        <w:t xml:space="preserve"> stages 1/2 and 0.57 for C</w:t>
      </w:r>
      <w:r w:rsidR="007E0DBC" w:rsidRPr="00FF512C">
        <w:t>KD</w:t>
      </w:r>
      <w:r w:rsidRPr="00FF512C">
        <w:t xml:space="preserve"> stage 5 without dialysis), which were based on </w:t>
      </w:r>
      <w:r w:rsidRPr="00FF512C">
        <w:rPr>
          <w:bCs/>
          <w:szCs w:val="20"/>
        </w:rPr>
        <w:t xml:space="preserve">Gorodetskaya 2005 time trade-off valuation and </w:t>
      </w:r>
      <w:r w:rsidRPr="00FF512C">
        <w:t>Lee 2005 EQ-5D-3L utility measures, may not be plausible</w:t>
      </w:r>
      <w:r w:rsidR="00A33CD1" w:rsidRPr="00FF512C">
        <w:t xml:space="preserve"> and were likely to be non-conservative</w:t>
      </w:r>
      <w:r w:rsidRPr="00FF512C">
        <w:t xml:space="preserve">. The ESC considered that the use of </w:t>
      </w:r>
      <w:r w:rsidRPr="00FF512C">
        <w:rPr>
          <w:bCs/>
          <w:szCs w:val="20"/>
        </w:rPr>
        <w:t xml:space="preserve">Gorodetskaya </w:t>
      </w:r>
      <w:r w:rsidR="00C703D0" w:rsidRPr="00FF512C">
        <w:rPr>
          <w:bCs/>
          <w:szCs w:val="20"/>
        </w:rPr>
        <w:t xml:space="preserve">2005 </w:t>
      </w:r>
      <w:r w:rsidRPr="00FF512C">
        <w:rPr>
          <w:bCs/>
          <w:szCs w:val="20"/>
        </w:rPr>
        <w:t xml:space="preserve">health utilities index values may be more plausible and would provide a common source for all CKD states. </w:t>
      </w:r>
    </w:p>
    <w:p w14:paraId="000197BE" w14:textId="33E91604" w:rsidR="005B3940" w:rsidRPr="001159D0" w:rsidRDefault="005B3940" w:rsidP="005B3940">
      <w:pPr>
        <w:pStyle w:val="COMexecsumnumberedpara"/>
        <w:numPr>
          <w:ilvl w:val="1"/>
          <w:numId w:val="1"/>
        </w:numPr>
      </w:pPr>
      <w:r w:rsidRPr="001159D0">
        <w:t xml:space="preserve">The results of the stepped economic evaluation are summarised in </w:t>
      </w:r>
      <w:r w:rsidRPr="001159D0">
        <w:fldChar w:fldCharType="begin"/>
      </w:r>
      <w:r w:rsidRPr="001159D0">
        <w:instrText xml:space="preserve"> REF _Ref111659741 \h  \* MERGEFORMAT </w:instrText>
      </w:r>
      <w:r w:rsidRPr="001159D0">
        <w:fldChar w:fldCharType="separate"/>
      </w:r>
      <w:r w:rsidR="00565456" w:rsidRPr="001159D0">
        <w:t xml:space="preserve">Table </w:t>
      </w:r>
      <w:r w:rsidR="00565456">
        <w:rPr>
          <w:noProof/>
        </w:rPr>
        <w:t>14</w:t>
      </w:r>
      <w:r w:rsidRPr="001159D0">
        <w:fldChar w:fldCharType="end"/>
      </w:r>
      <w:r w:rsidRPr="001159D0">
        <w:t xml:space="preserve"> below.</w:t>
      </w:r>
    </w:p>
    <w:p w14:paraId="2B11A625" w14:textId="6763B2D2" w:rsidR="008B3368" w:rsidRPr="001159D0" w:rsidRDefault="008B3368" w:rsidP="008B3368">
      <w:pPr>
        <w:pStyle w:val="COMTableheadingrow"/>
        <w:rPr>
          <w:lang w:val="en-AU"/>
        </w:rPr>
      </w:pPr>
      <w:bookmarkStart w:id="53" w:name="_Ref111659741"/>
      <w:bookmarkStart w:id="54" w:name="_Ref111659734"/>
      <w:r w:rsidRPr="001159D0">
        <w:rPr>
          <w:lang w:val="en-AU"/>
        </w:rPr>
        <w:lastRenderedPageBreak/>
        <w:t xml:space="preserve">Table </w:t>
      </w:r>
      <w:r w:rsidRPr="001159D0">
        <w:rPr>
          <w:lang w:val="en-AU"/>
        </w:rPr>
        <w:fldChar w:fldCharType="begin"/>
      </w:r>
      <w:r w:rsidRPr="001159D0">
        <w:rPr>
          <w:lang w:val="en-AU"/>
        </w:rPr>
        <w:instrText xml:space="preserve"> SEQ Table \* ARABIC </w:instrText>
      </w:r>
      <w:r w:rsidRPr="001159D0">
        <w:rPr>
          <w:lang w:val="en-AU"/>
        </w:rPr>
        <w:fldChar w:fldCharType="separate"/>
      </w:r>
      <w:r w:rsidR="00565456">
        <w:rPr>
          <w:noProof/>
          <w:lang w:val="en-AU"/>
        </w:rPr>
        <w:t>14</w:t>
      </w:r>
      <w:r w:rsidRPr="001159D0">
        <w:rPr>
          <w:lang w:val="en-AU"/>
        </w:rPr>
        <w:fldChar w:fldCharType="end"/>
      </w:r>
      <w:bookmarkEnd w:id="53"/>
      <w:r w:rsidRPr="001159D0">
        <w:rPr>
          <w:lang w:val="en-AU"/>
        </w:rPr>
        <w:t>: Stepped economic evaluation of patiromer compared to placebo</w:t>
      </w:r>
      <w:bookmarkEnd w:id="54"/>
    </w:p>
    <w:tbl>
      <w:tblPr>
        <w:tblW w:w="499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533"/>
        <w:gridCol w:w="1944"/>
        <w:gridCol w:w="1946"/>
        <w:gridCol w:w="2585"/>
      </w:tblGrid>
      <w:tr w:rsidR="008B3368" w:rsidRPr="001159D0" w14:paraId="2A8CE43B" w14:textId="77777777" w:rsidTr="00624A83">
        <w:trPr>
          <w:trHeight w:val="469"/>
        </w:trPr>
        <w:tc>
          <w:tcPr>
            <w:tcW w:w="1406" w:type="pct"/>
            <w:vAlign w:val="center"/>
          </w:tcPr>
          <w:p w14:paraId="5F1F9130" w14:textId="77777777" w:rsidR="008B3368" w:rsidRPr="001159D0" w:rsidRDefault="008B3368" w:rsidP="00624A83">
            <w:pPr>
              <w:pStyle w:val="TableText0"/>
              <w:widowControl w:val="0"/>
              <w:jc w:val="center"/>
              <w:rPr>
                <w:b/>
              </w:rPr>
            </w:pPr>
            <w:r w:rsidRPr="001159D0">
              <w:rPr>
                <w:b/>
              </w:rPr>
              <w:t>Type of resource item</w:t>
            </w:r>
          </w:p>
        </w:tc>
        <w:tc>
          <w:tcPr>
            <w:tcW w:w="1079" w:type="pct"/>
            <w:vAlign w:val="center"/>
          </w:tcPr>
          <w:p w14:paraId="5911BDAC" w14:textId="77777777" w:rsidR="008B3368" w:rsidRPr="001159D0" w:rsidRDefault="008B3368" w:rsidP="00624A83">
            <w:pPr>
              <w:pStyle w:val="TableText0"/>
              <w:widowControl w:val="0"/>
              <w:jc w:val="center"/>
              <w:rPr>
                <w:b/>
              </w:rPr>
            </w:pPr>
            <w:r w:rsidRPr="001159D0">
              <w:rPr>
                <w:b/>
              </w:rPr>
              <w:t>Patiromer</w:t>
            </w:r>
          </w:p>
        </w:tc>
        <w:tc>
          <w:tcPr>
            <w:tcW w:w="1080" w:type="pct"/>
            <w:vAlign w:val="center"/>
          </w:tcPr>
          <w:p w14:paraId="18A64428" w14:textId="77777777" w:rsidR="008B3368" w:rsidRPr="001159D0" w:rsidRDefault="008B3368" w:rsidP="00624A83">
            <w:pPr>
              <w:pStyle w:val="TableText0"/>
              <w:widowControl w:val="0"/>
              <w:jc w:val="center"/>
              <w:rPr>
                <w:b/>
              </w:rPr>
            </w:pPr>
            <w:r w:rsidRPr="001159D0">
              <w:rPr>
                <w:b/>
              </w:rPr>
              <w:t>Placebo</w:t>
            </w:r>
          </w:p>
        </w:tc>
        <w:tc>
          <w:tcPr>
            <w:tcW w:w="1435" w:type="pct"/>
          </w:tcPr>
          <w:p w14:paraId="3D916FC0" w14:textId="77777777" w:rsidR="008B3368" w:rsidRPr="001159D0" w:rsidRDefault="008B3368" w:rsidP="00624A83">
            <w:pPr>
              <w:pStyle w:val="TableText0"/>
              <w:widowControl w:val="0"/>
              <w:jc w:val="center"/>
              <w:rPr>
                <w:b/>
              </w:rPr>
            </w:pPr>
            <w:r w:rsidRPr="001159D0">
              <w:rPr>
                <w:b/>
              </w:rPr>
              <w:t xml:space="preserve">Incremental </w:t>
            </w:r>
          </w:p>
          <w:p w14:paraId="0F78DB97" w14:textId="77777777" w:rsidR="008B3368" w:rsidRPr="001159D0" w:rsidRDefault="008B3368" w:rsidP="00624A83">
            <w:pPr>
              <w:pStyle w:val="TableText0"/>
              <w:widowControl w:val="0"/>
              <w:jc w:val="center"/>
              <w:rPr>
                <w:b/>
              </w:rPr>
            </w:pPr>
            <w:r w:rsidRPr="001159D0">
              <w:rPr>
                <w:b/>
              </w:rPr>
              <w:t>difference</w:t>
            </w:r>
          </w:p>
        </w:tc>
      </w:tr>
      <w:tr w:rsidR="008B3368" w:rsidRPr="001159D0" w14:paraId="3300C24D" w14:textId="77777777" w:rsidTr="00624A83">
        <w:tc>
          <w:tcPr>
            <w:tcW w:w="5000" w:type="pct"/>
            <w:gridSpan w:val="4"/>
          </w:tcPr>
          <w:p w14:paraId="7A1C83FF" w14:textId="77777777" w:rsidR="008B3368" w:rsidRPr="001159D0" w:rsidRDefault="008B3368" w:rsidP="00624A83">
            <w:pPr>
              <w:pStyle w:val="TableText0"/>
              <w:widowControl w:val="0"/>
              <w:jc w:val="both"/>
              <w:rPr>
                <w:b/>
              </w:rPr>
            </w:pPr>
            <w:r w:rsidRPr="001159D0">
              <w:rPr>
                <w:b/>
              </w:rPr>
              <w:t xml:space="preserve">Step 1: Model-based analysis with 4 month time horizon and patiromer drug cost only </w:t>
            </w:r>
          </w:p>
        </w:tc>
      </w:tr>
      <w:tr w:rsidR="008B3368" w:rsidRPr="001159D0" w14:paraId="248300D4" w14:textId="77777777" w:rsidTr="00624A83">
        <w:tc>
          <w:tcPr>
            <w:tcW w:w="1406" w:type="pct"/>
          </w:tcPr>
          <w:p w14:paraId="3F2AD6C5" w14:textId="77777777" w:rsidR="008B3368" w:rsidRPr="001159D0" w:rsidRDefault="008B3368" w:rsidP="00624A83">
            <w:pPr>
              <w:pStyle w:val="TableText0"/>
              <w:widowControl w:val="0"/>
            </w:pPr>
            <w:r w:rsidRPr="001159D0">
              <w:t>Costs</w:t>
            </w:r>
          </w:p>
        </w:tc>
        <w:tc>
          <w:tcPr>
            <w:tcW w:w="1079" w:type="pct"/>
            <w:vAlign w:val="bottom"/>
          </w:tcPr>
          <w:p w14:paraId="697E1264" w14:textId="2A910B17" w:rsidR="008B3368" w:rsidRPr="001159D0" w:rsidRDefault="008B3368" w:rsidP="00624A83">
            <w:pPr>
              <w:pStyle w:val="TableText0"/>
              <w:widowControl w:val="0"/>
              <w:jc w:val="center"/>
            </w:pPr>
            <w:r w:rsidRPr="001159D0">
              <w:t>$</w:t>
            </w:r>
            <w:r w:rsidR="003E2BEF" w:rsidRPr="003E2BEF">
              <w:rPr>
                <w:color w:val="000000"/>
                <w:shd w:val="solid" w:color="000000" w:fill="000000"/>
                <w14:textFill>
                  <w14:solidFill>
                    <w14:srgbClr w14:val="000000">
                      <w14:alpha w14:val="100000"/>
                    </w14:srgbClr>
                  </w14:solidFill>
                </w14:textFill>
              </w:rPr>
              <w:t>|</w:t>
            </w:r>
          </w:p>
        </w:tc>
        <w:tc>
          <w:tcPr>
            <w:tcW w:w="1080" w:type="pct"/>
            <w:vAlign w:val="bottom"/>
          </w:tcPr>
          <w:p w14:paraId="24946377" w14:textId="77777777" w:rsidR="008B3368" w:rsidRPr="001159D0" w:rsidRDefault="008B3368" w:rsidP="00624A83">
            <w:pPr>
              <w:pStyle w:val="TableText0"/>
              <w:widowControl w:val="0"/>
              <w:jc w:val="center"/>
            </w:pPr>
            <w:r w:rsidRPr="001159D0">
              <w:t>$0</w:t>
            </w:r>
          </w:p>
        </w:tc>
        <w:tc>
          <w:tcPr>
            <w:tcW w:w="1435" w:type="pct"/>
            <w:vAlign w:val="center"/>
          </w:tcPr>
          <w:p w14:paraId="6BB89D9A" w14:textId="6224E878" w:rsidR="008B3368" w:rsidRPr="00FC5D91" w:rsidRDefault="008B3368" w:rsidP="00624A83">
            <w:pPr>
              <w:pStyle w:val="TableText0"/>
              <w:widowControl w:val="0"/>
              <w:jc w:val="center"/>
              <w:rPr>
                <w:vertAlign w:val="superscript"/>
              </w:rPr>
            </w:pPr>
            <w:r w:rsidRPr="001159D0">
              <w:t>$</w:t>
            </w:r>
            <w:r w:rsidR="003E2BEF" w:rsidRPr="003E2BEF">
              <w:rPr>
                <w:color w:val="000000"/>
                <w:shd w:val="solid" w:color="000000" w:fill="000000"/>
                <w14:textFill>
                  <w14:solidFill>
                    <w14:srgbClr w14:val="000000">
                      <w14:alpha w14:val="100000"/>
                    </w14:srgbClr>
                  </w14:solidFill>
                </w14:textFill>
              </w:rPr>
              <w:t>|</w:t>
            </w:r>
          </w:p>
        </w:tc>
      </w:tr>
      <w:tr w:rsidR="008B3368" w:rsidRPr="001159D0" w14:paraId="099EC5CB" w14:textId="77777777" w:rsidTr="00624A83">
        <w:tc>
          <w:tcPr>
            <w:tcW w:w="1406" w:type="pct"/>
          </w:tcPr>
          <w:p w14:paraId="50C37D70" w14:textId="583E523B" w:rsidR="008B3368" w:rsidRPr="001159D0" w:rsidRDefault="008B3368" w:rsidP="00624A83">
            <w:pPr>
              <w:pStyle w:val="TableText0"/>
              <w:widowControl w:val="0"/>
            </w:pPr>
            <w:r w:rsidRPr="001159D0">
              <w:t>L</w:t>
            </w:r>
            <w:r w:rsidR="00A33CD1">
              <w:t>Y</w:t>
            </w:r>
            <w:r w:rsidRPr="001159D0">
              <w:t>s</w:t>
            </w:r>
          </w:p>
        </w:tc>
        <w:tc>
          <w:tcPr>
            <w:tcW w:w="1079" w:type="pct"/>
            <w:vAlign w:val="center"/>
          </w:tcPr>
          <w:p w14:paraId="76B002E8" w14:textId="77777777" w:rsidR="008B3368" w:rsidRPr="001159D0" w:rsidRDefault="008B3368" w:rsidP="00624A83">
            <w:pPr>
              <w:pStyle w:val="TableText0"/>
              <w:widowControl w:val="0"/>
              <w:jc w:val="center"/>
            </w:pPr>
            <w:r w:rsidRPr="001159D0">
              <w:t>0.3316</w:t>
            </w:r>
          </w:p>
        </w:tc>
        <w:tc>
          <w:tcPr>
            <w:tcW w:w="1080" w:type="pct"/>
            <w:vAlign w:val="center"/>
          </w:tcPr>
          <w:p w14:paraId="596C7A96" w14:textId="77777777" w:rsidR="008B3368" w:rsidRPr="001159D0" w:rsidRDefault="008B3368" w:rsidP="00624A83">
            <w:pPr>
              <w:pStyle w:val="TableText0"/>
              <w:widowControl w:val="0"/>
              <w:jc w:val="center"/>
            </w:pPr>
            <w:r w:rsidRPr="001159D0">
              <w:t>0.3310</w:t>
            </w:r>
          </w:p>
        </w:tc>
        <w:tc>
          <w:tcPr>
            <w:tcW w:w="1435" w:type="pct"/>
            <w:vAlign w:val="center"/>
          </w:tcPr>
          <w:p w14:paraId="31A7B385" w14:textId="77777777" w:rsidR="008B3368" w:rsidRPr="001159D0" w:rsidRDefault="008B3368" w:rsidP="00624A83">
            <w:pPr>
              <w:pStyle w:val="TableText0"/>
              <w:widowControl w:val="0"/>
              <w:jc w:val="center"/>
            </w:pPr>
            <w:r w:rsidRPr="001159D0">
              <w:t>0.0006</w:t>
            </w:r>
          </w:p>
        </w:tc>
      </w:tr>
      <w:tr w:rsidR="008B3368" w:rsidRPr="001159D0" w14:paraId="19D35E0A" w14:textId="77777777" w:rsidTr="00624A83">
        <w:tc>
          <w:tcPr>
            <w:tcW w:w="3565" w:type="pct"/>
            <w:gridSpan w:val="3"/>
          </w:tcPr>
          <w:p w14:paraId="2B16B35F" w14:textId="77777777" w:rsidR="008B3368" w:rsidRPr="001159D0" w:rsidRDefault="008B3368" w:rsidP="00624A83">
            <w:pPr>
              <w:pStyle w:val="TableText0"/>
              <w:widowControl w:val="0"/>
              <w:jc w:val="right"/>
              <w:rPr>
                <w:b/>
              </w:rPr>
            </w:pPr>
            <w:r w:rsidRPr="001159D0">
              <w:rPr>
                <w:b/>
              </w:rPr>
              <w:t>Incremental cost per LY gained</w:t>
            </w:r>
          </w:p>
        </w:tc>
        <w:tc>
          <w:tcPr>
            <w:tcW w:w="1435" w:type="pct"/>
            <w:vAlign w:val="center"/>
          </w:tcPr>
          <w:p w14:paraId="20EC06F3" w14:textId="51EA6697" w:rsidR="008B3368" w:rsidRPr="001159D0" w:rsidRDefault="008B3368" w:rsidP="00624A83">
            <w:pPr>
              <w:pStyle w:val="TableText0"/>
              <w:widowControl w:val="0"/>
              <w:jc w:val="center"/>
            </w:pPr>
            <w:r w:rsidRPr="001159D0">
              <w:t>$</w:t>
            </w:r>
            <w:r w:rsidR="003E2BEF" w:rsidRPr="003E2BEF">
              <w:rPr>
                <w:color w:val="000000"/>
                <w:shd w:val="solid" w:color="000000" w:fill="000000"/>
                <w14:textFill>
                  <w14:solidFill>
                    <w14:srgbClr w14:val="000000">
                      <w14:alpha w14:val="100000"/>
                    </w14:srgbClr>
                  </w14:solidFill>
                </w14:textFill>
              </w:rPr>
              <w:t>|</w:t>
            </w:r>
            <w:r w:rsidR="0073260B">
              <w:rPr>
                <w:vertAlign w:val="superscript"/>
              </w:rPr>
              <w:t>1</w:t>
            </w:r>
          </w:p>
        </w:tc>
      </w:tr>
      <w:tr w:rsidR="008B3368" w:rsidRPr="001159D0" w14:paraId="00C471BC" w14:textId="77777777" w:rsidTr="00624A83">
        <w:tc>
          <w:tcPr>
            <w:tcW w:w="5000" w:type="pct"/>
            <w:gridSpan w:val="4"/>
          </w:tcPr>
          <w:p w14:paraId="5CCB5D3A" w14:textId="77777777" w:rsidR="008B3368" w:rsidRPr="001159D0" w:rsidRDefault="008B3368" w:rsidP="00624A83">
            <w:pPr>
              <w:pStyle w:val="TableText0"/>
              <w:widowControl w:val="0"/>
              <w:jc w:val="both"/>
              <w:rPr>
                <w:b/>
              </w:rPr>
            </w:pPr>
            <w:r w:rsidRPr="001159D0">
              <w:rPr>
                <w:b/>
              </w:rPr>
              <w:t>Step 2: Model-based analysis with 30 year time horizon and patiromer drug cost only</w:t>
            </w:r>
          </w:p>
        </w:tc>
      </w:tr>
      <w:tr w:rsidR="008B3368" w:rsidRPr="001159D0" w14:paraId="2050B2B4" w14:textId="77777777" w:rsidTr="00624A83">
        <w:tc>
          <w:tcPr>
            <w:tcW w:w="1406" w:type="pct"/>
          </w:tcPr>
          <w:p w14:paraId="0B4BEFD9" w14:textId="77777777" w:rsidR="008B3368" w:rsidRPr="001159D0" w:rsidRDefault="008B3368" w:rsidP="00624A83">
            <w:pPr>
              <w:pStyle w:val="TableText0"/>
              <w:widowControl w:val="0"/>
            </w:pPr>
            <w:r w:rsidRPr="001159D0">
              <w:t>Costs</w:t>
            </w:r>
          </w:p>
        </w:tc>
        <w:tc>
          <w:tcPr>
            <w:tcW w:w="1079" w:type="pct"/>
            <w:vAlign w:val="bottom"/>
          </w:tcPr>
          <w:p w14:paraId="7B3D144C" w14:textId="18BD4574" w:rsidR="008B3368" w:rsidRPr="001159D0" w:rsidRDefault="008B3368" w:rsidP="00624A83">
            <w:pPr>
              <w:pStyle w:val="TableText0"/>
              <w:widowControl w:val="0"/>
              <w:jc w:val="center"/>
            </w:pPr>
            <w:r w:rsidRPr="001159D0">
              <w:t>$</w:t>
            </w:r>
            <w:r w:rsidR="003E2BEF" w:rsidRPr="003E2BEF">
              <w:rPr>
                <w:color w:val="000000"/>
                <w:shd w:val="solid" w:color="000000" w:fill="000000"/>
                <w14:textFill>
                  <w14:solidFill>
                    <w14:srgbClr w14:val="000000">
                      <w14:alpha w14:val="100000"/>
                    </w14:srgbClr>
                  </w14:solidFill>
                </w14:textFill>
              </w:rPr>
              <w:t>|</w:t>
            </w:r>
          </w:p>
        </w:tc>
        <w:tc>
          <w:tcPr>
            <w:tcW w:w="1080" w:type="pct"/>
            <w:vAlign w:val="bottom"/>
          </w:tcPr>
          <w:p w14:paraId="7140A35A" w14:textId="77777777" w:rsidR="008B3368" w:rsidRPr="001159D0" w:rsidRDefault="008B3368" w:rsidP="00624A83">
            <w:pPr>
              <w:pStyle w:val="TableText0"/>
              <w:widowControl w:val="0"/>
              <w:jc w:val="center"/>
            </w:pPr>
            <w:r w:rsidRPr="001159D0">
              <w:t>$0</w:t>
            </w:r>
          </w:p>
        </w:tc>
        <w:tc>
          <w:tcPr>
            <w:tcW w:w="1435" w:type="pct"/>
            <w:vAlign w:val="center"/>
          </w:tcPr>
          <w:p w14:paraId="57C79FF7" w14:textId="4E005F1B" w:rsidR="008B3368" w:rsidRPr="001159D0" w:rsidRDefault="008B3368" w:rsidP="00624A83">
            <w:pPr>
              <w:pStyle w:val="TableText0"/>
              <w:widowControl w:val="0"/>
              <w:jc w:val="center"/>
            </w:pPr>
            <w:r w:rsidRPr="001159D0">
              <w:t>$</w:t>
            </w:r>
            <w:r w:rsidR="003E2BEF" w:rsidRPr="003E2BEF">
              <w:rPr>
                <w:color w:val="000000"/>
                <w:shd w:val="solid" w:color="000000" w:fill="000000"/>
                <w14:textFill>
                  <w14:solidFill>
                    <w14:srgbClr w14:val="000000">
                      <w14:alpha w14:val="100000"/>
                    </w14:srgbClr>
                  </w14:solidFill>
                </w14:textFill>
              </w:rPr>
              <w:t>|</w:t>
            </w:r>
          </w:p>
        </w:tc>
      </w:tr>
      <w:tr w:rsidR="008B3368" w:rsidRPr="001159D0" w14:paraId="23D31388" w14:textId="77777777" w:rsidTr="00624A83">
        <w:tc>
          <w:tcPr>
            <w:tcW w:w="1406" w:type="pct"/>
          </w:tcPr>
          <w:p w14:paraId="52E4736A" w14:textId="77777777" w:rsidR="008B3368" w:rsidRPr="001159D0" w:rsidRDefault="008B3368" w:rsidP="00624A83">
            <w:pPr>
              <w:pStyle w:val="TableText0"/>
              <w:widowControl w:val="0"/>
            </w:pPr>
            <w:r w:rsidRPr="001159D0">
              <w:t>LYs</w:t>
            </w:r>
          </w:p>
        </w:tc>
        <w:tc>
          <w:tcPr>
            <w:tcW w:w="1079" w:type="pct"/>
            <w:vAlign w:val="bottom"/>
          </w:tcPr>
          <w:p w14:paraId="212C830D" w14:textId="77777777" w:rsidR="008B3368" w:rsidRPr="001159D0" w:rsidRDefault="008B3368" w:rsidP="00624A83">
            <w:pPr>
              <w:pStyle w:val="TableText0"/>
              <w:widowControl w:val="0"/>
              <w:jc w:val="center"/>
            </w:pPr>
            <w:r w:rsidRPr="001159D0">
              <w:t>8.4437</w:t>
            </w:r>
          </w:p>
        </w:tc>
        <w:tc>
          <w:tcPr>
            <w:tcW w:w="1080" w:type="pct"/>
            <w:vAlign w:val="bottom"/>
          </w:tcPr>
          <w:p w14:paraId="43AC3F85" w14:textId="77777777" w:rsidR="008B3368" w:rsidRPr="001159D0" w:rsidRDefault="008B3368" w:rsidP="00624A83">
            <w:pPr>
              <w:pStyle w:val="TableText0"/>
              <w:widowControl w:val="0"/>
              <w:jc w:val="center"/>
            </w:pPr>
            <w:r w:rsidRPr="001159D0">
              <w:t>8.1572</w:t>
            </w:r>
          </w:p>
        </w:tc>
        <w:tc>
          <w:tcPr>
            <w:tcW w:w="1435" w:type="pct"/>
            <w:vAlign w:val="center"/>
          </w:tcPr>
          <w:p w14:paraId="420DBB31" w14:textId="77777777" w:rsidR="008B3368" w:rsidRPr="001159D0" w:rsidRDefault="008B3368" w:rsidP="00624A83">
            <w:pPr>
              <w:pStyle w:val="TableText0"/>
              <w:widowControl w:val="0"/>
              <w:jc w:val="center"/>
            </w:pPr>
            <w:r w:rsidRPr="001159D0">
              <w:t>0.2865</w:t>
            </w:r>
          </w:p>
        </w:tc>
      </w:tr>
      <w:tr w:rsidR="008B3368" w:rsidRPr="001159D0" w14:paraId="50CE2B78" w14:textId="77777777" w:rsidTr="00624A83">
        <w:tc>
          <w:tcPr>
            <w:tcW w:w="3565" w:type="pct"/>
            <w:gridSpan w:val="3"/>
          </w:tcPr>
          <w:p w14:paraId="73A0FBE1" w14:textId="77777777" w:rsidR="008B3368" w:rsidRPr="001159D0" w:rsidRDefault="008B3368" w:rsidP="00624A83">
            <w:pPr>
              <w:pStyle w:val="TableText0"/>
              <w:widowControl w:val="0"/>
              <w:jc w:val="right"/>
              <w:rPr>
                <w:b/>
              </w:rPr>
            </w:pPr>
            <w:r w:rsidRPr="001159D0">
              <w:rPr>
                <w:b/>
              </w:rPr>
              <w:t>Incremental cost per LY gained</w:t>
            </w:r>
          </w:p>
        </w:tc>
        <w:tc>
          <w:tcPr>
            <w:tcW w:w="1435" w:type="pct"/>
            <w:vAlign w:val="center"/>
          </w:tcPr>
          <w:p w14:paraId="01EBDEC7" w14:textId="1D45DBA2" w:rsidR="008B3368" w:rsidRPr="001159D0" w:rsidRDefault="008B3368" w:rsidP="00624A83">
            <w:pPr>
              <w:pStyle w:val="TableText0"/>
              <w:widowControl w:val="0"/>
              <w:jc w:val="center"/>
            </w:pPr>
            <w:r w:rsidRPr="001159D0">
              <w:t>$</w:t>
            </w:r>
            <w:r w:rsidR="003E2BEF" w:rsidRPr="003E2BEF">
              <w:rPr>
                <w:color w:val="000000"/>
                <w:shd w:val="solid" w:color="000000" w:fill="000000"/>
                <w14:textFill>
                  <w14:solidFill>
                    <w14:srgbClr w14:val="000000">
                      <w14:alpha w14:val="100000"/>
                    </w14:srgbClr>
                  </w14:solidFill>
                </w14:textFill>
              </w:rPr>
              <w:t>|</w:t>
            </w:r>
            <w:r w:rsidR="0073260B">
              <w:rPr>
                <w:vertAlign w:val="superscript"/>
              </w:rPr>
              <w:t>2</w:t>
            </w:r>
          </w:p>
        </w:tc>
      </w:tr>
      <w:tr w:rsidR="008B3368" w:rsidRPr="001159D0" w14:paraId="45E6CAFD" w14:textId="77777777" w:rsidTr="00624A83">
        <w:tc>
          <w:tcPr>
            <w:tcW w:w="5000" w:type="pct"/>
            <w:gridSpan w:val="4"/>
          </w:tcPr>
          <w:p w14:paraId="106676C3" w14:textId="77777777" w:rsidR="008B3368" w:rsidRPr="001159D0" w:rsidRDefault="008B3368" w:rsidP="00624A83">
            <w:pPr>
              <w:pStyle w:val="TableText0"/>
              <w:widowControl w:val="0"/>
              <w:jc w:val="both"/>
              <w:rPr>
                <w:b/>
              </w:rPr>
            </w:pPr>
            <w:r w:rsidRPr="001159D0">
              <w:rPr>
                <w:b/>
              </w:rPr>
              <w:t xml:space="preserve">Step 3: Model-based analysis with 30 year time horizon and all drug costs (patiromer, RAASi) </w:t>
            </w:r>
          </w:p>
        </w:tc>
      </w:tr>
      <w:tr w:rsidR="008B3368" w:rsidRPr="001159D0" w14:paraId="303F2F28" w14:textId="77777777" w:rsidTr="00624A83">
        <w:tc>
          <w:tcPr>
            <w:tcW w:w="1406" w:type="pct"/>
          </w:tcPr>
          <w:p w14:paraId="420635EF" w14:textId="77777777" w:rsidR="008B3368" w:rsidRPr="001159D0" w:rsidRDefault="008B3368" w:rsidP="00624A83">
            <w:pPr>
              <w:pStyle w:val="TableText0"/>
              <w:widowControl w:val="0"/>
            </w:pPr>
            <w:r w:rsidRPr="001159D0">
              <w:t>Costs</w:t>
            </w:r>
          </w:p>
        </w:tc>
        <w:tc>
          <w:tcPr>
            <w:tcW w:w="1079" w:type="pct"/>
            <w:vAlign w:val="bottom"/>
          </w:tcPr>
          <w:p w14:paraId="034FEC7E" w14:textId="3A56D63D" w:rsidR="008B3368" w:rsidRPr="001159D0" w:rsidRDefault="008B3368" w:rsidP="00624A83">
            <w:pPr>
              <w:pStyle w:val="TableText0"/>
              <w:widowControl w:val="0"/>
              <w:jc w:val="center"/>
            </w:pPr>
            <w:r w:rsidRPr="001159D0">
              <w:t>$</w:t>
            </w:r>
            <w:r w:rsidR="003E2BEF" w:rsidRPr="003E2BEF">
              <w:rPr>
                <w:color w:val="000000"/>
                <w:shd w:val="solid" w:color="000000" w:fill="000000"/>
                <w14:textFill>
                  <w14:solidFill>
                    <w14:srgbClr w14:val="000000">
                      <w14:alpha w14:val="100000"/>
                    </w14:srgbClr>
                  </w14:solidFill>
                </w14:textFill>
              </w:rPr>
              <w:t>|</w:t>
            </w:r>
          </w:p>
        </w:tc>
        <w:tc>
          <w:tcPr>
            <w:tcW w:w="1080" w:type="pct"/>
            <w:vAlign w:val="bottom"/>
          </w:tcPr>
          <w:p w14:paraId="2C304902" w14:textId="77777777" w:rsidR="008B3368" w:rsidRPr="001159D0" w:rsidRDefault="008B3368" w:rsidP="00624A83">
            <w:pPr>
              <w:pStyle w:val="TableText0"/>
              <w:widowControl w:val="0"/>
              <w:jc w:val="center"/>
            </w:pPr>
            <w:r w:rsidRPr="001159D0">
              <w:t>$977</w:t>
            </w:r>
          </w:p>
        </w:tc>
        <w:tc>
          <w:tcPr>
            <w:tcW w:w="1435" w:type="pct"/>
            <w:vAlign w:val="center"/>
          </w:tcPr>
          <w:p w14:paraId="536DA426" w14:textId="5684A477" w:rsidR="008B3368" w:rsidRPr="001159D0" w:rsidRDefault="008B3368" w:rsidP="00624A83">
            <w:pPr>
              <w:pStyle w:val="TableText0"/>
              <w:widowControl w:val="0"/>
              <w:jc w:val="center"/>
            </w:pPr>
            <w:r w:rsidRPr="001159D0">
              <w:t>$</w:t>
            </w:r>
            <w:r w:rsidR="003E2BEF" w:rsidRPr="003E2BEF">
              <w:rPr>
                <w:color w:val="000000"/>
                <w:shd w:val="solid" w:color="000000" w:fill="000000"/>
                <w14:textFill>
                  <w14:solidFill>
                    <w14:srgbClr w14:val="000000">
                      <w14:alpha w14:val="100000"/>
                    </w14:srgbClr>
                  </w14:solidFill>
                </w14:textFill>
              </w:rPr>
              <w:t>|</w:t>
            </w:r>
          </w:p>
        </w:tc>
      </w:tr>
      <w:tr w:rsidR="008B3368" w:rsidRPr="001159D0" w14:paraId="5851FEB0" w14:textId="77777777" w:rsidTr="00624A83">
        <w:tc>
          <w:tcPr>
            <w:tcW w:w="1406" w:type="pct"/>
          </w:tcPr>
          <w:p w14:paraId="0300D3D9" w14:textId="77777777" w:rsidR="008B3368" w:rsidRPr="001159D0" w:rsidRDefault="008B3368" w:rsidP="00624A83">
            <w:pPr>
              <w:pStyle w:val="TableText0"/>
              <w:widowControl w:val="0"/>
            </w:pPr>
            <w:r w:rsidRPr="001159D0">
              <w:t>LYs</w:t>
            </w:r>
          </w:p>
        </w:tc>
        <w:tc>
          <w:tcPr>
            <w:tcW w:w="1079" w:type="pct"/>
            <w:vAlign w:val="bottom"/>
          </w:tcPr>
          <w:p w14:paraId="51CBD5CB" w14:textId="77777777" w:rsidR="008B3368" w:rsidRPr="001159D0" w:rsidRDefault="008B3368" w:rsidP="00624A83">
            <w:pPr>
              <w:pStyle w:val="TableText0"/>
              <w:widowControl w:val="0"/>
              <w:jc w:val="center"/>
            </w:pPr>
            <w:r w:rsidRPr="001159D0">
              <w:t>8.4437</w:t>
            </w:r>
          </w:p>
        </w:tc>
        <w:tc>
          <w:tcPr>
            <w:tcW w:w="1080" w:type="pct"/>
            <w:vAlign w:val="bottom"/>
          </w:tcPr>
          <w:p w14:paraId="13D59BCD" w14:textId="77777777" w:rsidR="008B3368" w:rsidRPr="001159D0" w:rsidRDefault="008B3368" w:rsidP="00624A83">
            <w:pPr>
              <w:pStyle w:val="TableText0"/>
              <w:widowControl w:val="0"/>
              <w:jc w:val="center"/>
            </w:pPr>
            <w:r w:rsidRPr="001159D0">
              <w:t>8.1572</w:t>
            </w:r>
          </w:p>
        </w:tc>
        <w:tc>
          <w:tcPr>
            <w:tcW w:w="1435" w:type="pct"/>
            <w:vAlign w:val="center"/>
          </w:tcPr>
          <w:p w14:paraId="04C6C3CB" w14:textId="77777777" w:rsidR="008B3368" w:rsidRPr="001159D0" w:rsidRDefault="008B3368" w:rsidP="00624A83">
            <w:pPr>
              <w:pStyle w:val="TableText0"/>
              <w:widowControl w:val="0"/>
              <w:jc w:val="center"/>
            </w:pPr>
            <w:r w:rsidRPr="001159D0">
              <w:t>0.2865</w:t>
            </w:r>
          </w:p>
        </w:tc>
      </w:tr>
      <w:tr w:rsidR="008B3368" w:rsidRPr="001159D0" w14:paraId="29CDF9A1" w14:textId="77777777" w:rsidTr="00624A83">
        <w:tc>
          <w:tcPr>
            <w:tcW w:w="3565" w:type="pct"/>
            <w:gridSpan w:val="3"/>
          </w:tcPr>
          <w:p w14:paraId="5CA48BC3" w14:textId="77777777" w:rsidR="008B3368" w:rsidRPr="001159D0" w:rsidRDefault="008B3368" w:rsidP="00624A83">
            <w:pPr>
              <w:pStyle w:val="TableText0"/>
              <w:widowControl w:val="0"/>
              <w:jc w:val="right"/>
              <w:rPr>
                <w:b/>
              </w:rPr>
            </w:pPr>
            <w:r w:rsidRPr="001159D0">
              <w:rPr>
                <w:b/>
              </w:rPr>
              <w:t>Incremental cost per LY gained</w:t>
            </w:r>
          </w:p>
        </w:tc>
        <w:tc>
          <w:tcPr>
            <w:tcW w:w="1435" w:type="pct"/>
            <w:vAlign w:val="center"/>
          </w:tcPr>
          <w:p w14:paraId="2F92B246" w14:textId="735CED5B" w:rsidR="008B3368" w:rsidRPr="001159D0" w:rsidRDefault="008B3368" w:rsidP="00624A83">
            <w:pPr>
              <w:pStyle w:val="TableText0"/>
              <w:widowControl w:val="0"/>
              <w:jc w:val="center"/>
            </w:pPr>
            <w:r w:rsidRPr="001159D0">
              <w:t>$</w:t>
            </w:r>
            <w:r w:rsidR="003E2BEF" w:rsidRPr="003E2BEF">
              <w:rPr>
                <w:color w:val="000000"/>
                <w:shd w:val="solid" w:color="000000" w:fill="000000"/>
                <w14:textFill>
                  <w14:solidFill>
                    <w14:srgbClr w14:val="000000">
                      <w14:alpha w14:val="100000"/>
                    </w14:srgbClr>
                  </w14:solidFill>
                </w14:textFill>
              </w:rPr>
              <w:t>|</w:t>
            </w:r>
            <w:r w:rsidR="0073260B">
              <w:rPr>
                <w:vertAlign w:val="superscript"/>
              </w:rPr>
              <w:t>2</w:t>
            </w:r>
          </w:p>
        </w:tc>
      </w:tr>
      <w:tr w:rsidR="008B3368" w:rsidRPr="001159D0" w14:paraId="1AF04C34" w14:textId="77777777" w:rsidTr="00624A83">
        <w:tc>
          <w:tcPr>
            <w:tcW w:w="5000" w:type="pct"/>
            <w:gridSpan w:val="4"/>
          </w:tcPr>
          <w:p w14:paraId="5DEE52EE" w14:textId="77777777" w:rsidR="008B3368" w:rsidRPr="001159D0" w:rsidRDefault="008B3368" w:rsidP="00624A83">
            <w:pPr>
              <w:pStyle w:val="TableText0"/>
              <w:widowControl w:val="0"/>
              <w:jc w:val="both"/>
              <w:rPr>
                <w:b/>
              </w:rPr>
            </w:pPr>
            <w:r w:rsidRPr="001159D0">
              <w:rPr>
                <w:b/>
              </w:rPr>
              <w:t>Step 4: Model-based analysis with 30 year time horizon and all drug costs (patiromer, RAASi) and CKD health state costs only</w:t>
            </w:r>
          </w:p>
        </w:tc>
      </w:tr>
      <w:tr w:rsidR="008B3368" w:rsidRPr="001159D0" w14:paraId="217BACE9" w14:textId="77777777" w:rsidTr="00624A83">
        <w:tc>
          <w:tcPr>
            <w:tcW w:w="1406" w:type="pct"/>
          </w:tcPr>
          <w:p w14:paraId="0FA83545" w14:textId="77777777" w:rsidR="008B3368" w:rsidRPr="001159D0" w:rsidRDefault="008B3368" w:rsidP="00624A83">
            <w:pPr>
              <w:pStyle w:val="TableText0"/>
              <w:widowControl w:val="0"/>
            </w:pPr>
            <w:r w:rsidRPr="001159D0">
              <w:t>Costs</w:t>
            </w:r>
          </w:p>
        </w:tc>
        <w:tc>
          <w:tcPr>
            <w:tcW w:w="1079" w:type="pct"/>
            <w:vAlign w:val="bottom"/>
          </w:tcPr>
          <w:p w14:paraId="43104B64" w14:textId="308E84C4" w:rsidR="008B3368" w:rsidRPr="001159D0" w:rsidRDefault="008B3368" w:rsidP="00624A83">
            <w:pPr>
              <w:pStyle w:val="TableText0"/>
              <w:widowControl w:val="0"/>
              <w:jc w:val="center"/>
            </w:pPr>
            <w:r w:rsidRPr="001159D0">
              <w:t>$</w:t>
            </w:r>
            <w:r w:rsidR="003E2BEF" w:rsidRPr="003E2BEF">
              <w:rPr>
                <w:color w:val="000000"/>
                <w:shd w:val="solid" w:color="000000" w:fill="000000"/>
                <w14:textFill>
                  <w14:solidFill>
                    <w14:srgbClr w14:val="000000">
                      <w14:alpha w14:val="100000"/>
                    </w14:srgbClr>
                  </w14:solidFill>
                </w14:textFill>
              </w:rPr>
              <w:t>|</w:t>
            </w:r>
          </w:p>
        </w:tc>
        <w:tc>
          <w:tcPr>
            <w:tcW w:w="1080" w:type="pct"/>
            <w:vAlign w:val="bottom"/>
          </w:tcPr>
          <w:p w14:paraId="6329256D" w14:textId="77777777" w:rsidR="008B3368" w:rsidRPr="001159D0" w:rsidRDefault="008B3368" w:rsidP="00624A83">
            <w:pPr>
              <w:pStyle w:val="TableText0"/>
              <w:widowControl w:val="0"/>
              <w:jc w:val="center"/>
            </w:pPr>
            <w:r w:rsidRPr="001159D0">
              <w:t>$17,487</w:t>
            </w:r>
          </w:p>
        </w:tc>
        <w:tc>
          <w:tcPr>
            <w:tcW w:w="1435" w:type="pct"/>
            <w:vAlign w:val="center"/>
          </w:tcPr>
          <w:p w14:paraId="3C8DA83B" w14:textId="212B919E" w:rsidR="008B3368" w:rsidRPr="001159D0" w:rsidRDefault="008B3368" w:rsidP="00624A83">
            <w:pPr>
              <w:pStyle w:val="TableText0"/>
              <w:widowControl w:val="0"/>
              <w:jc w:val="center"/>
            </w:pPr>
            <w:r w:rsidRPr="001159D0">
              <w:t>$</w:t>
            </w:r>
            <w:r w:rsidR="003E2BEF" w:rsidRPr="003E2BEF">
              <w:rPr>
                <w:color w:val="000000"/>
                <w:shd w:val="solid" w:color="000000" w:fill="000000"/>
                <w14:textFill>
                  <w14:solidFill>
                    <w14:srgbClr w14:val="000000">
                      <w14:alpha w14:val="100000"/>
                    </w14:srgbClr>
                  </w14:solidFill>
                </w14:textFill>
              </w:rPr>
              <w:t>|</w:t>
            </w:r>
          </w:p>
        </w:tc>
      </w:tr>
      <w:tr w:rsidR="008B3368" w:rsidRPr="001159D0" w14:paraId="42A3A31F" w14:textId="77777777" w:rsidTr="00624A83">
        <w:tc>
          <w:tcPr>
            <w:tcW w:w="1406" w:type="pct"/>
          </w:tcPr>
          <w:p w14:paraId="20A53971" w14:textId="77777777" w:rsidR="008B3368" w:rsidRPr="001159D0" w:rsidRDefault="008B3368" w:rsidP="00624A83">
            <w:pPr>
              <w:pStyle w:val="TableText0"/>
              <w:widowControl w:val="0"/>
            </w:pPr>
            <w:r w:rsidRPr="001159D0">
              <w:t>LYs</w:t>
            </w:r>
          </w:p>
        </w:tc>
        <w:tc>
          <w:tcPr>
            <w:tcW w:w="1079" w:type="pct"/>
            <w:vAlign w:val="bottom"/>
          </w:tcPr>
          <w:p w14:paraId="7D9972DF" w14:textId="77777777" w:rsidR="008B3368" w:rsidRPr="001159D0" w:rsidRDefault="008B3368" w:rsidP="00624A83">
            <w:pPr>
              <w:pStyle w:val="TableText0"/>
              <w:widowControl w:val="0"/>
              <w:jc w:val="center"/>
            </w:pPr>
            <w:r w:rsidRPr="001159D0">
              <w:t>8.4437</w:t>
            </w:r>
          </w:p>
        </w:tc>
        <w:tc>
          <w:tcPr>
            <w:tcW w:w="1080" w:type="pct"/>
            <w:vAlign w:val="bottom"/>
          </w:tcPr>
          <w:p w14:paraId="02D8D884" w14:textId="77777777" w:rsidR="008B3368" w:rsidRPr="001159D0" w:rsidRDefault="008B3368" w:rsidP="00624A83">
            <w:pPr>
              <w:pStyle w:val="TableText0"/>
              <w:widowControl w:val="0"/>
              <w:jc w:val="center"/>
            </w:pPr>
            <w:r w:rsidRPr="001159D0">
              <w:t>8.1572</w:t>
            </w:r>
          </w:p>
        </w:tc>
        <w:tc>
          <w:tcPr>
            <w:tcW w:w="1435" w:type="pct"/>
            <w:vAlign w:val="center"/>
          </w:tcPr>
          <w:p w14:paraId="53F6EB09" w14:textId="77777777" w:rsidR="008B3368" w:rsidRPr="001159D0" w:rsidRDefault="008B3368" w:rsidP="00624A83">
            <w:pPr>
              <w:pStyle w:val="TableText0"/>
              <w:widowControl w:val="0"/>
              <w:jc w:val="center"/>
            </w:pPr>
            <w:r w:rsidRPr="001159D0">
              <w:t>0.2865</w:t>
            </w:r>
          </w:p>
        </w:tc>
      </w:tr>
      <w:tr w:rsidR="008B3368" w:rsidRPr="001159D0" w14:paraId="55B5109C" w14:textId="77777777" w:rsidTr="00624A83">
        <w:tc>
          <w:tcPr>
            <w:tcW w:w="3565" w:type="pct"/>
            <w:gridSpan w:val="3"/>
          </w:tcPr>
          <w:p w14:paraId="1AB5A77E" w14:textId="77777777" w:rsidR="008B3368" w:rsidRPr="001159D0" w:rsidRDefault="008B3368" w:rsidP="00624A83">
            <w:pPr>
              <w:pStyle w:val="TableText0"/>
              <w:widowControl w:val="0"/>
              <w:jc w:val="right"/>
              <w:rPr>
                <w:b/>
              </w:rPr>
            </w:pPr>
            <w:r w:rsidRPr="001159D0">
              <w:rPr>
                <w:b/>
              </w:rPr>
              <w:t>Incremental cost per LY gained</w:t>
            </w:r>
          </w:p>
        </w:tc>
        <w:tc>
          <w:tcPr>
            <w:tcW w:w="1435" w:type="pct"/>
            <w:vAlign w:val="center"/>
          </w:tcPr>
          <w:p w14:paraId="45E74E56" w14:textId="6CEA00BC" w:rsidR="008B3368" w:rsidRPr="001159D0" w:rsidRDefault="008B3368" w:rsidP="00624A83">
            <w:pPr>
              <w:pStyle w:val="TableText0"/>
              <w:widowControl w:val="0"/>
              <w:jc w:val="center"/>
            </w:pPr>
            <w:r w:rsidRPr="001159D0">
              <w:t>$</w:t>
            </w:r>
            <w:r w:rsidR="003E2BEF" w:rsidRPr="003E2BEF">
              <w:rPr>
                <w:color w:val="000000"/>
                <w:shd w:val="solid" w:color="000000" w:fill="000000"/>
                <w14:textFill>
                  <w14:solidFill>
                    <w14:srgbClr w14:val="000000">
                      <w14:alpha w14:val="100000"/>
                    </w14:srgbClr>
                  </w14:solidFill>
                </w14:textFill>
              </w:rPr>
              <w:t>|</w:t>
            </w:r>
            <w:r w:rsidR="0073260B">
              <w:rPr>
                <w:vertAlign w:val="superscript"/>
              </w:rPr>
              <w:t>2</w:t>
            </w:r>
          </w:p>
        </w:tc>
      </w:tr>
      <w:tr w:rsidR="008B3368" w:rsidRPr="001159D0" w14:paraId="3EAE62F8" w14:textId="77777777" w:rsidTr="00624A83">
        <w:tc>
          <w:tcPr>
            <w:tcW w:w="5000" w:type="pct"/>
            <w:gridSpan w:val="4"/>
          </w:tcPr>
          <w:p w14:paraId="1E4B0292" w14:textId="77777777" w:rsidR="008B3368" w:rsidRPr="001159D0" w:rsidRDefault="008B3368" w:rsidP="00624A83">
            <w:pPr>
              <w:pStyle w:val="TableText0"/>
              <w:widowControl w:val="0"/>
              <w:jc w:val="both"/>
              <w:rPr>
                <w:b/>
              </w:rPr>
            </w:pPr>
            <w:r w:rsidRPr="001159D0">
              <w:rPr>
                <w:b/>
              </w:rPr>
              <w:t>Step 5: Model-based analysis with 30 year time horizon and all drug costs (patiromer, RAASi), all health state costs (CKD, RRT) and all acute event costs (RAASi dose alteration, hyperkalaemia, hospitalisations, cardiovascular events, renal replacement therapy initiation)</w:t>
            </w:r>
          </w:p>
        </w:tc>
      </w:tr>
      <w:tr w:rsidR="008B3368" w:rsidRPr="001159D0" w14:paraId="7D2BCE89" w14:textId="77777777" w:rsidTr="00624A83">
        <w:tc>
          <w:tcPr>
            <w:tcW w:w="1406" w:type="pct"/>
          </w:tcPr>
          <w:p w14:paraId="4317AC52" w14:textId="77777777" w:rsidR="008B3368" w:rsidRPr="001159D0" w:rsidRDefault="008B3368" w:rsidP="00624A83">
            <w:pPr>
              <w:pStyle w:val="TableText0"/>
              <w:widowControl w:val="0"/>
            </w:pPr>
            <w:r w:rsidRPr="001159D0">
              <w:t>Costs</w:t>
            </w:r>
          </w:p>
        </w:tc>
        <w:tc>
          <w:tcPr>
            <w:tcW w:w="1079" w:type="pct"/>
            <w:vAlign w:val="bottom"/>
          </w:tcPr>
          <w:p w14:paraId="7E3A92A9" w14:textId="7AB95970" w:rsidR="008B3368" w:rsidRPr="001159D0" w:rsidRDefault="008B3368" w:rsidP="00624A83">
            <w:pPr>
              <w:pStyle w:val="TableText0"/>
              <w:widowControl w:val="0"/>
              <w:jc w:val="center"/>
            </w:pPr>
            <w:r w:rsidRPr="001159D0">
              <w:t>$</w:t>
            </w:r>
            <w:r w:rsidR="003E2BEF" w:rsidRPr="003E2BEF">
              <w:rPr>
                <w:color w:val="000000"/>
                <w:shd w:val="solid" w:color="000000" w:fill="000000"/>
                <w14:textFill>
                  <w14:solidFill>
                    <w14:srgbClr w14:val="000000">
                      <w14:alpha w14:val="100000"/>
                    </w14:srgbClr>
                  </w14:solidFill>
                </w14:textFill>
              </w:rPr>
              <w:t>|</w:t>
            </w:r>
          </w:p>
        </w:tc>
        <w:tc>
          <w:tcPr>
            <w:tcW w:w="1080" w:type="pct"/>
            <w:vAlign w:val="bottom"/>
          </w:tcPr>
          <w:p w14:paraId="28196B89" w14:textId="77777777" w:rsidR="008B3368" w:rsidRPr="001159D0" w:rsidRDefault="008B3368" w:rsidP="00624A83">
            <w:pPr>
              <w:pStyle w:val="TableText0"/>
              <w:widowControl w:val="0"/>
              <w:jc w:val="center"/>
            </w:pPr>
            <w:r w:rsidRPr="001159D0">
              <w:t>$174,067</w:t>
            </w:r>
          </w:p>
        </w:tc>
        <w:tc>
          <w:tcPr>
            <w:tcW w:w="1435" w:type="pct"/>
            <w:vAlign w:val="center"/>
          </w:tcPr>
          <w:p w14:paraId="723F3045" w14:textId="2E1C16CD" w:rsidR="008B3368" w:rsidRPr="001159D0" w:rsidRDefault="008B3368" w:rsidP="00624A83">
            <w:pPr>
              <w:pStyle w:val="TableText0"/>
              <w:widowControl w:val="0"/>
              <w:jc w:val="center"/>
            </w:pPr>
            <w:r w:rsidRPr="001159D0">
              <w:t>$</w:t>
            </w:r>
            <w:r w:rsidR="003E2BEF" w:rsidRPr="003E2BEF">
              <w:rPr>
                <w:color w:val="000000"/>
                <w:shd w:val="solid" w:color="000000" w:fill="000000"/>
                <w14:textFill>
                  <w14:solidFill>
                    <w14:srgbClr w14:val="000000">
                      <w14:alpha w14:val="100000"/>
                    </w14:srgbClr>
                  </w14:solidFill>
                </w14:textFill>
              </w:rPr>
              <w:t>|</w:t>
            </w:r>
          </w:p>
        </w:tc>
      </w:tr>
      <w:tr w:rsidR="008B3368" w:rsidRPr="001159D0" w14:paraId="4D2BC603" w14:textId="77777777" w:rsidTr="00624A83">
        <w:tc>
          <w:tcPr>
            <w:tcW w:w="1406" w:type="pct"/>
          </w:tcPr>
          <w:p w14:paraId="149F4732" w14:textId="77777777" w:rsidR="008B3368" w:rsidRPr="001159D0" w:rsidRDefault="008B3368" w:rsidP="00624A83">
            <w:pPr>
              <w:pStyle w:val="TableText0"/>
              <w:widowControl w:val="0"/>
            </w:pPr>
            <w:r w:rsidRPr="001159D0">
              <w:t>LYs</w:t>
            </w:r>
          </w:p>
        </w:tc>
        <w:tc>
          <w:tcPr>
            <w:tcW w:w="1079" w:type="pct"/>
            <w:vAlign w:val="bottom"/>
          </w:tcPr>
          <w:p w14:paraId="3D7B1285" w14:textId="77777777" w:rsidR="008B3368" w:rsidRPr="001159D0" w:rsidRDefault="008B3368" w:rsidP="00624A83">
            <w:pPr>
              <w:pStyle w:val="TableText0"/>
              <w:widowControl w:val="0"/>
              <w:jc w:val="center"/>
            </w:pPr>
            <w:r w:rsidRPr="001159D0">
              <w:t>8.4437</w:t>
            </w:r>
          </w:p>
        </w:tc>
        <w:tc>
          <w:tcPr>
            <w:tcW w:w="1080" w:type="pct"/>
            <w:vAlign w:val="bottom"/>
          </w:tcPr>
          <w:p w14:paraId="35824B7D" w14:textId="77777777" w:rsidR="008B3368" w:rsidRPr="001159D0" w:rsidRDefault="008B3368" w:rsidP="00624A83">
            <w:pPr>
              <w:pStyle w:val="TableText0"/>
              <w:widowControl w:val="0"/>
              <w:jc w:val="center"/>
            </w:pPr>
            <w:r w:rsidRPr="001159D0">
              <w:t>8.1572</w:t>
            </w:r>
          </w:p>
        </w:tc>
        <w:tc>
          <w:tcPr>
            <w:tcW w:w="1435" w:type="pct"/>
            <w:vAlign w:val="center"/>
          </w:tcPr>
          <w:p w14:paraId="6296C5B6" w14:textId="77777777" w:rsidR="008B3368" w:rsidRPr="001159D0" w:rsidRDefault="008B3368" w:rsidP="00624A83">
            <w:pPr>
              <w:pStyle w:val="TableText0"/>
              <w:widowControl w:val="0"/>
              <w:jc w:val="center"/>
            </w:pPr>
            <w:r w:rsidRPr="001159D0">
              <w:t>0.2865</w:t>
            </w:r>
          </w:p>
        </w:tc>
      </w:tr>
      <w:tr w:rsidR="008B3368" w:rsidRPr="001159D0" w14:paraId="6EFA215C" w14:textId="77777777" w:rsidTr="00624A83">
        <w:tc>
          <w:tcPr>
            <w:tcW w:w="3565" w:type="pct"/>
            <w:gridSpan w:val="3"/>
          </w:tcPr>
          <w:p w14:paraId="23583456" w14:textId="77777777" w:rsidR="008B3368" w:rsidRPr="001159D0" w:rsidRDefault="008B3368" w:rsidP="00624A83">
            <w:pPr>
              <w:pStyle w:val="TableText0"/>
              <w:widowControl w:val="0"/>
              <w:jc w:val="right"/>
              <w:rPr>
                <w:b/>
              </w:rPr>
            </w:pPr>
            <w:r w:rsidRPr="001159D0">
              <w:rPr>
                <w:b/>
              </w:rPr>
              <w:t>Incremental cost per LY gained</w:t>
            </w:r>
          </w:p>
        </w:tc>
        <w:tc>
          <w:tcPr>
            <w:tcW w:w="1435" w:type="pct"/>
            <w:vAlign w:val="center"/>
          </w:tcPr>
          <w:p w14:paraId="09DC9984" w14:textId="07976F55" w:rsidR="008B3368" w:rsidRPr="001159D0" w:rsidRDefault="008B3368" w:rsidP="00624A83">
            <w:pPr>
              <w:pStyle w:val="TableText0"/>
              <w:widowControl w:val="0"/>
              <w:jc w:val="center"/>
            </w:pPr>
            <w:r w:rsidRPr="001159D0">
              <w:t>$</w:t>
            </w:r>
            <w:r w:rsidR="003E2BEF" w:rsidRPr="003E2BEF">
              <w:rPr>
                <w:color w:val="000000"/>
                <w:shd w:val="solid" w:color="000000" w:fill="000000"/>
                <w14:textFill>
                  <w14:solidFill>
                    <w14:srgbClr w14:val="000000">
                      <w14:alpha w14:val="100000"/>
                    </w14:srgbClr>
                  </w14:solidFill>
                </w14:textFill>
              </w:rPr>
              <w:t>|</w:t>
            </w:r>
            <w:r w:rsidR="0073260B">
              <w:rPr>
                <w:vertAlign w:val="superscript"/>
              </w:rPr>
              <w:t>2</w:t>
            </w:r>
          </w:p>
        </w:tc>
      </w:tr>
      <w:tr w:rsidR="008B3368" w:rsidRPr="001159D0" w14:paraId="79EE4B92" w14:textId="77777777" w:rsidTr="00624A83">
        <w:tc>
          <w:tcPr>
            <w:tcW w:w="3565" w:type="pct"/>
            <w:gridSpan w:val="3"/>
            <w:shd w:val="clear" w:color="auto" w:fill="B8CCE4" w:themeFill="accent1" w:themeFillTint="66"/>
          </w:tcPr>
          <w:p w14:paraId="0CDEC069" w14:textId="77777777" w:rsidR="008B3368" w:rsidRPr="001159D0" w:rsidRDefault="008B3368" w:rsidP="00624A83">
            <w:pPr>
              <w:pStyle w:val="TableText0"/>
              <w:widowControl w:val="0"/>
              <w:jc w:val="right"/>
              <w:rPr>
                <w:b/>
              </w:rPr>
            </w:pPr>
            <w:r w:rsidRPr="001159D0">
              <w:rPr>
                <w:b/>
              </w:rPr>
              <w:t>Incremental cost per LY gained (November 2020 submission)</w:t>
            </w:r>
          </w:p>
        </w:tc>
        <w:tc>
          <w:tcPr>
            <w:tcW w:w="1435" w:type="pct"/>
            <w:shd w:val="clear" w:color="auto" w:fill="B8CCE4" w:themeFill="accent1" w:themeFillTint="66"/>
            <w:vAlign w:val="center"/>
          </w:tcPr>
          <w:p w14:paraId="58882488" w14:textId="7626AF7B" w:rsidR="008B3368" w:rsidRPr="001159D0" w:rsidRDefault="008B3368" w:rsidP="00624A83">
            <w:pPr>
              <w:pStyle w:val="TableText0"/>
              <w:widowControl w:val="0"/>
              <w:jc w:val="center"/>
            </w:pPr>
            <w:r w:rsidRPr="001159D0">
              <w:t>$</w:t>
            </w:r>
            <w:r w:rsidR="003E2BEF" w:rsidRPr="003E2BEF">
              <w:rPr>
                <w:color w:val="000000"/>
                <w:shd w:val="solid" w:color="000000" w:fill="000000"/>
                <w14:textFill>
                  <w14:solidFill>
                    <w14:srgbClr w14:val="000000">
                      <w14:alpha w14:val="100000"/>
                    </w14:srgbClr>
                  </w14:solidFill>
                </w14:textFill>
              </w:rPr>
              <w:t>|</w:t>
            </w:r>
            <w:r w:rsidR="0073260B">
              <w:rPr>
                <w:vertAlign w:val="superscript"/>
              </w:rPr>
              <w:t>2</w:t>
            </w:r>
          </w:p>
        </w:tc>
      </w:tr>
      <w:tr w:rsidR="008B3368" w:rsidRPr="001159D0" w14:paraId="41F903C5" w14:textId="77777777" w:rsidTr="00624A83">
        <w:tc>
          <w:tcPr>
            <w:tcW w:w="5000" w:type="pct"/>
            <w:gridSpan w:val="4"/>
          </w:tcPr>
          <w:p w14:paraId="45D61BE5" w14:textId="77777777" w:rsidR="008B3368" w:rsidRPr="001159D0" w:rsidRDefault="008B3368" w:rsidP="00624A83">
            <w:pPr>
              <w:pStyle w:val="TableText0"/>
              <w:widowControl w:val="0"/>
              <w:jc w:val="both"/>
              <w:rPr>
                <w:b/>
                <w:iCs/>
              </w:rPr>
            </w:pPr>
            <w:r w:rsidRPr="001159D0">
              <w:rPr>
                <w:b/>
                <w:iCs/>
              </w:rPr>
              <w:t xml:space="preserve">Step 6: </w:t>
            </w:r>
            <w:r w:rsidRPr="001159D0">
              <w:rPr>
                <w:b/>
              </w:rPr>
              <w:t xml:space="preserve">Model-based analysis with 30 year time horizon and all drug costs (patiromer, RAASi), all health state costs (CKD, RRT) and all acute event costs (RAASi dose alteration, hyperkalaemia, hospitalisations, cardiovascular events, renal replacement therapy initiation); health state and event utility values </w:t>
            </w:r>
          </w:p>
        </w:tc>
      </w:tr>
      <w:tr w:rsidR="008B3368" w:rsidRPr="001159D0" w14:paraId="05D74841" w14:textId="77777777" w:rsidTr="00624A83">
        <w:tc>
          <w:tcPr>
            <w:tcW w:w="1406" w:type="pct"/>
          </w:tcPr>
          <w:p w14:paraId="091285C5" w14:textId="77777777" w:rsidR="008B3368" w:rsidRPr="001159D0" w:rsidRDefault="008B3368" w:rsidP="00624A83">
            <w:pPr>
              <w:pStyle w:val="TableText0"/>
              <w:widowControl w:val="0"/>
              <w:rPr>
                <w:i/>
              </w:rPr>
            </w:pPr>
            <w:r w:rsidRPr="001159D0">
              <w:t>Costs</w:t>
            </w:r>
          </w:p>
        </w:tc>
        <w:tc>
          <w:tcPr>
            <w:tcW w:w="1079" w:type="pct"/>
            <w:vAlign w:val="bottom"/>
          </w:tcPr>
          <w:p w14:paraId="26A28AF1" w14:textId="57F5BC81" w:rsidR="008B3368" w:rsidRPr="001159D0" w:rsidRDefault="008B3368" w:rsidP="00624A83">
            <w:pPr>
              <w:pStyle w:val="TableText0"/>
              <w:widowControl w:val="0"/>
              <w:jc w:val="center"/>
              <w:rPr>
                <w:iCs/>
              </w:rPr>
            </w:pPr>
            <w:r w:rsidRPr="001159D0">
              <w:rPr>
                <w:iCs/>
              </w:rPr>
              <w:t>$</w:t>
            </w:r>
            <w:r w:rsidR="003E2BEF" w:rsidRPr="003E2BEF">
              <w:rPr>
                <w:iCs/>
                <w:color w:val="000000"/>
                <w:shd w:val="solid" w:color="000000" w:fill="000000"/>
                <w14:textFill>
                  <w14:solidFill>
                    <w14:srgbClr w14:val="000000">
                      <w14:alpha w14:val="100000"/>
                    </w14:srgbClr>
                  </w14:solidFill>
                </w14:textFill>
              </w:rPr>
              <w:t>|</w:t>
            </w:r>
          </w:p>
        </w:tc>
        <w:tc>
          <w:tcPr>
            <w:tcW w:w="1080" w:type="pct"/>
            <w:vAlign w:val="bottom"/>
          </w:tcPr>
          <w:p w14:paraId="44B9181E" w14:textId="77777777" w:rsidR="008B3368" w:rsidRPr="001159D0" w:rsidRDefault="008B3368" w:rsidP="00624A83">
            <w:pPr>
              <w:pStyle w:val="TableText0"/>
              <w:widowControl w:val="0"/>
              <w:jc w:val="center"/>
              <w:rPr>
                <w:iCs/>
              </w:rPr>
            </w:pPr>
            <w:r w:rsidRPr="001159D0">
              <w:rPr>
                <w:iCs/>
              </w:rPr>
              <w:t>$174,067</w:t>
            </w:r>
          </w:p>
        </w:tc>
        <w:tc>
          <w:tcPr>
            <w:tcW w:w="1435" w:type="pct"/>
            <w:vAlign w:val="center"/>
          </w:tcPr>
          <w:p w14:paraId="0BDF0534" w14:textId="2BC04C3D" w:rsidR="008B3368" w:rsidRPr="001159D0" w:rsidRDefault="008B3368" w:rsidP="00624A83">
            <w:pPr>
              <w:pStyle w:val="TableText0"/>
              <w:widowControl w:val="0"/>
              <w:jc w:val="center"/>
              <w:rPr>
                <w:iCs/>
              </w:rPr>
            </w:pPr>
            <w:r w:rsidRPr="001159D0">
              <w:rPr>
                <w:iCs/>
              </w:rPr>
              <w:t>$</w:t>
            </w:r>
            <w:r w:rsidR="003E2BEF" w:rsidRPr="003E2BEF">
              <w:rPr>
                <w:iCs/>
                <w:color w:val="000000"/>
                <w:shd w:val="solid" w:color="000000" w:fill="000000"/>
                <w14:textFill>
                  <w14:solidFill>
                    <w14:srgbClr w14:val="000000">
                      <w14:alpha w14:val="100000"/>
                    </w14:srgbClr>
                  </w14:solidFill>
                </w14:textFill>
              </w:rPr>
              <w:t>|</w:t>
            </w:r>
          </w:p>
        </w:tc>
      </w:tr>
      <w:tr w:rsidR="008B3368" w:rsidRPr="001159D0" w14:paraId="55EAB9EB" w14:textId="77777777" w:rsidTr="00624A83">
        <w:tc>
          <w:tcPr>
            <w:tcW w:w="1406" w:type="pct"/>
          </w:tcPr>
          <w:p w14:paraId="2EFB871C" w14:textId="77777777" w:rsidR="008B3368" w:rsidRPr="001159D0" w:rsidRDefault="008B3368" w:rsidP="00624A83">
            <w:pPr>
              <w:pStyle w:val="TableText0"/>
              <w:widowControl w:val="0"/>
              <w:rPr>
                <w:i/>
                <w:vertAlign w:val="superscript"/>
              </w:rPr>
            </w:pPr>
            <w:r w:rsidRPr="001159D0">
              <w:t>QALYs</w:t>
            </w:r>
          </w:p>
        </w:tc>
        <w:tc>
          <w:tcPr>
            <w:tcW w:w="1079" w:type="pct"/>
            <w:vAlign w:val="bottom"/>
          </w:tcPr>
          <w:p w14:paraId="027AF812" w14:textId="77777777" w:rsidR="008B3368" w:rsidRPr="001159D0" w:rsidRDefault="008B3368" w:rsidP="00624A83">
            <w:pPr>
              <w:pStyle w:val="TableText0"/>
              <w:widowControl w:val="0"/>
              <w:jc w:val="center"/>
              <w:rPr>
                <w:iCs/>
              </w:rPr>
            </w:pPr>
            <w:r w:rsidRPr="001159D0">
              <w:rPr>
                <w:iCs/>
              </w:rPr>
              <w:t>6.2829</w:t>
            </w:r>
          </w:p>
        </w:tc>
        <w:tc>
          <w:tcPr>
            <w:tcW w:w="1080" w:type="pct"/>
            <w:vAlign w:val="bottom"/>
          </w:tcPr>
          <w:p w14:paraId="428B752C" w14:textId="77777777" w:rsidR="008B3368" w:rsidRPr="001159D0" w:rsidRDefault="008B3368" w:rsidP="00624A83">
            <w:pPr>
              <w:pStyle w:val="TableText0"/>
              <w:widowControl w:val="0"/>
              <w:jc w:val="center"/>
              <w:rPr>
                <w:iCs/>
              </w:rPr>
            </w:pPr>
            <w:r w:rsidRPr="001159D0">
              <w:rPr>
                <w:iCs/>
              </w:rPr>
              <w:t>6.0542</w:t>
            </w:r>
          </w:p>
        </w:tc>
        <w:tc>
          <w:tcPr>
            <w:tcW w:w="1435" w:type="pct"/>
            <w:vAlign w:val="center"/>
          </w:tcPr>
          <w:p w14:paraId="7B1B0062" w14:textId="77777777" w:rsidR="008B3368" w:rsidRPr="001159D0" w:rsidRDefault="008B3368" w:rsidP="00624A83">
            <w:pPr>
              <w:pStyle w:val="TableText0"/>
              <w:widowControl w:val="0"/>
              <w:jc w:val="center"/>
              <w:rPr>
                <w:iCs/>
              </w:rPr>
            </w:pPr>
            <w:r w:rsidRPr="001159D0">
              <w:rPr>
                <w:iCs/>
              </w:rPr>
              <w:t>0.2288</w:t>
            </w:r>
          </w:p>
        </w:tc>
      </w:tr>
      <w:tr w:rsidR="008B3368" w:rsidRPr="001159D0" w14:paraId="05B0B9C8" w14:textId="77777777" w:rsidTr="00624A83">
        <w:tc>
          <w:tcPr>
            <w:tcW w:w="3565" w:type="pct"/>
            <w:gridSpan w:val="3"/>
          </w:tcPr>
          <w:p w14:paraId="28EB5233" w14:textId="77777777" w:rsidR="008B3368" w:rsidRPr="001159D0" w:rsidRDefault="008B3368" w:rsidP="00624A83">
            <w:pPr>
              <w:pStyle w:val="TableText0"/>
              <w:keepNext w:val="0"/>
              <w:widowControl w:val="0"/>
              <w:jc w:val="right"/>
              <w:rPr>
                <w:b/>
                <w:i/>
              </w:rPr>
            </w:pPr>
            <w:r w:rsidRPr="001159D0">
              <w:rPr>
                <w:b/>
              </w:rPr>
              <w:t>Incremental cost per QALY gained</w:t>
            </w:r>
          </w:p>
        </w:tc>
        <w:tc>
          <w:tcPr>
            <w:tcW w:w="1435" w:type="pct"/>
            <w:vAlign w:val="center"/>
          </w:tcPr>
          <w:p w14:paraId="66BD4298" w14:textId="1E91E4D9" w:rsidR="008B3368" w:rsidRPr="001159D0" w:rsidRDefault="008B3368" w:rsidP="00624A83">
            <w:pPr>
              <w:pStyle w:val="TableText0"/>
              <w:keepNext w:val="0"/>
              <w:widowControl w:val="0"/>
              <w:jc w:val="center"/>
              <w:rPr>
                <w:iCs/>
              </w:rPr>
            </w:pPr>
            <w:r w:rsidRPr="001159D0">
              <w:rPr>
                <w:iCs/>
              </w:rPr>
              <w:t>$</w:t>
            </w:r>
            <w:r w:rsidR="003E2BEF" w:rsidRPr="003E2BEF">
              <w:rPr>
                <w:iCs/>
                <w:color w:val="000000"/>
                <w:shd w:val="solid" w:color="000000" w:fill="000000"/>
                <w14:textFill>
                  <w14:solidFill>
                    <w14:srgbClr w14:val="000000">
                      <w14:alpha w14:val="100000"/>
                    </w14:srgbClr>
                  </w14:solidFill>
                </w14:textFill>
              </w:rPr>
              <w:t>|</w:t>
            </w:r>
            <w:r w:rsidR="0073260B">
              <w:rPr>
                <w:vertAlign w:val="superscript"/>
              </w:rPr>
              <w:t>2</w:t>
            </w:r>
          </w:p>
        </w:tc>
      </w:tr>
      <w:tr w:rsidR="008B3368" w:rsidRPr="001159D0" w14:paraId="35596E07" w14:textId="77777777" w:rsidTr="00624A83">
        <w:tc>
          <w:tcPr>
            <w:tcW w:w="3565" w:type="pct"/>
            <w:gridSpan w:val="3"/>
            <w:shd w:val="clear" w:color="auto" w:fill="B8CCE4" w:themeFill="accent1" w:themeFillTint="66"/>
          </w:tcPr>
          <w:p w14:paraId="67D3EB18" w14:textId="77777777" w:rsidR="008B3368" w:rsidRPr="001159D0" w:rsidRDefault="008B3368" w:rsidP="00624A83">
            <w:pPr>
              <w:pStyle w:val="TableText0"/>
              <w:keepNext w:val="0"/>
              <w:widowControl w:val="0"/>
              <w:jc w:val="right"/>
              <w:rPr>
                <w:b/>
              </w:rPr>
            </w:pPr>
            <w:r w:rsidRPr="001159D0">
              <w:rPr>
                <w:b/>
              </w:rPr>
              <w:t>Incremental cost per QALY gained (November 2020 submission)</w:t>
            </w:r>
          </w:p>
        </w:tc>
        <w:tc>
          <w:tcPr>
            <w:tcW w:w="1435" w:type="pct"/>
            <w:shd w:val="clear" w:color="auto" w:fill="B8CCE4" w:themeFill="accent1" w:themeFillTint="66"/>
            <w:vAlign w:val="center"/>
          </w:tcPr>
          <w:p w14:paraId="47EEF5D3" w14:textId="1BA3568F" w:rsidR="008B3368" w:rsidRPr="001159D0" w:rsidRDefault="008B3368" w:rsidP="00624A83">
            <w:pPr>
              <w:pStyle w:val="TableText0"/>
              <w:keepNext w:val="0"/>
              <w:widowControl w:val="0"/>
              <w:jc w:val="center"/>
              <w:rPr>
                <w:iCs/>
              </w:rPr>
            </w:pPr>
            <w:r w:rsidRPr="001159D0">
              <w:rPr>
                <w:iCs/>
              </w:rPr>
              <w:t>$</w:t>
            </w:r>
            <w:r w:rsidR="003E2BEF" w:rsidRPr="003E2BEF">
              <w:rPr>
                <w:iCs/>
                <w:color w:val="000000"/>
                <w:shd w:val="solid" w:color="000000" w:fill="000000"/>
                <w14:textFill>
                  <w14:solidFill>
                    <w14:srgbClr w14:val="000000">
                      <w14:alpha w14:val="100000"/>
                    </w14:srgbClr>
                  </w14:solidFill>
                </w14:textFill>
              </w:rPr>
              <w:t>|</w:t>
            </w:r>
            <w:r w:rsidR="0073260B">
              <w:rPr>
                <w:vertAlign w:val="superscript"/>
              </w:rPr>
              <w:t>3</w:t>
            </w:r>
          </w:p>
        </w:tc>
      </w:tr>
    </w:tbl>
    <w:p w14:paraId="42DEDC3B" w14:textId="71CC4817" w:rsidR="008B3368" w:rsidRPr="001159D0" w:rsidRDefault="008B3368" w:rsidP="008B3368">
      <w:pPr>
        <w:pStyle w:val="COMTablefooter"/>
      </w:pPr>
      <w:r w:rsidRPr="001159D0">
        <w:t xml:space="preserve">Source: Table 3.8.1, p216 of the resubmission; Table 15 patiromer PBAC </w:t>
      </w:r>
      <w:r w:rsidR="007C073A">
        <w:t>Public Summary Document</w:t>
      </w:r>
      <w:r w:rsidRPr="001159D0">
        <w:t xml:space="preserve"> November 2020 PBAC meeting </w:t>
      </w:r>
    </w:p>
    <w:p w14:paraId="5D4C8275" w14:textId="64D92EAA" w:rsidR="00FC5D91" w:rsidRDefault="008B3368" w:rsidP="00FC5D91">
      <w:pPr>
        <w:pStyle w:val="COMTablefooter"/>
        <w:spacing w:after="0"/>
      </w:pPr>
      <w:r w:rsidRPr="001159D0">
        <w:t>Abbreviations: CKD, chronic kidney disease; LY, life years; QALY, quality adjusted life years; RAASi, renin-angiotensin-aldosterone system inhibitors; RRT, renal replacement therapy</w:t>
      </w:r>
    </w:p>
    <w:p w14:paraId="31FB152A" w14:textId="77777777" w:rsidR="00FC5D91" w:rsidRPr="009A6D58" w:rsidRDefault="00FC5D91" w:rsidP="00FC5D91">
      <w:pPr>
        <w:rPr>
          <w:rFonts w:ascii="Arial Narrow" w:hAnsi="Arial Narrow"/>
          <w:i/>
          <w:sz w:val="18"/>
          <w:szCs w:val="18"/>
        </w:rPr>
      </w:pPr>
      <w:r w:rsidRPr="009A6D58">
        <w:rPr>
          <w:rFonts w:ascii="Arial Narrow" w:hAnsi="Arial Narrow"/>
          <w:i/>
          <w:sz w:val="18"/>
          <w:szCs w:val="18"/>
        </w:rPr>
        <w:t xml:space="preserve">The redacted values correspond to the following ranges: </w:t>
      </w:r>
    </w:p>
    <w:p w14:paraId="0867C31A" w14:textId="1320E972" w:rsidR="00FC5D91" w:rsidRPr="009A6D58" w:rsidRDefault="00FC5D91" w:rsidP="00FC5D91">
      <w:pPr>
        <w:rPr>
          <w:rFonts w:ascii="Arial Narrow" w:hAnsi="Arial Narrow"/>
          <w:i/>
          <w:sz w:val="18"/>
          <w:szCs w:val="18"/>
        </w:rPr>
      </w:pPr>
      <w:r w:rsidRPr="009A6D58">
        <w:rPr>
          <w:rFonts w:ascii="Arial Narrow" w:hAnsi="Arial Narrow"/>
          <w:i/>
          <w:sz w:val="18"/>
          <w:szCs w:val="18"/>
          <w:vertAlign w:val="superscript"/>
        </w:rPr>
        <w:t>1</w:t>
      </w:r>
      <w:r>
        <w:rPr>
          <w:rFonts w:ascii="Arial Narrow" w:hAnsi="Arial Narrow"/>
          <w:i/>
          <w:sz w:val="18"/>
          <w:szCs w:val="18"/>
        </w:rPr>
        <w:t xml:space="preserve"> </w:t>
      </w:r>
      <w:r w:rsidR="0073260B" w:rsidRPr="0073260B">
        <w:rPr>
          <w:rFonts w:ascii="Arial Narrow" w:hAnsi="Arial Narrow"/>
          <w:i/>
          <w:sz w:val="18"/>
          <w:szCs w:val="18"/>
        </w:rPr>
        <w:t>&gt; $1,055,000</w:t>
      </w:r>
    </w:p>
    <w:p w14:paraId="0FB483EE" w14:textId="7A7AB3B5" w:rsidR="00FC5D91" w:rsidRPr="009A6D58" w:rsidRDefault="00FC5D91" w:rsidP="00FC5D91">
      <w:pPr>
        <w:rPr>
          <w:rFonts w:ascii="Arial Narrow" w:hAnsi="Arial Narrow"/>
          <w:i/>
          <w:sz w:val="18"/>
          <w:szCs w:val="18"/>
        </w:rPr>
      </w:pPr>
      <w:r w:rsidRPr="009A6D58">
        <w:rPr>
          <w:rFonts w:ascii="Arial Narrow" w:hAnsi="Arial Narrow"/>
          <w:i/>
          <w:sz w:val="18"/>
          <w:szCs w:val="18"/>
          <w:vertAlign w:val="superscript"/>
        </w:rPr>
        <w:t>2</w:t>
      </w:r>
      <w:r>
        <w:rPr>
          <w:rFonts w:ascii="Arial Narrow" w:hAnsi="Arial Narrow"/>
          <w:i/>
          <w:sz w:val="18"/>
          <w:szCs w:val="18"/>
        </w:rPr>
        <w:t xml:space="preserve"> </w:t>
      </w:r>
      <w:r w:rsidR="0073260B" w:rsidRPr="0073260B">
        <w:rPr>
          <w:rFonts w:ascii="Arial Narrow" w:hAnsi="Arial Narrow"/>
          <w:i/>
          <w:sz w:val="18"/>
          <w:szCs w:val="18"/>
        </w:rPr>
        <w:t>$15,000 to &lt; $25,000</w:t>
      </w:r>
    </w:p>
    <w:p w14:paraId="1B35FFE1" w14:textId="26FD9F75" w:rsidR="00FC5D91" w:rsidRDefault="00FC5D91" w:rsidP="00FC5D91">
      <w:pPr>
        <w:rPr>
          <w:rFonts w:ascii="Arial Narrow" w:hAnsi="Arial Narrow"/>
          <w:i/>
          <w:sz w:val="18"/>
          <w:szCs w:val="18"/>
        </w:rPr>
      </w:pPr>
      <w:r w:rsidRPr="009A6D58">
        <w:rPr>
          <w:rFonts w:ascii="Arial Narrow" w:hAnsi="Arial Narrow"/>
          <w:i/>
          <w:sz w:val="18"/>
          <w:szCs w:val="18"/>
          <w:vertAlign w:val="superscript"/>
        </w:rPr>
        <w:t>3</w:t>
      </w:r>
      <w:r>
        <w:rPr>
          <w:rFonts w:ascii="Arial Narrow" w:hAnsi="Arial Narrow"/>
          <w:i/>
          <w:sz w:val="18"/>
          <w:szCs w:val="18"/>
        </w:rPr>
        <w:t xml:space="preserve"> </w:t>
      </w:r>
      <w:r w:rsidR="0073260B" w:rsidRPr="0073260B">
        <w:rPr>
          <w:rFonts w:ascii="Arial Narrow" w:hAnsi="Arial Narrow"/>
          <w:i/>
          <w:sz w:val="18"/>
          <w:szCs w:val="18"/>
        </w:rPr>
        <w:t>$25,000 to &lt; $35,000</w:t>
      </w:r>
    </w:p>
    <w:p w14:paraId="7AE012BC" w14:textId="3561874A" w:rsidR="00FC5D91" w:rsidRPr="00FC5D91" w:rsidRDefault="00FC5D91" w:rsidP="002B70D2">
      <w:pPr>
        <w:spacing w:after="120"/>
        <w:rPr>
          <w:rFonts w:ascii="Arial Narrow" w:hAnsi="Arial Narrow"/>
          <w:i/>
          <w:sz w:val="18"/>
          <w:szCs w:val="18"/>
        </w:rPr>
      </w:pPr>
      <w:r>
        <w:rPr>
          <w:rFonts w:ascii="Arial Narrow" w:hAnsi="Arial Narrow"/>
          <w:i/>
          <w:sz w:val="18"/>
          <w:szCs w:val="18"/>
          <w:vertAlign w:val="superscript"/>
        </w:rPr>
        <w:t>4</w:t>
      </w:r>
      <w:r>
        <w:rPr>
          <w:rFonts w:ascii="Arial Narrow" w:hAnsi="Arial Narrow"/>
          <w:i/>
          <w:sz w:val="18"/>
          <w:szCs w:val="18"/>
        </w:rPr>
        <w:t xml:space="preserve"> </w:t>
      </w:r>
      <w:r w:rsidR="002B70D2" w:rsidRPr="002B70D2">
        <w:rPr>
          <w:rFonts w:ascii="Arial Narrow" w:hAnsi="Arial Narrow"/>
          <w:i/>
          <w:sz w:val="18"/>
          <w:szCs w:val="18"/>
        </w:rPr>
        <w:t>$35,000 to &lt; $45,000</w:t>
      </w:r>
    </w:p>
    <w:p w14:paraId="2FA713A1" w14:textId="4AFB9494" w:rsidR="003B5CDD" w:rsidRPr="002F6665" w:rsidRDefault="003B5CDD" w:rsidP="002B70D2">
      <w:pPr>
        <w:pStyle w:val="COMexecsumnumberedpara"/>
        <w:numPr>
          <w:ilvl w:val="1"/>
          <w:numId w:val="1"/>
        </w:numPr>
      </w:pPr>
      <w:r w:rsidRPr="002F6665">
        <w:t xml:space="preserve">Based on the economic model, treatment with patiromer was associated with an incremental cost per QALY gained </w:t>
      </w:r>
      <w:r w:rsidRPr="00FF512C">
        <w:t xml:space="preserve">of </w:t>
      </w:r>
      <w:r w:rsidR="002B70D2" w:rsidRPr="002B70D2">
        <w:t>$25,000 to &lt; $35,000</w:t>
      </w:r>
      <w:r w:rsidR="002B70D2">
        <w:t xml:space="preserve"> </w:t>
      </w:r>
      <w:r w:rsidRPr="00FF512C">
        <w:t xml:space="preserve">compared to placebo for the management of recurrent hyperkalaemia. The </w:t>
      </w:r>
      <w:r w:rsidR="00A33CD1" w:rsidRPr="00FF512C">
        <w:t xml:space="preserve">evaluation and the ESC considered that the </w:t>
      </w:r>
      <w:r w:rsidRPr="00FF512C">
        <w:t xml:space="preserve">cost-effectiveness estimate </w:t>
      </w:r>
      <w:r w:rsidR="00A33CD1" w:rsidRPr="00FF512C">
        <w:t>was not</w:t>
      </w:r>
      <w:r w:rsidRPr="00FF512C">
        <w:t xml:space="preserve"> reliable as it was still dependent on the underlying premise that short-term patiromer treatment would lead to patients remaining on maximal RAASi therapy for a prolonged</w:t>
      </w:r>
      <w:r w:rsidRPr="002F6665">
        <w:t xml:space="preserve"> period and gaining long-term cardiovascular and renal benefits.</w:t>
      </w:r>
    </w:p>
    <w:p w14:paraId="4F6D75E3" w14:textId="19EBCF51" w:rsidR="007E4BBC" w:rsidRPr="00DC6F63" w:rsidRDefault="003B5CDD" w:rsidP="002B70D2">
      <w:pPr>
        <w:pStyle w:val="COMexecsumnumberedpara"/>
        <w:numPr>
          <w:ilvl w:val="1"/>
          <w:numId w:val="1"/>
        </w:numPr>
      </w:pPr>
      <w:r w:rsidRPr="002F6665">
        <w:t>Treatment with patiromer was more cost-effective in the current economic model compared to the November 2020 submission (</w:t>
      </w:r>
      <w:r w:rsidR="002B70D2" w:rsidRPr="002B70D2">
        <w:t>$25,000 to &lt; $35,000</w:t>
      </w:r>
      <w:r w:rsidR="002B70D2">
        <w:t xml:space="preserve"> </w:t>
      </w:r>
      <w:r w:rsidRPr="002F6665">
        <w:t xml:space="preserve">vs </w:t>
      </w:r>
      <w:r w:rsidR="002B70D2" w:rsidRPr="002B70D2">
        <w:lastRenderedPageBreak/>
        <w:t>$35,000 to &lt; $45,000</w:t>
      </w:r>
      <w:r w:rsidRPr="002F6665">
        <w:t>) which appeared to be primarily due to increased survival gains which were only partially offset by the increased costs associated with longer survival.</w:t>
      </w:r>
    </w:p>
    <w:p w14:paraId="7EDC8C6D" w14:textId="4A0ADDE5" w:rsidR="00903488" w:rsidRDefault="00903488" w:rsidP="00903488">
      <w:pPr>
        <w:pStyle w:val="COMexecsumnumberedpara"/>
      </w:pPr>
      <w:r w:rsidRPr="002F6665">
        <w:t xml:space="preserve">The results of the sensitivity analyses indicated that the model was most sensitive to variables in the cohort initialisation period (particularly the proportion of patients using maximal RAASi at baseline and the use of protocol-driven estimates of RAASi change from the OPAL-HK study). The model was also sensitive to time horizon, patiromer utilisation estimates, the extrapolation of patiromer treatment effects, RAASi treatment effects on CKD mortality and progression as well as health state utility values.  </w:t>
      </w:r>
    </w:p>
    <w:p w14:paraId="749142CB" w14:textId="3BEDD967" w:rsidR="00185040" w:rsidRPr="001159D0" w:rsidRDefault="00185040" w:rsidP="0021041D">
      <w:pPr>
        <w:pStyle w:val="COMTableheadingrow"/>
        <w:keepNext w:val="0"/>
        <w:rPr>
          <w:rStyle w:val="CommentReference"/>
          <w:lang w:val="en-AU"/>
        </w:rPr>
      </w:pPr>
      <w:bookmarkStart w:id="55" w:name="_Ref104804865"/>
      <w:r w:rsidRPr="001159D0">
        <w:rPr>
          <w:lang w:val="en-AU"/>
        </w:rPr>
        <w:t xml:space="preserve">Table </w:t>
      </w:r>
      <w:r w:rsidRPr="001159D0">
        <w:rPr>
          <w:lang w:val="en-AU"/>
        </w:rPr>
        <w:fldChar w:fldCharType="begin"/>
      </w:r>
      <w:r w:rsidRPr="001159D0">
        <w:rPr>
          <w:lang w:val="en-AU"/>
        </w:rPr>
        <w:instrText xml:space="preserve"> SEQ Table \* ARABIC </w:instrText>
      </w:r>
      <w:r w:rsidRPr="001159D0">
        <w:rPr>
          <w:lang w:val="en-AU"/>
        </w:rPr>
        <w:fldChar w:fldCharType="separate"/>
      </w:r>
      <w:r w:rsidR="00565456">
        <w:rPr>
          <w:noProof/>
          <w:lang w:val="en-AU"/>
        </w:rPr>
        <w:t>15</w:t>
      </w:r>
      <w:r w:rsidRPr="001159D0">
        <w:rPr>
          <w:noProof/>
          <w:lang w:val="en-AU"/>
        </w:rPr>
        <w:fldChar w:fldCharType="end"/>
      </w:r>
      <w:bookmarkEnd w:id="55"/>
      <w:r w:rsidRPr="001159D0">
        <w:rPr>
          <w:lang w:val="en-AU"/>
        </w:rPr>
        <w:t>: Sensitivity analyses</w:t>
      </w:r>
    </w:p>
    <w:tbl>
      <w:tblPr>
        <w:tblStyle w:val="TableGrid"/>
        <w:tblW w:w="5000" w:type="pct"/>
        <w:tblCellMar>
          <w:left w:w="28" w:type="dxa"/>
          <w:right w:w="28" w:type="dxa"/>
        </w:tblCellMar>
        <w:tblLook w:val="04A0" w:firstRow="1" w:lastRow="0" w:firstColumn="1" w:lastColumn="0" w:noHBand="0" w:noVBand="1"/>
      </w:tblPr>
      <w:tblGrid>
        <w:gridCol w:w="4265"/>
        <w:gridCol w:w="1165"/>
        <w:gridCol w:w="1165"/>
        <w:gridCol w:w="1165"/>
        <w:gridCol w:w="1257"/>
      </w:tblGrid>
      <w:tr w:rsidR="00185040" w:rsidRPr="00FF512C" w14:paraId="74616BD0" w14:textId="77777777" w:rsidTr="003E2BEF">
        <w:trPr>
          <w:tblHeader/>
        </w:trPr>
        <w:tc>
          <w:tcPr>
            <w:tcW w:w="4265" w:type="dxa"/>
            <w:vAlign w:val="center"/>
          </w:tcPr>
          <w:p w14:paraId="03BC4E0D" w14:textId="77777777" w:rsidR="00185040" w:rsidRPr="00FF512C" w:rsidRDefault="00185040" w:rsidP="0021041D">
            <w:pPr>
              <w:pStyle w:val="TableHeading"/>
              <w:keepNext w:val="0"/>
              <w:rPr>
                <w:rStyle w:val="CommentReference"/>
              </w:rPr>
            </w:pPr>
            <w:r w:rsidRPr="00FF512C">
              <w:rPr>
                <w:bCs/>
                <w:szCs w:val="20"/>
              </w:rPr>
              <w:t>Analysis</w:t>
            </w:r>
          </w:p>
        </w:tc>
        <w:tc>
          <w:tcPr>
            <w:tcW w:w="1165" w:type="dxa"/>
            <w:tcBorders>
              <w:bottom w:val="single" w:sz="4" w:space="0" w:color="auto"/>
            </w:tcBorders>
            <w:vAlign w:val="center"/>
          </w:tcPr>
          <w:p w14:paraId="6A0AF634" w14:textId="27683245" w:rsidR="00185040" w:rsidRPr="00FF512C" w:rsidRDefault="00185040" w:rsidP="0021041D">
            <w:pPr>
              <w:pStyle w:val="TableHeading"/>
              <w:keepNext w:val="0"/>
              <w:jc w:val="center"/>
              <w:rPr>
                <w:rStyle w:val="CommentReference"/>
              </w:rPr>
            </w:pPr>
            <w:r w:rsidRPr="00FF512C">
              <w:rPr>
                <w:bCs/>
                <w:szCs w:val="20"/>
              </w:rPr>
              <w:t>Incremental cost</w:t>
            </w:r>
            <w:r w:rsidR="002B70D2">
              <w:rPr>
                <w:bCs/>
                <w:szCs w:val="20"/>
              </w:rPr>
              <w:t xml:space="preserve"> ($)</w:t>
            </w:r>
          </w:p>
        </w:tc>
        <w:tc>
          <w:tcPr>
            <w:tcW w:w="1165" w:type="dxa"/>
            <w:vAlign w:val="center"/>
          </w:tcPr>
          <w:p w14:paraId="41940C8C" w14:textId="77777777" w:rsidR="00185040" w:rsidRPr="00FF512C" w:rsidRDefault="00185040" w:rsidP="0021041D">
            <w:pPr>
              <w:pStyle w:val="TableHeading"/>
              <w:keepNext w:val="0"/>
              <w:jc w:val="center"/>
              <w:rPr>
                <w:rStyle w:val="CommentReference"/>
              </w:rPr>
            </w:pPr>
            <w:r w:rsidRPr="00FF512C">
              <w:rPr>
                <w:bCs/>
                <w:szCs w:val="20"/>
              </w:rPr>
              <w:t>Incremental QALYs</w:t>
            </w:r>
          </w:p>
        </w:tc>
        <w:tc>
          <w:tcPr>
            <w:tcW w:w="1165" w:type="dxa"/>
            <w:vAlign w:val="center"/>
          </w:tcPr>
          <w:p w14:paraId="67B220A9" w14:textId="7616FC7B" w:rsidR="00185040" w:rsidRPr="00FF512C" w:rsidRDefault="00185040" w:rsidP="0021041D">
            <w:pPr>
              <w:pStyle w:val="TableHeading"/>
              <w:keepNext w:val="0"/>
              <w:jc w:val="center"/>
              <w:rPr>
                <w:rStyle w:val="CommentReference"/>
              </w:rPr>
            </w:pPr>
            <w:r w:rsidRPr="00FF512C">
              <w:rPr>
                <w:bCs/>
                <w:szCs w:val="20"/>
              </w:rPr>
              <w:t>ICER</w:t>
            </w:r>
            <w:r w:rsidR="002B70D2">
              <w:rPr>
                <w:bCs/>
                <w:szCs w:val="20"/>
              </w:rPr>
              <w:t xml:space="preserve"> ($)</w:t>
            </w:r>
          </w:p>
        </w:tc>
        <w:tc>
          <w:tcPr>
            <w:tcW w:w="1257" w:type="dxa"/>
            <w:vAlign w:val="center"/>
          </w:tcPr>
          <w:p w14:paraId="379BF060" w14:textId="77777777" w:rsidR="00185040" w:rsidRPr="00FF512C" w:rsidRDefault="00185040" w:rsidP="0021041D">
            <w:pPr>
              <w:pStyle w:val="TableHeading"/>
              <w:keepNext w:val="0"/>
              <w:jc w:val="center"/>
              <w:rPr>
                <w:rStyle w:val="CommentReference"/>
              </w:rPr>
            </w:pPr>
            <w:r w:rsidRPr="00FF512C">
              <w:rPr>
                <w:bCs/>
              </w:rPr>
              <w:t>% change from base case</w:t>
            </w:r>
          </w:p>
        </w:tc>
      </w:tr>
      <w:tr w:rsidR="00185040" w:rsidRPr="00FF512C" w14:paraId="49070300" w14:textId="77777777" w:rsidTr="003E2BEF">
        <w:tc>
          <w:tcPr>
            <w:tcW w:w="4265" w:type="dxa"/>
          </w:tcPr>
          <w:p w14:paraId="5871FBB4" w14:textId="77777777" w:rsidR="00185040" w:rsidRPr="00FF512C" w:rsidRDefault="00185040" w:rsidP="0021041D">
            <w:pPr>
              <w:pStyle w:val="TableHeading"/>
              <w:keepNext w:val="0"/>
              <w:rPr>
                <w:rStyle w:val="CommentReference"/>
              </w:rPr>
            </w:pPr>
            <w:r w:rsidRPr="00FF512C">
              <w:rPr>
                <w:bCs/>
                <w:szCs w:val="20"/>
              </w:rPr>
              <w:t>Base case</w:t>
            </w:r>
          </w:p>
        </w:tc>
        <w:tc>
          <w:tcPr>
            <w:tcW w:w="1165" w:type="dxa"/>
            <w:shd w:val="solid" w:color="000000" w:fill="000000"/>
            <w:vAlign w:val="center"/>
          </w:tcPr>
          <w:p w14:paraId="27D20D05" w14:textId="712B3A0E" w:rsidR="00185040" w:rsidRPr="003E2BEF" w:rsidRDefault="003E2BEF" w:rsidP="0021041D">
            <w:pPr>
              <w:pStyle w:val="TableHeading"/>
              <w:keepNext w:val="0"/>
              <w:jc w:val="center"/>
              <w:rPr>
                <w:rStyle w:val="CommentReference"/>
              </w:rPr>
            </w:pPr>
            <w:r w:rsidRPr="003E2BEF">
              <w:rPr>
                <w:rFonts w:hint="eastAsia"/>
                <w:bCs/>
                <w:color w:val="000000"/>
                <w:w w:val="15"/>
                <w:szCs w:val="20"/>
                <w:fitText w:val="46" w:id="-1304706816"/>
                <w14:textFill>
                  <w14:solidFill>
                    <w14:srgbClr w14:val="000000">
                      <w14:alpha w14:val="100000"/>
                    </w14:srgbClr>
                  </w14:solidFill>
                </w14:textFill>
              </w:rPr>
              <w:t xml:space="preserve">　</w:t>
            </w:r>
            <w:r w:rsidRPr="003E2BEF">
              <w:rPr>
                <w:bCs/>
                <w:color w:val="000000"/>
                <w:w w:val="15"/>
                <w:szCs w:val="20"/>
                <w:fitText w:val="46" w:id="-1304706816"/>
                <w14:textFill>
                  <w14:solidFill>
                    <w14:srgbClr w14:val="000000">
                      <w14:alpha w14:val="100000"/>
                    </w14:srgbClr>
                  </w14:solidFill>
                </w14:textFill>
              </w:rPr>
              <w:t>|</w:t>
            </w:r>
            <w:r w:rsidRPr="003E2BEF">
              <w:rPr>
                <w:rFonts w:hint="eastAsia"/>
                <w:bCs/>
                <w:color w:val="000000"/>
                <w:spacing w:val="-20"/>
                <w:w w:val="15"/>
                <w:szCs w:val="20"/>
                <w:fitText w:val="46" w:id="-1304706816"/>
                <w14:textFill>
                  <w14:solidFill>
                    <w14:srgbClr w14:val="000000">
                      <w14:alpha w14:val="100000"/>
                    </w14:srgbClr>
                  </w14:solidFill>
                </w14:textFill>
              </w:rPr>
              <w:t xml:space="preserve">　</w:t>
            </w:r>
          </w:p>
        </w:tc>
        <w:tc>
          <w:tcPr>
            <w:tcW w:w="1165" w:type="dxa"/>
            <w:vAlign w:val="center"/>
          </w:tcPr>
          <w:p w14:paraId="404A507C" w14:textId="77777777" w:rsidR="00185040" w:rsidRPr="00FF512C" w:rsidRDefault="00185040" w:rsidP="0021041D">
            <w:pPr>
              <w:pStyle w:val="TableHeading"/>
              <w:keepNext w:val="0"/>
              <w:jc w:val="center"/>
              <w:rPr>
                <w:rStyle w:val="CommentReference"/>
              </w:rPr>
            </w:pPr>
            <w:r w:rsidRPr="00FF512C">
              <w:rPr>
                <w:bCs/>
                <w:szCs w:val="20"/>
              </w:rPr>
              <w:t>0.2288</w:t>
            </w:r>
          </w:p>
        </w:tc>
        <w:tc>
          <w:tcPr>
            <w:tcW w:w="1165" w:type="dxa"/>
            <w:vAlign w:val="center"/>
          </w:tcPr>
          <w:p w14:paraId="7DFE6C73" w14:textId="0F4946C9" w:rsidR="00185040" w:rsidRPr="002B70D2" w:rsidRDefault="003E2BEF" w:rsidP="0021041D">
            <w:pPr>
              <w:pStyle w:val="TableHeading"/>
              <w:keepNext w:val="0"/>
              <w:jc w:val="center"/>
              <w:rPr>
                <w:rStyle w:val="CommentReference"/>
              </w:rPr>
            </w:pPr>
            <w:r w:rsidRPr="003E2BEF">
              <w:rPr>
                <w:rFonts w:hint="eastAsia"/>
                <w:bCs/>
                <w:color w:val="000000"/>
                <w:w w:val="15"/>
                <w:szCs w:val="20"/>
                <w:shd w:val="solid" w:color="000000" w:fill="000000"/>
                <w:fitText w:val="57" w:id="-1304706815"/>
                <w14:textFill>
                  <w14:solidFill>
                    <w14:srgbClr w14:val="000000">
                      <w14:alpha w14:val="100000"/>
                    </w14:srgbClr>
                  </w14:solidFill>
                </w14:textFill>
              </w:rPr>
              <w:t xml:space="preserve">　</w:t>
            </w:r>
            <w:r w:rsidRPr="003E2BEF">
              <w:rPr>
                <w:bCs/>
                <w:color w:val="000000"/>
                <w:w w:val="15"/>
                <w:szCs w:val="20"/>
                <w:shd w:val="solid" w:color="000000" w:fill="000000"/>
                <w:fitText w:val="57" w:id="-1304706815"/>
                <w14:textFill>
                  <w14:solidFill>
                    <w14:srgbClr w14:val="000000">
                      <w14:alpha w14:val="100000"/>
                    </w14:srgbClr>
                  </w14:solidFill>
                </w14:textFill>
              </w:rPr>
              <w:t>|</w:t>
            </w:r>
            <w:r w:rsidRPr="003E2BEF">
              <w:rPr>
                <w:rFonts w:hint="eastAsia"/>
                <w:bCs/>
                <w:color w:val="000000"/>
                <w:spacing w:val="-9"/>
                <w:w w:val="15"/>
                <w:szCs w:val="20"/>
                <w:shd w:val="solid" w:color="000000" w:fill="000000"/>
                <w:fitText w:val="57" w:id="-1304706815"/>
                <w14:textFill>
                  <w14:solidFill>
                    <w14:srgbClr w14:val="000000">
                      <w14:alpha w14:val="100000"/>
                    </w14:srgbClr>
                  </w14:solidFill>
                </w14:textFill>
              </w:rPr>
              <w:t xml:space="preserve">　</w:t>
            </w:r>
            <w:r w:rsidR="002B70D2">
              <w:rPr>
                <w:bCs/>
                <w:szCs w:val="20"/>
                <w:vertAlign w:val="superscript"/>
              </w:rPr>
              <w:t>1</w:t>
            </w:r>
          </w:p>
        </w:tc>
        <w:tc>
          <w:tcPr>
            <w:tcW w:w="1257" w:type="dxa"/>
            <w:vAlign w:val="center"/>
          </w:tcPr>
          <w:p w14:paraId="24937BF4" w14:textId="77777777" w:rsidR="00185040" w:rsidRPr="00FF512C" w:rsidRDefault="00185040" w:rsidP="0021041D">
            <w:pPr>
              <w:pStyle w:val="TableHeading"/>
              <w:keepNext w:val="0"/>
              <w:jc w:val="center"/>
              <w:rPr>
                <w:rStyle w:val="CommentReference"/>
              </w:rPr>
            </w:pPr>
            <w:r w:rsidRPr="00FF512C">
              <w:rPr>
                <w:bCs/>
                <w:szCs w:val="20"/>
              </w:rPr>
              <w:t>-</w:t>
            </w:r>
          </w:p>
        </w:tc>
      </w:tr>
      <w:tr w:rsidR="00185040" w:rsidRPr="00FF512C" w14:paraId="19784640" w14:textId="77777777" w:rsidTr="00624A83">
        <w:tc>
          <w:tcPr>
            <w:tcW w:w="9017" w:type="dxa"/>
            <w:gridSpan w:val="5"/>
          </w:tcPr>
          <w:p w14:paraId="2D0AFC28" w14:textId="77777777" w:rsidR="00185040" w:rsidRPr="00FF512C" w:rsidRDefault="00185040" w:rsidP="0021041D">
            <w:pPr>
              <w:pStyle w:val="TableHeading"/>
              <w:keepNext w:val="0"/>
              <w:rPr>
                <w:rStyle w:val="CommentReference"/>
                <w:b/>
                <w:bCs/>
              </w:rPr>
            </w:pPr>
            <w:r w:rsidRPr="00FF512C">
              <w:rPr>
                <w:bCs/>
                <w:szCs w:val="20"/>
              </w:rPr>
              <w:t>Discount rate (base case: 5% for benefits and costs)</w:t>
            </w:r>
          </w:p>
        </w:tc>
      </w:tr>
      <w:tr w:rsidR="00185040" w:rsidRPr="00FF512C" w14:paraId="56E67F44" w14:textId="77777777" w:rsidTr="003E2BEF">
        <w:tc>
          <w:tcPr>
            <w:tcW w:w="4265" w:type="dxa"/>
          </w:tcPr>
          <w:p w14:paraId="1FAC2F1E" w14:textId="77777777" w:rsidR="00185040" w:rsidRPr="00FF512C" w:rsidRDefault="00185040" w:rsidP="0021041D">
            <w:pPr>
              <w:pStyle w:val="TableHeading"/>
              <w:keepNext w:val="0"/>
              <w:rPr>
                <w:rStyle w:val="CommentReference"/>
                <w:b/>
                <w:bCs/>
              </w:rPr>
            </w:pPr>
            <w:r w:rsidRPr="00FF512C">
              <w:rPr>
                <w:b w:val="0"/>
                <w:bCs/>
                <w:szCs w:val="20"/>
              </w:rPr>
              <w:t>3.5% discount rate</w:t>
            </w:r>
          </w:p>
        </w:tc>
        <w:tc>
          <w:tcPr>
            <w:tcW w:w="1165" w:type="dxa"/>
            <w:tcBorders>
              <w:bottom w:val="single" w:sz="4" w:space="0" w:color="auto"/>
            </w:tcBorders>
            <w:shd w:val="solid" w:color="000000" w:fill="000000"/>
            <w:vAlign w:val="center"/>
          </w:tcPr>
          <w:p w14:paraId="2B984870" w14:textId="7FAFE6FA" w:rsidR="00185040" w:rsidRPr="003E2BEF" w:rsidRDefault="003E2BEF" w:rsidP="0021041D">
            <w:pPr>
              <w:pStyle w:val="TableHeading"/>
              <w:keepNext w:val="0"/>
              <w:jc w:val="center"/>
              <w:rPr>
                <w:rStyle w:val="CommentReference"/>
                <w:b/>
                <w:bCs/>
              </w:rPr>
            </w:pPr>
            <w:r w:rsidRPr="003E2BEF">
              <w:rPr>
                <w:rFonts w:hint="eastAsia"/>
                <w:b w:val="0"/>
                <w:bCs/>
                <w:color w:val="000000"/>
                <w:w w:val="15"/>
                <w:szCs w:val="20"/>
                <w:fitText w:val="46" w:id="-1304706814"/>
                <w14:textFill>
                  <w14:solidFill>
                    <w14:srgbClr w14:val="000000">
                      <w14:alpha w14:val="100000"/>
                    </w14:srgbClr>
                  </w14:solidFill>
                </w14:textFill>
              </w:rPr>
              <w:t xml:space="preserve">　</w:t>
            </w:r>
            <w:r w:rsidRPr="003E2BEF">
              <w:rPr>
                <w:b w:val="0"/>
                <w:bCs/>
                <w:color w:val="000000"/>
                <w:w w:val="15"/>
                <w:szCs w:val="20"/>
                <w:fitText w:val="46" w:id="-1304706814"/>
                <w14:textFill>
                  <w14:solidFill>
                    <w14:srgbClr w14:val="000000">
                      <w14:alpha w14:val="100000"/>
                    </w14:srgbClr>
                  </w14:solidFill>
                </w14:textFill>
              </w:rPr>
              <w:t>|</w:t>
            </w:r>
            <w:r w:rsidRPr="003E2BEF">
              <w:rPr>
                <w:rFonts w:hint="eastAsia"/>
                <w:b w:val="0"/>
                <w:bCs/>
                <w:color w:val="000000"/>
                <w:spacing w:val="-19"/>
                <w:w w:val="15"/>
                <w:szCs w:val="20"/>
                <w:fitText w:val="46" w:id="-1304706814"/>
                <w14:textFill>
                  <w14:solidFill>
                    <w14:srgbClr w14:val="000000">
                      <w14:alpha w14:val="100000"/>
                    </w14:srgbClr>
                  </w14:solidFill>
                </w14:textFill>
              </w:rPr>
              <w:t xml:space="preserve">　</w:t>
            </w:r>
          </w:p>
        </w:tc>
        <w:tc>
          <w:tcPr>
            <w:tcW w:w="1165" w:type="dxa"/>
            <w:vAlign w:val="center"/>
          </w:tcPr>
          <w:p w14:paraId="0C1FC446" w14:textId="77777777" w:rsidR="00185040" w:rsidRPr="00FF512C" w:rsidRDefault="00185040" w:rsidP="0021041D">
            <w:pPr>
              <w:pStyle w:val="TableHeading"/>
              <w:keepNext w:val="0"/>
              <w:jc w:val="center"/>
              <w:rPr>
                <w:rStyle w:val="CommentReference"/>
                <w:b/>
                <w:bCs/>
              </w:rPr>
            </w:pPr>
            <w:r w:rsidRPr="00FF512C">
              <w:rPr>
                <w:b w:val="0"/>
                <w:bCs/>
                <w:szCs w:val="20"/>
              </w:rPr>
              <w:t>0.2558</w:t>
            </w:r>
          </w:p>
        </w:tc>
        <w:tc>
          <w:tcPr>
            <w:tcW w:w="1165" w:type="dxa"/>
            <w:vAlign w:val="center"/>
          </w:tcPr>
          <w:p w14:paraId="39B96984" w14:textId="1CA8790E" w:rsidR="00185040" w:rsidRPr="002B70D2" w:rsidRDefault="003E2BEF" w:rsidP="0021041D">
            <w:pPr>
              <w:pStyle w:val="TableHeading"/>
              <w:keepNext w:val="0"/>
              <w:jc w:val="center"/>
              <w:rPr>
                <w:rStyle w:val="CommentReference"/>
                <w:b/>
                <w:bCs/>
                <w:highlight w:val="darkGray"/>
              </w:rPr>
            </w:pPr>
            <w:r w:rsidRPr="003E2BEF">
              <w:rPr>
                <w:rFonts w:hint="eastAsia"/>
                <w:b w:val="0"/>
                <w:bCs/>
                <w:color w:val="000000"/>
                <w:w w:val="15"/>
                <w:szCs w:val="20"/>
                <w:shd w:val="solid" w:color="000000" w:fill="000000"/>
                <w:fitText w:val="57" w:id="-1304706813"/>
                <w14:textFill>
                  <w14:solidFill>
                    <w14:srgbClr w14:val="000000">
                      <w14:alpha w14:val="100000"/>
                    </w14:srgbClr>
                  </w14:solidFill>
                </w14:textFill>
              </w:rPr>
              <w:t xml:space="preserve">　</w:t>
            </w:r>
            <w:r w:rsidRPr="003E2BEF">
              <w:rPr>
                <w:b w:val="0"/>
                <w:bCs/>
                <w:color w:val="000000"/>
                <w:w w:val="15"/>
                <w:szCs w:val="20"/>
                <w:shd w:val="solid" w:color="000000" w:fill="000000"/>
                <w:fitText w:val="57" w:id="-1304706813"/>
                <w14:textFill>
                  <w14:solidFill>
                    <w14:srgbClr w14:val="000000">
                      <w14:alpha w14:val="100000"/>
                    </w14:srgbClr>
                  </w14:solidFill>
                </w14:textFill>
              </w:rPr>
              <w:t>|</w:t>
            </w:r>
            <w:r w:rsidRPr="003E2BEF">
              <w:rPr>
                <w:rFonts w:hint="eastAsia"/>
                <w:b w:val="0"/>
                <w:bCs/>
                <w:color w:val="000000"/>
                <w:spacing w:val="-8"/>
                <w:w w:val="15"/>
                <w:szCs w:val="20"/>
                <w:shd w:val="solid" w:color="000000" w:fill="000000"/>
                <w:fitText w:val="57" w:id="-1304706813"/>
                <w14:textFill>
                  <w14:solidFill>
                    <w14:srgbClr w14:val="000000">
                      <w14:alpha w14:val="100000"/>
                    </w14:srgbClr>
                  </w14:solidFill>
                </w14:textFill>
              </w:rPr>
              <w:t xml:space="preserve">　</w:t>
            </w:r>
            <w:r w:rsidR="002B70D2">
              <w:rPr>
                <w:bCs/>
                <w:szCs w:val="20"/>
                <w:vertAlign w:val="superscript"/>
              </w:rPr>
              <w:t>1</w:t>
            </w:r>
          </w:p>
        </w:tc>
        <w:tc>
          <w:tcPr>
            <w:tcW w:w="1257" w:type="dxa"/>
            <w:vAlign w:val="center"/>
          </w:tcPr>
          <w:p w14:paraId="1911B201" w14:textId="77777777" w:rsidR="00185040" w:rsidRPr="00FF512C" w:rsidRDefault="00185040" w:rsidP="0021041D">
            <w:pPr>
              <w:pStyle w:val="TableHeading"/>
              <w:keepNext w:val="0"/>
              <w:jc w:val="center"/>
              <w:rPr>
                <w:rStyle w:val="CommentReference"/>
                <w:b/>
                <w:bCs/>
              </w:rPr>
            </w:pPr>
            <w:r w:rsidRPr="00FF512C">
              <w:rPr>
                <w:b w:val="0"/>
                <w:bCs/>
                <w:szCs w:val="20"/>
              </w:rPr>
              <w:t>0%</w:t>
            </w:r>
          </w:p>
        </w:tc>
      </w:tr>
      <w:tr w:rsidR="00185040" w:rsidRPr="00FF512C" w14:paraId="7235CED1" w14:textId="77777777" w:rsidTr="003E2BEF">
        <w:tc>
          <w:tcPr>
            <w:tcW w:w="4265" w:type="dxa"/>
          </w:tcPr>
          <w:p w14:paraId="63AD48AA" w14:textId="77777777" w:rsidR="00185040" w:rsidRPr="00FF512C" w:rsidRDefault="00185040" w:rsidP="0021041D">
            <w:pPr>
              <w:pStyle w:val="TableHeading"/>
              <w:keepNext w:val="0"/>
              <w:rPr>
                <w:rStyle w:val="CommentReference"/>
                <w:b/>
                <w:bCs/>
              </w:rPr>
            </w:pPr>
            <w:r w:rsidRPr="00FF512C">
              <w:rPr>
                <w:b w:val="0"/>
                <w:bCs/>
                <w:szCs w:val="20"/>
              </w:rPr>
              <w:t>0% discount rate</w:t>
            </w:r>
          </w:p>
        </w:tc>
        <w:tc>
          <w:tcPr>
            <w:tcW w:w="1165" w:type="dxa"/>
            <w:shd w:val="solid" w:color="000000" w:fill="000000"/>
            <w:vAlign w:val="center"/>
          </w:tcPr>
          <w:p w14:paraId="09C9905B" w14:textId="41CBB45F" w:rsidR="00185040" w:rsidRPr="003E2BEF" w:rsidRDefault="003E2BEF" w:rsidP="0021041D">
            <w:pPr>
              <w:pStyle w:val="TableHeading"/>
              <w:keepNext w:val="0"/>
              <w:jc w:val="center"/>
              <w:rPr>
                <w:rStyle w:val="CommentReference"/>
                <w:b/>
                <w:bCs/>
              </w:rPr>
            </w:pPr>
            <w:r w:rsidRPr="003E2BEF">
              <w:rPr>
                <w:rFonts w:hint="eastAsia"/>
                <w:b w:val="0"/>
                <w:bCs/>
                <w:color w:val="000000"/>
                <w:w w:val="15"/>
                <w:szCs w:val="20"/>
                <w:fitText w:val="46" w:id="-1304706812"/>
                <w14:textFill>
                  <w14:solidFill>
                    <w14:srgbClr w14:val="000000">
                      <w14:alpha w14:val="100000"/>
                    </w14:srgbClr>
                  </w14:solidFill>
                </w14:textFill>
              </w:rPr>
              <w:t xml:space="preserve">　</w:t>
            </w:r>
            <w:r w:rsidRPr="003E2BEF">
              <w:rPr>
                <w:b w:val="0"/>
                <w:bCs/>
                <w:color w:val="000000"/>
                <w:w w:val="15"/>
                <w:szCs w:val="20"/>
                <w:fitText w:val="46" w:id="-1304706812"/>
                <w14:textFill>
                  <w14:solidFill>
                    <w14:srgbClr w14:val="000000">
                      <w14:alpha w14:val="100000"/>
                    </w14:srgbClr>
                  </w14:solidFill>
                </w14:textFill>
              </w:rPr>
              <w:t>|</w:t>
            </w:r>
            <w:r w:rsidRPr="003E2BEF">
              <w:rPr>
                <w:rFonts w:hint="eastAsia"/>
                <w:b w:val="0"/>
                <w:bCs/>
                <w:color w:val="000000"/>
                <w:spacing w:val="-19"/>
                <w:w w:val="15"/>
                <w:szCs w:val="20"/>
                <w:fitText w:val="46" w:id="-1304706812"/>
                <w14:textFill>
                  <w14:solidFill>
                    <w14:srgbClr w14:val="000000">
                      <w14:alpha w14:val="100000"/>
                    </w14:srgbClr>
                  </w14:solidFill>
                </w14:textFill>
              </w:rPr>
              <w:t xml:space="preserve">　</w:t>
            </w:r>
          </w:p>
        </w:tc>
        <w:tc>
          <w:tcPr>
            <w:tcW w:w="1165" w:type="dxa"/>
            <w:vAlign w:val="center"/>
          </w:tcPr>
          <w:p w14:paraId="14B3AA6F" w14:textId="77777777" w:rsidR="00185040" w:rsidRPr="00FF512C" w:rsidRDefault="00185040" w:rsidP="0021041D">
            <w:pPr>
              <w:pStyle w:val="TableHeading"/>
              <w:keepNext w:val="0"/>
              <w:jc w:val="center"/>
              <w:rPr>
                <w:rStyle w:val="CommentReference"/>
                <w:b/>
                <w:bCs/>
              </w:rPr>
            </w:pPr>
            <w:r w:rsidRPr="00FF512C">
              <w:rPr>
                <w:b w:val="0"/>
                <w:bCs/>
                <w:szCs w:val="20"/>
              </w:rPr>
              <w:t>0.3455</w:t>
            </w:r>
          </w:p>
        </w:tc>
        <w:tc>
          <w:tcPr>
            <w:tcW w:w="1165" w:type="dxa"/>
            <w:vAlign w:val="center"/>
          </w:tcPr>
          <w:p w14:paraId="4B9E20B7" w14:textId="08C24B91" w:rsidR="00185040" w:rsidRPr="002B70D2" w:rsidRDefault="003E2BEF" w:rsidP="0021041D">
            <w:pPr>
              <w:pStyle w:val="TableHeading"/>
              <w:keepNext w:val="0"/>
              <w:jc w:val="center"/>
              <w:rPr>
                <w:rStyle w:val="CommentReference"/>
                <w:b/>
                <w:bCs/>
                <w:highlight w:val="darkGray"/>
              </w:rPr>
            </w:pPr>
            <w:r w:rsidRPr="003E2BEF">
              <w:rPr>
                <w:rFonts w:hint="eastAsia"/>
                <w:b w:val="0"/>
                <w:bCs/>
                <w:color w:val="000000"/>
                <w:w w:val="15"/>
                <w:szCs w:val="20"/>
                <w:shd w:val="solid" w:color="000000" w:fill="000000"/>
                <w:fitText w:val="57" w:id="-1304706811"/>
                <w14:textFill>
                  <w14:solidFill>
                    <w14:srgbClr w14:val="000000">
                      <w14:alpha w14:val="100000"/>
                    </w14:srgbClr>
                  </w14:solidFill>
                </w14:textFill>
              </w:rPr>
              <w:t xml:space="preserve">　</w:t>
            </w:r>
            <w:r w:rsidRPr="003E2BEF">
              <w:rPr>
                <w:b w:val="0"/>
                <w:bCs/>
                <w:color w:val="000000"/>
                <w:w w:val="15"/>
                <w:szCs w:val="20"/>
                <w:shd w:val="solid" w:color="000000" w:fill="000000"/>
                <w:fitText w:val="57" w:id="-1304706811"/>
                <w14:textFill>
                  <w14:solidFill>
                    <w14:srgbClr w14:val="000000">
                      <w14:alpha w14:val="100000"/>
                    </w14:srgbClr>
                  </w14:solidFill>
                </w14:textFill>
              </w:rPr>
              <w:t>|</w:t>
            </w:r>
            <w:r w:rsidRPr="003E2BEF">
              <w:rPr>
                <w:rFonts w:hint="eastAsia"/>
                <w:b w:val="0"/>
                <w:bCs/>
                <w:color w:val="000000"/>
                <w:spacing w:val="-8"/>
                <w:w w:val="15"/>
                <w:szCs w:val="20"/>
                <w:shd w:val="solid" w:color="000000" w:fill="000000"/>
                <w:fitText w:val="57" w:id="-1304706811"/>
                <w14:textFill>
                  <w14:solidFill>
                    <w14:srgbClr w14:val="000000">
                      <w14:alpha w14:val="100000"/>
                    </w14:srgbClr>
                  </w14:solidFill>
                </w14:textFill>
              </w:rPr>
              <w:t xml:space="preserve">　</w:t>
            </w:r>
            <w:r w:rsidR="002B70D2">
              <w:rPr>
                <w:bCs/>
                <w:szCs w:val="20"/>
                <w:vertAlign w:val="superscript"/>
              </w:rPr>
              <w:t>1</w:t>
            </w:r>
          </w:p>
        </w:tc>
        <w:tc>
          <w:tcPr>
            <w:tcW w:w="1257" w:type="dxa"/>
            <w:vAlign w:val="center"/>
          </w:tcPr>
          <w:p w14:paraId="0C59F5C2" w14:textId="77777777" w:rsidR="00185040" w:rsidRPr="00FF512C" w:rsidRDefault="00185040" w:rsidP="0021041D">
            <w:pPr>
              <w:pStyle w:val="TableHeading"/>
              <w:keepNext w:val="0"/>
              <w:jc w:val="center"/>
              <w:rPr>
                <w:rStyle w:val="CommentReference"/>
                <w:b/>
                <w:bCs/>
              </w:rPr>
            </w:pPr>
            <w:r w:rsidRPr="00FF512C">
              <w:rPr>
                <w:b w:val="0"/>
                <w:bCs/>
                <w:szCs w:val="20"/>
              </w:rPr>
              <w:t>+3%</w:t>
            </w:r>
          </w:p>
        </w:tc>
      </w:tr>
      <w:tr w:rsidR="00185040" w:rsidRPr="00FF512C" w14:paraId="24DD550C" w14:textId="77777777" w:rsidTr="00624A83">
        <w:tc>
          <w:tcPr>
            <w:tcW w:w="9017" w:type="dxa"/>
            <w:gridSpan w:val="5"/>
          </w:tcPr>
          <w:p w14:paraId="154C22BC" w14:textId="77777777" w:rsidR="00185040" w:rsidRPr="00FF512C" w:rsidRDefault="00185040" w:rsidP="0021041D">
            <w:pPr>
              <w:pStyle w:val="TableHeading"/>
              <w:keepNext w:val="0"/>
              <w:rPr>
                <w:rStyle w:val="CommentReference"/>
                <w:b/>
                <w:bCs/>
              </w:rPr>
            </w:pPr>
            <w:r w:rsidRPr="00FF512C">
              <w:rPr>
                <w:bCs/>
                <w:szCs w:val="20"/>
              </w:rPr>
              <w:t>Time horizon (base case: 30 years)</w:t>
            </w:r>
          </w:p>
        </w:tc>
      </w:tr>
      <w:tr w:rsidR="00185040" w:rsidRPr="00FF512C" w14:paraId="51C0A4AC" w14:textId="77777777" w:rsidTr="003E2BEF">
        <w:tc>
          <w:tcPr>
            <w:tcW w:w="4265" w:type="dxa"/>
          </w:tcPr>
          <w:p w14:paraId="5A148387" w14:textId="77777777" w:rsidR="00185040" w:rsidRPr="00FF512C" w:rsidRDefault="00185040" w:rsidP="0021041D">
            <w:pPr>
              <w:pStyle w:val="TableHeading"/>
              <w:keepNext w:val="0"/>
              <w:rPr>
                <w:rStyle w:val="CommentReference"/>
                <w:b/>
                <w:bCs/>
              </w:rPr>
            </w:pPr>
            <w:r w:rsidRPr="00FF512C">
              <w:rPr>
                <w:b w:val="0"/>
                <w:bCs/>
                <w:szCs w:val="20"/>
              </w:rPr>
              <w:t>5 years</w:t>
            </w:r>
          </w:p>
        </w:tc>
        <w:tc>
          <w:tcPr>
            <w:tcW w:w="1165" w:type="dxa"/>
            <w:tcBorders>
              <w:bottom w:val="single" w:sz="4" w:space="0" w:color="auto"/>
            </w:tcBorders>
            <w:shd w:val="solid" w:color="000000" w:fill="000000"/>
            <w:vAlign w:val="center"/>
          </w:tcPr>
          <w:p w14:paraId="6006A789" w14:textId="4D03E5B0" w:rsidR="00185040" w:rsidRPr="003E2BEF" w:rsidRDefault="003E2BEF" w:rsidP="0021041D">
            <w:pPr>
              <w:pStyle w:val="TableHeading"/>
              <w:keepNext w:val="0"/>
              <w:jc w:val="center"/>
              <w:rPr>
                <w:rStyle w:val="CommentReference"/>
                <w:b/>
                <w:bCs/>
              </w:rPr>
            </w:pPr>
            <w:r w:rsidRPr="003E2BEF">
              <w:rPr>
                <w:rFonts w:hint="eastAsia"/>
                <w:b w:val="0"/>
                <w:bCs/>
                <w:color w:val="000000"/>
                <w:w w:val="15"/>
                <w:szCs w:val="20"/>
                <w:fitText w:val="46" w:id="-1304706810"/>
                <w14:textFill>
                  <w14:solidFill>
                    <w14:srgbClr w14:val="000000">
                      <w14:alpha w14:val="100000"/>
                    </w14:srgbClr>
                  </w14:solidFill>
                </w14:textFill>
              </w:rPr>
              <w:t xml:space="preserve">　</w:t>
            </w:r>
            <w:r w:rsidRPr="003E2BEF">
              <w:rPr>
                <w:b w:val="0"/>
                <w:bCs/>
                <w:color w:val="000000"/>
                <w:w w:val="15"/>
                <w:szCs w:val="20"/>
                <w:fitText w:val="46" w:id="-1304706810"/>
                <w14:textFill>
                  <w14:solidFill>
                    <w14:srgbClr w14:val="000000">
                      <w14:alpha w14:val="100000"/>
                    </w14:srgbClr>
                  </w14:solidFill>
                </w14:textFill>
              </w:rPr>
              <w:t>|</w:t>
            </w:r>
            <w:r w:rsidRPr="003E2BEF">
              <w:rPr>
                <w:rFonts w:hint="eastAsia"/>
                <w:b w:val="0"/>
                <w:bCs/>
                <w:color w:val="000000"/>
                <w:spacing w:val="-19"/>
                <w:w w:val="15"/>
                <w:szCs w:val="20"/>
                <w:fitText w:val="46" w:id="-1304706810"/>
                <w14:textFill>
                  <w14:solidFill>
                    <w14:srgbClr w14:val="000000">
                      <w14:alpha w14:val="100000"/>
                    </w14:srgbClr>
                  </w14:solidFill>
                </w14:textFill>
              </w:rPr>
              <w:t xml:space="preserve">　</w:t>
            </w:r>
          </w:p>
        </w:tc>
        <w:tc>
          <w:tcPr>
            <w:tcW w:w="1165" w:type="dxa"/>
            <w:vAlign w:val="center"/>
          </w:tcPr>
          <w:p w14:paraId="7A561645" w14:textId="77777777" w:rsidR="00185040" w:rsidRPr="00FF512C" w:rsidRDefault="00185040" w:rsidP="0021041D">
            <w:pPr>
              <w:pStyle w:val="TableHeading"/>
              <w:keepNext w:val="0"/>
              <w:jc w:val="center"/>
              <w:rPr>
                <w:rStyle w:val="CommentReference"/>
                <w:b/>
                <w:bCs/>
              </w:rPr>
            </w:pPr>
            <w:r w:rsidRPr="00FF512C">
              <w:rPr>
                <w:b w:val="0"/>
                <w:bCs/>
                <w:szCs w:val="20"/>
              </w:rPr>
              <w:t>0.0864</w:t>
            </w:r>
          </w:p>
        </w:tc>
        <w:tc>
          <w:tcPr>
            <w:tcW w:w="1165" w:type="dxa"/>
            <w:vAlign w:val="center"/>
          </w:tcPr>
          <w:p w14:paraId="53A15DA9" w14:textId="14F9CB1F" w:rsidR="00185040" w:rsidRPr="002B70D2" w:rsidRDefault="003E2BEF" w:rsidP="0021041D">
            <w:pPr>
              <w:pStyle w:val="TableHeading"/>
              <w:keepNext w:val="0"/>
              <w:jc w:val="center"/>
              <w:rPr>
                <w:rStyle w:val="CommentReference"/>
                <w:b/>
                <w:bCs/>
                <w:highlight w:val="darkGray"/>
              </w:rPr>
            </w:pPr>
            <w:r w:rsidRPr="003E2BEF">
              <w:rPr>
                <w:rFonts w:hint="eastAsia"/>
                <w:b w:val="0"/>
                <w:bCs/>
                <w:color w:val="000000"/>
                <w:w w:val="15"/>
                <w:szCs w:val="20"/>
                <w:shd w:val="solid" w:color="000000" w:fill="000000"/>
                <w:fitText w:val="57" w:id="-1304706809"/>
                <w14:textFill>
                  <w14:solidFill>
                    <w14:srgbClr w14:val="000000">
                      <w14:alpha w14:val="100000"/>
                    </w14:srgbClr>
                  </w14:solidFill>
                </w14:textFill>
              </w:rPr>
              <w:t xml:space="preserve">　</w:t>
            </w:r>
            <w:r w:rsidRPr="003E2BEF">
              <w:rPr>
                <w:b w:val="0"/>
                <w:bCs/>
                <w:color w:val="000000"/>
                <w:w w:val="15"/>
                <w:szCs w:val="20"/>
                <w:shd w:val="solid" w:color="000000" w:fill="000000"/>
                <w:fitText w:val="57" w:id="-1304706809"/>
                <w14:textFill>
                  <w14:solidFill>
                    <w14:srgbClr w14:val="000000">
                      <w14:alpha w14:val="100000"/>
                    </w14:srgbClr>
                  </w14:solidFill>
                </w14:textFill>
              </w:rPr>
              <w:t>|</w:t>
            </w:r>
            <w:r w:rsidRPr="003E2BEF">
              <w:rPr>
                <w:rFonts w:hint="eastAsia"/>
                <w:b w:val="0"/>
                <w:bCs/>
                <w:color w:val="000000"/>
                <w:spacing w:val="-8"/>
                <w:w w:val="15"/>
                <w:szCs w:val="20"/>
                <w:shd w:val="solid" w:color="000000" w:fill="000000"/>
                <w:fitText w:val="57" w:id="-1304706809"/>
                <w14:textFill>
                  <w14:solidFill>
                    <w14:srgbClr w14:val="000000">
                      <w14:alpha w14:val="100000"/>
                    </w14:srgbClr>
                  </w14:solidFill>
                </w14:textFill>
              </w:rPr>
              <w:t xml:space="preserve">　</w:t>
            </w:r>
            <w:r w:rsidR="002B70D2">
              <w:rPr>
                <w:bCs/>
                <w:szCs w:val="20"/>
                <w:vertAlign w:val="superscript"/>
              </w:rPr>
              <w:t>2</w:t>
            </w:r>
          </w:p>
        </w:tc>
        <w:tc>
          <w:tcPr>
            <w:tcW w:w="1257" w:type="dxa"/>
            <w:vAlign w:val="center"/>
          </w:tcPr>
          <w:p w14:paraId="7092FB53" w14:textId="77777777" w:rsidR="00185040" w:rsidRPr="00FF512C" w:rsidRDefault="00185040" w:rsidP="0021041D">
            <w:pPr>
              <w:pStyle w:val="TableHeading"/>
              <w:keepNext w:val="0"/>
              <w:jc w:val="center"/>
              <w:rPr>
                <w:rStyle w:val="CommentReference"/>
                <w:b/>
                <w:bCs/>
              </w:rPr>
            </w:pPr>
            <w:r w:rsidRPr="00FF512C">
              <w:rPr>
                <w:b w:val="0"/>
                <w:bCs/>
                <w:szCs w:val="20"/>
              </w:rPr>
              <w:t>+35%</w:t>
            </w:r>
          </w:p>
        </w:tc>
      </w:tr>
      <w:tr w:rsidR="00185040" w:rsidRPr="00FF512C" w14:paraId="1937C2CE" w14:textId="77777777" w:rsidTr="003E2BEF">
        <w:tc>
          <w:tcPr>
            <w:tcW w:w="4265" w:type="dxa"/>
          </w:tcPr>
          <w:p w14:paraId="667A4EB2" w14:textId="77777777" w:rsidR="00185040" w:rsidRPr="00FF512C" w:rsidRDefault="00185040" w:rsidP="0021041D">
            <w:pPr>
              <w:pStyle w:val="TableHeading"/>
              <w:keepNext w:val="0"/>
              <w:rPr>
                <w:rStyle w:val="CommentReference"/>
                <w:b/>
                <w:bCs/>
              </w:rPr>
            </w:pPr>
            <w:r w:rsidRPr="00FF512C">
              <w:rPr>
                <w:b w:val="0"/>
                <w:bCs/>
                <w:szCs w:val="20"/>
              </w:rPr>
              <w:t>10 years</w:t>
            </w:r>
          </w:p>
        </w:tc>
        <w:tc>
          <w:tcPr>
            <w:tcW w:w="1165" w:type="dxa"/>
            <w:tcBorders>
              <w:bottom w:val="single" w:sz="4" w:space="0" w:color="auto"/>
            </w:tcBorders>
            <w:shd w:val="solid" w:color="000000" w:fill="000000"/>
            <w:vAlign w:val="center"/>
          </w:tcPr>
          <w:p w14:paraId="7D29F84C" w14:textId="18836C59" w:rsidR="00185040" w:rsidRPr="003E2BEF" w:rsidRDefault="003E2BEF" w:rsidP="0021041D">
            <w:pPr>
              <w:pStyle w:val="TableHeading"/>
              <w:keepNext w:val="0"/>
              <w:jc w:val="center"/>
              <w:rPr>
                <w:rStyle w:val="CommentReference"/>
                <w:b/>
                <w:bCs/>
              </w:rPr>
            </w:pPr>
            <w:r w:rsidRPr="003E2BEF">
              <w:rPr>
                <w:rFonts w:hint="eastAsia"/>
                <w:b w:val="0"/>
                <w:bCs/>
                <w:color w:val="000000"/>
                <w:w w:val="15"/>
                <w:szCs w:val="20"/>
                <w:fitText w:val="46" w:id="-1304706808"/>
                <w14:textFill>
                  <w14:solidFill>
                    <w14:srgbClr w14:val="000000">
                      <w14:alpha w14:val="100000"/>
                    </w14:srgbClr>
                  </w14:solidFill>
                </w14:textFill>
              </w:rPr>
              <w:t xml:space="preserve">　</w:t>
            </w:r>
            <w:r w:rsidRPr="003E2BEF">
              <w:rPr>
                <w:b w:val="0"/>
                <w:bCs/>
                <w:color w:val="000000"/>
                <w:w w:val="15"/>
                <w:szCs w:val="20"/>
                <w:fitText w:val="46" w:id="-1304706808"/>
                <w14:textFill>
                  <w14:solidFill>
                    <w14:srgbClr w14:val="000000">
                      <w14:alpha w14:val="100000"/>
                    </w14:srgbClr>
                  </w14:solidFill>
                </w14:textFill>
              </w:rPr>
              <w:t>|</w:t>
            </w:r>
            <w:r w:rsidRPr="003E2BEF">
              <w:rPr>
                <w:rFonts w:hint="eastAsia"/>
                <w:b w:val="0"/>
                <w:bCs/>
                <w:color w:val="000000"/>
                <w:spacing w:val="-19"/>
                <w:w w:val="15"/>
                <w:szCs w:val="20"/>
                <w:fitText w:val="46" w:id="-1304706808"/>
                <w14:textFill>
                  <w14:solidFill>
                    <w14:srgbClr w14:val="000000">
                      <w14:alpha w14:val="100000"/>
                    </w14:srgbClr>
                  </w14:solidFill>
                </w14:textFill>
              </w:rPr>
              <w:t xml:space="preserve">　</w:t>
            </w:r>
          </w:p>
        </w:tc>
        <w:tc>
          <w:tcPr>
            <w:tcW w:w="1165" w:type="dxa"/>
            <w:vAlign w:val="center"/>
          </w:tcPr>
          <w:p w14:paraId="4E27828E" w14:textId="77777777" w:rsidR="00185040" w:rsidRPr="00FF512C" w:rsidRDefault="00185040" w:rsidP="0021041D">
            <w:pPr>
              <w:pStyle w:val="TableHeading"/>
              <w:keepNext w:val="0"/>
              <w:jc w:val="center"/>
              <w:rPr>
                <w:rStyle w:val="CommentReference"/>
                <w:b/>
                <w:bCs/>
              </w:rPr>
            </w:pPr>
            <w:r w:rsidRPr="00FF512C">
              <w:rPr>
                <w:b w:val="0"/>
                <w:bCs/>
                <w:szCs w:val="20"/>
              </w:rPr>
              <w:t>0.1602</w:t>
            </w:r>
          </w:p>
        </w:tc>
        <w:tc>
          <w:tcPr>
            <w:tcW w:w="1165" w:type="dxa"/>
            <w:vAlign w:val="center"/>
          </w:tcPr>
          <w:p w14:paraId="5CC860AB" w14:textId="7C66ED0D" w:rsidR="00185040" w:rsidRPr="002B70D2" w:rsidRDefault="003E2BEF" w:rsidP="0021041D">
            <w:pPr>
              <w:pStyle w:val="TableHeading"/>
              <w:keepNext w:val="0"/>
              <w:jc w:val="center"/>
              <w:rPr>
                <w:rStyle w:val="CommentReference"/>
                <w:b/>
                <w:bCs/>
                <w:highlight w:val="darkGray"/>
              </w:rPr>
            </w:pPr>
            <w:r w:rsidRPr="003E2BEF">
              <w:rPr>
                <w:rFonts w:hint="eastAsia"/>
                <w:b w:val="0"/>
                <w:bCs/>
                <w:color w:val="000000"/>
                <w:w w:val="15"/>
                <w:szCs w:val="20"/>
                <w:shd w:val="solid" w:color="000000" w:fill="000000"/>
                <w:fitText w:val="57" w:id="-1304706807"/>
                <w14:textFill>
                  <w14:solidFill>
                    <w14:srgbClr w14:val="000000">
                      <w14:alpha w14:val="100000"/>
                    </w14:srgbClr>
                  </w14:solidFill>
                </w14:textFill>
              </w:rPr>
              <w:t xml:space="preserve">　</w:t>
            </w:r>
            <w:r w:rsidRPr="003E2BEF">
              <w:rPr>
                <w:b w:val="0"/>
                <w:bCs/>
                <w:color w:val="000000"/>
                <w:w w:val="15"/>
                <w:szCs w:val="20"/>
                <w:shd w:val="solid" w:color="000000" w:fill="000000"/>
                <w:fitText w:val="57" w:id="-1304706807"/>
                <w14:textFill>
                  <w14:solidFill>
                    <w14:srgbClr w14:val="000000">
                      <w14:alpha w14:val="100000"/>
                    </w14:srgbClr>
                  </w14:solidFill>
                </w14:textFill>
              </w:rPr>
              <w:t>|</w:t>
            </w:r>
            <w:r w:rsidRPr="003E2BEF">
              <w:rPr>
                <w:rFonts w:hint="eastAsia"/>
                <w:b w:val="0"/>
                <w:bCs/>
                <w:color w:val="000000"/>
                <w:spacing w:val="-8"/>
                <w:w w:val="15"/>
                <w:szCs w:val="20"/>
                <w:shd w:val="solid" w:color="000000" w:fill="000000"/>
                <w:fitText w:val="57" w:id="-1304706807"/>
                <w14:textFill>
                  <w14:solidFill>
                    <w14:srgbClr w14:val="000000">
                      <w14:alpha w14:val="100000"/>
                    </w14:srgbClr>
                  </w14:solidFill>
                </w14:textFill>
              </w:rPr>
              <w:t xml:space="preserve">　</w:t>
            </w:r>
            <w:r w:rsidR="002B70D2">
              <w:rPr>
                <w:bCs/>
                <w:szCs w:val="20"/>
                <w:vertAlign w:val="superscript"/>
              </w:rPr>
              <w:t>1</w:t>
            </w:r>
          </w:p>
        </w:tc>
        <w:tc>
          <w:tcPr>
            <w:tcW w:w="1257" w:type="dxa"/>
            <w:vAlign w:val="center"/>
          </w:tcPr>
          <w:p w14:paraId="0E316D38" w14:textId="77777777" w:rsidR="00185040" w:rsidRPr="00FF512C" w:rsidRDefault="00185040" w:rsidP="0021041D">
            <w:pPr>
              <w:pStyle w:val="TableHeading"/>
              <w:keepNext w:val="0"/>
              <w:jc w:val="center"/>
              <w:rPr>
                <w:rStyle w:val="CommentReference"/>
                <w:b/>
                <w:bCs/>
              </w:rPr>
            </w:pPr>
            <w:r w:rsidRPr="00FF512C">
              <w:rPr>
                <w:b w:val="0"/>
                <w:bCs/>
                <w:szCs w:val="20"/>
              </w:rPr>
              <w:t>-8%</w:t>
            </w:r>
          </w:p>
        </w:tc>
      </w:tr>
      <w:tr w:rsidR="00185040" w:rsidRPr="00FF512C" w14:paraId="7A7C28D0" w14:textId="77777777" w:rsidTr="003E2BEF">
        <w:tc>
          <w:tcPr>
            <w:tcW w:w="4265" w:type="dxa"/>
          </w:tcPr>
          <w:p w14:paraId="0B391AED" w14:textId="77777777" w:rsidR="00185040" w:rsidRPr="00FF512C" w:rsidRDefault="00185040" w:rsidP="0021041D">
            <w:pPr>
              <w:pStyle w:val="TableHeading"/>
              <w:keepNext w:val="0"/>
              <w:rPr>
                <w:rStyle w:val="CommentReference"/>
                <w:b/>
                <w:bCs/>
              </w:rPr>
            </w:pPr>
            <w:r w:rsidRPr="00FF512C">
              <w:rPr>
                <w:b w:val="0"/>
                <w:bCs/>
                <w:szCs w:val="20"/>
              </w:rPr>
              <w:t>20 years</w:t>
            </w:r>
          </w:p>
        </w:tc>
        <w:tc>
          <w:tcPr>
            <w:tcW w:w="1165" w:type="dxa"/>
            <w:shd w:val="solid" w:color="000000" w:fill="000000"/>
            <w:vAlign w:val="center"/>
          </w:tcPr>
          <w:p w14:paraId="28CAB184" w14:textId="3FA298A2" w:rsidR="00185040" w:rsidRPr="003E2BEF" w:rsidRDefault="003E2BEF" w:rsidP="0021041D">
            <w:pPr>
              <w:pStyle w:val="TableHeading"/>
              <w:keepNext w:val="0"/>
              <w:jc w:val="center"/>
              <w:rPr>
                <w:rStyle w:val="CommentReference"/>
                <w:b/>
                <w:bCs/>
              </w:rPr>
            </w:pPr>
            <w:r w:rsidRPr="003E2BEF">
              <w:rPr>
                <w:rFonts w:hint="eastAsia"/>
                <w:b w:val="0"/>
                <w:bCs/>
                <w:color w:val="000000"/>
                <w:w w:val="15"/>
                <w:szCs w:val="20"/>
                <w:fitText w:val="46" w:id="-1304706806"/>
                <w14:textFill>
                  <w14:solidFill>
                    <w14:srgbClr w14:val="000000">
                      <w14:alpha w14:val="100000"/>
                    </w14:srgbClr>
                  </w14:solidFill>
                </w14:textFill>
              </w:rPr>
              <w:t xml:space="preserve">　</w:t>
            </w:r>
            <w:r w:rsidRPr="003E2BEF">
              <w:rPr>
                <w:b w:val="0"/>
                <w:bCs/>
                <w:color w:val="000000"/>
                <w:w w:val="15"/>
                <w:szCs w:val="20"/>
                <w:fitText w:val="46" w:id="-1304706806"/>
                <w14:textFill>
                  <w14:solidFill>
                    <w14:srgbClr w14:val="000000">
                      <w14:alpha w14:val="100000"/>
                    </w14:srgbClr>
                  </w14:solidFill>
                </w14:textFill>
              </w:rPr>
              <w:t>|</w:t>
            </w:r>
            <w:r w:rsidRPr="003E2BEF">
              <w:rPr>
                <w:rFonts w:hint="eastAsia"/>
                <w:b w:val="0"/>
                <w:bCs/>
                <w:color w:val="000000"/>
                <w:spacing w:val="-19"/>
                <w:w w:val="15"/>
                <w:szCs w:val="20"/>
                <w:fitText w:val="46" w:id="-1304706806"/>
                <w14:textFill>
                  <w14:solidFill>
                    <w14:srgbClr w14:val="000000">
                      <w14:alpha w14:val="100000"/>
                    </w14:srgbClr>
                  </w14:solidFill>
                </w14:textFill>
              </w:rPr>
              <w:t xml:space="preserve">　</w:t>
            </w:r>
          </w:p>
        </w:tc>
        <w:tc>
          <w:tcPr>
            <w:tcW w:w="1165" w:type="dxa"/>
            <w:vAlign w:val="center"/>
          </w:tcPr>
          <w:p w14:paraId="0308F05F" w14:textId="77777777" w:rsidR="00185040" w:rsidRPr="00FF512C" w:rsidRDefault="00185040" w:rsidP="0021041D">
            <w:pPr>
              <w:pStyle w:val="TableHeading"/>
              <w:keepNext w:val="0"/>
              <w:jc w:val="center"/>
              <w:rPr>
                <w:rStyle w:val="CommentReference"/>
                <w:b/>
                <w:bCs/>
              </w:rPr>
            </w:pPr>
            <w:r w:rsidRPr="00FF512C">
              <w:rPr>
                <w:b w:val="0"/>
                <w:bCs/>
                <w:szCs w:val="20"/>
              </w:rPr>
              <w:t>0.2168</w:t>
            </w:r>
          </w:p>
        </w:tc>
        <w:tc>
          <w:tcPr>
            <w:tcW w:w="1165" w:type="dxa"/>
            <w:vAlign w:val="center"/>
          </w:tcPr>
          <w:p w14:paraId="08FA10B5" w14:textId="034DAEA0" w:rsidR="00185040" w:rsidRPr="002B70D2" w:rsidRDefault="003E2BEF" w:rsidP="0021041D">
            <w:pPr>
              <w:pStyle w:val="TableHeading"/>
              <w:keepNext w:val="0"/>
              <w:jc w:val="center"/>
              <w:rPr>
                <w:rStyle w:val="CommentReference"/>
                <w:b/>
                <w:bCs/>
                <w:highlight w:val="darkGray"/>
              </w:rPr>
            </w:pPr>
            <w:r w:rsidRPr="003E2BEF">
              <w:rPr>
                <w:rFonts w:hint="eastAsia"/>
                <w:b w:val="0"/>
                <w:bCs/>
                <w:color w:val="000000"/>
                <w:w w:val="15"/>
                <w:szCs w:val="20"/>
                <w:shd w:val="solid" w:color="000000" w:fill="000000"/>
                <w:fitText w:val="57" w:id="-1304706805"/>
                <w14:textFill>
                  <w14:solidFill>
                    <w14:srgbClr w14:val="000000">
                      <w14:alpha w14:val="100000"/>
                    </w14:srgbClr>
                  </w14:solidFill>
                </w14:textFill>
              </w:rPr>
              <w:t xml:space="preserve">　</w:t>
            </w:r>
            <w:r w:rsidRPr="003E2BEF">
              <w:rPr>
                <w:b w:val="0"/>
                <w:bCs/>
                <w:color w:val="000000"/>
                <w:w w:val="15"/>
                <w:szCs w:val="20"/>
                <w:shd w:val="solid" w:color="000000" w:fill="000000"/>
                <w:fitText w:val="57" w:id="-1304706805"/>
                <w14:textFill>
                  <w14:solidFill>
                    <w14:srgbClr w14:val="000000">
                      <w14:alpha w14:val="100000"/>
                    </w14:srgbClr>
                  </w14:solidFill>
                </w14:textFill>
              </w:rPr>
              <w:t>|</w:t>
            </w:r>
            <w:r w:rsidRPr="003E2BEF">
              <w:rPr>
                <w:rFonts w:hint="eastAsia"/>
                <w:b w:val="0"/>
                <w:bCs/>
                <w:color w:val="000000"/>
                <w:spacing w:val="-8"/>
                <w:w w:val="15"/>
                <w:szCs w:val="20"/>
                <w:shd w:val="solid" w:color="000000" w:fill="000000"/>
                <w:fitText w:val="57" w:id="-1304706805"/>
                <w14:textFill>
                  <w14:solidFill>
                    <w14:srgbClr w14:val="000000">
                      <w14:alpha w14:val="100000"/>
                    </w14:srgbClr>
                  </w14:solidFill>
                </w14:textFill>
              </w:rPr>
              <w:t xml:space="preserve">　</w:t>
            </w:r>
            <w:r w:rsidR="002B70D2">
              <w:rPr>
                <w:bCs/>
                <w:szCs w:val="20"/>
                <w:vertAlign w:val="superscript"/>
              </w:rPr>
              <w:t>1</w:t>
            </w:r>
          </w:p>
        </w:tc>
        <w:tc>
          <w:tcPr>
            <w:tcW w:w="1257" w:type="dxa"/>
            <w:vAlign w:val="center"/>
          </w:tcPr>
          <w:p w14:paraId="7C5F98F7" w14:textId="77777777" w:rsidR="00185040" w:rsidRPr="00FF512C" w:rsidRDefault="00185040" w:rsidP="0021041D">
            <w:pPr>
              <w:pStyle w:val="TableHeading"/>
              <w:keepNext w:val="0"/>
              <w:jc w:val="center"/>
              <w:rPr>
                <w:rStyle w:val="CommentReference"/>
                <w:b/>
                <w:bCs/>
              </w:rPr>
            </w:pPr>
            <w:r w:rsidRPr="00FF512C">
              <w:rPr>
                <w:b w:val="0"/>
                <w:bCs/>
                <w:szCs w:val="20"/>
              </w:rPr>
              <w:t>-4%</w:t>
            </w:r>
          </w:p>
        </w:tc>
      </w:tr>
      <w:tr w:rsidR="00185040" w:rsidRPr="00FF512C" w14:paraId="36087309" w14:textId="77777777" w:rsidTr="00624A83">
        <w:tc>
          <w:tcPr>
            <w:tcW w:w="9017" w:type="dxa"/>
            <w:gridSpan w:val="5"/>
          </w:tcPr>
          <w:p w14:paraId="0836B69E" w14:textId="77777777" w:rsidR="00185040" w:rsidRPr="00FF512C" w:rsidRDefault="00185040" w:rsidP="0021041D">
            <w:pPr>
              <w:pStyle w:val="TableHeading"/>
              <w:keepNext w:val="0"/>
              <w:rPr>
                <w:rStyle w:val="CommentReference"/>
                <w:b/>
                <w:bCs/>
              </w:rPr>
            </w:pPr>
            <w:r w:rsidRPr="00FF512C">
              <w:rPr>
                <w:bCs/>
                <w:szCs w:val="20"/>
              </w:rPr>
              <w:t>Cohort initialisation (base case: patiromer non-responders assumed to discontinue therapy after one month, assumed all patients on maximal RAASi at baseline; change in RAASi use based on OPAL-HK Part B)</w:t>
            </w:r>
          </w:p>
        </w:tc>
      </w:tr>
      <w:tr w:rsidR="00185040" w:rsidRPr="00FF512C" w14:paraId="540D9C37" w14:textId="77777777" w:rsidTr="003E2BEF">
        <w:tc>
          <w:tcPr>
            <w:tcW w:w="4265" w:type="dxa"/>
          </w:tcPr>
          <w:p w14:paraId="7D31FD7A" w14:textId="77777777" w:rsidR="00185040" w:rsidRPr="00FF512C" w:rsidRDefault="00185040" w:rsidP="0021041D">
            <w:pPr>
              <w:pStyle w:val="TableHeading"/>
              <w:keepNext w:val="0"/>
              <w:rPr>
                <w:b w:val="0"/>
                <w:bCs/>
                <w:szCs w:val="20"/>
              </w:rPr>
            </w:pPr>
            <w:r w:rsidRPr="00FF512C">
              <w:rPr>
                <w:b w:val="0"/>
                <w:bCs/>
                <w:szCs w:val="20"/>
              </w:rPr>
              <w:t>Remove first month discontinuation rule</w:t>
            </w:r>
          </w:p>
        </w:tc>
        <w:tc>
          <w:tcPr>
            <w:tcW w:w="1165" w:type="dxa"/>
            <w:tcBorders>
              <w:bottom w:val="single" w:sz="4" w:space="0" w:color="auto"/>
            </w:tcBorders>
            <w:shd w:val="solid" w:color="000000" w:fill="000000"/>
            <w:vAlign w:val="center"/>
          </w:tcPr>
          <w:p w14:paraId="01D63007" w14:textId="6DE6148A" w:rsidR="00185040" w:rsidRPr="003E2BEF" w:rsidRDefault="003E2BEF" w:rsidP="0021041D">
            <w:pPr>
              <w:pStyle w:val="TableHeading"/>
              <w:keepNext w:val="0"/>
              <w:jc w:val="center"/>
              <w:rPr>
                <w:b w:val="0"/>
                <w:bCs/>
                <w:szCs w:val="20"/>
              </w:rPr>
            </w:pPr>
            <w:r w:rsidRPr="003E2BEF">
              <w:rPr>
                <w:rFonts w:hint="eastAsia"/>
                <w:b w:val="0"/>
                <w:bCs/>
                <w:color w:val="000000"/>
                <w:w w:val="15"/>
                <w:szCs w:val="20"/>
                <w:fitText w:val="46" w:id="-1304706804"/>
                <w14:textFill>
                  <w14:solidFill>
                    <w14:srgbClr w14:val="000000">
                      <w14:alpha w14:val="100000"/>
                    </w14:srgbClr>
                  </w14:solidFill>
                </w14:textFill>
              </w:rPr>
              <w:t xml:space="preserve">　</w:t>
            </w:r>
            <w:r w:rsidRPr="003E2BEF">
              <w:rPr>
                <w:b w:val="0"/>
                <w:bCs/>
                <w:color w:val="000000"/>
                <w:w w:val="15"/>
                <w:szCs w:val="20"/>
                <w:fitText w:val="46" w:id="-1304706804"/>
                <w14:textFill>
                  <w14:solidFill>
                    <w14:srgbClr w14:val="000000">
                      <w14:alpha w14:val="100000"/>
                    </w14:srgbClr>
                  </w14:solidFill>
                </w14:textFill>
              </w:rPr>
              <w:t>|</w:t>
            </w:r>
            <w:r w:rsidRPr="003E2BEF">
              <w:rPr>
                <w:rFonts w:hint="eastAsia"/>
                <w:b w:val="0"/>
                <w:bCs/>
                <w:color w:val="000000"/>
                <w:spacing w:val="-19"/>
                <w:w w:val="15"/>
                <w:szCs w:val="20"/>
                <w:fitText w:val="46" w:id="-1304706804"/>
                <w14:textFill>
                  <w14:solidFill>
                    <w14:srgbClr w14:val="000000">
                      <w14:alpha w14:val="100000"/>
                    </w14:srgbClr>
                  </w14:solidFill>
                </w14:textFill>
              </w:rPr>
              <w:t xml:space="preserve">　</w:t>
            </w:r>
          </w:p>
        </w:tc>
        <w:tc>
          <w:tcPr>
            <w:tcW w:w="1165" w:type="dxa"/>
            <w:vAlign w:val="center"/>
          </w:tcPr>
          <w:p w14:paraId="10FD3604" w14:textId="77777777" w:rsidR="00185040" w:rsidRPr="00FF512C" w:rsidRDefault="00185040" w:rsidP="0021041D">
            <w:pPr>
              <w:pStyle w:val="TableHeading"/>
              <w:keepNext w:val="0"/>
              <w:jc w:val="center"/>
              <w:rPr>
                <w:b w:val="0"/>
                <w:bCs/>
                <w:szCs w:val="20"/>
              </w:rPr>
            </w:pPr>
            <w:r w:rsidRPr="00FF512C">
              <w:rPr>
                <w:b w:val="0"/>
                <w:bCs/>
                <w:szCs w:val="20"/>
              </w:rPr>
              <w:t>0.3681</w:t>
            </w:r>
          </w:p>
        </w:tc>
        <w:tc>
          <w:tcPr>
            <w:tcW w:w="1165" w:type="dxa"/>
            <w:vAlign w:val="center"/>
          </w:tcPr>
          <w:p w14:paraId="5D0DF725" w14:textId="38781AF1" w:rsidR="00185040" w:rsidRPr="002B70D2" w:rsidRDefault="003E2BEF" w:rsidP="0021041D">
            <w:pPr>
              <w:pStyle w:val="TableHeading"/>
              <w:keepNext w:val="0"/>
              <w:jc w:val="center"/>
              <w:rPr>
                <w:b w:val="0"/>
                <w:bCs/>
                <w:szCs w:val="20"/>
                <w:highlight w:val="darkGray"/>
              </w:rPr>
            </w:pPr>
            <w:r w:rsidRPr="003E2BEF">
              <w:rPr>
                <w:rFonts w:hint="eastAsia"/>
                <w:b w:val="0"/>
                <w:bCs/>
                <w:color w:val="000000"/>
                <w:w w:val="15"/>
                <w:szCs w:val="20"/>
                <w:shd w:val="solid" w:color="000000" w:fill="000000"/>
                <w:fitText w:val="57" w:id="-1304706803"/>
                <w14:textFill>
                  <w14:solidFill>
                    <w14:srgbClr w14:val="000000">
                      <w14:alpha w14:val="100000"/>
                    </w14:srgbClr>
                  </w14:solidFill>
                </w14:textFill>
              </w:rPr>
              <w:t xml:space="preserve">　</w:t>
            </w:r>
            <w:r w:rsidRPr="003E2BEF">
              <w:rPr>
                <w:b w:val="0"/>
                <w:bCs/>
                <w:color w:val="000000"/>
                <w:w w:val="15"/>
                <w:szCs w:val="20"/>
                <w:shd w:val="solid" w:color="000000" w:fill="000000"/>
                <w:fitText w:val="57" w:id="-1304706803"/>
                <w14:textFill>
                  <w14:solidFill>
                    <w14:srgbClr w14:val="000000">
                      <w14:alpha w14:val="100000"/>
                    </w14:srgbClr>
                  </w14:solidFill>
                </w14:textFill>
              </w:rPr>
              <w:t>|</w:t>
            </w:r>
            <w:r w:rsidRPr="003E2BEF">
              <w:rPr>
                <w:rFonts w:hint="eastAsia"/>
                <w:b w:val="0"/>
                <w:bCs/>
                <w:color w:val="000000"/>
                <w:spacing w:val="-8"/>
                <w:w w:val="15"/>
                <w:szCs w:val="20"/>
                <w:shd w:val="solid" w:color="000000" w:fill="000000"/>
                <w:fitText w:val="57" w:id="-1304706803"/>
                <w14:textFill>
                  <w14:solidFill>
                    <w14:srgbClr w14:val="000000">
                      <w14:alpha w14:val="100000"/>
                    </w14:srgbClr>
                  </w14:solidFill>
                </w14:textFill>
              </w:rPr>
              <w:t xml:space="preserve">　</w:t>
            </w:r>
            <w:r w:rsidR="002B70D2">
              <w:rPr>
                <w:bCs/>
                <w:szCs w:val="20"/>
                <w:vertAlign w:val="superscript"/>
              </w:rPr>
              <w:t>1</w:t>
            </w:r>
          </w:p>
        </w:tc>
        <w:tc>
          <w:tcPr>
            <w:tcW w:w="1257" w:type="dxa"/>
            <w:vAlign w:val="center"/>
          </w:tcPr>
          <w:p w14:paraId="7BCF200D" w14:textId="77777777" w:rsidR="00185040" w:rsidRPr="00FF512C" w:rsidRDefault="00185040" w:rsidP="0021041D">
            <w:pPr>
              <w:pStyle w:val="TableHeading"/>
              <w:keepNext w:val="0"/>
              <w:jc w:val="center"/>
              <w:rPr>
                <w:b w:val="0"/>
                <w:bCs/>
                <w:szCs w:val="20"/>
              </w:rPr>
            </w:pPr>
            <w:r w:rsidRPr="00FF512C">
              <w:rPr>
                <w:b w:val="0"/>
                <w:bCs/>
                <w:szCs w:val="20"/>
              </w:rPr>
              <w:t>-2%</w:t>
            </w:r>
          </w:p>
        </w:tc>
      </w:tr>
      <w:tr w:rsidR="00185040" w:rsidRPr="00FF512C" w14:paraId="001B4787" w14:textId="77777777" w:rsidTr="003E2BEF">
        <w:tc>
          <w:tcPr>
            <w:tcW w:w="4265" w:type="dxa"/>
          </w:tcPr>
          <w:p w14:paraId="292ECFCF" w14:textId="058024E3" w:rsidR="00185040" w:rsidRPr="00FF512C" w:rsidRDefault="00661AFB" w:rsidP="0021041D">
            <w:pPr>
              <w:pStyle w:val="TableHeading"/>
              <w:keepNext w:val="0"/>
              <w:rPr>
                <w:rStyle w:val="CommentReference"/>
                <w:b/>
              </w:rPr>
            </w:pPr>
            <w:r w:rsidRPr="00FF512C">
              <w:rPr>
                <w:szCs w:val="20"/>
              </w:rPr>
              <w:t xml:space="preserve">[A] </w:t>
            </w:r>
            <w:r w:rsidR="00185040" w:rsidRPr="00FF512C">
              <w:rPr>
                <w:b w:val="0"/>
                <w:bCs/>
                <w:szCs w:val="20"/>
              </w:rPr>
              <w:t>Baseline RAASi use based on OPAL-HK Part B (40% maximal; 60% sub-maximal)</w:t>
            </w:r>
            <w:r w:rsidRPr="00FF512C">
              <w:rPr>
                <w:b w:val="0"/>
                <w:bCs/>
                <w:szCs w:val="20"/>
              </w:rPr>
              <w:t xml:space="preserve"> </w:t>
            </w:r>
          </w:p>
        </w:tc>
        <w:tc>
          <w:tcPr>
            <w:tcW w:w="1165" w:type="dxa"/>
            <w:tcBorders>
              <w:bottom w:val="single" w:sz="4" w:space="0" w:color="auto"/>
            </w:tcBorders>
            <w:shd w:val="solid" w:color="000000" w:fill="000000"/>
            <w:vAlign w:val="center"/>
          </w:tcPr>
          <w:p w14:paraId="03E70C46" w14:textId="06831C32" w:rsidR="00185040" w:rsidRPr="003E2BEF" w:rsidRDefault="003E2BEF" w:rsidP="0021041D">
            <w:pPr>
              <w:pStyle w:val="TableHeading"/>
              <w:keepNext w:val="0"/>
              <w:jc w:val="center"/>
              <w:rPr>
                <w:rStyle w:val="CommentReference"/>
                <w:b/>
                <w:bCs/>
              </w:rPr>
            </w:pPr>
            <w:r w:rsidRPr="003E2BEF">
              <w:rPr>
                <w:rFonts w:hint="eastAsia"/>
                <w:b w:val="0"/>
                <w:bCs/>
                <w:color w:val="000000"/>
                <w:w w:val="15"/>
                <w:szCs w:val="20"/>
                <w:fitText w:val="46" w:id="-1304706802"/>
                <w14:textFill>
                  <w14:solidFill>
                    <w14:srgbClr w14:val="000000">
                      <w14:alpha w14:val="100000"/>
                    </w14:srgbClr>
                  </w14:solidFill>
                </w14:textFill>
              </w:rPr>
              <w:t xml:space="preserve">　</w:t>
            </w:r>
            <w:r w:rsidRPr="003E2BEF">
              <w:rPr>
                <w:b w:val="0"/>
                <w:bCs/>
                <w:color w:val="000000"/>
                <w:w w:val="15"/>
                <w:szCs w:val="20"/>
                <w:fitText w:val="46" w:id="-1304706802"/>
                <w14:textFill>
                  <w14:solidFill>
                    <w14:srgbClr w14:val="000000">
                      <w14:alpha w14:val="100000"/>
                    </w14:srgbClr>
                  </w14:solidFill>
                </w14:textFill>
              </w:rPr>
              <w:t>|</w:t>
            </w:r>
            <w:r w:rsidRPr="003E2BEF">
              <w:rPr>
                <w:rFonts w:hint="eastAsia"/>
                <w:b w:val="0"/>
                <w:bCs/>
                <w:color w:val="000000"/>
                <w:spacing w:val="-19"/>
                <w:w w:val="15"/>
                <w:szCs w:val="20"/>
                <w:fitText w:val="46" w:id="-1304706802"/>
                <w14:textFill>
                  <w14:solidFill>
                    <w14:srgbClr w14:val="000000">
                      <w14:alpha w14:val="100000"/>
                    </w14:srgbClr>
                  </w14:solidFill>
                </w14:textFill>
              </w:rPr>
              <w:t xml:space="preserve">　</w:t>
            </w:r>
          </w:p>
        </w:tc>
        <w:tc>
          <w:tcPr>
            <w:tcW w:w="1165" w:type="dxa"/>
            <w:vAlign w:val="center"/>
          </w:tcPr>
          <w:p w14:paraId="51CE8543" w14:textId="77777777" w:rsidR="00185040" w:rsidRPr="00FF512C" w:rsidRDefault="00185040" w:rsidP="0021041D">
            <w:pPr>
              <w:pStyle w:val="TableHeading"/>
              <w:keepNext w:val="0"/>
              <w:jc w:val="center"/>
              <w:rPr>
                <w:rStyle w:val="CommentReference"/>
                <w:b/>
                <w:bCs/>
              </w:rPr>
            </w:pPr>
            <w:r w:rsidRPr="00FF512C">
              <w:rPr>
                <w:b w:val="0"/>
                <w:bCs/>
                <w:szCs w:val="20"/>
              </w:rPr>
              <w:t>0.1713</w:t>
            </w:r>
          </w:p>
        </w:tc>
        <w:tc>
          <w:tcPr>
            <w:tcW w:w="1165" w:type="dxa"/>
            <w:vAlign w:val="center"/>
          </w:tcPr>
          <w:p w14:paraId="7ADB3F24" w14:textId="49480021" w:rsidR="00185040" w:rsidRPr="002B70D2" w:rsidRDefault="003E2BEF" w:rsidP="0021041D">
            <w:pPr>
              <w:pStyle w:val="TableHeading"/>
              <w:keepNext w:val="0"/>
              <w:jc w:val="center"/>
              <w:rPr>
                <w:rStyle w:val="CommentReference"/>
                <w:b/>
                <w:bCs/>
                <w:highlight w:val="darkGray"/>
              </w:rPr>
            </w:pPr>
            <w:r w:rsidRPr="003E2BEF">
              <w:rPr>
                <w:rFonts w:hint="eastAsia"/>
                <w:b w:val="0"/>
                <w:bCs/>
                <w:color w:val="000000"/>
                <w:w w:val="15"/>
                <w:szCs w:val="20"/>
                <w:shd w:val="solid" w:color="000000" w:fill="000000"/>
                <w:fitText w:val="57" w:id="-1304706801"/>
                <w14:textFill>
                  <w14:solidFill>
                    <w14:srgbClr w14:val="000000">
                      <w14:alpha w14:val="100000"/>
                    </w14:srgbClr>
                  </w14:solidFill>
                </w14:textFill>
              </w:rPr>
              <w:t xml:space="preserve">　</w:t>
            </w:r>
            <w:r w:rsidRPr="003E2BEF">
              <w:rPr>
                <w:b w:val="0"/>
                <w:bCs/>
                <w:color w:val="000000"/>
                <w:w w:val="15"/>
                <w:szCs w:val="20"/>
                <w:shd w:val="solid" w:color="000000" w:fill="000000"/>
                <w:fitText w:val="57" w:id="-1304706801"/>
                <w14:textFill>
                  <w14:solidFill>
                    <w14:srgbClr w14:val="000000">
                      <w14:alpha w14:val="100000"/>
                    </w14:srgbClr>
                  </w14:solidFill>
                </w14:textFill>
              </w:rPr>
              <w:t>|</w:t>
            </w:r>
            <w:r w:rsidRPr="003E2BEF">
              <w:rPr>
                <w:rFonts w:hint="eastAsia"/>
                <w:b w:val="0"/>
                <w:bCs/>
                <w:color w:val="000000"/>
                <w:spacing w:val="-8"/>
                <w:w w:val="15"/>
                <w:szCs w:val="20"/>
                <w:shd w:val="solid" w:color="000000" w:fill="000000"/>
                <w:fitText w:val="57" w:id="-1304706801"/>
                <w14:textFill>
                  <w14:solidFill>
                    <w14:srgbClr w14:val="000000">
                      <w14:alpha w14:val="100000"/>
                    </w14:srgbClr>
                  </w14:solidFill>
                </w14:textFill>
              </w:rPr>
              <w:t xml:space="preserve">　</w:t>
            </w:r>
            <w:r w:rsidR="002B70D2">
              <w:rPr>
                <w:bCs/>
                <w:szCs w:val="20"/>
                <w:vertAlign w:val="superscript"/>
              </w:rPr>
              <w:t>3</w:t>
            </w:r>
          </w:p>
        </w:tc>
        <w:tc>
          <w:tcPr>
            <w:tcW w:w="1257" w:type="dxa"/>
            <w:vAlign w:val="center"/>
          </w:tcPr>
          <w:p w14:paraId="4812462F" w14:textId="77777777" w:rsidR="00185040" w:rsidRPr="00FF512C" w:rsidRDefault="00185040" w:rsidP="0021041D">
            <w:pPr>
              <w:pStyle w:val="TableHeading"/>
              <w:keepNext w:val="0"/>
              <w:jc w:val="center"/>
              <w:rPr>
                <w:rStyle w:val="CommentReference"/>
                <w:b/>
                <w:bCs/>
              </w:rPr>
            </w:pPr>
            <w:r w:rsidRPr="00FF512C">
              <w:rPr>
                <w:b w:val="0"/>
                <w:bCs/>
                <w:szCs w:val="20"/>
              </w:rPr>
              <w:t>+260%</w:t>
            </w:r>
          </w:p>
        </w:tc>
      </w:tr>
      <w:tr w:rsidR="00185040" w:rsidRPr="00FF512C" w14:paraId="5258508D" w14:textId="77777777" w:rsidTr="003E2BEF">
        <w:tc>
          <w:tcPr>
            <w:tcW w:w="4265" w:type="dxa"/>
          </w:tcPr>
          <w:p w14:paraId="3193C057" w14:textId="77777777" w:rsidR="00185040" w:rsidRPr="00FF512C" w:rsidRDefault="00185040" w:rsidP="0021041D">
            <w:pPr>
              <w:pStyle w:val="TableHeading"/>
              <w:keepNext w:val="0"/>
              <w:rPr>
                <w:rStyle w:val="CommentReference"/>
                <w:b/>
                <w:bCs/>
              </w:rPr>
            </w:pPr>
            <w:r w:rsidRPr="00FF512C">
              <w:rPr>
                <w:b w:val="0"/>
                <w:bCs/>
                <w:szCs w:val="20"/>
              </w:rPr>
              <w:t>Baseline RAASi use 50% maximal; 50% sub-maximal</w:t>
            </w:r>
          </w:p>
        </w:tc>
        <w:tc>
          <w:tcPr>
            <w:tcW w:w="1165" w:type="dxa"/>
            <w:tcBorders>
              <w:bottom w:val="single" w:sz="4" w:space="0" w:color="auto"/>
            </w:tcBorders>
            <w:shd w:val="solid" w:color="000000" w:fill="000000"/>
            <w:vAlign w:val="center"/>
          </w:tcPr>
          <w:p w14:paraId="0C468939" w14:textId="6A89BCDF" w:rsidR="00185040" w:rsidRPr="003E2BEF" w:rsidRDefault="003E2BEF" w:rsidP="0021041D">
            <w:pPr>
              <w:pStyle w:val="TableHeading"/>
              <w:keepNext w:val="0"/>
              <w:jc w:val="center"/>
              <w:rPr>
                <w:rStyle w:val="CommentReference"/>
                <w:b/>
                <w:bCs/>
              </w:rPr>
            </w:pPr>
            <w:r w:rsidRPr="003E2BEF">
              <w:rPr>
                <w:rFonts w:cs="Calibri" w:hint="eastAsia"/>
                <w:b w:val="0"/>
                <w:bCs/>
                <w:color w:val="000000"/>
                <w:w w:val="15"/>
                <w:szCs w:val="20"/>
                <w:fitText w:val="46" w:id="-1304706800"/>
                <w14:textFill>
                  <w14:solidFill>
                    <w14:srgbClr w14:val="000000">
                      <w14:alpha w14:val="100000"/>
                    </w14:srgbClr>
                  </w14:solidFill>
                </w14:textFill>
              </w:rPr>
              <w:t xml:space="preserve">　</w:t>
            </w:r>
            <w:r w:rsidRPr="003E2BEF">
              <w:rPr>
                <w:rFonts w:cs="Calibri"/>
                <w:b w:val="0"/>
                <w:bCs/>
                <w:color w:val="000000"/>
                <w:w w:val="15"/>
                <w:szCs w:val="20"/>
                <w:fitText w:val="46" w:id="-1304706800"/>
                <w14:textFill>
                  <w14:solidFill>
                    <w14:srgbClr w14:val="000000">
                      <w14:alpha w14:val="100000"/>
                    </w14:srgbClr>
                  </w14:solidFill>
                </w14:textFill>
              </w:rPr>
              <w:t>|</w:t>
            </w:r>
            <w:r w:rsidRPr="003E2BEF">
              <w:rPr>
                <w:rFonts w:cs="Calibri" w:hint="eastAsia"/>
                <w:b w:val="0"/>
                <w:bCs/>
                <w:color w:val="000000"/>
                <w:spacing w:val="-19"/>
                <w:w w:val="15"/>
                <w:szCs w:val="20"/>
                <w:fitText w:val="46" w:id="-1304706800"/>
                <w14:textFill>
                  <w14:solidFill>
                    <w14:srgbClr w14:val="000000">
                      <w14:alpha w14:val="100000"/>
                    </w14:srgbClr>
                  </w14:solidFill>
                </w14:textFill>
              </w:rPr>
              <w:t xml:space="preserve">　</w:t>
            </w:r>
          </w:p>
        </w:tc>
        <w:tc>
          <w:tcPr>
            <w:tcW w:w="1165" w:type="dxa"/>
            <w:vAlign w:val="center"/>
          </w:tcPr>
          <w:p w14:paraId="090B19BD" w14:textId="77777777" w:rsidR="00185040" w:rsidRPr="00FF512C" w:rsidRDefault="00185040" w:rsidP="0021041D">
            <w:pPr>
              <w:pStyle w:val="TableHeading"/>
              <w:keepNext w:val="0"/>
              <w:jc w:val="center"/>
              <w:rPr>
                <w:rStyle w:val="CommentReference"/>
                <w:b/>
                <w:bCs/>
              </w:rPr>
            </w:pPr>
            <w:r w:rsidRPr="00FF512C">
              <w:rPr>
                <w:rFonts w:cs="Calibri"/>
                <w:b w:val="0"/>
                <w:bCs/>
                <w:color w:val="000000"/>
                <w:szCs w:val="20"/>
              </w:rPr>
              <w:t>0.1835</w:t>
            </w:r>
          </w:p>
        </w:tc>
        <w:tc>
          <w:tcPr>
            <w:tcW w:w="1165" w:type="dxa"/>
            <w:vAlign w:val="center"/>
          </w:tcPr>
          <w:p w14:paraId="09E72CD3" w14:textId="53247546" w:rsidR="00185040" w:rsidRPr="002B70D2" w:rsidRDefault="003E2BEF" w:rsidP="0021041D">
            <w:pPr>
              <w:pStyle w:val="TableHeading"/>
              <w:keepNext w:val="0"/>
              <w:jc w:val="center"/>
              <w:rPr>
                <w:rStyle w:val="CommentReference"/>
                <w:b/>
                <w:bCs/>
                <w:highlight w:val="darkGray"/>
              </w:rPr>
            </w:pPr>
            <w:r w:rsidRPr="003E2BEF">
              <w:rPr>
                <w:rFonts w:cs="Calibri" w:hint="eastAsia"/>
                <w:b w:val="0"/>
                <w:bCs/>
                <w:color w:val="000000"/>
                <w:w w:val="15"/>
                <w:szCs w:val="20"/>
                <w:shd w:val="solid" w:color="000000" w:fill="000000"/>
                <w:fitText w:val="57" w:id="-1304706816"/>
                <w14:textFill>
                  <w14:solidFill>
                    <w14:srgbClr w14:val="000000">
                      <w14:alpha w14:val="100000"/>
                    </w14:srgbClr>
                  </w14:solidFill>
                </w14:textFill>
              </w:rPr>
              <w:t xml:space="preserve">　</w:t>
            </w:r>
            <w:r w:rsidRPr="003E2BEF">
              <w:rPr>
                <w:rFonts w:cs="Calibri"/>
                <w:b w:val="0"/>
                <w:bCs/>
                <w:color w:val="000000"/>
                <w:w w:val="15"/>
                <w:szCs w:val="20"/>
                <w:shd w:val="solid" w:color="000000" w:fill="000000"/>
                <w:fitText w:val="57" w:id="-1304706816"/>
                <w14:textFill>
                  <w14:solidFill>
                    <w14:srgbClr w14:val="000000">
                      <w14:alpha w14:val="100000"/>
                    </w14:srgbClr>
                  </w14:solidFill>
                </w14:textFill>
              </w:rPr>
              <w:t>|</w:t>
            </w:r>
            <w:r w:rsidRPr="003E2BEF">
              <w:rPr>
                <w:rFonts w:cs="Calibri" w:hint="eastAsia"/>
                <w:b w:val="0"/>
                <w:bCs/>
                <w:color w:val="000000"/>
                <w:spacing w:val="-8"/>
                <w:w w:val="15"/>
                <w:szCs w:val="20"/>
                <w:shd w:val="solid" w:color="000000" w:fill="000000"/>
                <w:fitText w:val="57" w:id="-1304706816"/>
                <w14:textFill>
                  <w14:solidFill>
                    <w14:srgbClr w14:val="000000">
                      <w14:alpha w14:val="100000"/>
                    </w14:srgbClr>
                  </w14:solidFill>
                </w14:textFill>
              </w:rPr>
              <w:t xml:space="preserve">　</w:t>
            </w:r>
            <w:r w:rsidR="002B70D2">
              <w:rPr>
                <w:bCs/>
                <w:szCs w:val="20"/>
                <w:vertAlign w:val="superscript"/>
              </w:rPr>
              <w:t>3</w:t>
            </w:r>
          </w:p>
        </w:tc>
        <w:tc>
          <w:tcPr>
            <w:tcW w:w="1257" w:type="dxa"/>
            <w:vAlign w:val="center"/>
          </w:tcPr>
          <w:p w14:paraId="04AF40DF" w14:textId="77777777" w:rsidR="00185040" w:rsidRPr="00FF512C" w:rsidRDefault="00185040" w:rsidP="0021041D">
            <w:pPr>
              <w:pStyle w:val="TableHeading"/>
              <w:keepNext w:val="0"/>
              <w:jc w:val="center"/>
              <w:rPr>
                <w:rStyle w:val="CommentReference"/>
                <w:b/>
                <w:bCs/>
              </w:rPr>
            </w:pPr>
            <w:r w:rsidRPr="00FF512C">
              <w:rPr>
                <w:rFonts w:cs="Calibri"/>
                <w:b w:val="0"/>
                <w:bCs/>
                <w:color w:val="000000"/>
                <w:szCs w:val="20"/>
              </w:rPr>
              <w:t>+202%</w:t>
            </w:r>
          </w:p>
        </w:tc>
      </w:tr>
      <w:tr w:rsidR="006165A1" w:rsidRPr="00FF512C" w14:paraId="51D72EA7" w14:textId="77777777" w:rsidTr="003E2BEF">
        <w:tc>
          <w:tcPr>
            <w:tcW w:w="4265" w:type="dxa"/>
          </w:tcPr>
          <w:p w14:paraId="705C5546" w14:textId="14083C11" w:rsidR="006165A1" w:rsidRPr="00FF512C" w:rsidRDefault="006165A1" w:rsidP="0021041D">
            <w:pPr>
              <w:pStyle w:val="TableHeading"/>
              <w:keepNext w:val="0"/>
              <w:rPr>
                <w:rStyle w:val="CommentReference"/>
                <w:b/>
                <w:bCs/>
              </w:rPr>
            </w:pPr>
            <w:r w:rsidRPr="00FF512C">
              <w:rPr>
                <w:b w:val="0"/>
                <w:bCs/>
                <w:szCs w:val="20"/>
              </w:rPr>
              <w:t>Baseline RAASi use 90% maximal; 10% sub-maximal</w:t>
            </w:r>
          </w:p>
        </w:tc>
        <w:tc>
          <w:tcPr>
            <w:tcW w:w="1165" w:type="dxa"/>
            <w:tcBorders>
              <w:bottom w:val="single" w:sz="4" w:space="0" w:color="auto"/>
            </w:tcBorders>
            <w:shd w:val="solid" w:color="000000" w:fill="000000"/>
            <w:vAlign w:val="center"/>
          </w:tcPr>
          <w:p w14:paraId="214049CE" w14:textId="046186B1" w:rsidR="006165A1" w:rsidRPr="003E2BEF" w:rsidRDefault="003E2BEF" w:rsidP="0021041D">
            <w:pPr>
              <w:pStyle w:val="TableHeading"/>
              <w:keepNext w:val="0"/>
              <w:jc w:val="center"/>
              <w:rPr>
                <w:rStyle w:val="CommentReference"/>
                <w:b/>
                <w:bCs/>
              </w:rPr>
            </w:pPr>
            <w:r w:rsidRPr="003E2BEF">
              <w:rPr>
                <w:rFonts w:cs="Calibri" w:hint="eastAsia"/>
                <w:b w:val="0"/>
                <w:bCs/>
                <w:color w:val="000000"/>
                <w:w w:val="15"/>
                <w:szCs w:val="20"/>
                <w:fitText w:val="46" w:id="-1304706815"/>
                <w14:textFill>
                  <w14:solidFill>
                    <w14:srgbClr w14:val="000000">
                      <w14:alpha w14:val="100000"/>
                    </w14:srgbClr>
                  </w14:solidFill>
                </w14:textFill>
              </w:rPr>
              <w:t xml:space="preserve">　</w:t>
            </w:r>
            <w:r w:rsidRPr="003E2BEF">
              <w:rPr>
                <w:rFonts w:cs="Calibri"/>
                <w:b w:val="0"/>
                <w:bCs/>
                <w:color w:val="000000"/>
                <w:w w:val="15"/>
                <w:szCs w:val="20"/>
                <w:fitText w:val="46" w:id="-1304706815"/>
                <w14:textFill>
                  <w14:solidFill>
                    <w14:srgbClr w14:val="000000">
                      <w14:alpha w14:val="100000"/>
                    </w14:srgbClr>
                  </w14:solidFill>
                </w14:textFill>
              </w:rPr>
              <w:t>|</w:t>
            </w:r>
            <w:r w:rsidRPr="003E2BEF">
              <w:rPr>
                <w:rFonts w:cs="Calibri" w:hint="eastAsia"/>
                <w:b w:val="0"/>
                <w:bCs/>
                <w:color w:val="000000"/>
                <w:spacing w:val="-19"/>
                <w:w w:val="15"/>
                <w:szCs w:val="20"/>
                <w:fitText w:val="46" w:id="-1304706815"/>
                <w14:textFill>
                  <w14:solidFill>
                    <w14:srgbClr w14:val="000000">
                      <w14:alpha w14:val="100000"/>
                    </w14:srgbClr>
                  </w14:solidFill>
                </w14:textFill>
              </w:rPr>
              <w:t xml:space="preserve">　</w:t>
            </w:r>
          </w:p>
        </w:tc>
        <w:tc>
          <w:tcPr>
            <w:tcW w:w="1165" w:type="dxa"/>
            <w:vAlign w:val="center"/>
          </w:tcPr>
          <w:p w14:paraId="3A5C228D" w14:textId="245F4CA1" w:rsidR="006165A1" w:rsidRPr="00FF512C" w:rsidRDefault="006165A1" w:rsidP="0021041D">
            <w:pPr>
              <w:pStyle w:val="TableHeading"/>
              <w:keepNext w:val="0"/>
              <w:jc w:val="center"/>
              <w:rPr>
                <w:rStyle w:val="CommentReference"/>
                <w:b/>
                <w:bCs/>
              </w:rPr>
            </w:pPr>
            <w:r w:rsidRPr="00FF512C">
              <w:rPr>
                <w:rFonts w:cs="Calibri"/>
                <w:b w:val="0"/>
                <w:bCs/>
                <w:color w:val="000000"/>
                <w:szCs w:val="20"/>
              </w:rPr>
              <w:t>0.2224</w:t>
            </w:r>
          </w:p>
        </w:tc>
        <w:tc>
          <w:tcPr>
            <w:tcW w:w="1165" w:type="dxa"/>
            <w:vAlign w:val="center"/>
          </w:tcPr>
          <w:p w14:paraId="7BA65655" w14:textId="0AFDC8FE" w:rsidR="006165A1" w:rsidRPr="002B70D2" w:rsidRDefault="003E2BEF" w:rsidP="0021041D">
            <w:pPr>
              <w:pStyle w:val="TableHeading"/>
              <w:keepNext w:val="0"/>
              <w:jc w:val="center"/>
              <w:rPr>
                <w:rStyle w:val="CommentReference"/>
                <w:b/>
                <w:bCs/>
                <w:highlight w:val="darkGray"/>
              </w:rPr>
            </w:pPr>
            <w:r w:rsidRPr="003E2BEF">
              <w:rPr>
                <w:rFonts w:cs="Calibri" w:hint="eastAsia"/>
                <w:b w:val="0"/>
                <w:bCs/>
                <w:color w:val="000000"/>
                <w:w w:val="15"/>
                <w:szCs w:val="20"/>
                <w:shd w:val="solid" w:color="000000" w:fill="000000"/>
                <w:fitText w:val="57" w:id="-1304706814"/>
                <w14:textFill>
                  <w14:solidFill>
                    <w14:srgbClr w14:val="000000">
                      <w14:alpha w14:val="100000"/>
                    </w14:srgbClr>
                  </w14:solidFill>
                </w14:textFill>
              </w:rPr>
              <w:t xml:space="preserve">　</w:t>
            </w:r>
            <w:r w:rsidRPr="003E2BEF">
              <w:rPr>
                <w:rFonts w:cs="Calibri"/>
                <w:b w:val="0"/>
                <w:bCs/>
                <w:color w:val="000000"/>
                <w:w w:val="15"/>
                <w:szCs w:val="20"/>
                <w:shd w:val="solid" w:color="000000" w:fill="000000"/>
                <w:fitText w:val="57" w:id="-1304706814"/>
                <w14:textFill>
                  <w14:solidFill>
                    <w14:srgbClr w14:val="000000">
                      <w14:alpha w14:val="100000"/>
                    </w14:srgbClr>
                  </w14:solidFill>
                </w14:textFill>
              </w:rPr>
              <w:t>|</w:t>
            </w:r>
            <w:r w:rsidRPr="003E2BEF">
              <w:rPr>
                <w:rFonts w:cs="Calibri" w:hint="eastAsia"/>
                <w:b w:val="0"/>
                <w:bCs/>
                <w:color w:val="000000"/>
                <w:spacing w:val="-8"/>
                <w:w w:val="15"/>
                <w:szCs w:val="20"/>
                <w:shd w:val="solid" w:color="000000" w:fill="000000"/>
                <w:fitText w:val="57" w:id="-1304706814"/>
                <w14:textFill>
                  <w14:solidFill>
                    <w14:srgbClr w14:val="000000">
                      <w14:alpha w14:val="100000"/>
                    </w14:srgbClr>
                  </w14:solidFill>
                </w14:textFill>
              </w:rPr>
              <w:t xml:space="preserve">　</w:t>
            </w:r>
            <w:r w:rsidR="002B70D2">
              <w:rPr>
                <w:bCs/>
                <w:szCs w:val="20"/>
                <w:vertAlign w:val="superscript"/>
              </w:rPr>
              <w:t>2</w:t>
            </w:r>
          </w:p>
        </w:tc>
        <w:tc>
          <w:tcPr>
            <w:tcW w:w="1257" w:type="dxa"/>
            <w:vAlign w:val="center"/>
          </w:tcPr>
          <w:p w14:paraId="374AF649" w14:textId="54F12083" w:rsidR="006165A1" w:rsidRPr="00FF512C" w:rsidRDefault="006165A1" w:rsidP="0021041D">
            <w:pPr>
              <w:pStyle w:val="TableHeading"/>
              <w:keepNext w:val="0"/>
              <w:jc w:val="center"/>
              <w:rPr>
                <w:rStyle w:val="CommentReference"/>
                <w:b/>
                <w:bCs/>
              </w:rPr>
            </w:pPr>
            <w:r w:rsidRPr="00FF512C">
              <w:rPr>
                <w:rFonts w:cs="Calibri"/>
                <w:b w:val="0"/>
                <w:bCs/>
                <w:color w:val="000000"/>
                <w:szCs w:val="20"/>
              </w:rPr>
              <w:t>+33%</w:t>
            </w:r>
          </w:p>
        </w:tc>
      </w:tr>
      <w:tr w:rsidR="00185040" w:rsidRPr="00FF512C" w14:paraId="253BC635" w14:textId="77777777" w:rsidTr="003E2BEF">
        <w:tc>
          <w:tcPr>
            <w:tcW w:w="4265" w:type="dxa"/>
          </w:tcPr>
          <w:p w14:paraId="4725983B" w14:textId="77777777" w:rsidR="00185040" w:rsidRPr="00FF512C" w:rsidRDefault="00185040" w:rsidP="0021041D">
            <w:pPr>
              <w:pStyle w:val="TableHeading"/>
              <w:keepNext w:val="0"/>
              <w:rPr>
                <w:b w:val="0"/>
                <w:bCs/>
                <w:szCs w:val="20"/>
              </w:rPr>
            </w:pPr>
            <w:r w:rsidRPr="00FF512C">
              <w:rPr>
                <w:b w:val="0"/>
                <w:bCs/>
                <w:szCs w:val="20"/>
              </w:rPr>
              <w:t>RAASi transitions based on month 4+ transitions in normokalaemic patients</w:t>
            </w:r>
          </w:p>
        </w:tc>
        <w:tc>
          <w:tcPr>
            <w:tcW w:w="1165" w:type="dxa"/>
            <w:tcBorders>
              <w:bottom w:val="single" w:sz="4" w:space="0" w:color="auto"/>
            </w:tcBorders>
            <w:shd w:val="solid" w:color="000000" w:fill="000000"/>
            <w:vAlign w:val="center"/>
          </w:tcPr>
          <w:p w14:paraId="084DE7ED" w14:textId="6E052283" w:rsidR="00185040" w:rsidRPr="003E2BEF" w:rsidRDefault="003E2BEF" w:rsidP="0021041D">
            <w:pPr>
              <w:pStyle w:val="TableHeading"/>
              <w:keepNext w:val="0"/>
              <w:jc w:val="center"/>
              <w:rPr>
                <w:rFonts w:cs="Calibri"/>
                <w:b w:val="0"/>
                <w:bCs/>
                <w:color w:val="000000"/>
                <w:szCs w:val="20"/>
              </w:rPr>
            </w:pPr>
            <w:r w:rsidRPr="003E2BEF">
              <w:rPr>
                <w:rFonts w:cs="Calibri" w:hint="eastAsia"/>
                <w:b w:val="0"/>
                <w:bCs/>
                <w:color w:val="000000"/>
                <w:w w:val="15"/>
                <w:szCs w:val="20"/>
                <w:fitText w:val="46" w:id="-1304706813"/>
                <w14:textFill>
                  <w14:solidFill>
                    <w14:srgbClr w14:val="000000">
                      <w14:alpha w14:val="100000"/>
                    </w14:srgbClr>
                  </w14:solidFill>
                </w14:textFill>
              </w:rPr>
              <w:t xml:space="preserve">　</w:t>
            </w:r>
            <w:r w:rsidRPr="003E2BEF">
              <w:rPr>
                <w:rFonts w:cs="Calibri"/>
                <w:b w:val="0"/>
                <w:bCs/>
                <w:color w:val="000000"/>
                <w:w w:val="15"/>
                <w:szCs w:val="20"/>
                <w:fitText w:val="46" w:id="-1304706813"/>
                <w14:textFill>
                  <w14:solidFill>
                    <w14:srgbClr w14:val="000000">
                      <w14:alpha w14:val="100000"/>
                    </w14:srgbClr>
                  </w14:solidFill>
                </w14:textFill>
              </w:rPr>
              <w:t>|</w:t>
            </w:r>
            <w:r w:rsidRPr="003E2BEF">
              <w:rPr>
                <w:rFonts w:cs="Calibri" w:hint="eastAsia"/>
                <w:b w:val="0"/>
                <w:bCs/>
                <w:color w:val="000000"/>
                <w:spacing w:val="-19"/>
                <w:w w:val="15"/>
                <w:szCs w:val="20"/>
                <w:fitText w:val="46" w:id="-1304706813"/>
                <w14:textFill>
                  <w14:solidFill>
                    <w14:srgbClr w14:val="000000">
                      <w14:alpha w14:val="100000"/>
                    </w14:srgbClr>
                  </w14:solidFill>
                </w14:textFill>
              </w:rPr>
              <w:t xml:space="preserve">　</w:t>
            </w:r>
          </w:p>
        </w:tc>
        <w:tc>
          <w:tcPr>
            <w:tcW w:w="1165" w:type="dxa"/>
            <w:vAlign w:val="center"/>
          </w:tcPr>
          <w:p w14:paraId="2FC7366E" w14:textId="77777777" w:rsidR="00185040" w:rsidRPr="00FF512C" w:rsidRDefault="00185040" w:rsidP="0021041D">
            <w:pPr>
              <w:pStyle w:val="TableHeading"/>
              <w:keepNext w:val="0"/>
              <w:jc w:val="center"/>
              <w:rPr>
                <w:rFonts w:cs="Calibri"/>
                <w:b w:val="0"/>
                <w:bCs/>
                <w:color w:val="000000"/>
                <w:szCs w:val="20"/>
              </w:rPr>
            </w:pPr>
            <w:r w:rsidRPr="00FF512C">
              <w:rPr>
                <w:rFonts w:cs="Calibri"/>
                <w:b w:val="0"/>
                <w:bCs/>
                <w:color w:val="000000"/>
                <w:szCs w:val="20"/>
              </w:rPr>
              <w:t>0.0684</w:t>
            </w:r>
          </w:p>
        </w:tc>
        <w:tc>
          <w:tcPr>
            <w:tcW w:w="1165" w:type="dxa"/>
            <w:vAlign w:val="center"/>
          </w:tcPr>
          <w:p w14:paraId="087FF0CE" w14:textId="401771DF" w:rsidR="00185040" w:rsidRPr="002B70D2" w:rsidRDefault="003E2BEF" w:rsidP="0021041D">
            <w:pPr>
              <w:pStyle w:val="TableHeading"/>
              <w:keepNext w:val="0"/>
              <w:jc w:val="center"/>
              <w:rPr>
                <w:rFonts w:cs="Calibri"/>
                <w:b w:val="0"/>
                <w:bCs/>
                <w:color w:val="000000"/>
                <w:szCs w:val="20"/>
                <w:highlight w:val="darkGray"/>
              </w:rPr>
            </w:pPr>
            <w:r w:rsidRPr="003E2BEF">
              <w:rPr>
                <w:rFonts w:cs="Calibri" w:hint="eastAsia"/>
                <w:b w:val="0"/>
                <w:bCs/>
                <w:color w:val="000000"/>
                <w:w w:val="15"/>
                <w:szCs w:val="20"/>
                <w:shd w:val="solid" w:color="000000" w:fill="000000"/>
                <w:fitText w:val="57" w:id="-1304706812"/>
                <w14:textFill>
                  <w14:solidFill>
                    <w14:srgbClr w14:val="000000">
                      <w14:alpha w14:val="100000"/>
                    </w14:srgbClr>
                  </w14:solidFill>
                </w14:textFill>
              </w:rPr>
              <w:t xml:space="preserve">　</w:t>
            </w:r>
            <w:r w:rsidRPr="003E2BEF">
              <w:rPr>
                <w:rFonts w:cs="Calibri"/>
                <w:b w:val="0"/>
                <w:bCs/>
                <w:color w:val="000000"/>
                <w:w w:val="15"/>
                <w:szCs w:val="20"/>
                <w:shd w:val="solid" w:color="000000" w:fill="000000"/>
                <w:fitText w:val="57" w:id="-1304706812"/>
                <w14:textFill>
                  <w14:solidFill>
                    <w14:srgbClr w14:val="000000">
                      <w14:alpha w14:val="100000"/>
                    </w14:srgbClr>
                  </w14:solidFill>
                </w14:textFill>
              </w:rPr>
              <w:t>|</w:t>
            </w:r>
            <w:r w:rsidRPr="003E2BEF">
              <w:rPr>
                <w:rFonts w:cs="Calibri" w:hint="eastAsia"/>
                <w:b w:val="0"/>
                <w:bCs/>
                <w:color w:val="000000"/>
                <w:spacing w:val="-8"/>
                <w:w w:val="15"/>
                <w:szCs w:val="20"/>
                <w:shd w:val="solid" w:color="000000" w:fill="000000"/>
                <w:fitText w:val="57" w:id="-1304706812"/>
                <w14:textFill>
                  <w14:solidFill>
                    <w14:srgbClr w14:val="000000">
                      <w14:alpha w14:val="100000"/>
                    </w14:srgbClr>
                  </w14:solidFill>
                </w14:textFill>
              </w:rPr>
              <w:t xml:space="preserve">　</w:t>
            </w:r>
            <w:r w:rsidR="002B70D2">
              <w:rPr>
                <w:bCs/>
                <w:szCs w:val="20"/>
                <w:vertAlign w:val="superscript"/>
              </w:rPr>
              <w:t>4</w:t>
            </w:r>
          </w:p>
        </w:tc>
        <w:tc>
          <w:tcPr>
            <w:tcW w:w="1257" w:type="dxa"/>
            <w:vAlign w:val="center"/>
          </w:tcPr>
          <w:p w14:paraId="2F45D652" w14:textId="77777777" w:rsidR="00185040" w:rsidRPr="00FF512C" w:rsidRDefault="00185040" w:rsidP="0021041D">
            <w:pPr>
              <w:pStyle w:val="TableHeading"/>
              <w:keepNext w:val="0"/>
              <w:jc w:val="center"/>
              <w:rPr>
                <w:rFonts w:cs="Calibri"/>
                <w:b w:val="0"/>
                <w:bCs/>
                <w:color w:val="000000"/>
                <w:szCs w:val="20"/>
              </w:rPr>
            </w:pPr>
            <w:r w:rsidRPr="00FF512C">
              <w:rPr>
                <w:rFonts w:cs="Calibri"/>
                <w:b w:val="0"/>
                <w:bCs/>
                <w:color w:val="000000"/>
                <w:szCs w:val="20"/>
              </w:rPr>
              <w:t>+116%</w:t>
            </w:r>
          </w:p>
        </w:tc>
      </w:tr>
      <w:tr w:rsidR="00185040" w:rsidRPr="00FF512C" w14:paraId="2231A69E" w14:textId="77777777" w:rsidTr="003E2BEF">
        <w:tc>
          <w:tcPr>
            <w:tcW w:w="4265" w:type="dxa"/>
          </w:tcPr>
          <w:p w14:paraId="012F9E7F" w14:textId="77777777" w:rsidR="00185040" w:rsidRPr="00FF512C" w:rsidRDefault="00185040" w:rsidP="0021041D">
            <w:pPr>
              <w:pStyle w:val="TableHeading"/>
              <w:keepNext w:val="0"/>
              <w:rPr>
                <w:b w:val="0"/>
                <w:bCs/>
                <w:szCs w:val="20"/>
              </w:rPr>
            </w:pPr>
            <w:r w:rsidRPr="00FF512C">
              <w:rPr>
                <w:b w:val="0"/>
                <w:bCs/>
                <w:szCs w:val="20"/>
              </w:rPr>
              <w:t>RAASi transitions based on month 4+ transitions in mild hyperkalaemia patients</w:t>
            </w:r>
          </w:p>
        </w:tc>
        <w:tc>
          <w:tcPr>
            <w:tcW w:w="1165" w:type="dxa"/>
            <w:tcBorders>
              <w:bottom w:val="single" w:sz="4" w:space="0" w:color="auto"/>
            </w:tcBorders>
            <w:shd w:val="solid" w:color="000000" w:fill="000000"/>
            <w:vAlign w:val="center"/>
          </w:tcPr>
          <w:p w14:paraId="1AE02D4E" w14:textId="040B539C" w:rsidR="00185040" w:rsidRPr="003E2BEF" w:rsidRDefault="003E2BEF" w:rsidP="0021041D">
            <w:pPr>
              <w:pStyle w:val="TableHeading"/>
              <w:keepNext w:val="0"/>
              <w:jc w:val="center"/>
              <w:rPr>
                <w:rFonts w:cs="Calibri"/>
                <w:b w:val="0"/>
                <w:bCs/>
                <w:color w:val="000000"/>
                <w:szCs w:val="20"/>
              </w:rPr>
            </w:pPr>
            <w:r w:rsidRPr="003E2BEF">
              <w:rPr>
                <w:rFonts w:cs="Calibri" w:hint="eastAsia"/>
                <w:b w:val="0"/>
                <w:bCs/>
                <w:color w:val="000000"/>
                <w:w w:val="15"/>
                <w:szCs w:val="20"/>
                <w:fitText w:val="46" w:id="-1304706811"/>
                <w14:textFill>
                  <w14:solidFill>
                    <w14:srgbClr w14:val="000000">
                      <w14:alpha w14:val="100000"/>
                    </w14:srgbClr>
                  </w14:solidFill>
                </w14:textFill>
              </w:rPr>
              <w:t xml:space="preserve">　</w:t>
            </w:r>
            <w:r w:rsidRPr="003E2BEF">
              <w:rPr>
                <w:rFonts w:cs="Calibri"/>
                <w:b w:val="0"/>
                <w:bCs/>
                <w:color w:val="000000"/>
                <w:w w:val="15"/>
                <w:szCs w:val="20"/>
                <w:fitText w:val="46" w:id="-1304706811"/>
                <w14:textFill>
                  <w14:solidFill>
                    <w14:srgbClr w14:val="000000">
                      <w14:alpha w14:val="100000"/>
                    </w14:srgbClr>
                  </w14:solidFill>
                </w14:textFill>
              </w:rPr>
              <w:t>|</w:t>
            </w:r>
            <w:r w:rsidRPr="003E2BEF">
              <w:rPr>
                <w:rFonts w:cs="Calibri" w:hint="eastAsia"/>
                <w:b w:val="0"/>
                <w:bCs/>
                <w:color w:val="000000"/>
                <w:spacing w:val="-19"/>
                <w:w w:val="15"/>
                <w:szCs w:val="20"/>
                <w:fitText w:val="46" w:id="-1304706811"/>
                <w14:textFill>
                  <w14:solidFill>
                    <w14:srgbClr w14:val="000000">
                      <w14:alpha w14:val="100000"/>
                    </w14:srgbClr>
                  </w14:solidFill>
                </w14:textFill>
              </w:rPr>
              <w:t xml:space="preserve">　</w:t>
            </w:r>
          </w:p>
        </w:tc>
        <w:tc>
          <w:tcPr>
            <w:tcW w:w="1165" w:type="dxa"/>
            <w:vAlign w:val="center"/>
          </w:tcPr>
          <w:p w14:paraId="2536C189" w14:textId="77777777" w:rsidR="00185040" w:rsidRPr="00FF512C" w:rsidRDefault="00185040" w:rsidP="0021041D">
            <w:pPr>
              <w:pStyle w:val="TableHeading"/>
              <w:keepNext w:val="0"/>
              <w:jc w:val="center"/>
              <w:rPr>
                <w:rFonts w:cs="Calibri"/>
                <w:b w:val="0"/>
                <w:bCs/>
                <w:color w:val="000000"/>
                <w:szCs w:val="20"/>
              </w:rPr>
            </w:pPr>
            <w:r w:rsidRPr="00FF512C">
              <w:rPr>
                <w:rFonts w:cs="Calibri"/>
                <w:b w:val="0"/>
                <w:bCs/>
                <w:color w:val="000000"/>
                <w:szCs w:val="20"/>
              </w:rPr>
              <w:t>0.0690</w:t>
            </w:r>
          </w:p>
        </w:tc>
        <w:tc>
          <w:tcPr>
            <w:tcW w:w="1165" w:type="dxa"/>
            <w:vAlign w:val="center"/>
          </w:tcPr>
          <w:p w14:paraId="40AB6C97" w14:textId="09EB670F" w:rsidR="00185040" w:rsidRPr="002B70D2" w:rsidRDefault="003E2BEF" w:rsidP="0021041D">
            <w:pPr>
              <w:pStyle w:val="TableHeading"/>
              <w:keepNext w:val="0"/>
              <w:jc w:val="center"/>
              <w:rPr>
                <w:rFonts w:cs="Calibri"/>
                <w:b w:val="0"/>
                <w:bCs/>
                <w:color w:val="000000"/>
                <w:szCs w:val="20"/>
                <w:highlight w:val="darkGray"/>
              </w:rPr>
            </w:pPr>
            <w:r w:rsidRPr="003E2BEF">
              <w:rPr>
                <w:rFonts w:cs="Calibri" w:hint="eastAsia"/>
                <w:b w:val="0"/>
                <w:bCs/>
                <w:color w:val="000000"/>
                <w:w w:val="15"/>
                <w:szCs w:val="20"/>
                <w:shd w:val="solid" w:color="000000" w:fill="000000"/>
                <w:fitText w:val="57" w:id="-1304706810"/>
                <w14:textFill>
                  <w14:solidFill>
                    <w14:srgbClr w14:val="000000">
                      <w14:alpha w14:val="100000"/>
                    </w14:srgbClr>
                  </w14:solidFill>
                </w14:textFill>
              </w:rPr>
              <w:t xml:space="preserve">　</w:t>
            </w:r>
            <w:r w:rsidRPr="003E2BEF">
              <w:rPr>
                <w:rFonts w:cs="Calibri"/>
                <w:b w:val="0"/>
                <w:bCs/>
                <w:color w:val="000000"/>
                <w:w w:val="15"/>
                <w:szCs w:val="20"/>
                <w:shd w:val="solid" w:color="000000" w:fill="000000"/>
                <w:fitText w:val="57" w:id="-1304706810"/>
                <w14:textFill>
                  <w14:solidFill>
                    <w14:srgbClr w14:val="000000">
                      <w14:alpha w14:val="100000"/>
                    </w14:srgbClr>
                  </w14:solidFill>
                </w14:textFill>
              </w:rPr>
              <w:t>|</w:t>
            </w:r>
            <w:r w:rsidRPr="003E2BEF">
              <w:rPr>
                <w:rFonts w:cs="Calibri" w:hint="eastAsia"/>
                <w:b w:val="0"/>
                <w:bCs/>
                <w:color w:val="000000"/>
                <w:spacing w:val="-8"/>
                <w:w w:val="15"/>
                <w:szCs w:val="20"/>
                <w:shd w:val="solid" w:color="000000" w:fill="000000"/>
                <w:fitText w:val="57" w:id="-1304706810"/>
                <w14:textFill>
                  <w14:solidFill>
                    <w14:srgbClr w14:val="000000">
                      <w14:alpha w14:val="100000"/>
                    </w14:srgbClr>
                  </w14:solidFill>
                </w14:textFill>
              </w:rPr>
              <w:t xml:space="preserve">　</w:t>
            </w:r>
            <w:r w:rsidR="002B70D2">
              <w:rPr>
                <w:bCs/>
                <w:szCs w:val="20"/>
                <w:vertAlign w:val="superscript"/>
              </w:rPr>
              <w:t>4</w:t>
            </w:r>
          </w:p>
        </w:tc>
        <w:tc>
          <w:tcPr>
            <w:tcW w:w="1257" w:type="dxa"/>
            <w:vAlign w:val="center"/>
          </w:tcPr>
          <w:p w14:paraId="0B71A773" w14:textId="77777777" w:rsidR="00185040" w:rsidRPr="00FF512C" w:rsidRDefault="00185040" w:rsidP="0021041D">
            <w:pPr>
              <w:pStyle w:val="TableHeading"/>
              <w:keepNext w:val="0"/>
              <w:jc w:val="center"/>
              <w:rPr>
                <w:rFonts w:cs="Calibri"/>
                <w:b w:val="0"/>
                <w:bCs/>
                <w:color w:val="000000"/>
                <w:szCs w:val="20"/>
              </w:rPr>
            </w:pPr>
            <w:r w:rsidRPr="00FF512C">
              <w:rPr>
                <w:rFonts w:cs="Calibri"/>
                <w:b w:val="0"/>
                <w:bCs/>
                <w:color w:val="000000"/>
                <w:szCs w:val="20"/>
              </w:rPr>
              <w:t>+113%</w:t>
            </w:r>
          </w:p>
        </w:tc>
      </w:tr>
      <w:tr w:rsidR="00185040" w:rsidRPr="00FF512C" w14:paraId="1424C215" w14:textId="77777777" w:rsidTr="003E2BEF">
        <w:tc>
          <w:tcPr>
            <w:tcW w:w="4265" w:type="dxa"/>
          </w:tcPr>
          <w:p w14:paraId="65D1CBF2" w14:textId="77777777" w:rsidR="00185040" w:rsidRPr="00FF512C" w:rsidRDefault="00185040" w:rsidP="0021041D">
            <w:pPr>
              <w:pStyle w:val="TableHeading"/>
              <w:keepNext w:val="0"/>
              <w:rPr>
                <w:b w:val="0"/>
                <w:bCs/>
                <w:szCs w:val="20"/>
              </w:rPr>
            </w:pPr>
            <w:r w:rsidRPr="00FF512C">
              <w:rPr>
                <w:b w:val="0"/>
                <w:bCs/>
                <w:szCs w:val="20"/>
              </w:rPr>
              <w:t>RAASi transitions based on month 4+ transitions in moderate hyperkalaemia patients</w:t>
            </w:r>
          </w:p>
        </w:tc>
        <w:tc>
          <w:tcPr>
            <w:tcW w:w="1165" w:type="dxa"/>
            <w:tcBorders>
              <w:bottom w:val="single" w:sz="4" w:space="0" w:color="auto"/>
            </w:tcBorders>
            <w:shd w:val="solid" w:color="000000" w:fill="000000"/>
            <w:vAlign w:val="center"/>
          </w:tcPr>
          <w:p w14:paraId="3C89E6DE" w14:textId="0273406A" w:rsidR="00185040" w:rsidRPr="003E2BEF" w:rsidRDefault="003E2BEF" w:rsidP="0021041D">
            <w:pPr>
              <w:pStyle w:val="TableHeading"/>
              <w:keepNext w:val="0"/>
              <w:jc w:val="center"/>
              <w:rPr>
                <w:rFonts w:cs="Calibri"/>
                <w:b w:val="0"/>
                <w:bCs/>
                <w:color w:val="000000"/>
                <w:szCs w:val="20"/>
              </w:rPr>
            </w:pPr>
            <w:r w:rsidRPr="003E2BEF">
              <w:rPr>
                <w:rFonts w:cs="Calibri" w:hint="eastAsia"/>
                <w:b w:val="0"/>
                <w:bCs/>
                <w:color w:val="000000"/>
                <w:w w:val="15"/>
                <w:szCs w:val="20"/>
                <w:fitText w:val="46" w:id="-1304706809"/>
                <w14:textFill>
                  <w14:solidFill>
                    <w14:srgbClr w14:val="000000">
                      <w14:alpha w14:val="100000"/>
                    </w14:srgbClr>
                  </w14:solidFill>
                </w14:textFill>
              </w:rPr>
              <w:t xml:space="preserve">　</w:t>
            </w:r>
            <w:r w:rsidRPr="003E2BEF">
              <w:rPr>
                <w:rFonts w:cs="Calibri"/>
                <w:b w:val="0"/>
                <w:bCs/>
                <w:color w:val="000000"/>
                <w:w w:val="15"/>
                <w:szCs w:val="20"/>
                <w:fitText w:val="46" w:id="-1304706809"/>
                <w14:textFill>
                  <w14:solidFill>
                    <w14:srgbClr w14:val="000000">
                      <w14:alpha w14:val="100000"/>
                    </w14:srgbClr>
                  </w14:solidFill>
                </w14:textFill>
              </w:rPr>
              <w:t>|</w:t>
            </w:r>
            <w:r w:rsidRPr="003E2BEF">
              <w:rPr>
                <w:rFonts w:cs="Calibri" w:hint="eastAsia"/>
                <w:b w:val="0"/>
                <w:bCs/>
                <w:color w:val="000000"/>
                <w:spacing w:val="-19"/>
                <w:w w:val="15"/>
                <w:szCs w:val="20"/>
                <w:fitText w:val="46" w:id="-1304706809"/>
                <w14:textFill>
                  <w14:solidFill>
                    <w14:srgbClr w14:val="000000">
                      <w14:alpha w14:val="100000"/>
                    </w14:srgbClr>
                  </w14:solidFill>
                </w14:textFill>
              </w:rPr>
              <w:t xml:space="preserve">　</w:t>
            </w:r>
          </w:p>
        </w:tc>
        <w:tc>
          <w:tcPr>
            <w:tcW w:w="1165" w:type="dxa"/>
            <w:vAlign w:val="center"/>
          </w:tcPr>
          <w:p w14:paraId="116AB854" w14:textId="77777777" w:rsidR="00185040" w:rsidRPr="00FF512C" w:rsidRDefault="00185040" w:rsidP="0021041D">
            <w:pPr>
              <w:pStyle w:val="TableHeading"/>
              <w:keepNext w:val="0"/>
              <w:jc w:val="center"/>
              <w:rPr>
                <w:rFonts w:cs="Calibri"/>
                <w:b w:val="0"/>
                <w:bCs/>
                <w:color w:val="000000"/>
                <w:szCs w:val="20"/>
              </w:rPr>
            </w:pPr>
            <w:r w:rsidRPr="00FF512C">
              <w:rPr>
                <w:rFonts w:cs="Calibri"/>
                <w:b w:val="0"/>
                <w:bCs/>
                <w:color w:val="000000"/>
                <w:szCs w:val="20"/>
              </w:rPr>
              <w:t>0.0714</w:t>
            </w:r>
          </w:p>
        </w:tc>
        <w:tc>
          <w:tcPr>
            <w:tcW w:w="1165" w:type="dxa"/>
            <w:vAlign w:val="center"/>
          </w:tcPr>
          <w:p w14:paraId="462E34A6" w14:textId="3AF568DC" w:rsidR="00185040" w:rsidRPr="002B70D2" w:rsidRDefault="003E2BEF" w:rsidP="0021041D">
            <w:pPr>
              <w:pStyle w:val="TableHeading"/>
              <w:keepNext w:val="0"/>
              <w:jc w:val="center"/>
              <w:rPr>
                <w:rFonts w:cs="Calibri"/>
                <w:b w:val="0"/>
                <w:bCs/>
                <w:color w:val="000000"/>
                <w:szCs w:val="20"/>
                <w:highlight w:val="darkGray"/>
              </w:rPr>
            </w:pPr>
            <w:r w:rsidRPr="003E2BEF">
              <w:rPr>
                <w:rFonts w:cs="Calibri" w:hint="eastAsia"/>
                <w:b w:val="0"/>
                <w:bCs/>
                <w:color w:val="000000"/>
                <w:w w:val="15"/>
                <w:szCs w:val="20"/>
                <w:shd w:val="solid" w:color="000000" w:fill="000000"/>
                <w:fitText w:val="57" w:id="-1304706808"/>
                <w14:textFill>
                  <w14:solidFill>
                    <w14:srgbClr w14:val="000000">
                      <w14:alpha w14:val="100000"/>
                    </w14:srgbClr>
                  </w14:solidFill>
                </w14:textFill>
              </w:rPr>
              <w:t xml:space="preserve">　</w:t>
            </w:r>
            <w:r w:rsidRPr="003E2BEF">
              <w:rPr>
                <w:rFonts w:cs="Calibri"/>
                <w:b w:val="0"/>
                <w:bCs/>
                <w:color w:val="000000"/>
                <w:w w:val="15"/>
                <w:szCs w:val="20"/>
                <w:shd w:val="solid" w:color="000000" w:fill="000000"/>
                <w:fitText w:val="57" w:id="-1304706808"/>
                <w14:textFill>
                  <w14:solidFill>
                    <w14:srgbClr w14:val="000000">
                      <w14:alpha w14:val="100000"/>
                    </w14:srgbClr>
                  </w14:solidFill>
                </w14:textFill>
              </w:rPr>
              <w:t>|</w:t>
            </w:r>
            <w:r w:rsidRPr="003E2BEF">
              <w:rPr>
                <w:rFonts w:cs="Calibri" w:hint="eastAsia"/>
                <w:b w:val="0"/>
                <w:bCs/>
                <w:color w:val="000000"/>
                <w:spacing w:val="-8"/>
                <w:w w:val="15"/>
                <w:szCs w:val="20"/>
                <w:shd w:val="solid" w:color="000000" w:fill="000000"/>
                <w:fitText w:val="57" w:id="-1304706808"/>
                <w14:textFill>
                  <w14:solidFill>
                    <w14:srgbClr w14:val="000000">
                      <w14:alpha w14:val="100000"/>
                    </w14:srgbClr>
                  </w14:solidFill>
                </w14:textFill>
              </w:rPr>
              <w:t xml:space="preserve">　</w:t>
            </w:r>
            <w:r w:rsidR="002B70D2">
              <w:rPr>
                <w:bCs/>
                <w:szCs w:val="20"/>
                <w:vertAlign w:val="superscript"/>
              </w:rPr>
              <w:t>4</w:t>
            </w:r>
          </w:p>
        </w:tc>
        <w:tc>
          <w:tcPr>
            <w:tcW w:w="1257" w:type="dxa"/>
            <w:vAlign w:val="center"/>
          </w:tcPr>
          <w:p w14:paraId="75A69EBD" w14:textId="77777777" w:rsidR="00185040" w:rsidRPr="00FF512C" w:rsidRDefault="00185040" w:rsidP="0021041D">
            <w:pPr>
              <w:pStyle w:val="TableHeading"/>
              <w:keepNext w:val="0"/>
              <w:jc w:val="center"/>
              <w:rPr>
                <w:rFonts w:cs="Calibri"/>
                <w:b w:val="0"/>
                <w:bCs/>
                <w:color w:val="000000"/>
                <w:szCs w:val="20"/>
              </w:rPr>
            </w:pPr>
            <w:r w:rsidRPr="00FF512C">
              <w:rPr>
                <w:rFonts w:cs="Calibri"/>
                <w:b w:val="0"/>
                <w:bCs/>
                <w:color w:val="000000"/>
                <w:szCs w:val="20"/>
              </w:rPr>
              <w:t>+102%</w:t>
            </w:r>
          </w:p>
        </w:tc>
      </w:tr>
      <w:tr w:rsidR="00185040" w:rsidRPr="00FF512C" w14:paraId="4278E888" w14:textId="77777777" w:rsidTr="003E2BEF">
        <w:tc>
          <w:tcPr>
            <w:tcW w:w="4265" w:type="dxa"/>
          </w:tcPr>
          <w:p w14:paraId="61365833" w14:textId="77777777" w:rsidR="00185040" w:rsidRPr="00FF512C" w:rsidRDefault="00185040" w:rsidP="0021041D">
            <w:pPr>
              <w:pStyle w:val="TableHeading"/>
              <w:keepNext w:val="0"/>
              <w:rPr>
                <w:b w:val="0"/>
                <w:bCs/>
                <w:szCs w:val="20"/>
              </w:rPr>
            </w:pPr>
            <w:r w:rsidRPr="00FF512C">
              <w:rPr>
                <w:b w:val="0"/>
                <w:bCs/>
                <w:szCs w:val="20"/>
              </w:rPr>
              <w:t>RAASi transitions based on month 4+ transitions in severe hyperkalaemia patients</w:t>
            </w:r>
          </w:p>
        </w:tc>
        <w:tc>
          <w:tcPr>
            <w:tcW w:w="1165" w:type="dxa"/>
            <w:tcBorders>
              <w:bottom w:val="single" w:sz="4" w:space="0" w:color="auto"/>
            </w:tcBorders>
            <w:shd w:val="solid" w:color="000000" w:fill="000000"/>
            <w:vAlign w:val="center"/>
          </w:tcPr>
          <w:p w14:paraId="7CE27BAF" w14:textId="412121EB" w:rsidR="00185040" w:rsidRPr="003E2BEF" w:rsidRDefault="003E2BEF" w:rsidP="0021041D">
            <w:pPr>
              <w:pStyle w:val="TableHeading"/>
              <w:keepNext w:val="0"/>
              <w:jc w:val="center"/>
              <w:rPr>
                <w:rFonts w:cs="Calibri"/>
                <w:b w:val="0"/>
                <w:bCs/>
                <w:color w:val="000000"/>
                <w:szCs w:val="20"/>
              </w:rPr>
            </w:pPr>
            <w:r w:rsidRPr="003E2BEF">
              <w:rPr>
                <w:rFonts w:cs="Calibri" w:hint="eastAsia"/>
                <w:b w:val="0"/>
                <w:bCs/>
                <w:color w:val="000000"/>
                <w:w w:val="15"/>
                <w:szCs w:val="20"/>
                <w:fitText w:val="46" w:id="-1304706807"/>
                <w14:textFill>
                  <w14:solidFill>
                    <w14:srgbClr w14:val="000000">
                      <w14:alpha w14:val="100000"/>
                    </w14:srgbClr>
                  </w14:solidFill>
                </w14:textFill>
              </w:rPr>
              <w:t xml:space="preserve">　</w:t>
            </w:r>
            <w:r w:rsidRPr="003E2BEF">
              <w:rPr>
                <w:rFonts w:cs="Calibri"/>
                <w:b w:val="0"/>
                <w:bCs/>
                <w:color w:val="000000"/>
                <w:w w:val="15"/>
                <w:szCs w:val="20"/>
                <w:fitText w:val="46" w:id="-1304706807"/>
                <w14:textFill>
                  <w14:solidFill>
                    <w14:srgbClr w14:val="000000">
                      <w14:alpha w14:val="100000"/>
                    </w14:srgbClr>
                  </w14:solidFill>
                </w14:textFill>
              </w:rPr>
              <w:t>|</w:t>
            </w:r>
            <w:r w:rsidRPr="003E2BEF">
              <w:rPr>
                <w:rFonts w:cs="Calibri" w:hint="eastAsia"/>
                <w:b w:val="0"/>
                <w:bCs/>
                <w:color w:val="000000"/>
                <w:spacing w:val="-19"/>
                <w:w w:val="15"/>
                <w:szCs w:val="20"/>
                <w:fitText w:val="46" w:id="-1304706807"/>
                <w14:textFill>
                  <w14:solidFill>
                    <w14:srgbClr w14:val="000000">
                      <w14:alpha w14:val="100000"/>
                    </w14:srgbClr>
                  </w14:solidFill>
                </w14:textFill>
              </w:rPr>
              <w:t xml:space="preserve">　</w:t>
            </w:r>
          </w:p>
        </w:tc>
        <w:tc>
          <w:tcPr>
            <w:tcW w:w="1165" w:type="dxa"/>
            <w:vAlign w:val="center"/>
          </w:tcPr>
          <w:p w14:paraId="17AFDCA4" w14:textId="77777777" w:rsidR="00185040" w:rsidRPr="00FF512C" w:rsidRDefault="00185040" w:rsidP="0021041D">
            <w:pPr>
              <w:pStyle w:val="TableHeading"/>
              <w:keepNext w:val="0"/>
              <w:jc w:val="center"/>
              <w:rPr>
                <w:rFonts w:cs="Calibri"/>
                <w:b w:val="0"/>
                <w:bCs/>
                <w:color w:val="000000"/>
                <w:szCs w:val="20"/>
              </w:rPr>
            </w:pPr>
            <w:r w:rsidRPr="00FF512C">
              <w:rPr>
                <w:rFonts w:cs="Calibri"/>
                <w:b w:val="0"/>
                <w:bCs/>
                <w:color w:val="000000"/>
                <w:szCs w:val="20"/>
              </w:rPr>
              <w:t>0.0834</w:t>
            </w:r>
          </w:p>
        </w:tc>
        <w:tc>
          <w:tcPr>
            <w:tcW w:w="1165" w:type="dxa"/>
            <w:vAlign w:val="center"/>
          </w:tcPr>
          <w:p w14:paraId="50B040FD" w14:textId="7C905585" w:rsidR="00185040" w:rsidRPr="002B70D2" w:rsidRDefault="003E2BEF" w:rsidP="0021041D">
            <w:pPr>
              <w:pStyle w:val="TableHeading"/>
              <w:keepNext w:val="0"/>
              <w:jc w:val="center"/>
              <w:rPr>
                <w:rFonts w:cs="Calibri"/>
                <w:b w:val="0"/>
                <w:bCs/>
                <w:color w:val="000000"/>
                <w:szCs w:val="20"/>
                <w:highlight w:val="darkGray"/>
              </w:rPr>
            </w:pPr>
            <w:r w:rsidRPr="003E2BEF">
              <w:rPr>
                <w:rFonts w:cs="Calibri" w:hint="eastAsia"/>
                <w:b w:val="0"/>
                <w:bCs/>
                <w:color w:val="000000"/>
                <w:w w:val="15"/>
                <w:szCs w:val="20"/>
                <w:shd w:val="solid" w:color="000000" w:fill="000000"/>
                <w:fitText w:val="57" w:id="-1304706806"/>
                <w14:textFill>
                  <w14:solidFill>
                    <w14:srgbClr w14:val="000000">
                      <w14:alpha w14:val="100000"/>
                    </w14:srgbClr>
                  </w14:solidFill>
                </w14:textFill>
              </w:rPr>
              <w:t xml:space="preserve">　</w:t>
            </w:r>
            <w:r w:rsidRPr="003E2BEF">
              <w:rPr>
                <w:rFonts w:cs="Calibri"/>
                <w:b w:val="0"/>
                <w:bCs/>
                <w:color w:val="000000"/>
                <w:w w:val="15"/>
                <w:szCs w:val="20"/>
                <w:shd w:val="solid" w:color="000000" w:fill="000000"/>
                <w:fitText w:val="57" w:id="-1304706806"/>
                <w14:textFill>
                  <w14:solidFill>
                    <w14:srgbClr w14:val="000000">
                      <w14:alpha w14:val="100000"/>
                    </w14:srgbClr>
                  </w14:solidFill>
                </w14:textFill>
              </w:rPr>
              <w:t>|</w:t>
            </w:r>
            <w:r w:rsidRPr="003E2BEF">
              <w:rPr>
                <w:rFonts w:cs="Calibri" w:hint="eastAsia"/>
                <w:b w:val="0"/>
                <w:bCs/>
                <w:color w:val="000000"/>
                <w:spacing w:val="-8"/>
                <w:w w:val="15"/>
                <w:szCs w:val="20"/>
                <w:shd w:val="solid" w:color="000000" w:fill="000000"/>
                <w:fitText w:val="57" w:id="-1304706806"/>
                <w14:textFill>
                  <w14:solidFill>
                    <w14:srgbClr w14:val="000000">
                      <w14:alpha w14:val="100000"/>
                    </w14:srgbClr>
                  </w14:solidFill>
                </w14:textFill>
              </w:rPr>
              <w:t xml:space="preserve">　</w:t>
            </w:r>
            <w:r w:rsidR="002B70D2">
              <w:rPr>
                <w:bCs/>
                <w:szCs w:val="20"/>
                <w:vertAlign w:val="superscript"/>
              </w:rPr>
              <w:t>5</w:t>
            </w:r>
          </w:p>
        </w:tc>
        <w:tc>
          <w:tcPr>
            <w:tcW w:w="1257" w:type="dxa"/>
            <w:vAlign w:val="center"/>
          </w:tcPr>
          <w:p w14:paraId="14BA19B5" w14:textId="77777777" w:rsidR="00185040" w:rsidRPr="00FF512C" w:rsidRDefault="00185040" w:rsidP="0021041D">
            <w:pPr>
              <w:pStyle w:val="TableHeading"/>
              <w:keepNext w:val="0"/>
              <w:jc w:val="center"/>
              <w:rPr>
                <w:rFonts w:cs="Calibri"/>
                <w:b w:val="0"/>
                <w:bCs/>
                <w:color w:val="000000"/>
                <w:szCs w:val="20"/>
              </w:rPr>
            </w:pPr>
            <w:r w:rsidRPr="00FF512C">
              <w:rPr>
                <w:rFonts w:cs="Calibri"/>
                <w:b w:val="0"/>
                <w:bCs/>
                <w:color w:val="000000"/>
                <w:szCs w:val="20"/>
              </w:rPr>
              <w:t>+67%</w:t>
            </w:r>
          </w:p>
        </w:tc>
      </w:tr>
      <w:tr w:rsidR="00185040" w:rsidRPr="00FF512C" w14:paraId="7D4BA69F" w14:textId="77777777" w:rsidTr="003E2BEF">
        <w:tc>
          <w:tcPr>
            <w:tcW w:w="4265" w:type="dxa"/>
          </w:tcPr>
          <w:p w14:paraId="337D7097" w14:textId="77777777" w:rsidR="00185040" w:rsidRPr="00FF512C" w:rsidRDefault="00185040" w:rsidP="0021041D">
            <w:pPr>
              <w:pStyle w:val="TableHeading"/>
              <w:keepNext w:val="0"/>
              <w:rPr>
                <w:b w:val="0"/>
                <w:bCs/>
                <w:szCs w:val="20"/>
              </w:rPr>
            </w:pPr>
            <w:r w:rsidRPr="00FF512C">
              <w:rPr>
                <w:rStyle w:val="CommentReference"/>
                <w:b/>
                <w:bCs/>
              </w:rPr>
              <w:t>RAASi transitions based on month 4+ transitions; weighted by hyperkalaemia incidence</w:t>
            </w:r>
          </w:p>
        </w:tc>
        <w:tc>
          <w:tcPr>
            <w:tcW w:w="1165" w:type="dxa"/>
            <w:shd w:val="solid" w:color="000000" w:fill="000000"/>
            <w:vAlign w:val="center"/>
          </w:tcPr>
          <w:p w14:paraId="6E5519C2" w14:textId="098DBAFC" w:rsidR="00185040" w:rsidRPr="003E2BEF" w:rsidRDefault="003E2BEF" w:rsidP="0021041D">
            <w:pPr>
              <w:pStyle w:val="TableHeading"/>
              <w:keepNext w:val="0"/>
              <w:jc w:val="center"/>
              <w:rPr>
                <w:rFonts w:cs="Calibri"/>
                <w:b w:val="0"/>
                <w:bCs/>
                <w:color w:val="000000"/>
                <w:szCs w:val="20"/>
              </w:rPr>
            </w:pPr>
            <w:r w:rsidRPr="003E2BEF">
              <w:rPr>
                <w:rFonts w:cs="Calibri" w:hint="eastAsia"/>
                <w:b w:val="0"/>
                <w:bCs/>
                <w:color w:val="000000"/>
                <w:w w:val="15"/>
                <w:szCs w:val="20"/>
                <w:fitText w:val="46" w:id="-1304706805"/>
                <w14:textFill>
                  <w14:solidFill>
                    <w14:srgbClr w14:val="000000">
                      <w14:alpha w14:val="100000"/>
                    </w14:srgbClr>
                  </w14:solidFill>
                </w14:textFill>
              </w:rPr>
              <w:t xml:space="preserve">　</w:t>
            </w:r>
            <w:r w:rsidRPr="003E2BEF">
              <w:rPr>
                <w:rFonts w:cs="Calibri"/>
                <w:b w:val="0"/>
                <w:bCs/>
                <w:color w:val="000000"/>
                <w:w w:val="15"/>
                <w:szCs w:val="20"/>
                <w:fitText w:val="46" w:id="-1304706805"/>
                <w14:textFill>
                  <w14:solidFill>
                    <w14:srgbClr w14:val="000000">
                      <w14:alpha w14:val="100000"/>
                    </w14:srgbClr>
                  </w14:solidFill>
                </w14:textFill>
              </w:rPr>
              <w:t>|</w:t>
            </w:r>
            <w:r w:rsidRPr="003E2BEF">
              <w:rPr>
                <w:rFonts w:cs="Calibri" w:hint="eastAsia"/>
                <w:b w:val="0"/>
                <w:bCs/>
                <w:color w:val="000000"/>
                <w:spacing w:val="-19"/>
                <w:w w:val="15"/>
                <w:szCs w:val="20"/>
                <w:fitText w:val="46" w:id="-1304706805"/>
                <w14:textFill>
                  <w14:solidFill>
                    <w14:srgbClr w14:val="000000">
                      <w14:alpha w14:val="100000"/>
                    </w14:srgbClr>
                  </w14:solidFill>
                </w14:textFill>
              </w:rPr>
              <w:t xml:space="preserve">　</w:t>
            </w:r>
          </w:p>
        </w:tc>
        <w:tc>
          <w:tcPr>
            <w:tcW w:w="1165" w:type="dxa"/>
            <w:vAlign w:val="center"/>
          </w:tcPr>
          <w:p w14:paraId="51CA1D90" w14:textId="77777777" w:rsidR="00185040" w:rsidRPr="00FF512C" w:rsidRDefault="00185040" w:rsidP="0021041D">
            <w:pPr>
              <w:pStyle w:val="TableHeading"/>
              <w:keepNext w:val="0"/>
              <w:jc w:val="center"/>
              <w:rPr>
                <w:rFonts w:cs="Calibri"/>
                <w:b w:val="0"/>
                <w:bCs/>
                <w:color w:val="000000"/>
                <w:szCs w:val="20"/>
              </w:rPr>
            </w:pPr>
            <w:r w:rsidRPr="00FF512C">
              <w:rPr>
                <w:rFonts w:cs="Calibri"/>
                <w:b w:val="0"/>
                <w:bCs/>
                <w:color w:val="000000"/>
                <w:szCs w:val="20"/>
              </w:rPr>
              <w:t>0.0755</w:t>
            </w:r>
          </w:p>
        </w:tc>
        <w:tc>
          <w:tcPr>
            <w:tcW w:w="1165" w:type="dxa"/>
            <w:vAlign w:val="center"/>
          </w:tcPr>
          <w:p w14:paraId="51DD0157" w14:textId="7978B9D3" w:rsidR="00185040" w:rsidRPr="002B70D2" w:rsidRDefault="003E2BEF" w:rsidP="0021041D">
            <w:pPr>
              <w:pStyle w:val="TableHeading"/>
              <w:keepNext w:val="0"/>
              <w:jc w:val="center"/>
              <w:rPr>
                <w:rFonts w:cs="Calibri"/>
                <w:b w:val="0"/>
                <w:bCs/>
                <w:color w:val="000000"/>
                <w:szCs w:val="20"/>
                <w:highlight w:val="darkGray"/>
              </w:rPr>
            </w:pPr>
            <w:r w:rsidRPr="003E2BEF">
              <w:rPr>
                <w:rFonts w:cs="Calibri" w:hint="eastAsia"/>
                <w:b w:val="0"/>
                <w:bCs/>
                <w:color w:val="000000"/>
                <w:w w:val="15"/>
                <w:szCs w:val="20"/>
                <w:shd w:val="solid" w:color="000000" w:fill="000000"/>
                <w:fitText w:val="57" w:id="-1304706804"/>
                <w14:textFill>
                  <w14:solidFill>
                    <w14:srgbClr w14:val="000000">
                      <w14:alpha w14:val="100000"/>
                    </w14:srgbClr>
                  </w14:solidFill>
                </w14:textFill>
              </w:rPr>
              <w:t xml:space="preserve">　</w:t>
            </w:r>
            <w:r w:rsidRPr="003E2BEF">
              <w:rPr>
                <w:rFonts w:cs="Calibri"/>
                <w:b w:val="0"/>
                <w:bCs/>
                <w:color w:val="000000"/>
                <w:w w:val="15"/>
                <w:szCs w:val="20"/>
                <w:shd w:val="solid" w:color="000000" w:fill="000000"/>
                <w:fitText w:val="57" w:id="-1304706804"/>
                <w14:textFill>
                  <w14:solidFill>
                    <w14:srgbClr w14:val="000000">
                      <w14:alpha w14:val="100000"/>
                    </w14:srgbClr>
                  </w14:solidFill>
                </w14:textFill>
              </w:rPr>
              <w:t>|</w:t>
            </w:r>
            <w:r w:rsidRPr="003E2BEF">
              <w:rPr>
                <w:rFonts w:cs="Calibri" w:hint="eastAsia"/>
                <w:b w:val="0"/>
                <w:bCs/>
                <w:color w:val="000000"/>
                <w:spacing w:val="-8"/>
                <w:w w:val="15"/>
                <w:szCs w:val="20"/>
                <w:shd w:val="solid" w:color="000000" w:fill="000000"/>
                <w:fitText w:val="57" w:id="-1304706804"/>
                <w14:textFill>
                  <w14:solidFill>
                    <w14:srgbClr w14:val="000000">
                      <w14:alpha w14:val="100000"/>
                    </w14:srgbClr>
                  </w14:solidFill>
                </w14:textFill>
              </w:rPr>
              <w:t xml:space="preserve">　</w:t>
            </w:r>
            <w:r w:rsidR="002B70D2">
              <w:rPr>
                <w:bCs/>
                <w:szCs w:val="20"/>
                <w:vertAlign w:val="superscript"/>
              </w:rPr>
              <w:t>4</w:t>
            </w:r>
          </w:p>
        </w:tc>
        <w:tc>
          <w:tcPr>
            <w:tcW w:w="1257" w:type="dxa"/>
            <w:vAlign w:val="center"/>
          </w:tcPr>
          <w:p w14:paraId="26895341" w14:textId="77777777" w:rsidR="00185040" w:rsidRPr="00FF512C" w:rsidRDefault="00185040" w:rsidP="0021041D">
            <w:pPr>
              <w:pStyle w:val="TableHeading"/>
              <w:keepNext w:val="0"/>
              <w:jc w:val="center"/>
              <w:rPr>
                <w:rFonts w:cs="Calibri"/>
                <w:b w:val="0"/>
                <w:bCs/>
                <w:color w:val="000000"/>
                <w:szCs w:val="20"/>
              </w:rPr>
            </w:pPr>
            <w:r w:rsidRPr="00FF512C">
              <w:rPr>
                <w:rFonts w:cs="Calibri"/>
                <w:b w:val="0"/>
                <w:bCs/>
                <w:color w:val="000000"/>
                <w:szCs w:val="20"/>
              </w:rPr>
              <w:t>+101%</w:t>
            </w:r>
          </w:p>
        </w:tc>
      </w:tr>
      <w:tr w:rsidR="00185040" w:rsidRPr="00FF512C" w14:paraId="02FD30BA" w14:textId="77777777" w:rsidTr="00624A83">
        <w:tc>
          <w:tcPr>
            <w:tcW w:w="9017" w:type="dxa"/>
            <w:gridSpan w:val="5"/>
          </w:tcPr>
          <w:p w14:paraId="5A4422F0" w14:textId="77777777" w:rsidR="00185040" w:rsidRPr="00FF512C" w:rsidRDefault="00185040" w:rsidP="0021041D">
            <w:pPr>
              <w:pStyle w:val="TableHeading"/>
              <w:keepNext w:val="0"/>
              <w:rPr>
                <w:rStyle w:val="CommentReference"/>
                <w:b/>
                <w:bCs/>
              </w:rPr>
            </w:pPr>
            <w:r w:rsidRPr="00FF512C">
              <w:rPr>
                <w:bCs/>
                <w:szCs w:val="20"/>
              </w:rPr>
              <w:t>Longer-term patiromer circumstances of use (base case: discontinuation rate after first month 5.67% per month; proportion of patients using 25.2 g/day dose: 3.6%; patiromer re-treatment allowed for patients with severe hyperkalaemia)</w:t>
            </w:r>
          </w:p>
        </w:tc>
      </w:tr>
      <w:tr w:rsidR="00185040" w:rsidRPr="00FF512C" w14:paraId="16D7E5BC" w14:textId="77777777" w:rsidTr="003E2BEF">
        <w:tc>
          <w:tcPr>
            <w:tcW w:w="4265" w:type="dxa"/>
          </w:tcPr>
          <w:p w14:paraId="4642F363" w14:textId="02BCFB85" w:rsidR="00185040" w:rsidRPr="00FF512C" w:rsidRDefault="00661AFB" w:rsidP="0021041D">
            <w:pPr>
              <w:pStyle w:val="TableHeading"/>
              <w:keepNext w:val="0"/>
              <w:rPr>
                <w:rStyle w:val="CommentReference"/>
                <w:b/>
              </w:rPr>
            </w:pPr>
            <w:r w:rsidRPr="00FF512C">
              <w:rPr>
                <w:szCs w:val="20"/>
              </w:rPr>
              <w:t xml:space="preserve">[B] </w:t>
            </w:r>
            <w:r w:rsidR="00185040" w:rsidRPr="00FF512C">
              <w:rPr>
                <w:b w:val="0"/>
                <w:bCs/>
                <w:szCs w:val="20"/>
              </w:rPr>
              <w:t>Proportion of patients using 25.2 g/day (54.55%) based on OPAL-HK Part B</w:t>
            </w:r>
            <w:r w:rsidRPr="00FF512C">
              <w:rPr>
                <w:b w:val="0"/>
                <w:bCs/>
                <w:szCs w:val="20"/>
              </w:rPr>
              <w:t xml:space="preserve"> </w:t>
            </w:r>
          </w:p>
        </w:tc>
        <w:tc>
          <w:tcPr>
            <w:tcW w:w="1165" w:type="dxa"/>
            <w:tcBorders>
              <w:bottom w:val="single" w:sz="4" w:space="0" w:color="auto"/>
            </w:tcBorders>
            <w:shd w:val="solid" w:color="000000" w:fill="000000"/>
            <w:vAlign w:val="center"/>
          </w:tcPr>
          <w:p w14:paraId="117FF011" w14:textId="3FCCBD3D" w:rsidR="00185040" w:rsidRPr="003E2BEF" w:rsidRDefault="003E2BEF" w:rsidP="0021041D">
            <w:pPr>
              <w:pStyle w:val="TableHeading"/>
              <w:keepNext w:val="0"/>
              <w:jc w:val="center"/>
              <w:rPr>
                <w:rStyle w:val="CommentReference"/>
                <w:b/>
                <w:bCs/>
              </w:rPr>
            </w:pPr>
            <w:r w:rsidRPr="003E2BEF">
              <w:rPr>
                <w:rFonts w:hint="eastAsia"/>
                <w:b w:val="0"/>
                <w:bCs/>
                <w:color w:val="000000"/>
                <w:w w:val="15"/>
                <w:szCs w:val="20"/>
                <w:fitText w:val="46" w:id="-1304706803"/>
                <w14:textFill>
                  <w14:solidFill>
                    <w14:srgbClr w14:val="000000">
                      <w14:alpha w14:val="100000"/>
                    </w14:srgbClr>
                  </w14:solidFill>
                </w14:textFill>
              </w:rPr>
              <w:t xml:space="preserve">　</w:t>
            </w:r>
            <w:r w:rsidRPr="003E2BEF">
              <w:rPr>
                <w:b w:val="0"/>
                <w:bCs/>
                <w:color w:val="000000"/>
                <w:w w:val="15"/>
                <w:szCs w:val="20"/>
                <w:fitText w:val="46" w:id="-1304706803"/>
                <w14:textFill>
                  <w14:solidFill>
                    <w14:srgbClr w14:val="000000">
                      <w14:alpha w14:val="100000"/>
                    </w14:srgbClr>
                  </w14:solidFill>
                </w14:textFill>
              </w:rPr>
              <w:t>|</w:t>
            </w:r>
            <w:r w:rsidRPr="003E2BEF">
              <w:rPr>
                <w:rFonts w:hint="eastAsia"/>
                <w:b w:val="0"/>
                <w:bCs/>
                <w:color w:val="000000"/>
                <w:spacing w:val="-19"/>
                <w:w w:val="15"/>
                <w:szCs w:val="20"/>
                <w:fitText w:val="46" w:id="-1304706803"/>
                <w14:textFill>
                  <w14:solidFill>
                    <w14:srgbClr w14:val="000000">
                      <w14:alpha w14:val="100000"/>
                    </w14:srgbClr>
                  </w14:solidFill>
                </w14:textFill>
              </w:rPr>
              <w:t xml:space="preserve">　</w:t>
            </w:r>
          </w:p>
        </w:tc>
        <w:tc>
          <w:tcPr>
            <w:tcW w:w="1165" w:type="dxa"/>
            <w:vAlign w:val="center"/>
          </w:tcPr>
          <w:p w14:paraId="74297126" w14:textId="77777777" w:rsidR="00185040" w:rsidRPr="00FF512C" w:rsidRDefault="00185040" w:rsidP="0021041D">
            <w:pPr>
              <w:pStyle w:val="TableHeading"/>
              <w:keepNext w:val="0"/>
              <w:jc w:val="center"/>
              <w:rPr>
                <w:rStyle w:val="CommentReference"/>
                <w:b/>
                <w:bCs/>
              </w:rPr>
            </w:pPr>
            <w:r w:rsidRPr="00FF512C">
              <w:rPr>
                <w:b w:val="0"/>
                <w:bCs/>
                <w:szCs w:val="20"/>
              </w:rPr>
              <w:t>0.2288</w:t>
            </w:r>
          </w:p>
        </w:tc>
        <w:tc>
          <w:tcPr>
            <w:tcW w:w="1165" w:type="dxa"/>
            <w:vAlign w:val="center"/>
          </w:tcPr>
          <w:p w14:paraId="74E6A8C0" w14:textId="3B18E7FA" w:rsidR="00185040" w:rsidRPr="002B70D2" w:rsidRDefault="003E2BEF" w:rsidP="0021041D">
            <w:pPr>
              <w:pStyle w:val="TableHeading"/>
              <w:keepNext w:val="0"/>
              <w:jc w:val="center"/>
              <w:rPr>
                <w:rStyle w:val="CommentReference"/>
                <w:b/>
                <w:bCs/>
                <w:highlight w:val="darkGray"/>
              </w:rPr>
            </w:pPr>
            <w:r w:rsidRPr="003E2BEF">
              <w:rPr>
                <w:rFonts w:hint="eastAsia"/>
                <w:b w:val="0"/>
                <w:bCs/>
                <w:color w:val="000000"/>
                <w:w w:val="15"/>
                <w:szCs w:val="20"/>
                <w:shd w:val="solid" w:color="000000" w:fill="000000"/>
                <w:fitText w:val="57" w:id="-1304706802"/>
                <w14:textFill>
                  <w14:solidFill>
                    <w14:srgbClr w14:val="000000">
                      <w14:alpha w14:val="100000"/>
                    </w14:srgbClr>
                  </w14:solidFill>
                </w14:textFill>
              </w:rPr>
              <w:t xml:space="preserve">　</w:t>
            </w:r>
            <w:r w:rsidRPr="003E2BEF">
              <w:rPr>
                <w:b w:val="0"/>
                <w:bCs/>
                <w:color w:val="000000"/>
                <w:w w:val="15"/>
                <w:szCs w:val="20"/>
                <w:shd w:val="solid" w:color="000000" w:fill="000000"/>
                <w:fitText w:val="57" w:id="-1304706802"/>
                <w14:textFill>
                  <w14:solidFill>
                    <w14:srgbClr w14:val="000000">
                      <w14:alpha w14:val="100000"/>
                    </w14:srgbClr>
                  </w14:solidFill>
                </w14:textFill>
              </w:rPr>
              <w:t>|</w:t>
            </w:r>
            <w:r w:rsidRPr="003E2BEF">
              <w:rPr>
                <w:rFonts w:hint="eastAsia"/>
                <w:b w:val="0"/>
                <w:bCs/>
                <w:color w:val="000000"/>
                <w:spacing w:val="-8"/>
                <w:w w:val="15"/>
                <w:szCs w:val="20"/>
                <w:shd w:val="solid" w:color="000000" w:fill="000000"/>
                <w:fitText w:val="57" w:id="-1304706802"/>
                <w14:textFill>
                  <w14:solidFill>
                    <w14:srgbClr w14:val="000000">
                      <w14:alpha w14:val="100000"/>
                    </w14:srgbClr>
                  </w14:solidFill>
                </w14:textFill>
              </w:rPr>
              <w:t xml:space="preserve">　</w:t>
            </w:r>
            <w:r w:rsidR="002B70D2">
              <w:rPr>
                <w:bCs/>
                <w:szCs w:val="20"/>
                <w:vertAlign w:val="superscript"/>
              </w:rPr>
              <w:t>2</w:t>
            </w:r>
          </w:p>
        </w:tc>
        <w:tc>
          <w:tcPr>
            <w:tcW w:w="1257" w:type="dxa"/>
            <w:vAlign w:val="center"/>
          </w:tcPr>
          <w:p w14:paraId="4FE4C7F5" w14:textId="77777777" w:rsidR="00185040" w:rsidRPr="00FF512C" w:rsidRDefault="00185040" w:rsidP="0021041D">
            <w:pPr>
              <w:pStyle w:val="TableHeading"/>
              <w:keepNext w:val="0"/>
              <w:jc w:val="center"/>
              <w:rPr>
                <w:rStyle w:val="CommentReference"/>
                <w:b/>
                <w:bCs/>
              </w:rPr>
            </w:pPr>
            <w:r w:rsidRPr="00FF512C">
              <w:rPr>
                <w:b w:val="0"/>
                <w:bCs/>
                <w:szCs w:val="20"/>
              </w:rPr>
              <w:t>+33%</w:t>
            </w:r>
          </w:p>
        </w:tc>
      </w:tr>
      <w:tr w:rsidR="00185040" w:rsidRPr="00FF512C" w14:paraId="1ABE64EF" w14:textId="77777777" w:rsidTr="003E2BEF">
        <w:tc>
          <w:tcPr>
            <w:tcW w:w="4265" w:type="dxa"/>
          </w:tcPr>
          <w:p w14:paraId="73952E11" w14:textId="77777777" w:rsidR="00185040" w:rsidRPr="00FF512C" w:rsidRDefault="00185040" w:rsidP="0021041D">
            <w:pPr>
              <w:pStyle w:val="TableHeading"/>
              <w:keepNext w:val="0"/>
              <w:rPr>
                <w:rStyle w:val="CommentReference"/>
                <w:b/>
                <w:bCs/>
              </w:rPr>
            </w:pPr>
            <w:r w:rsidRPr="00FF512C">
              <w:rPr>
                <w:b w:val="0"/>
                <w:bCs/>
                <w:szCs w:val="20"/>
              </w:rPr>
              <w:t>No patiromer retreatment</w:t>
            </w:r>
          </w:p>
        </w:tc>
        <w:tc>
          <w:tcPr>
            <w:tcW w:w="1165" w:type="dxa"/>
            <w:tcBorders>
              <w:bottom w:val="single" w:sz="4" w:space="0" w:color="auto"/>
            </w:tcBorders>
            <w:shd w:val="solid" w:color="000000" w:fill="000000"/>
            <w:vAlign w:val="center"/>
          </w:tcPr>
          <w:p w14:paraId="3D153B09" w14:textId="4144899F" w:rsidR="00185040" w:rsidRPr="003E2BEF" w:rsidRDefault="003E2BEF" w:rsidP="0021041D">
            <w:pPr>
              <w:pStyle w:val="TableHeading"/>
              <w:keepNext w:val="0"/>
              <w:jc w:val="center"/>
              <w:rPr>
                <w:rStyle w:val="CommentReference"/>
                <w:b/>
                <w:bCs/>
              </w:rPr>
            </w:pPr>
            <w:r w:rsidRPr="003E2BEF">
              <w:rPr>
                <w:rFonts w:hint="eastAsia"/>
                <w:b w:val="0"/>
                <w:bCs/>
                <w:color w:val="000000"/>
                <w:w w:val="15"/>
                <w:szCs w:val="20"/>
                <w:fitText w:val="46" w:id="-1304706801"/>
                <w14:textFill>
                  <w14:solidFill>
                    <w14:srgbClr w14:val="000000">
                      <w14:alpha w14:val="100000"/>
                    </w14:srgbClr>
                  </w14:solidFill>
                </w14:textFill>
              </w:rPr>
              <w:t xml:space="preserve">　</w:t>
            </w:r>
            <w:r w:rsidRPr="003E2BEF">
              <w:rPr>
                <w:b w:val="0"/>
                <w:bCs/>
                <w:color w:val="000000"/>
                <w:w w:val="15"/>
                <w:szCs w:val="20"/>
                <w:fitText w:val="46" w:id="-1304706801"/>
                <w14:textFill>
                  <w14:solidFill>
                    <w14:srgbClr w14:val="000000">
                      <w14:alpha w14:val="100000"/>
                    </w14:srgbClr>
                  </w14:solidFill>
                </w14:textFill>
              </w:rPr>
              <w:t>|</w:t>
            </w:r>
            <w:r w:rsidRPr="003E2BEF">
              <w:rPr>
                <w:rFonts w:hint="eastAsia"/>
                <w:b w:val="0"/>
                <w:bCs/>
                <w:color w:val="000000"/>
                <w:spacing w:val="-19"/>
                <w:w w:val="15"/>
                <w:szCs w:val="20"/>
                <w:fitText w:val="46" w:id="-1304706801"/>
                <w14:textFill>
                  <w14:solidFill>
                    <w14:srgbClr w14:val="000000">
                      <w14:alpha w14:val="100000"/>
                    </w14:srgbClr>
                  </w14:solidFill>
                </w14:textFill>
              </w:rPr>
              <w:t xml:space="preserve">　</w:t>
            </w:r>
          </w:p>
        </w:tc>
        <w:tc>
          <w:tcPr>
            <w:tcW w:w="1165" w:type="dxa"/>
            <w:vAlign w:val="center"/>
          </w:tcPr>
          <w:p w14:paraId="7286A1A8" w14:textId="77777777" w:rsidR="00185040" w:rsidRPr="00FF512C" w:rsidRDefault="00185040" w:rsidP="0021041D">
            <w:pPr>
              <w:pStyle w:val="TableHeading"/>
              <w:keepNext w:val="0"/>
              <w:jc w:val="center"/>
              <w:rPr>
                <w:rStyle w:val="CommentReference"/>
                <w:b/>
                <w:bCs/>
              </w:rPr>
            </w:pPr>
            <w:r w:rsidRPr="00FF512C">
              <w:rPr>
                <w:b w:val="0"/>
                <w:bCs/>
                <w:szCs w:val="20"/>
              </w:rPr>
              <w:t>0.2254</w:t>
            </w:r>
          </w:p>
        </w:tc>
        <w:tc>
          <w:tcPr>
            <w:tcW w:w="1165" w:type="dxa"/>
            <w:vAlign w:val="center"/>
          </w:tcPr>
          <w:p w14:paraId="31F49E9F" w14:textId="1D48DB9C" w:rsidR="00185040" w:rsidRPr="002B70D2" w:rsidRDefault="003E2BEF" w:rsidP="0021041D">
            <w:pPr>
              <w:pStyle w:val="TableHeading"/>
              <w:keepNext w:val="0"/>
              <w:jc w:val="center"/>
              <w:rPr>
                <w:rStyle w:val="CommentReference"/>
                <w:b/>
                <w:bCs/>
                <w:highlight w:val="darkGray"/>
              </w:rPr>
            </w:pPr>
            <w:r w:rsidRPr="003E2BEF">
              <w:rPr>
                <w:rFonts w:hint="eastAsia"/>
                <w:b w:val="0"/>
                <w:bCs/>
                <w:color w:val="000000"/>
                <w:w w:val="15"/>
                <w:szCs w:val="20"/>
                <w:shd w:val="solid" w:color="000000" w:fill="000000"/>
                <w:fitText w:val="57" w:id="-1304706800"/>
                <w14:textFill>
                  <w14:solidFill>
                    <w14:srgbClr w14:val="000000">
                      <w14:alpha w14:val="100000"/>
                    </w14:srgbClr>
                  </w14:solidFill>
                </w14:textFill>
              </w:rPr>
              <w:t xml:space="preserve">　</w:t>
            </w:r>
            <w:r w:rsidRPr="003E2BEF">
              <w:rPr>
                <w:b w:val="0"/>
                <w:bCs/>
                <w:color w:val="000000"/>
                <w:w w:val="15"/>
                <w:szCs w:val="20"/>
                <w:shd w:val="solid" w:color="000000" w:fill="000000"/>
                <w:fitText w:val="57" w:id="-1304706800"/>
                <w14:textFill>
                  <w14:solidFill>
                    <w14:srgbClr w14:val="000000">
                      <w14:alpha w14:val="100000"/>
                    </w14:srgbClr>
                  </w14:solidFill>
                </w14:textFill>
              </w:rPr>
              <w:t>|</w:t>
            </w:r>
            <w:r w:rsidRPr="003E2BEF">
              <w:rPr>
                <w:rFonts w:hint="eastAsia"/>
                <w:b w:val="0"/>
                <w:bCs/>
                <w:color w:val="000000"/>
                <w:spacing w:val="-8"/>
                <w:w w:val="15"/>
                <w:szCs w:val="20"/>
                <w:shd w:val="solid" w:color="000000" w:fill="000000"/>
                <w:fitText w:val="57" w:id="-1304706800"/>
                <w14:textFill>
                  <w14:solidFill>
                    <w14:srgbClr w14:val="000000">
                      <w14:alpha w14:val="100000"/>
                    </w14:srgbClr>
                  </w14:solidFill>
                </w14:textFill>
              </w:rPr>
              <w:t xml:space="preserve">　</w:t>
            </w:r>
            <w:r w:rsidR="002B70D2">
              <w:rPr>
                <w:bCs/>
                <w:szCs w:val="20"/>
                <w:vertAlign w:val="superscript"/>
              </w:rPr>
              <w:t>1</w:t>
            </w:r>
          </w:p>
        </w:tc>
        <w:tc>
          <w:tcPr>
            <w:tcW w:w="1257" w:type="dxa"/>
            <w:vAlign w:val="center"/>
          </w:tcPr>
          <w:p w14:paraId="10760584" w14:textId="77777777" w:rsidR="00185040" w:rsidRPr="00FF512C" w:rsidRDefault="00185040" w:rsidP="0021041D">
            <w:pPr>
              <w:pStyle w:val="TableHeading"/>
              <w:keepNext w:val="0"/>
              <w:jc w:val="center"/>
              <w:rPr>
                <w:rStyle w:val="CommentReference"/>
                <w:b/>
                <w:bCs/>
              </w:rPr>
            </w:pPr>
            <w:r w:rsidRPr="00FF512C">
              <w:rPr>
                <w:b w:val="0"/>
                <w:bCs/>
                <w:szCs w:val="20"/>
              </w:rPr>
              <w:t>-1%</w:t>
            </w:r>
          </w:p>
        </w:tc>
      </w:tr>
      <w:tr w:rsidR="00185040" w:rsidRPr="00FF512C" w14:paraId="7B29517E" w14:textId="77777777" w:rsidTr="003E2BEF">
        <w:tc>
          <w:tcPr>
            <w:tcW w:w="4265" w:type="dxa"/>
          </w:tcPr>
          <w:p w14:paraId="1532DF59" w14:textId="77777777" w:rsidR="00185040" w:rsidRPr="00FF512C" w:rsidRDefault="00185040" w:rsidP="0021041D">
            <w:pPr>
              <w:pStyle w:val="TableHeading"/>
              <w:keepNext w:val="0"/>
              <w:rPr>
                <w:rStyle w:val="CommentReference"/>
                <w:b/>
                <w:bCs/>
              </w:rPr>
            </w:pPr>
            <w:r w:rsidRPr="00FF512C">
              <w:rPr>
                <w:b w:val="0"/>
                <w:bCs/>
                <w:szCs w:val="20"/>
              </w:rPr>
              <w:t>Allow patiromer retreatment with moderate hyperkalaemia</w:t>
            </w:r>
          </w:p>
        </w:tc>
        <w:tc>
          <w:tcPr>
            <w:tcW w:w="1165" w:type="dxa"/>
            <w:tcBorders>
              <w:bottom w:val="single" w:sz="4" w:space="0" w:color="auto"/>
            </w:tcBorders>
            <w:shd w:val="solid" w:color="000000" w:fill="000000"/>
            <w:vAlign w:val="center"/>
          </w:tcPr>
          <w:p w14:paraId="5BAF077D" w14:textId="7BBBE248" w:rsidR="00185040" w:rsidRPr="003E2BEF" w:rsidRDefault="003E2BEF" w:rsidP="0021041D">
            <w:pPr>
              <w:pStyle w:val="TableHeading"/>
              <w:keepNext w:val="0"/>
              <w:jc w:val="center"/>
              <w:rPr>
                <w:rStyle w:val="CommentReference"/>
                <w:b/>
                <w:bCs/>
              </w:rPr>
            </w:pPr>
            <w:r w:rsidRPr="003E2BEF">
              <w:rPr>
                <w:rFonts w:hint="eastAsia"/>
                <w:b w:val="0"/>
                <w:bCs/>
                <w:color w:val="000000"/>
                <w:w w:val="15"/>
                <w:szCs w:val="20"/>
                <w:fitText w:val="46" w:id="-1304706816"/>
                <w14:textFill>
                  <w14:solidFill>
                    <w14:srgbClr w14:val="000000">
                      <w14:alpha w14:val="100000"/>
                    </w14:srgbClr>
                  </w14:solidFill>
                </w14:textFill>
              </w:rPr>
              <w:t xml:space="preserve">　</w:t>
            </w:r>
            <w:r w:rsidRPr="003E2BEF">
              <w:rPr>
                <w:b w:val="0"/>
                <w:bCs/>
                <w:color w:val="000000"/>
                <w:w w:val="15"/>
                <w:szCs w:val="20"/>
                <w:fitText w:val="46" w:id="-1304706816"/>
                <w14:textFill>
                  <w14:solidFill>
                    <w14:srgbClr w14:val="000000">
                      <w14:alpha w14:val="100000"/>
                    </w14:srgbClr>
                  </w14:solidFill>
                </w14:textFill>
              </w:rPr>
              <w:t>|</w:t>
            </w:r>
            <w:r w:rsidRPr="003E2BEF">
              <w:rPr>
                <w:rFonts w:hint="eastAsia"/>
                <w:b w:val="0"/>
                <w:bCs/>
                <w:color w:val="000000"/>
                <w:spacing w:val="-19"/>
                <w:w w:val="15"/>
                <w:szCs w:val="20"/>
                <w:fitText w:val="46" w:id="-1304706816"/>
                <w14:textFill>
                  <w14:solidFill>
                    <w14:srgbClr w14:val="000000">
                      <w14:alpha w14:val="100000"/>
                    </w14:srgbClr>
                  </w14:solidFill>
                </w14:textFill>
              </w:rPr>
              <w:t xml:space="preserve">　</w:t>
            </w:r>
          </w:p>
        </w:tc>
        <w:tc>
          <w:tcPr>
            <w:tcW w:w="1165" w:type="dxa"/>
            <w:vAlign w:val="center"/>
          </w:tcPr>
          <w:p w14:paraId="64BF1C0D" w14:textId="77777777" w:rsidR="00185040" w:rsidRPr="00FF512C" w:rsidRDefault="00185040" w:rsidP="0021041D">
            <w:pPr>
              <w:pStyle w:val="TableHeading"/>
              <w:keepNext w:val="0"/>
              <w:jc w:val="center"/>
              <w:rPr>
                <w:rStyle w:val="CommentReference"/>
                <w:b/>
                <w:bCs/>
              </w:rPr>
            </w:pPr>
            <w:r w:rsidRPr="00FF512C">
              <w:rPr>
                <w:b w:val="0"/>
                <w:bCs/>
                <w:szCs w:val="20"/>
              </w:rPr>
              <w:t>0.2424</w:t>
            </w:r>
          </w:p>
        </w:tc>
        <w:tc>
          <w:tcPr>
            <w:tcW w:w="1165" w:type="dxa"/>
            <w:vAlign w:val="center"/>
          </w:tcPr>
          <w:p w14:paraId="12A4102B" w14:textId="27E2B763" w:rsidR="00185040" w:rsidRPr="002B70D2" w:rsidRDefault="003E2BEF" w:rsidP="0021041D">
            <w:pPr>
              <w:pStyle w:val="TableHeading"/>
              <w:keepNext w:val="0"/>
              <w:jc w:val="center"/>
              <w:rPr>
                <w:rStyle w:val="CommentReference"/>
                <w:b/>
                <w:bCs/>
                <w:highlight w:val="darkGray"/>
              </w:rPr>
            </w:pPr>
            <w:r w:rsidRPr="003E2BEF">
              <w:rPr>
                <w:rFonts w:hint="eastAsia"/>
                <w:b w:val="0"/>
                <w:bCs/>
                <w:color w:val="000000"/>
                <w:w w:val="15"/>
                <w:szCs w:val="20"/>
                <w:shd w:val="solid" w:color="000000" w:fill="000000"/>
                <w:fitText w:val="57" w:id="-1304706815"/>
                <w14:textFill>
                  <w14:solidFill>
                    <w14:srgbClr w14:val="000000">
                      <w14:alpha w14:val="100000"/>
                    </w14:srgbClr>
                  </w14:solidFill>
                </w14:textFill>
              </w:rPr>
              <w:t xml:space="preserve">　</w:t>
            </w:r>
            <w:r w:rsidRPr="003E2BEF">
              <w:rPr>
                <w:b w:val="0"/>
                <w:bCs/>
                <w:color w:val="000000"/>
                <w:w w:val="15"/>
                <w:szCs w:val="20"/>
                <w:shd w:val="solid" w:color="000000" w:fill="000000"/>
                <w:fitText w:val="57" w:id="-1304706815"/>
                <w14:textFill>
                  <w14:solidFill>
                    <w14:srgbClr w14:val="000000">
                      <w14:alpha w14:val="100000"/>
                    </w14:srgbClr>
                  </w14:solidFill>
                </w14:textFill>
              </w:rPr>
              <w:t>|</w:t>
            </w:r>
            <w:r w:rsidRPr="003E2BEF">
              <w:rPr>
                <w:rFonts w:hint="eastAsia"/>
                <w:b w:val="0"/>
                <w:bCs/>
                <w:color w:val="000000"/>
                <w:spacing w:val="-8"/>
                <w:w w:val="15"/>
                <w:szCs w:val="20"/>
                <w:shd w:val="solid" w:color="000000" w:fill="000000"/>
                <w:fitText w:val="57" w:id="-1304706815"/>
                <w14:textFill>
                  <w14:solidFill>
                    <w14:srgbClr w14:val="000000">
                      <w14:alpha w14:val="100000"/>
                    </w14:srgbClr>
                  </w14:solidFill>
                </w14:textFill>
              </w:rPr>
              <w:t xml:space="preserve">　</w:t>
            </w:r>
            <w:r w:rsidR="002B70D2">
              <w:rPr>
                <w:bCs/>
                <w:szCs w:val="20"/>
                <w:vertAlign w:val="superscript"/>
              </w:rPr>
              <w:t>1</w:t>
            </w:r>
          </w:p>
        </w:tc>
        <w:tc>
          <w:tcPr>
            <w:tcW w:w="1257" w:type="dxa"/>
            <w:vAlign w:val="center"/>
          </w:tcPr>
          <w:p w14:paraId="3B0CF53F" w14:textId="77777777" w:rsidR="00185040" w:rsidRPr="00FF512C" w:rsidRDefault="00185040" w:rsidP="0021041D">
            <w:pPr>
              <w:pStyle w:val="TableHeading"/>
              <w:keepNext w:val="0"/>
              <w:jc w:val="center"/>
              <w:rPr>
                <w:rStyle w:val="CommentReference"/>
                <w:b/>
                <w:bCs/>
              </w:rPr>
            </w:pPr>
            <w:r w:rsidRPr="00FF512C">
              <w:rPr>
                <w:b w:val="0"/>
                <w:bCs/>
                <w:szCs w:val="20"/>
              </w:rPr>
              <w:t>+3%</w:t>
            </w:r>
          </w:p>
        </w:tc>
      </w:tr>
      <w:tr w:rsidR="00185040" w:rsidRPr="00FF512C" w14:paraId="5F2F80F3" w14:textId="77777777" w:rsidTr="003E2BEF">
        <w:tc>
          <w:tcPr>
            <w:tcW w:w="4265" w:type="dxa"/>
          </w:tcPr>
          <w:p w14:paraId="7B284648" w14:textId="77777777" w:rsidR="00185040" w:rsidRPr="00FF512C" w:rsidRDefault="00185040" w:rsidP="0021041D">
            <w:pPr>
              <w:pStyle w:val="TableHeading"/>
              <w:keepNext w:val="0"/>
              <w:rPr>
                <w:rStyle w:val="CommentReference"/>
                <w:b/>
                <w:bCs/>
              </w:rPr>
            </w:pPr>
            <w:r w:rsidRPr="00FF512C">
              <w:rPr>
                <w:b w:val="0"/>
                <w:bCs/>
                <w:szCs w:val="20"/>
              </w:rPr>
              <w:t>Allow patiromer retreatment with mild hyperkalaemia</w:t>
            </w:r>
          </w:p>
        </w:tc>
        <w:tc>
          <w:tcPr>
            <w:tcW w:w="1165" w:type="dxa"/>
            <w:shd w:val="solid" w:color="000000" w:fill="000000"/>
            <w:vAlign w:val="center"/>
          </w:tcPr>
          <w:p w14:paraId="531D2D91" w14:textId="45D59DFC" w:rsidR="00185040" w:rsidRPr="003E2BEF" w:rsidRDefault="003E2BEF" w:rsidP="0021041D">
            <w:pPr>
              <w:pStyle w:val="TableHeading"/>
              <w:keepNext w:val="0"/>
              <w:jc w:val="center"/>
              <w:rPr>
                <w:rStyle w:val="CommentReference"/>
                <w:b/>
                <w:bCs/>
              </w:rPr>
            </w:pPr>
            <w:r w:rsidRPr="003E2BEF">
              <w:rPr>
                <w:rFonts w:hint="eastAsia"/>
                <w:b w:val="0"/>
                <w:bCs/>
                <w:color w:val="000000"/>
                <w:w w:val="15"/>
                <w:szCs w:val="20"/>
                <w:fitText w:val="46" w:id="-1304706814"/>
                <w14:textFill>
                  <w14:solidFill>
                    <w14:srgbClr w14:val="000000">
                      <w14:alpha w14:val="100000"/>
                    </w14:srgbClr>
                  </w14:solidFill>
                </w14:textFill>
              </w:rPr>
              <w:t xml:space="preserve">　</w:t>
            </w:r>
            <w:r w:rsidRPr="003E2BEF">
              <w:rPr>
                <w:b w:val="0"/>
                <w:bCs/>
                <w:color w:val="000000"/>
                <w:w w:val="15"/>
                <w:szCs w:val="20"/>
                <w:fitText w:val="46" w:id="-1304706814"/>
                <w14:textFill>
                  <w14:solidFill>
                    <w14:srgbClr w14:val="000000">
                      <w14:alpha w14:val="100000"/>
                    </w14:srgbClr>
                  </w14:solidFill>
                </w14:textFill>
              </w:rPr>
              <w:t>|</w:t>
            </w:r>
            <w:r w:rsidRPr="003E2BEF">
              <w:rPr>
                <w:rFonts w:hint="eastAsia"/>
                <w:b w:val="0"/>
                <w:bCs/>
                <w:color w:val="000000"/>
                <w:spacing w:val="-19"/>
                <w:w w:val="15"/>
                <w:szCs w:val="20"/>
                <w:fitText w:val="46" w:id="-1304706814"/>
                <w14:textFill>
                  <w14:solidFill>
                    <w14:srgbClr w14:val="000000">
                      <w14:alpha w14:val="100000"/>
                    </w14:srgbClr>
                  </w14:solidFill>
                </w14:textFill>
              </w:rPr>
              <w:t xml:space="preserve">　</w:t>
            </w:r>
          </w:p>
        </w:tc>
        <w:tc>
          <w:tcPr>
            <w:tcW w:w="1165" w:type="dxa"/>
            <w:vAlign w:val="center"/>
          </w:tcPr>
          <w:p w14:paraId="216A05CB" w14:textId="77777777" w:rsidR="00185040" w:rsidRPr="00FF512C" w:rsidRDefault="00185040" w:rsidP="0021041D">
            <w:pPr>
              <w:pStyle w:val="TableHeading"/>
              <w:keepNext w:val="0"/>
              <w:jc w:val="center"/>
              <w:rPr>
                <w:rStyle w:val="CommentReference"/>
                <w:b/>
                <w:bCs/>
              </w:rPr>
            </w:pPr>
            <w:r w:rsidRPr="00FF512C">
              <w:rPr>
                <w:b w:val="0"/>
                <w:bCs/>
                <w:szCs w:val="20"/>
              </w:rPr>
              <w:t>0.3840</w:t>
            </w:r>
          </w:p>
        </w:tc>
        <w:tc>
          <w:tcPr>
            <w:tcW w:w="1165" w:type="dxa"/>
            <w:vAlign w:val="center"/>
          </w:tcPr>
          <w:p w14:paraId="7B6D08B8" w14:textId="3E51A7F4" w:rsidR="00185040" w:rsidRPr="002B70D2" w:rsidRDefault="003E2BEF" w:rsidP="0021041D">
            <w:pPr>
              <w:pStyle w:val="TableHeading"/>
              <w:keepNext w:val="0"/>
              <w:jc w:val="center"/>
              <w:rPr>
                <w:rStyle w:val="CommentReference"/>
                <w:b/>
                <w:bCs/>
                <w:highlight w:val="darkGray"/>
              </w:rPr>
            </w:pPr>
            <w:r w:rsidRPr="003E2BEF">
              <w:rPr>
                <w:rFonts w:hint="eastAsia"/>
                <w:b w:val="0"/>
                <w:bCs/>
                <w:color w:val="000000"/>
                <w:w w:val="15"/>
                <w:szCs w:val="20"/>
                <w:shd w:val="solid" w:color="000000" w:fill="000000"/>
                <w:fitText w:val="57" w:id="-1304706813"/>
                <w14:textFill>
                  <w14:solidFill>
                    <w14:srgbClr w14:val="000000">
                      <w14:alpha w14:val="100000"/>
                    </w14:srgbClr>
                  </w14:solidFill>
                </w14:textFill>
              </w:rPr>
              <w:t xml:space="preserve">　</w:t>
            </w:r>
            <w:r w:rsidRPr="003E2BEF">
              <w:rPr>
                <w:b w:val="0"/>
                <w:bCs/>
                <w:color w:val="000000"/>
                <w:w w:val="15"/>
                <w:szCs w:val="20"/>
                <w:shd w:val="solid" w:color="000000" w:fill="000000"/>
                <w:fitText w:val="57" w:id="-1304706813"/>
                <w14:textFill>
                  <w14:solidFill>
                    <w14:srgbClr w14:val="000000">
                      <w14:alpha w14:val="100000"/>
                    </w14:srgbClr>
                  </w14:solidFill>
                </w14:textFill>
              </w:rPr>
              <w:t>|</w:t>
            </w:r>
            <w:r w:rsidRPr="003E2BEF">
              <w:rPr>
                <w:rFonts w:hint="eastAsia"/>
                <w:b w:val="0"/>
                <w:bCs/>
                <w:color w:val="000000"/>
                <w:spacing w:val="-8"/>
                <w:w w:val="15"/>
                <w:szCs w:val="20"/>
                <w:shd w:val="solid" w:color="000000" w:fill="000000"/>
                <w:fitText w:val="57" w:id="-1304706813"/>
                <w14:textFill>
                  <w14:solidFill>
                    <w14:srgbClr w14:val="000000">
                      <w14:alpha w14:val="100000"/>
                    </w14:srgbClr>
                  </w14:solidFill>
                </w14:textFill>
              </w:rPr>
              <w:t xml:space="preserve">　</w:t>
            </w:r>
            <w:r w:rsidR="002B70D2">
              <w:rPr>
                <w:bCs/>
                <w:szCs w:val="20"/>
                <w:vertAlign w:val="superscript"/>
              </w:rPr>
              <w:t>2</w:t>
            </w:r>
          </w:p>
        </w:tc>
        <w:tc>
          <w:tcPr>
            <w:tcW w:w="1257" w:type="dxa"/>
            <w:vAlign w:val="center"/>
          </w:tcPr>
          <w:p w14:paraId="20F48217" w14:textId="77777777" w:rsidR="00185040" w:rsidRPr="00FF512C" w:rsidRDefault="00185040" w:rsidP="0021041D">
            <w:pPr>
              <w:pStyle w:val="TableHeading"/>
              <w:keepNext w:val="0"/>
              <w:jc w:val="center"/>
              <w:rPr>
                <w:rStyle w:val="CommentReference"/>
                <w:b/>
                <w:bCs/>
              </w:rPr>
            </w:pPr>
            <w:r w:rsidRPr="00FF512C">
              <w:rPr>
                <w:b w:val="0"/>
                <w:bCs/>
                <w:szCs w:val="20"/>
              </w:rPr>
              <w:t>+26%</w:t>
            </w:r>
          </w:p>
        </w:tc>
      </w:tr>
      <w:tr w:rsidR="00185040" w:rsidRPr="00FF512C" w14:paraId="1A44DFCA" w14:textId="77777777" w:rsidTr="00624A83">
        <w:tc>
          <w:tcPr>
            <w:tcW w:w="9017" w:type="dxa"/>
            <w:gridSpan w:val="5"/>
          </w:tcPr>
          <w:p w14:paraId="3C72C6E4" w14:textId="77777777" w:rsidR="00185040" w:rsidRPr="00FF512C" w:rsidRDefault="00185040" w:rsidP="0021041D">
            <w:pPr>
              <w:pStyle w:val="TableHeading"/>
              <w:keepNext w:val="0"/>
              <w:rPr>
                <w:b w:val="0"/>
                <w:bCs/>
                <w:szCs w:val="20"/>
              </w:rPr>
            </w:pPr>
            <w:r w:rsidRPr="00FF512C">
              <w:rPr>
                <w:szCs w:val="20"/>
              </w:rPr>
              <w:t>Longer-term patiromer treatment effects (base case: HR for RAASi discontinuation: 0.0687; HR for RAASi dose reduction: 1)</w:t>
            </w:r>
          </w:p>
        </w:tc>
      </w:tr>
      <w:tr w:rsidR="00185040" w:rsidRPr="00FF512C" w14:paraId="702663F7" w14:textId="77777777" w:rsidTr="003E2BEF">
        <w:tc>
          <w:tcPr>
            <w:tcW w:w="4265" w:type="dxa"/>
          </w:tcPr>
          <w:p w14:paraId="5F49FC62" w14:textId="77777777" w:rsidR="00185040" w:rsidRPr="00FF512C" w:rsidRDefault="00185040" w:rsidP="0021041D">
            <w:pPr>
              <w:pStyle w:val="TableHeading"/>
              <w:keepNext w:val="0"/>
              <w:rPr>
                <w:b w:val="0"/>
                <w:bCs/>
                <w:szCs w:val="20"/>
              </w:rPr>
            </w:pPr>
            <w:r w:rsidRPr="00FF512C">
              <w:rPr>
                <w:b w:val="0"/>
                <w:bCs/>
                <w:szCs w:val="20"/>
              </w:rPr>
              <w:t>HR for RAASi maximal discontinuation: 0.5</w:t>
            </w:r>
          </w:p>
        </w:tc>
        <w:tc>
          <w:tcPr>
            <w:tcW w:w="1165" w:type="dxa"/>
            <w:tcBorders>
              <w:bottom w:val="single" w:sz="4" w:space="0" w:color="auto"/>
            </w:tcBorders>
            <w:shd w:val="solid" w:color="000000" w:fill="000000"/>
            <w:vAlign w:val="center"/>
          </w:tcPr>
          <w:p w14:paraId="346417B1" w14:textId="5FD14735" w:rsidR="00185040" w:rsidRPr="003E2BEF" w:rsidRDefault="003E2BEF" w:rsidP="0021041D">
            <w:pPr>
              <w:pStyle w:val="TableHeading"/>
              <w:keepNext w:val="0"/>
              <w:jc w:val="center"/>
              <w:rPr>
                <w:b w:val="0"/>
                <w:bCs/>
                <w:szCs w:val="20"/>
              </w:rPr>
            </w:pPr>
            <w:r w:rsidRPr="003E2BEF">
              <w:rPr>
                <w:rFonts w:cs="Calibri" w:hint="eastAsia"/>
                <w:b w:val="0"/>
                <w:bCs/>
                <w:color w:val="000000"/>
                <w:w w:val="15"/>
                <w:szCs w:val="20"/>
                <w:fitText w:val="46" w:id="-1304706812"/>
                <w14:textFill>
                  <w14:solidFill>
                    <w14:srgbClr w14:val="000000">
                      <w14:alpha w14:val="100000"/>
                    </w14:srgbClr>
                  </w14:solidFill>
                </w14:textFill>
              </w:rPr>
              <w:t xml:space="preserve">　</w:t>
            </w:r>
            <w:r w:rsidRPr="003E2BEF">
              <w:rPr>
                <w:rFonts w:cs="Calibri"/>
                <w:b w:val="0"/>
                <w:bCs/>
                <w:color w:val="000000"/>
                <w:w w:val="15"/>
                <w:szCs w:val="20"/>
                <w:fitText w:val="46" w:id="-1304706812"/>
                <w14:textFill>
                  <w14:solidFill>
                    <w14:srgbClr w14:val="000000">
                      <w14:alpha w14:val="100000"/>
                    </w14:srgbClr>
                  </w14:solidFill>
                </w14:textFill>
              </w:rPr>
              <w:t>|</w:t>
            </w:r>
            <w:r w:rsidRPr="003E2BEF">
              <w:rPr>
                <w:rFonts w:cs="Calibri" w:hint="eastAsia"/>
                <w:b w:val="0"/>
                <w:bCs/>
                <w:color w:val="000000"/>
                <w:spacing w:val="-19"/>
                <w:w w:val="15"/>
                <w:szCs w:val="20"/>
                <w:fitText w:val="46" w:id="-1304706812"/>
                <w14:textFill>
                  <w14:solidFill>
                    <w14:srgbClr w14:val="000000">
                      <w14:alpha w14:val="100000"/>
                    </w14:srgbClr>
                  </w14:solidFill>
                </w14:textFill>
              </w:rPr>
              <w:t xml:space="preserve">　</w:t>
            </w:r>
          </w:p>
        </w:tc>
        <w:tc>
          <w:tcPr>
            <w:tcW w:w="1165" w:type="dxa"/>
            <w:vAlign w:val="center"/>
          </w:tcPr>
          <w:p w14:paraId="7EED9DD7" w14:textId="77777777" w:rsidR="00185040" w:rsidRPr="00FF512C" w:rsidRDefault="00185040" w:rsidP="0021041D">
            <w:pPr>
              <w:pStyle w:val="TableHeading"/>
              <w:keepNext w:val="0"/>
              <w:jc w:val="center"/>
              <w:rPr>
                <w:b w:val="0"/>
                <w:bCs/>
                <w:szCs w:val="20"/>
              </w:rPr>
            </w:pPr>
            <w:r w:rsidRPr="00FF512C">
              <w:rPr>
                <w:rFonts w:cs="Calibri"/>
                <w:b w:val="0"/>
                <w:bCs/>
                <w:color w:val="000000"/>
                <w:szCs w:val="20"/>
              </w:rPr>
              <w:t>0.2036</w:t>
            </w:r>
          </w:p>
        </w:tc>
        <w:tc>
          <w:tcPr>
            <w:tcW w:w="1165" w:type="dxa"/>
            <w:vAlign w:val="center"/>
          </w:tcPr>
          <w:p w14:paraId="7CCD3850" w14:textId="2B47A40D" w:rsidR="00185040" w:rsidRPr="002B70D2" w:rsidRDefault="003E2BEF" w:rsidP="0021041D">
            <w:pPr>
              <w:pStyle w:val="TableHeading"/>
              <w:keepNext w:val="0"/>
              <w:jc w:val="center"/>
              <w:rPr>
                <w:b w:val="0"/>
                <w:bCs/>
                <w:szCs w:val="20"/>
                <w:highlight w:val="darkGray"/>
              </w:rPr>
            </w:pPr>
            <w:r w:rsidRPr="003E2BEF">
              <w:rPr>
                <w:rFonts w:cs="Calibri" w:hint="eastAsia"/>
                <w:b w:val="0"/>
                <w:bCs/>
                <w:color w:val="000000"/>
                <w:w w:val="15"/>
                <w:szCs w:val="20"/>
                <w:shd w:val="solid" w:color="000000" w:fill="000000"/>
                <w:fitText w:val="57" w:id="-1304706811"/>
                <w14:textFill>
                  <w14:solidFill>
                    <w14:srgbClr w14:val="000000">
                      <w14:alpha w14:val="100000"/>
                    </w14:srgbClr>
                  </w14:solidFill>
                </w14:textFill>
              </w:rPr>
              <w:t xml:space="preserve">　</w:t>
            </w:r>
            <w:r w:rsidRPr="003E2BEF">
              <w:rPr>
                <w:rFonts w:cs="Calibri"/>
                <w:b w:val="0"/>
                <w:bCs/>
                <w:color w:val="000000"/>
                <w:w w:val="15"/>
                <w:szCs w:val="20"/>
                <w:shd w:val="solid" w:color="000000" w:fill="000000"/>
                <w:fitText w:val="57" w:id="-1304706811"/>
                <w14:textFill>
                  <w14:solidFill>
                    <w14:srgbClr w14:val="000000">
                      <w14:alpha w14:val="100000"/>
                    </w14:srgbClr>
                  </w14:solidFill>
                </w14:textFill>
              </w:rPr>
              <w:t>|</w:t>
            </w:r>
            <w:r w:rsidRPr="003E2BEF">
              <w:rPr>
                <w:rFonts w:cs="Calibri" w:hint="eastAsia"/>
                <w:b w:val="0"/>
                <w:bCs/>
                <w:color w:val="000000"/>
                <w:spacing w:val="-8"/>
                <w:w w:val="15"/>
                <w:szCs w:val="20"/>
                <w:shd w:val="solid" w:color="000000" w:fill="000000"/>
                <w:fitText w:val="57" w:id="-1304706811"/>
                <w14:textFill>
                  <w14:solidFill>
                    <w14:srgbClr w14:val="000000">
                      <w14:alpha w14:val="100000"/>
                    </w14:srgbClr>
                  </w14:solidFill>
                </w14:textFill>
              </w:rPr>
              <w:t xml:space="preserve">　</w:t>
            </w:r>
            <w:r w:rsidR="002B70D2">
              <w:rPr>
                <w:bCs/>
                <w:szCs w:val="20"/>
                <w:vertAlign w:val="superscript"/>
              </w:rPr>
              <w:t>2</w:t>
            </w:r>
          </w:p>
        </w:tc>
        <w:tc>
          <w:tcPr>
            <w:tcW w:w="1257" w:type="dxa"/>
            <w:vAlign w:val="center"/>
          </w:tcPr>
          <w:p w14:paraId="67F654F7" w14:textId="77777777" w:rsidR="00185040" w:rsidRPr="00FF512C" w:rsidRDefault="00185040" w:rsidP="0021041D">
            <w:pPr>
              <w:pStyle w:val="TableHeading"/>
              <w:keepNext w:val="0"/>
              <w:jc w:val="center"/>
              <w:rPr>
                <w:b w:val="0"/>
                <w:bCs/>
                <w:szCs w:val="20"/>
              </w:rPr>
            </w:pPr>
            <w:r w:rsidRPr="00FF512C">
              <w:rPr>
                <w:rFonts w:cs="Calibri"/>
                <w:b w:val="0"/>
                <w:bCs/>
                <w:color w:val="000000"/>
                <w:szCs w:val="20"/>
              </w:rPr>
              <w:t>+12%</w:t>
            </w:r>
          </w:p>
        </w:tc>
      </w:tr>
      <w:tr w:rsidR="00185040" w:rsidRPr="00FF512C" w14:paraId="478CE32F" w14:textId="77777777" w:rsidTr="003E2BEF">
        <w:tc>
          <w:tcPr>
            <w:tcW w:w="4265" w:type="dxa"/>
          </w:tcPr>
          <w:p w14:paraId="0BD5EB93" w14:textId="77777777" w:rsidR="00185040" w:rsidRPr="00FF512C" w:rsidRDefault="00185040" w:rsidP="0021041D">
            <w:pPr>
              <w:pStyle w:val="TableHeading"/>
              <w:keepNext w:val="0"/>
              <w:rPr>
                <w:b w:val="0"/>
                <w:bCs/>
                <w:szCs w:val="20"/>
              </w:rPr>
            </w:pPr>
            <w:r w:rsidRPr="00FF512C">
              <w:rPr>
                <w:b w:val="0"/>
                <w:bCs/>
                <w:szCs w:val="20"/>
              </w:rPr>
              <w:t>HR for RAASi maximal discontinuation: 1</w:t>
            </w:r>
          </w:p>
        </w:tc>
        <w:tc>
          <w:tcPr>
            <w:tcW w:w="1165" w:type="dxa"/>
            <w:tcBorders>
              <w:bottom w:val="single" w:sz="4" w:space="0" w:color="auto"/>
            </w:tcBorders>
            <w:shd w:val="solid" w:color="000000" w:fill="000000"/>
            <w:vAlign w:val="center"/>
          </w:tcPr>
          <w:p w14:paraId="28BB2F29" w14:textId="68239DB5" w:rsidR="00185040" w:rsidRPr="003E2BEF" w:rsidRDefault="003E2BEF" w:rsidP="0021041D">
            <w:pPr>
              <w:pStyle w:val="TableHeading"/>
              <w:keepNext w:val="0"/>
              <w:jc w:val="center"/>
              <w:rPr>
                <w:b w:val="0"/>
                <w:bCs/>
                <w:szCs w:val="20"/>
              </w:rPr>
            </w:pPr>
            <w:r w:rsidRPr="003E2BEF">
              <w:rPr>
                <w:rFonts w:cs="Calibri" w:hint="eastAsia"/>
                <w:b w:val="0"/>
                <w:bCs/>
                <w:color w:val="000000"/>
                <w:w w:val="15"/>
                <w:szCs w:val="20"/>
                <w:fitText w:val="46" w:id="-1304706810"/>
                <w14:textFill>
                  <w14:solidFill>
                    <w14:srgbClr w14:val="000000">
                      <w14:alpha w14:val="100000"/>
                    </w14:srgbClr>
                  </w14:solidFill>
                </w14:textFill>
              </w:rPr>
              <w:t xml:space="preserve">　</w:t>
            </w:r>
            <w:r w:rsidRPr="003E2BEF">
              <w:rPr>
                <w:rFonts w:cs="Calibri"/>
                <w:b w:val="0"/>
                <w:bCs/>
                <w:color w:val="000000"/>
                <w:w w:val="15"/>
                <w:szCs w:val="20"/>
                <w:fitText w:val="46" w:id="-1304706810"/>
                <w14:textFill>
                  <w14:solidFill>
                    <w14:srgbClr w14:val="000000">
                      <w14:alpha w14:val="100000"/>
                    </w14:srgbClr>
                  </w14:solidFill>
                </w14:textFill>
              </w:rPr>
              <w:t>|</w:t>
            </w:r>
            <w:r w:rsidRPr="003E2BEF">
              <w:rPr>
                <w:rFonts w:cs="Calibri" w:hint="eastAsia"/>
                <w:b w:val="0"/>
                <w:bCs/>
                <w:color w:val="000000"/>
                <w:spacing w:val="-19"/>
                <w:w w:val="15"/>
                <w:szCs w:val="20"/>
                <w:fitText w:val="46" w:id="-1304706810"/>
                <w14:textFill>
                  <w14:solidFill>
                    <w14:srgbClr w14:val="000000">
                      <w14:alpha w14:val="100000"/>
                    </w14:srgbClr>
                  </w14:solidFill>
                </w14:textFill>
              </w:rPr>
              <w:t xml:space="preserve">　</w:t>
            </w:r>
          </w:p>
        </w:tc>
        <w:tc>
          <w:tcPr>
            <w:tcW w:w="1165" w:type="dxa"/>
            <w:vAlign w:val="center"/>
          </w:tcPr>
          <w:p w14:paraId="300CF9AF" w14:textId="77777777" w:rsidR="00185040" w:rsidRPr="00FF512C" w:rsidRDefault="00185040" w:rsidP="0021041D">
            <w:pPr>
              <w:pStyle w:val="TableHeading"/>
              <w:keepNext w:val="0"/>
              <w:jc w:val="center"/>
              <w:rPr>
                <w:b w:val="0"/>
                <w:bCs/>
                <w:szCs w:val="20"/>
              </w:rPr>
            </w:pPr>
            <w:r w:rsidRPr="00FF512C">
              <w:rPr>
                <w:rFonts w:cs="Calibri"/>
                <w:b w:val="0"/>
                <w:bCs/>
                <w:color w:val="000000"/>
                <w:szCs w:val="20"/>
              </w:rPr>
              <w:t>0.1775</w:t>
            </w:r>
          </w:p>
        </w:tc>
        <w:tc>
          <w:tcPr>
            <w:tcW w:w="1165" w:type="dxa"/>
            <w:vAlign w:val="center"/>
          </w:tcPr>
          <w:p w14:paraId="7CD3747B" w14:textId="215F95BA" w:rsidR="00185040" w:rsidRPr="002B70D2" w:rsidRDefault="003E2BEF" w:rsidP="0021041D">
            <w:pPr>
              <w:pStyle w:val="TableHeading"/>
              <w:keepNext w:val="0"/>
              <w:jc w:val="center"/>
              <w:rPr>
                <w:b w:val="0"/>
                <w:bCs/>
                <w:szCs w:val="20"/>
                <w:highlight w:val="darkGray"/>
              </w:rPr>
            </w:pPr>
            <w:r w:rsidRPr="003E2BEF">
              <w:rPr>
                <w:rFonts w:cs="Calibri" w:hint="eastAsia"/>
                <w:b w:val="0"/>
                <w:bCs/>
                <w:color w:val="000000"/>
                <w:w w:val="15"/>
                <w:szCs w:val="20"/>
                <w:shd w:val="solid" w:color="000000" w:fill="000000"/>
                <w:fitText w:val="57" w:id="-1304706809"/>
                <w14:textFill>
                  <w14:solidFill>
                    <w14:srgbClr w14:val="000000">
                      <w14:alpha w14:val="100000"/>
                    </w14:srgbClr>
                  </w14:solidFill>
                </w14:textFill>
              </w:rPr>
              <w:t xml:space="preserve">　</w:t>
            </w:r>
            <w:r w:rsidRPr="003E2BEF">
              <w:rPr>
                <w:rFonts w:cs="Calibri"/>
                <w:b w:val="0"/>
                <w:bCs/>
                <w:color w:val="000000"/>
                <w:w w:val="15"/>
                <w:szCs w:val="20"/>
                <w:shd w:val="solid" w:color="000000" w:fill="000000"/>
                <w:fitText w:val="57" w:id="-1304706809"/>
                <w14:textFill>
                  <w14:solidFill>
                    <w14:srgbClr w14:val="000000">
                      <w14:alpha w14:val="100000"/>
                    </w14:srgbClr>
                  </w14:solidFill>
                </w14:textFill>
              </w:rPr>
              <w:t>|</w:t>
            </w:r>
            <w:r w:rsidRPr="003E2BEF">
              <w:rPr>
                <w:rFonts w:cs="Calibri" w:hint="eastAsia"/>
                <w:b w:val="0"/>
                <w:bCs/>
                <w:color w:val="000000"/>
                <w:spacing w:val="-8"/>
                <w:w w:val="15"/>
                <w:szCs w:val="20"/>
                <w:shd w:val="solid" w:color="000000" w:fill="000000"/>
                <w:fitText w:val="57" w:id="-1304706809"/>
                <w14:textFill>
                  <w14:solidFill>
                    <w14:srgbClr w14:val="000000">
                      <w14:alpha w14:val="100000"/>
                    </w14:srgbClr>
                  </w14:solidFill>
                </w14:textFill>
              </w:rPr>
              <w:t xml:space="preserve">　</w:t>
            </w:r>
            <w:r w:rsidR="002B70D2">
              <w:rPr>
                <w:bCs/>
                <w:szCs w:val="20"/>
                <w:vertAlign w:val="superscript"/>
              </w:rPr>
              <w:t>2</w:t>
            </w:r>
          </w:p>
        </w:tc>
        <w:tc>
          <w:tcPr>
            <w:tcW w:w="1257" w:type="dxa"/>
            <w:vAlign w:val="center"/>
          </w:tcPr>
          <w:p w14:paraId="57287E94" w14:textId="77777777" w:rsidR="00185040" w:rsidRPr="00FF512C" w:rsidRDefault="00185040" w:rsidP="0021041D">
            <w:pPr>
              <w:pStyle w:val="TableHeading"/>
              <w:keepNext w:val="0"/>
              <w:jc w:val="center"/>
              <w:rPr>
                <w:b w:val="0"/>
                <w:bCs/>
                <w:szCs w:val="20"/>
              </w:rPr>
            </w:pPr>
            <w:r w:rsidRPr="00FF512C">
              <w:rPr>
                <w:rFonts w:cs="Calibri"/>
                <w:b w:val="0"/>
                <w:bCs/>
                <w:color w:val="000000"/>
                <w:szCs w:val="20"/>
              </w:rPr>
              <w:t>+27%</w:t>
            </w:r>
          </w:p>
        </w:tc>
      </w:tr>
      <w:tr w:rsidR="00185040" w:rsidRPr="00FF512C" w14:paraId="09379F32" w14:textId="77777777" w:rsidTr="003E2BEF">
        <w:tc>
          <w:tcPr>
            <w:tcW w:w="4265" w:type="dxa"/>
          </w:tcPr>
          <w:p w14:paraId="02F45FBD" w14:textId="77777777" w:rsidR="00185040" w:rsidRPr="00FF512C" w:rsidRDefault="00185040" w:rsidP="0021041D">
            <w:pPr>
              <w:pStyle w:val="TableHeading"/>
              <w:keepNext w:val="0"/>
              <w:rPr>
                <w:b w:val="0"/>
                <w:bCs/>
                <w:szCs w:val="20"/>
              </w:rPr>
            </w:pPr>
            <w:r w:rsidRPr="00FF512C">
              <w:rPr>
                <w:b w:val="0"/>
                <w:bCs/>
                <w:szCs w:val="20"/>
              </w:rPr>
              <w:t>HR for RAASi submaximal discontinuation: 0.5</w:t>
            </w:r>
          </w:p>
        </w:tc>
        <w:tc>
          <w:tcPr>
            <w:tcW w:w="1165" w:type="dxa"/>
            <w:tcBorders>
              <w:bottom w:val="single" w:sz="4" w:space="0" w:color="auto"/>
            </w:tcBorders>
            <w:shd w:val="solid" w:color="000000" w:fill="000000"/>
            <w:vAlign w:val="center"/>
          </w:tcPr>
          <w:p w14:paraId="74098B15" w14:textId="2A6A660C" w:rsidR="00185040" w:rsidRPr="003E2BEF" w:rsidRDefault="003E2BEF" w:rsidP="0021041D">
            <w:pPr>
              <w:pStyle w:val="TableHeading"/>
              <w:keepNext w:val="0"/>
              <w:jc w:val="center"/>
              <w:rPr>
                <w:rFonts w:cs="Calibri"/>
                <w:b w:val="0"/>
                <w:bCs/>
                <w:color w:val="000000"/>
                <w:szCs w:val="20"/>
              </w:rPr>
            </w:pPr>
            <w:r w:rsidRPr="003E2BEF">
              <w:rPr>
                <w:rFonts w:cs="Calibri" w:hint="eastAsia"/>
                <w:b w:val="0"/>
                <w:bCs/>
                <w:color w:val="000000"/>
                <w:w w:val="15"/>
                <w:szCs w:val="20"/>
                <w:fitText w:val="46" w:id="-1304706808"/>
                <w14:textFill>
                  <w14:solidFill>
                    <w14:srgbClr w14:val="000000">
                      <w14:alpha w14:val="100000"/>
                    </w14:srgbClr>
                  </w14:solidFill>
                </w14:textFill>
              </w:rPr>
              <w:t xml:space="preserve">　</w:t>
            </w:r>
            <w:r w:rsidRPr="003E2BEF">
              <w:rPr>
                <w:rFonts w:cs="Calibri"/>
                <w:b w:val="0"/>
                <w:bCs/>
                <w:color w:val="000000"/>
                <w:w w:val="15"/>
                <w:szCs w:val="20"/>
                <w:fitText w:val="46" w:id="-1304706808"/>
                <w14:textFill>
                  <w14:solidFill>
                    <w14:srgbClr w14:val="000000">
                      <w14:alpha w14:val="100000"/>
                    </w14:srgbClr>
                  </w14:solidFill>
                </w14:textFill>
              </w:rPr>
              <w:t>|</w:t>
            </w:r>
            <w:r w:rsidRPr="003E2BEF">
              <w:rPr>
                <w:rFonts w:cs="Calibri" w:hint="eastAsia"/>
                <w:b w:val="0"/>
                <w:bCs/>
                <w:color w:val="000000"/>
                <w:spacing w:val="-19"/>
                <w:w w:val="15"/>
                <w:szCs w:val="20"/>
                <w:fitText w:val="46" w:id="-1304706808"/>
                <w14:textFill>
                  <w14:solidFill>
                    <w14:srgbClr w14:val="000000">
                      <w14:alpha w14:val="100000"/>
                    </w14:srgbClr>
                  </w14:solidFill>
                </w14:textFill>
              </w:rPr>
              <w:t xml:space="preserve">　</w:t>
            </w:r>
          </w:p>
        </w:tc>
        <w:tc>
          <w:tcPr>
            <w:tcW w:w="1165" w:type="dxa"/>
            <w:vAlign w:val="center"/>
          </w:tcPr>
          <w:p w14:paraId="2D299207" w14:textId="77777777" w:rsidR="00185040" w:rsidRPr="00FF512C" w:rsidRDefault="00185040" w:rsidP="0021041D">
            <w:pPr>
              <w:pStyle w:val="TableHeading"/>
              <w:keepNext w:val="0"/>
              <w:jc w:val="center"/>
              <w:rPr>
                <w:rFonts w:cs="Calibri"/>
                <w:b w:val="0"/>
                <w:bCs/>
                <w:color w:val="000000"/>
                <w:szCs w:val="20"/>
              </w:rPr>
            </w:pPr>
            <w:r w:rsidRPr="00FF512C">
              <w:rPr>
                <w:rFonts w:cs="Calibri"/>
                <w:b w:val="0"/>
                <w:bCs/>
                <w:color w:val="000000"/>
                <w:szCs w:val="20"/>
              </w:rPr>
              <w:t>0.2297</w:t>
            </w:r>
          </w:p>
        </w:tc>
        <w:tc>
          <w:tcPr>
            <w:tcW w:w="1165" w:type="dxa"/>
            <w:vAlign w:val="center"/>
          </w:tcPr>
          <w:p w14:paraId="2ED3E897" w14:textId="58DC6D0A" w:rsidR="00185040" w:rsidRPr="002B70D2" w:rsidRDefault="003E2BEF" w:rsidP="0021041D">
            <w:pPr>
              <w:pStyle w:val="TableHeading"/>
              <w:keepNext w:val="0"/>
              <w:jc w:val="center"/>
              <w:rPr>
                <w:rFonts w:cs="Calibri"/>
                <w:b w:val="0"/>
                <w:bCs/>
                <w:color w:val="000000"/>
                <w:szCs w:val="20"/>
                <w:highlight w:val="darkGray"/>
              </w:rPr>
            </w:pPr>
            <w:r w:rsidRPr="003E2BEF">
              <w:rPr>
                <w:rFonts w:cs="Calibri" w:hint="eastAsia"/>
                <w:b w:val="0"/>
                <w:bCs/>
                <w:color w:val="000000"/>
                <w:w w:val="15"/>
                <w:szCs w:val="20"/>
                <w:shd w:val="solid" w:color="000000" w:fill="000000"/>
                <w:fitText w:val="57" w:id="-1304706807"/>
                <w14:textFill>
                  <w14:solidFill>
                    <w14:srgbClr w14:val="000000">
                      <w14:alpha w14:val="100000"/>
                    </w14:srgbClr>
                  </w14:solidFill>
                </w14:textFill>
              </w:rPr>
              <w:t xml:space="preserve">　</w:t>
            </w:r>
            <w:r w:rsidRPr="003E2BEF">
              <w:rPr>
                <w:rFonts w:cs="Calibri"/>
                <w:b w:val="0"/>
                <w:bCs/>
                <w:color w:val="000000"/>
                <w:w w:val="15"/>
                <w:szCs w:val="20"/>
                <w:shd w:val="solid" w:color="000000" w:fill="000000"/>
                <w:fitText w:val="57" w:id="-1304706807"/>
                <w14:textFill>
                  <w14:solidFill>
                    <w14:srgbClr w14:val="000000">
                      <w14:alpha w14:val="100000"/>
                    </w14:srgbClr>
                  </w14:solidFill>
                </w14:textFill>
              </w:rPr>
              <w:t>|</w:t>
            </w:r>
            <w:r w:rsidRPr="003E2BEF">
              <w:rPr>
                <w:rFonts w:cs="Calibri" w:hint="eastAsia"/>
                <w:b w:val="0"/>
                <w:bCs/>
                <w:color w:val="000000"/>
                <w:spacing w:val="-8"/>
                <w:w w:val="15"/>
                <w:szCs w:val="20"/>
                <w:shd w:val="solid" w:color="000000" w:fill="000000"/>
                <w:fitText w:val="57" w:id="-1304706807"/>
                <w14:textFill>
                  <w14:solidFill>
                    <w14:srgbClr w14:val="000000">
                      <w14:alpha w14:val="100000"/>
                    </w14:srgbClr>
                  </w14:solidFill>
                </w14:textFill>
              </w:rPr>
              <w:t xml:space="preserve">　</w:t>
            </w:r>
            <w:r w:rsidR="002B70D2">
              <w:rPr>
                <w:bCs/>
                <w:szCs w:val="20"/>
                <w:vertAlign w:val="superscript"/>
              </w:rPr>
              <w:t>1</w:t>
            </w:r>
          </w:p>
        </w:tc>
        <w:tc>
          <w:tcPr>
            <w:tcW w:w="1257" w:type="dxa"/>
            <w:vAlign w:val="center"/>
          </w:tcPr>
          <w:p w14:paraId="128EBEBA" w14:textId="77777777" w:rsidR="00185040" w:rsidRPr="00FF512C" w:rsidRDefault="00185040" w:rsidP="0021041D">
            <w:pPr>
              <w:pStyle w:val="TableHeading"/>
              <w:keepNext w:val="0"/>
              <w:jc w:val="center"/>
              <w:rPr>
                <w:rFonts w:cs="Calibri"/>
                <w:b w:val="0"/>
                <w:bCs/>
                <w:color w:val="000000"/>
                <w:szCs w:val="20"/>
              </w:rPr>
            </w:pPr>
            <w:r w:rsidRPr="00FF512C">
              <w:rPr>
                <w:rFonts w:cs="Calibri"/>
                <w:b w:val="0"/>
                <w:bCs/>
                <w:color w:val="000000"/>
                <w:szCs w:val="20"/>
              </w:rPr>
              <w:t>+1%</w:t>
            </w:r>
          </w:p>
        </w:tc>
      </w:tr>
      <w:tr w:rsidR="00185040" w:rsidRPr="00FF512C" w14:paraId="3E7C4715" w14:textId="77777777" w:rsidTr="003E2BEF">
        <w:tc>
          <w:tcPr>
            <w:tcW w:w="4265" w:type="dxa"/>
          </w:tcPr>
          <w:p w14:paraId="35E2E86D" w14:textId="77777777" w:rsidR="00185040" w:rsidRPr="00FF512C" w:rsidRDefault="00185040" w:rsidP="0021041D">
            <w:pPr>
              <w:pStyle w:val="TableHeading"/>
              <w:keepNext w:val="0"/>
              <w:rPr>
                <w:b w:val="0"/>
                <w:bCs/>
                <w:szCs w:val="20"/>
              </w:rPr>
            </w:pPr>
            <w:r w:rsidRPr="00FF512C">
              <w:rPr>
                <w:b w:val="0"/>
                <w:bCs/>
                <w:szCs w:val="20"/>
              </w:rPr>
              <w:lastRenderedPageBreak/>
              <w:t>HR for RAASi submaximal discontinuation: 1</w:t>
            </w:r>
          </w:p>
        </w:tc>
        <w:tc>
          <w:tcPr>
            <w:tcW w:w="1165" w:type="dxa"/>
            <w:tcBorders>
              <w:bottom w:val="single" w:sz="4" w:space="0" w:color="auto"/>
            </w:tcBorders>
            <w:shd w:val="solid" w:color="000000" w:fill="000000"/>
            <w:vAlign w:val="center"/>
          </w:tcPr>
          <w:p w14:paraId="5CFB7E54" w14:textId="4E940056" w:rsidR="00185040" w:rsidRPr="003E2BEF" w:rsidRDefault="003E2BEF" w:rsidP="0021041D">
            <w:pPr>
              <w:pStyle w:val="TableHeading"/>
              <w:keepNext w:val="0"/>
              <w:jc w:val="center"/>
              <w:rPr>
                <w:rFonts w:cs="Calibri"/>
                <w:b w:val="0"/>
                <w:bCs/>
                <w:color w:val="000000"/>
                <w:szCs w:val="20"/>
              </w:rPr>
            </w:pPr>
            <w:r w:rsidRPr="003E2BEF">
              <w:rPr>
                <w:rFonts w:cs="Calibri" w:hint="eastAsia"/>
                <w:b w:val="0"/>
                <w:bCs/>
                <w:color w:val="000000"/>
                <w:w w:val="15"/>
                <w:szCs w:val="20"/>
                <w:fitText w:val="46" w:id="-1304706806"/>
                <w14:textFill>
                  <w14:solidFill>
                    <w14:srgbClr w14:val="000000">
                      <w14:alpha w14:val="100000"/>
                    </w14:srgbClr>
                  </w14:solidFill>
                </w14:textFill>
              </w:rPr>
              <w:t xml:space="preserve">　</w:t>
            </w:r>
            <w:r w:rsidRPr="003E2BEF">
              <w:rPr>
                <w:rFonts w:cs="Calibri"/>
                <w:b w:val="0"/>
                <w:bCs/>
                <w:color w:val="000000"/>
                <w:w w:val="15"/>
                <w:szCs w:val="20"/>
                <w:fitText w:val="46" w:id="-1304706806"/>
                <w14:textFill>
                  <w14:solidFill>
                    <w14:srgbClr w14:val="000000">
                      <w14:alpha w14:val="100000"/>
                    </w14:srgbClr>
                  </w14:solidFill>
                </w14:textFill>
              </w:rPr>
              <w:t>|</w:t>
            </w:r>
            <w:r w:rsidRPr="003E2BEF">
              <w:rPr>
                <w:rFonts w:cs="Calibri" w:hint="eastAsia"/>
                <w:b w:val="0"/>
                <w:bCs/>
                <w:color w:val="000000"/>
                <w:spacing w:val="-19"/>
                <w:w w:val="15"/>
                <w:szCs w:val="20"/>
                <w:fitText w:val="46" w:id="-1304706806"/>
                <w14:textFill>
                  <w14:solidFill>
                    <w14:srgbClr w14:val="000000">
                      <w14:alpha w14:val="100000"/>
                    </w14:srgbClr>
                  </w14:solidFill>
                </w14:textFill>
              </w:rPr>
              <w:t xml:space="preserve">　</w:t>
            </w:r>
          </w:p>
        </w:tc>
        <w:tc>
          <w:tcPr>
            <w:tcW w:w="1165" w:type="dxa"/>
            <w:vAlign w:val="center"/>
          </w:tcPr>
          <w:p w14:paraId="372A4976" w14:textId="77777777" w:rsidR="00185040" w:rsidRPr="00FF512C" w:rsidRDefault="00185040" w:rsidP="0021041D">
            <w:pPr>
              <w:pStyle w:val="TableHeading"/>
              <w:keepNext w:val="0"/>
              <w:jc w:val="center"/>
              <w:rPr>
                <w:rFonts w:cs="Calibri"/>
                <w:b w:val="0"/>
                <w:bCs/>
                <w:color w:val="000000"/>
                <w:szCs w:val="20"/>
              </w:rPr>
            </w:pPr>
            <w:r w:rsidRPr="00FF512C">
              <w:rPr>
                <w:rFonts w:cs="Calibri"/>
                <w:b w:val="0"/>
                <w:bCs/>
                <w:color w:val="000000"/>
                <w:szCs w:val="20"/>
              </w:rPr>
              <w:t>0.2307</w:t>
            </w:r>
          </w:p>
        </w:tc>
        <w:tc>
          <w:tcPr>
            <w:tcW w:w="1165" w:type="dxa"/>
            <w:vAlign w:val="center"/>
          </w:tcPr>
          <w:p w14:paraId="6C5111C0" w14:textId="1A9188AB" w:rsidR="00185040" w:rsidRPr="002B70D2" w:rsidRDefault="003E2BEF" w:rsidP="0021041D">
            <w:pPr>
              <w:pStyle w:val="TableHeading"/>
              <w:keepNext w:val="0"/>
              <w:jc w:val="center"/>
              <w:rPr>
                <w:rFonts w:cs="Calibri"/>
                <w:b w:val="0"/>
                <w:bCs/>
                <w:color w:val="000000"/>
                <w:szCs w:val="20"/>
                <w:highlight w:val="darkGray"/>
              </w:rPr>
            </w:pPr>
            <w:r w:rsidRPr="003E2BEF">
              <w:rPr>
                <w:rFonts w:cs="Calibri" w:hint="eastAsia"/>
                <w:b w:val="0"/>
                <w:bCs/>
                <w:color w:val="000000"/>
                <w:w w:val="15"/>
                <w:szCs w:val="20"/>
                <w:shd w:val="solid" w:color="000000" w:fill="000000"/>
                <w:fitText w:val="57" w:id="-1304706805"/>
                <w14:textFill>
                  <w14:solidFill>
                    <w14:srgbClr w14:val="000000">
                      <w14:alpha w14:val="100000"/>
                    </w14:srgbClr>
                  </w14:solidFill>
                </w14:textFill>
              </w:rPr>
              <w:t xml:space="preserve">　</w:t>
            </w:r>
            <w:r w:rsidRPr="003E2BEF">
              <w:rPr>
                <w:rFonts w:cs="Calibri"/>
                <w:b w:val="0"/>
                <w:bCs/>
                <w:color w:val="000000"/>
                <w:w w:val="15"/>
                <w:szCs w:val="20"/>
                <w:shd w:val="solid" w:color="000000" w:fill="000000"/>
                <w:fitText w:val="57" w:id="-1304706805"/>
                <w14:textFill>
                  <w14:solidFill>
                    <w14:srgbClr w14:val="000000">
                      <w14:alpha w14:val="100000"/>
                    </w14:srgbClr>
                  </w14:solidFill>
                </w14:textFill>
              </w:rPr>
              <w:t>|</w:t>
            </w:r>
            <w:r w:rsidRPr="003E2BEF">
              <w:rPr>
                <w:rFonts w:cs="Calibri" w:hint="eastAsia"/>
                <w:b w:val="0"/>
                <w:bCs/>
                <w:color w:val="000000"/>
                <w:spacing w:val="-8"/>
                <w:w w:val="15"/>
                <w:szCs w:val="20"/>
                <w:shd w:val="solid" w:color="000000" w:fill="000000"/>
                <w:fitText w:val="57" w:id="-1304706805"/>
                <w14:textFill>
                  <w14:solidFill>
                    <w14:srgbClr w14:val="000000">
                      <w14:alpha w14:val="100000"/>
                    </w14:srgbClr>
                  </w14:solidFill>
                </w14:textFill>
              </w:rPr>
              <w:t xml:space="preserve">　</w:t>
            </w:r>
            <w:r w:rsidR="002B70D2">
              <w:rPr>
                <w:bCs/>
                <w:szCs w:val="20"/>
                <w:vertAlign w:val="superscript"/>
              </w:rPr>
              <w:t>1</w:t>
            </w:r>
          </w:p>
        </w:tc>
        <w:tc>
          <w:tcPr>
            <w:tcW w:w="1257" w:type="dxa"/>
            <w:vAlign w:val="center"/>
          </w:tcPr>
          <w:p w14:paraId="7D22E370" w14:textId="77777777" w:rsidR="00185040" w:rsidRPr="00FF512C" w:rsidRDefault="00185040" w:rsidP="0021041D">
            <w:pPr>
              <w:pStyle w:val="TableHeading"/>
              <w:keepNext w:val="0"/>
              <w:jc w:val="center"/>
              <w:rPr>
                <w:rFonts w:cs="Calibri"/>
                <w:b w:val="0"/>
                <w:bCs/>
                <w:color w:val="000000"/>
                <w:szCs w:val="20"/>
              </w:rPr>
            </w:pPr>
            <w:r w:rsidRPr="00FF512C">
              <w:rPr>
                <w:rFonts w:cs="Calibri"/>
                <w:b w:val="0"/>
                <w:bCs/>
                <w:color w:val="000000"/>
                <w:szCs w:val="20"/>
              </w:rPr>
              <w:t>+3%</w:t>
            </w:r>
          </w:p>
        </w:tc>
      </w:tr>
      <w:tr w:rsidR="00185040" w:rsidRPr="00FF512C" w14:paraId="0B80D753" w14:textId="77777777" w:rsidTr="003E2BEF">
        <w:tc>
          <w:tcPr>
            <w:tcW w:w="4265" w:type="dxa"/>
          </w:tcPr>
          <w:p w14:paraId="40BFD329" w14:textId="77777777" w:rsidR="00185040" w:rsidRPr="00FF512C" w:rsidRDefault="00185040" w:rsidP="0021041D">
            <w:pPr>
              <w:pStyle w:val="TableHeading"/>
              <w:keepNext w:val="0"/>
              <w:rPr>
                <w:b w:val="0"/>
                <w:bCs/>
                <w:szCs w:val="20"/>
              </w:rPr>
            </w:pPr>
            <w:r w:rsidRPr="00FF512C">
              <w:rPr>
                <w:b w:val="0"/>
                <w:bCs/>
                <w:szCs w:val="20"/>
              </w:rPr>
              <w:t>HR for RAASi maximal dose reduction: 0.0687</w:t>
            </w:r>
          </w:p>
        </w:tc>
        <w:tc>
          <w:tcPr>
            <w:tcW w:w="1165" w:type="dxa"/>
            <w:tcBorders>
              <w:bottom w:val="single" w:sz="4" w:space="0" w:color="auto"/>
            </w:tcBorders>
            <w:shd w:val="solid" w:color="000000" w:fill="000000"/>
            <w:vAlign w:val="center"/>
          </w:tcPr>
          <w:p w14:paraId="1A14A044" w14:textId="0C1F15A3" w:rsidR="00185040" w:rsidRPr="003E2BEF" w:rsidRDefault="003E2BEF" w:rsidP="0021041D">
            <w:pPr>
              <w:pStyle w:val="TableHeading"/>
              <w:keepNext w:val="0"/>
              <w:jc w:val="center"/>
              <w:rPr>
                <w:rFonts w:cs="Calibri"/>
                <w:b w:val="0"/>
                <w:bCs/>
                <w:color w:val="000000"/>
                <w:szCs w:val="20"/>
              </w:rPr>
            </w:pPr>
            <w:r w:rsidRPr="003E2BEF">
              <w:rPr>
                <w:rFonts w:cs="Calibri" w:hint="eastAsia"/>
                <w:b w:val="0"/>
                <w:bCs/>
                <w:color w:val="000000"/>
                <w:w w:val="15"/>
                <w:szCs w:val="20"/>
                <w:fitText w:val="46" w:id="-1304706804"/>
                <w14:textFill>
                  <w14:solidFill>
                    <w14:srgbClr w14:val="000000">
                      <w14:alpha w14:val="100000"/>
                    </w14:srgbClr>
                  </w14:solidFill>
                </w14:textFill>
              </w:rPr>
              <w:t xml:space="preserve">　</w:t>
            </w:r>
            <w:r w:rsidRPr="003E2BEF">
              <w:rPr>
                <w:rFonts w:cs="Calibri"/>
                <w:b w:val="0"/>
                <w:bCs/>
                <w:color w:val="000000"/>
                <w:w w:val="15"/>
                <w:szCs w:val="20"/>
                <w:fitText w:val="46" w:id="-1304706804"/>
                <w14:textFill>
                  <w14:solidFill>
                    <w14:srgbClr w14:val="000000">
                      <w14:alpha w14:val="100000"/>
                    </w14:srgbClr>
                  </w14:solidFill>
                </w14:textFill>
              </w:rPr>
              <w:t>|</w:t>
            </w:r>
            <w:r w:rsidRPr="003E2BEF">
              <w:rPr>
                <w:rFonts w:cs="Calibri" w:hint="eastAsia"/>
                <w:b w:val="0"/>
                <w:bCs/>
                <w:color w:val="000000"/>
                <w:spacing w:val="-19"/>
                <w:w w:val="15"/>
                <w:szCs w:val="20"/>
                <w:fitText w:val="46" w:id="-1304706804"/>
                <w14:textFill>
                  <w14:solidFill>
                    <w14:srgbClr w14:val="000000">
                      <w14:alpha w14:val="100000"/>
                    </w14:srgbClr>
                  </w14:solidFill>
                </w14:textFill>
              </w:rPr>
              <w:t xml:space="preserve">　</w:t>
            </w:r>
          </w:p>
        </w:tc>
        <w:tc>
          <w:tcPr>
            <w:tcW w:w="1165" w:type="dxa"/>
            <w:vAlign w:val="center"/>
          </w:tcPr>
          <w:p w14:paraId="24551869" w14:textId="77777777" w:rsidR="00185040" w:rsidRPr="00FF512C" w:rsidRDefault="00185040" w:rsidP="0021041D">
            <w:pPr>
              <w:pStyle w:val="TableHeading"/>
              <w:keepNext w:val="0"/>
              <w:jc w:val="center"/>
              <w:rPr>
                <w:rFonts w:cs="Calibri"/>
                <w:b w:val="0"/>
                <w:bCs/>
                <w:color w:val="000000"/>
                <w:szCs w:val="20"/>
              </w:rPr>
            </w:pPr>
            <w:r w:rsidRPr="00FF512C">
              <w:rPr>
                <w:rFonts w:cs="Calibri"/>
                <w:b w:val="0"/>
                <w:bCs/>
                <w:color w:val="000000"/>
                <w:szCs w:val="20"/>
              </w:rPr>
              <w:t>0.2887</w:t>
            </w:r>
          </w:p>
        </w:tc>
        <w:tc>
          <w:tcPr>
            <w:tcW w:w="1165" w:type="dxa"/>
            <w:vAlign w:val="center"/>
          </w:tcPr>
          <w:p w14:paraId="6F964776" w14:textId="1E224B0C" w:rsidR="00185040" w:rsidRPr="002B70D2" w:rsidRDefault="003E2BEF" w:rsidP="0021041D">
            <w:pPr>
              <w:pStyle w:val="TableHeading"/>
              <w:keepNext w:val="0"/>
              <w:jc w:val="center"/>
              <w:rPr>
                <w:rFonts w:cs="Calibri"/>
                <w:b w:val="0"/>
                <w:bCs/>
                <w:color w:val="000000"/>
                <w:szCs w:val="20"/>
                <w:highlight w:val="darkGray"/>
              </w:rPr>
            </w:pPr>
            <w:r w:rsidRPr="003E2BEF">
              <w:rPr>
                <w:rFonts w:cs="Calibri" w:hint="eastAsia"/>
                <w:b w:val="0"/>
                <w:bCs/>
                <w:color w:val="000000"/>
                <w:w w:val="15"/>
                <w:szCs w:val="20"/>
                <w:shd w:val="solid" w:color="000000" w:fill="000000"/>
                <w:fitText w:val="57" w:id="-1304706803"/>
                <w14:textFill>
                  <w14:solidFill>
                    <w14:srgbClr w14:val="000000">
                      <w14:alpha w14:val="100000"/>
                    </w14:srgbClr>
                  </w14:solidFill>
                </w14:textFill>
              </w:rPr>
              <w:t xml:space="preserve">　</w:t>
            </w:r>
            <w:r w:rsidRPr="003E2BEF">
              <w:rPr>
                <w:rFonts w:cs="Calibri"/>
                <w:b w:val="0"/>
                <w:bCs/>
                <w:color w:val="000000"/>
                <w:w w:val="15"/>
                <w:szCs w:val="20"/>
                <w:shd w:val="solid" w:color="000000" w:fill="000000"/>
                <w:fitText w:val="57" w:id="-1304706803"/>
                <w14:textFill>
                  <w14:solidFill>
                    <w14:srgbClr w14:val="000000">
                      <w14:alpha w14:val="100000"/>
                    </w14:srgbClr>
                  </w14:solidFill>
                </w14:textFill>
              </w:rPr>
              <w:t>|</w:t>
            </w:r>
            <w:r w:rsidRPr="003E2BEF">
              <w:rPr>
                <w:rFonts w:cs="Calibri" w:hint="eastAsia"/>
                <w:b w:val="0"/>
                <w:bCs/>
                <w:color w:val="000000"/>
                <w:spacing w:val="-8"/>
                <w:w w:val="15"/>
                <w:szCs w:val="20"/>
                <w:shd w:val="solid" w:color="000000" w:fill="000000"/>
                <w:fitText w:val="57" w:id="-1304706803"/>
                <w14:textFill>
                  <w14:solidFill>
                    <w14:srgbClr w14:val="000000">
                      <w14:alpha w14:val="100000"/>
                    </w14:srgbClr>
                  </w14:solidFill>
                </w14:textFill>
              </w:rPr>
              <w:t xml:space="preserve">　</w:t>
            </w:r>
            <w:r w:rsidR="002B70D2">
              <w:rPr>
                <w:bCs/>
                <w:szCs w:val="20"/>
                <w:vertAlign w:val="superscript"/>
              </w:rPr>
              <w:t>1</w:t>
            </w:r>
          </w:p>
        </w:tc>
        <w:tc>
          <w:tcPr>
            <w:tcW w:w="1257" w:type="dxa"/>
            <w:vAlign w:val="center"/>
          </w:tcPr>
          <w:p w14:paraId="73407978" w14:textId="77777777" w:rsidR="00185040" w:rsidRPr="00FF512C" w:rsidRDefault="00185040" w:rsidP="0021041D">
            <w:pPr>
              <w:pStyle w:val="TableHeading"/>
              <w:keepNext w:val="0"/>
              <w:jc w:val="center"/>
              <w:rPr>
                <w:rFonts w:cs="Calibri"/>
                <w:b w:val="0"/>
                <w:bCs/>
                <w:color w:val="000000"/>
                <w:szCs w:val="20"/>
              </w:rPr>
            </w:pPr>
            <w:r w:rsidRPr="00FF512C">
              <w:rPr>
                <w:rFonts w:cs="Calibri"/>
                <w:b w:val="0"/>
                <w:bCs/>
                <w:color w:val="000000"/>
                <w:szCs w:val="20"/>
              </w:rPr>
              <w:t>+1%</w:t>
            </w:r>
          </w:p>
        </w:tc>
      </w:tr>
      <w:tr w:rsidR="00185040" w:rsidRPr="00FF512C" w14:paraId="09E35A90" w14:textId="77777777" w:rsidTr="003E2BEF">
        <w:tc>
          <w:tcPr>
            <w:tcW w:w="4265" w:type="dxa"/>
          </w:tcPr>
          <w:p w14:paraId="68D13FD3" w14:textId="77777777" w:rsidR="00185040" w:rsidRPr="00FF512C" w:rsidRDefault="00185040" w:rsidP="0021041D">
            <w:pPr>
              <w:pStyle w:val="TableHeading"/>
              <w:keepNext w:val="0"/>
              <w:rPr>
                <w:b w:val="0"/>
                <w:bCs/>
                <w:szCs w:val="20"/>
              </w:rPr>
            </w:pPr>
            <w:r w:rsidRPr="00FF512C">
              <w:rPr>
                <w:b w:val="0"/>
                <w:bCs/>
                <w:szCs w:val="20"/>
              </w:rPr>
              <w:t>HR for RAASi maximal dose reduction: 0.5</w:t>
            </w:r>
          </w:p>
        </w:tc>
        <w:tc>
          <w:tcPr>
            <w:tcW w:w="1165" w:type="dxa"/>
            <w:tcBorders>
              <w:bottom w:val="single" w:sz="4" w:space="0" w:color="auto"/>
            </w:tcBorders>
            <w:shd w:val="solid" w:color="000000" w:fill="000000"/>
            <w:vAlign w:val="center"/>
          </w:tcPr>
          <w:p w14:paraId="3E8A7617" w14:textId="2CAC75BE" w:rsidR="00185040" w:rsidRPr="003E2BEF" w:rsidRDefault="003E2BEF" w:rsidP="0021041D">
            <w:pPr>
              <w:pStyle w:val="TableHeading"/>
              <w:keepNext w:val="0"/>
              <w:jc w:val="center"/>
              <w:rPr>
                <w:rFonts w:cs="Calibri"/>
                <w:b w:val="0"/>
                <w:bCs/>
                <w:color w:val="000000"/>
                <w:szCs w:val="20"/>
              </w:rPr>
            </w:pPr>
            <w:r w:rsidRPr="003E2BEF">
              <w:rPr>
                <w:rFonts w:cs="Calibri" w:hint="eastAsia"/>
                <w:b w:val="0"/>
                <w:bCs/>
                <w:color w:val="000000"/>
                <w:w w:val="15"/>
                <w:szCs w:val="20"/>
                <w:fitText w:val="46" w:id="-1304706802"/>
                <w14:textFill>
                  <w14:solidFill>
                    <w14:srgbClr w14:val="000000">
                      <w14:alpha w14:val="100000"/>
                    </w14:srgbClr>
                  </w14:solidFill>
                </w14:textFill>
              </w:rPr>
              <w:t xml:space="preserve">　</w:t>
            </w:r>
            <w:r w:rsidRPr="003E2BEF">
              <w:rPr>
                <w:rFonts w:cs="Calibri"/>
                <w:b w:val="0"/>
                <w:bCs/>
                <w:color w:val="000000"/>
                <w:w w:val="15"/>
                <w:szCs w:val="20"/>
                <w:fitText w:val="46" w:id="-1304706802"/>
                <w14:textFill>
                  <w14:solidFill>
                    <w14:srgbClr w14:val="000000">
                      <w14:alpha w14:val="100000"/>
                    </w14:srgbClr>
                  </w14:solidFill>
                </w14:textFill>
              </w:rPr>
              <w:t>|</w:t>
            </w:r>
            <w:r w:rsidRPr="003E2BEF">
              <w:rPr>
                <w:rFonts w:cs="Calibri" w:hint="eastAsia"/>
                <w:b w:val="0"/>
                <w:bCs/>
                <w:color w:val="000000"/>
                <w:spacing w:val="-19"/>
                <w:w w:val="15"/>
                <w:szCs w:val="20"/>
                <w:fitText w:val="46" w:id="-1304706802"/>
                <w14:textFill>
                  <w14:solidFill>
                    <w14:srgbClr w14:val="000000">
                      <w14:alpha w14:val="100000"/>
                    </w14:srgbClr>
                  </w14:solidFill>
                </w14:textFill>
              </w:rPr>
              <w:t xml:space="preserve">　</w:t>
            </w:r>
          </w:p>
        </w:tc>
        <w:tc>
          <w:tcPr>
            <w:tcW w:w="1165" w:type="dxa"/>
            <w:vAlign w:val="center"/>
          </w:tcPr>
          <w:p w14:paraId="60E13488" w14:textId="77777777" w:rsidR="00185040" w:rsidRPr="00FF512C" w:rsidRDefault="00185040" w:rsidP="0021041D">
            <w:pPr>
              <w:pStyle w:val="TableHeading"/>
              <w:keepNext w:val="0"/>
              <w:jc w:val="center"/>
              <w:rPr>
                <w:rFonts w:cs="Calibri"/>
                <w:b w:val="0"/>
                <w:bCs/>
                <w:color w:val="000000"/>
                <w:szCs w:val="20"/>
              </w:rPr>
            </w:pPr>
            <w:r w:rsidRPr="00FF512C">
              <w:rPr>
                <w:rFonts w:cs="Calibri"/>
                <w:b w:val="0"/>
                <w:bCs/>
                <w:color w:val="000000"/>
                <w:szCs w:val="20"/>
              </w:rPr>
              <w:t>0.2592</w:t>
            </w:r>
          </w:p>
        </w:tc>
        <w:tc>
          <w:tcPr>
            <w:tcW w:w="1165" w:type="dxa"/>
            <w:vAlign w:val="center"/>
          </w:tcPr>
          <w:p w14:paraId="3AA93FFD" w14:textId="0A678C71" w:rsidR="00185040" w:rsidRPr="002B70D2" w:rsidRDefault="003E2BEF" w:rsidP="0021041D">
            <w:pPr>
              <w:pStyle w:val="TableHeading"/>
              <w:keepNext w:val="0"/>
              <w:jc w:val="center"/>
              <w:rPr>
                <w:rFonts w:cs="Calibri"/>
                <w:b w:val="0"/>
                <w:bCs/>
                <w:color w:val="000000"/>
                <w:szCs w:val="20"/>
                <w:highlight w:val="darkGray"/>
              </w:rPr>
            </w:pPr>
            <w:r w:rsidRPr="003E2BEF">
              <w:rPr>
                <w:rFonts w:cs="Calibri" w:hint="eastAsia"/>
                <w:b w:val="0"/>
                <w:bCs/>
                <w:color w:val="000000"/>
                <w:w w:val="15"/>
                <w:szCs w:val="20"/>
                <w:shd w:val="solid" w:color="000000" w:fill="000000"/>
                <w:fitText w:val="57" w:id="-1304706801"/>
                <w14:textFill>
                  <w14:solidFill>
                    <w14:srgbClr w14:val="000000">
                      <w14:alpha w14:val="100000"/>
                    </w14:srgbClr>
                  </w14:solidFill>
                </w14:textFill>
              </w:rPr>
              <w:t xml:space="preserve">　</w:t>
            </w:r>
            <w:r w:rsidRPr="003E2BEF">
              <w:rPr>
                <w:rFonts w:cs="Calibri"/>
                <w:b w:val="0"/>
                <w:bCs/>
                <w:color w:val="000000"/>
                <w:w w:val="15"/>
                <w:szCs w:val="20"/>
                <w:shd w:val="solid" w:color="000000" w:fill="000000"/>
                <w:fitText w:val="57" w:id="-1304706801"/>
                <w14:textFill>
                  <w14:solidFill>
                    <w14:srgbClr w14:val="000000">
                      <w14:alpha w14:val="100000"/>
                    </w14:srgbClr>
                  </w14:solidFill>
                </w14:textFill>
              </w:rPr>
              <w:t>|</w:t>
            </w:r>
            <w:r w:rsidRPr="003E2BEF">
              <w:rPr>
                <w:rFonts w:cs="Calibri" w:hint="eastAsia"/>
                <w:b w:val="0"/>
                <w:bCs/>
                <w:color w:val="000000"/>
                <w:spacing w:val="-8"/>
                <w:w w:val="15"/>
                <w:szCs w:val="20"/>
                <w:shd w:val="solid" w:color="000000" w:fill="000000"/>
                <w:fitText w:val="57" w:id="-1304706801"/>
                <w14:textFill>
                  <w14:solidFill>
                    <w14:srgbClr w14:val="000000">
                      <w14:alpha w14:val="100000"/>
                    </w14:srgbClr>
                  </w14:solidFill>
                </w14:textFill>
              </w:rPr>
              <w:t xml:space="preserve">　</w:t>
            </w:r>
            <w:r w:rsidR="002B70D2">
              <w:rPr>
                <w:bCs/>
                <w:szCs w:val="20"/>
                <w:vertAlign w:val="superscript"/>
              </w:rPr>
              <w:t>1</w:t>
            </w:r>
          </w:p>
        </w:tc>
        <w:tc>
          <w:tcPr>
            <w:tcW w:w="1257" w:type="dxa"/>
            <w:vAlign w:val="center"/>
          </w:tcPr>
          <w:p w14:paraId="0A08AD0C" w14:textId="77777777" w:rsidR="00185040" w:rsidRPr="00FF512C" w:rsidRDefault="00185040" w:rsidP="0021041D">
            <w:pPr>
              <w:pStyle w:val="TableHeading"/>
              <w:keepNext w:val="0"/>
              <w:jc w:val="center"/>
              <w:rPr>
                <w:rFonts w:cs="Calibri"/>
                <w:b w:val="0"/>
                <w:bCs/>
                <w:color w:val="000000"/>
                <w:szCs w:val="20"/>
              </w:rPr>
            </w:pPr>
            <w:r w:rsidRPr="00FF512C">
              <w:rPr>
                <w:rFonts w:cs="Calibri"/>
                <w:b w:val="0"/>
                <w:bCs/>
                <w:color w:val="000000"/>
                <w:szCs w:val="20"/>
              </w:rPr>
              <w:t>+0%</w:t>
            </w:r>
          </w:p>
        </w:tc>
      </w:tr>
      <w:tr w:rsidR="00185040" w:rsidRPr="00FF512C" w14:paraId="193FD8B3" w14:textId="77777777" w:rsidTr="003E2BEF">
        <w:tc>
          <w:tcPr>
            <w:tcW w:w="4265" w:type="dxa"/>
          </w:tcPr>
          <w:p w14:paraId="7215F870" w14:textId="77777777" w:rsidR="00185040" w:rsidRPr="00FF512C" w:rsidRDefault="00185040" w:rsidP="0021041D">
            <w:pPr>
              <w:pStyle w:val="TableHeading"/>
              <w:keepNext w:val="0"/>
              <w:rPr>
                <w:b w:val="0"/>
                <w:bCs/>
                <w:szCs w:val="20"/>
              </w:rPr>
            </w:pPr>
            <w:r w:rsidRPr="00FF512C">
              <w:rPr>
                <w:b w:val="0"/>
                <w:bCs/>
                <w:szCs w:val="20"/>
              </w:rPr>
              <w:t>Do not apply patiromer treatment effects to patients with normokalaemia</w:t>
            </w:r>
          </w:p>
        </w:tc>
        <w:tc>
          <w:tcPr>
            <w:tcW w:w="1165" w:type="dxa"/>
            <w:tcBorders>
              <w:bottom w:val="single" w:sz="4" w:space="0" w:color="auto"/>
            </w:tcBorders>
            <w:shd w:val="solid" w:color="000000" w:fill="000000"/>
            <w:vAlign w:val="center"/>
          </w:tcPr>
          <w:p w14:paraId="4FE8CE62" w14:textId="63103015" w:rsidR="00185040" w:rsidRPr="003E2BEF" w:rsidRDefault="003E2BEF" w:rsidP="0021041D">
            <w:pPr>
              <w:pStyle w:val="TableHeading"/>
              <w:keepNext w:val="0"/>
              <w:jc w:val="center"/>
              <w:rPr>
                <w:rFonts w:cs="Calibri"/>
                <w:b w:val="0"/>
                <w:bCs/>
                <w:color w:val="000000"/>
                <w:szCs w:val="20"/>
              </w:rPr>
            </w:pPr>
            <w:r w:rsidRPr="003E2BEF">
              <w:rPr>
                <w:rFonts w:cs="Calibri" w:hint="eastAsia"/>
                <w:b w:val="0"/>
                <w:bCs/>
                <w:color w:val="000000"/>
                <w:w w:val="15"/>
                <w:szCs w:val="20"/>
                <w:fitText w:val="46" w:id="-1304706800"/>
                <w14:textFill>
                  <w14:solidFill>
                    <w14:srgbClr w14:val="000000">
                      <w14:alpha w14:val="100000"/>
                    </w14:srgbClr>
                  </w14:solidFill>
                </w14:textFill>
              </w:rPr>
              <w:t xml:space="preserve">　</w:t>
            </w:r>
            <w:r w:rsidRPr="003E2BEF">
              <w:rPr>
                <w:rFonts w:cs="Calibri"/>
                <w:b w:val="0"/>
                <w:bCs/>
                <w:color w:val="000000"/>
                <w:w w:val="15"/>
                <w:szCs w:val="20"/>
                <w:fitText w:val="46" w:id="-1304706800"/>
                <w14:textFill>
                  <w14:solidFill>
                    <w14:srgbClr w14:val="000000">
                      <w14:alpha w14:val="100000"/>
                    </w14:srgbClr>
                  </w14:solidFill>
                </w14:textFill>
              </w:rPr>
              <w:t>|</w:t>
            </w:r>
            <w:r w:rsidRPr="003E2BEF">
              <w:rPr>
                <w:rFonts w:cs="Calibri" w:hint="eastAsia"/>
                <w:b w:val="0"/>
                <w:bCs/>
                <w:color w:val="000000"/>
                <w:spacing w:val="-19"/>
                <w:w w:val="15"/>
                <w:szCs w:val="20"/>
                <w:fitText w:val="46" w:id="-1304706800"/>
                <w14:textFill>
                  <w14:solidFill>
                    <w14:srgbClr w14:val="000000">
                      <w14:alpha w14:val="100000"/>
                    </w14:srgbClr>
                  </w14:solidFill>
                </w14:textFill>
              </w:rPr>
              <w:t xml:space="preserve">　</w:t>
            </w:r>
          </w:p>
        </w:tc>
        <w:tc>
          <w:tcPr>
            <w:tcW w:w="1165" w:type="dxa"/>
            <w:vAlign w:val="center"/>
          </w:tcPr>
          <w:p w14:paraId="31425C72" w14:textId="77777777" w:rsidR="00185040" w:rsidRPr="00FF512C" w:rsidRDefault="00185040" w:rsidP="0021041D">
            <w:pPr>
              <w:pStyle w:val="TableHeading"/>
              <w:keepNext w:val="0"/>
              <w:jc w:val="center"/>
              <w:rPr>
                <w:rFonts w:cs="Calibri"/>
                <w:b w:val="0"/>
                <w:bCs/>
                <w:color w:val="000000"/>
                <w:szCs w:val="20"/>
              </w:rPr>
            </w:pPr>
            <w:r w:rsidRPr="00FF512C">
              <w:rPr>
                <w:rFonts w:cs="Calibri"/>
                <w:b w:val="0"/>
                <w:bCs/>
                <w:color w:val="000000"/>
                <w:szCs w:val="20"/>
              </w:rPr>
              <w:t>0.1800</w:t>
            </w:r>
          </w:p>
        </w:tc>
        <w:tc>
          <w:tcPr>
            <w:tcW w:w="1165" w:type="dxa"/>
            <w:vAlign w:val="center"/>
          </w:tcPr>
          <w:p w14:paraId="59E148E5" w14:textId="5E7EC665" w:rsidR="00185040" w:rsidRPr="002B70D2" w:rsidRDefault="003E2BEF" w:rsidP="0021041D">
            <w:pPr>
              <w:pStyle w:val="TableHeading"/>
              <w:keepNext w:val="0"/>
              <w:jc w:val="center"/>
              <w:rPr>
                <w:rFonts w:cs="Calibri"/>
                <w:b w:val="0"/>
                <w:bCs/>
                <w:color w:val="000000"/>
                <w:szCs w:val="20"/>
                <w:highlight w:val="darkGray"/>
              </w:rPr>
            </w:pPr>
            <w:r w:rsidRPr="003E2BEF">
              <w:rPr>
                <w:rFonts w:cs="Calibri" w:hint="eastAsia"/>
                <w:b w:val="0"/>
                <w:bCs/>
                <w:color w:val="000000"/>
                <w:w w:val="15"/>
                <w:szCs w:val="20"/>
                <w:shd w:val="solid" w:color="000000" w:fill="000000"/>
                <w:fitText w:val="57" w:id="-1304706816"/>
                <w14:textFill>
                  <w14:solidFill>
                    <w14:srgbClr w14:val="000000">
                      <w14:alpha w14:val="100000"/>
                    </w14:srgbClr>
                  </w14:solidFill>
                </w14:textFill>
              </w:rPr>
              <w:t xml:space="preserve">　</w:t>
            </w:r>
            <w:r w:rsidRPr="003E2BEF">
              <w:rPr>
                <w:rFonts w:cs="Calibri"/>
                <w:b w:val="0"/>
                <w:bCs/>
                <w:color w:val="000000"/>
                <w:w w:val="15"/>
                <w:szCs w:val="20"/>
                <w:shd w:val="solid" w:color="000000" w:fill="000000"/>
                <w:fitText w:val="57" w:id="-1304706816"/>
                <w14:textFill>
                  <w14:solidFill>
                    <w14:srgbClr w14:val="000000">
                      <w14:alpha w14:val="100000"/>
                    </w14:srgbClr>
                  </w14:solidFill>
                </w14:textFill>
              </w:rPr>
              <w:t>|</w:t>
            </w:r>
            <w:r w:rsidRPr="003E2BEF">
              <w:rPr>
                <w:rFonts w:cs="Calibri" w:hint="eastAsia"/>
                <w:b w:val="0"/>
                <w:bCs/>
                <w:color w:val="000000"/>
                <w:spacing w:val="-8"/>
                <w:w w:val="15"/>
                <w:szCs w:val="20"/>
                <w:shd w:val="solid" w:color="000000" w:fill="000000"/>
                <w:fitText w:val="57" w:id="-1304706816"/>
                <w14:textFill>
                  <w14:solidFill>
                    <w14:srgbClr w14:val="000000">
                      <w14:alpha w14:val="100000"/>
                    </w14:srgbClr>
                  </w14:solidFill>
                </w14:textFill>
              </w:rPr>
              <w:t xml:space="preserve">　</w:t>
            </w:r>
            <w:r w:rsidR="002B70D2">
              <w:rPr>
                <w:bCs/>
                <w:szCs w:val="20"/>
                <w:vertAlign w:val="superscript"/>
              </w:rPr>
              <w:t>2</w:t>
            </w:r>
          </w:p>
        </w:tc>
        <w:tc>
          <w:tcPr>
            <w:tcW w:w="1257" w:type="dxa"/>
            <w:vAlign w:val="center"/>
          </w:tcPr>
          <w:p w14:paraId="32B65DF9" w14:textId="77777777" w:rsidR="00185040" w:rsidRPr="00FF512C" w:rsidRDefault="00185040" w:rsidP="0021041D">
            <w:pPr>
              <w:pStyle w:val="TableHeading"/>
              <w:keepNext w:val="0"/>
              <w:jc w:val="center"/>
              <w:rPr>
                <w:rFonts w:cs="Calibri"/>
                <w:b w:val="0"/>
                <w:bCs/>
                <w:color w:val="000000"/>
                <w:szCs w:val="20"/>
              </w:rPr>
            </w:pPr>
            <w:r w:rsidRPr="00FF512C">
              <w:rPr>
                <w:rFonts w:cs="Calibri"/>
                <w:b w:val="0"/>
                <w:bCs/>
                <w:color w:val="000000"/>
                <w:szCs w:val="20"/>
              </w:rPr>
              <w:t>+30%</w:t>
            </w:r>
          </w:p>
        </w:tc>
      </w:tr>
      <w:tr w:rsidR="00185040" w:rsidRPr="00FF512C" w14:paraId="4FBB7DBA" w14:textId="77777777" w:rsidTr="003E2BEF">
        <w:tc>
          <w:tcPr>
            <w:tcW w:w="4265" w:type="dxa"/>
          </w:tcPr>
          <w:p w14:paraId="41690A31" w14:textId="77777777" w:rsidR="00185040" w:rsidRPr="00FF512C" w:rsidRDefault="00185040" w:rsidP="0021041D">
            <w:pPr>
              <w:pStyle w:val="TableHeading"/>
              <w:keepNext w:val="0"/>
              <w:rPr>
                <w:b w:val="0"/>
                <w:bCs/>
                <w:szCs w:val="20"/>
              </w:rPr>
            </w:pPr>
            <w:r w:rsidRPr="00FF512C">
              <w:rPr>
                <w:b w:val="0"/>
                <w:bCs/>
                <w:szCs w:val="20"/>
              </w:rPr>
              <w:t>Do not apply any patiromer treatment effects</w:t>
            </w:r>
          </w:p>
        </w:tc>
        <w:tc>
          <w:tcPr>
            <w:tcW w:w="1165" w:type="dxa"/>
            <w:shd w:val="solid" w:color="000000" w:fill="000000"/>
            <w:vAlign w:val="center"/>
          </w:tcPr>
          <w:p w14:paraId="75B8D85B" w14:textId="6EC01154" w:rsidR="00185040" w:rsidRPr="003E2BEF" w:rsidRDefault="003E2BEF" w:rsidP="0021041D">
            <w:pPr>
              <w:pStyle w:val="TableHeading"/>
              <w:keepNext w:val="0"/>
              <w:jc w:val="center"/>
              <w:rPr>
                <w:rFonts w:cs="Calibri"/>
                <w:b w:val="0"/>
                <w:bCs/>
                <w:color w:val="000000"/>
                <w:szCs w:val="20"/>
              </w:rPr>
            </w:pPr>
            <w:r w:rsidRPr="003E2BEF">
              <w:rPr>
                <w:rFonts w:cs="Calibri" w:hint="eastAsia"/>
                <w:b w:val="0"/>
                <w:bCs/>
                <w:color w:val="000000"/>
                <w:w w:val="15"/>
                <w:szCs w:val="20"/>
                <w:fitText w:val="46" w:id="-1304706560"/>
                <w14:textFill>
                  <w14:solidFill>
                    <w14:srgbClr w14:val="000000">
                      <w14:alpha w14:val="100000"/>
                    </w14:srgbClr>
                  </w14:solidFill>
                </w14:textFill>
              </w:rPr>
              <w:t xml:space="preserve">　</w:t>
            </w:r>
            <w:r w:rsidRPr="003E2BEF">
              <w:rPr>
                <w:rFonts w:cs="Calibri"/>
                <w:b w:val="0"/>
                <w:bCs/>
                <w:color w:val="000000"/>
                <w:w w:val="15"/>
                <w:szCs w:val="20"/>
                <w:fitText w:val="46" w:id="-1304706560"/>
                <w14:textFill>
                  <w14:solidFill>
                    <w14:srgbClr w14:val="000000">
                      <w14:alpha w14:val="100000"/>
                    </w14:srgbClr>
                  </w14:solidFill>
                </w14:textFill>
              </w:rPr>
              <w:t>|</w:t>
            </w:r>
            <w:r w:rsidRPr="003E2BEF">
              <w:rPr>
                <w:rFonts w:cs="Calibri" w:hint="eastAsia"/>
                <w:b w:val="0"/>
                <w:bCs/>
                <w:color w:val="000000"/>
                <w:spacing w:val="-19"/>
                <w:w w:val="15"/>
                <w:szCs w:val="20"/>
                <w:fitText w:val="46" w:id="-1304706560"/>
                <w14:textFill>
                  <w14:solidFill>
                    <w14:srgbClr w14:val="000000">
                      <w14:alpha w14:val="100000"/>
                    </w14:srgbClr>
                  </w14:solidFill>
                </w14:textFill>
              </w:rPr>
              <w:t xml:space="preserve">　</w:t>
            </w:r>
          </w:p>
        </w:tc>
        <w:tc>
          <w:tcPr>
            <w:tcW w:w="1165" w:type="dxa"/>
            <w:vAlign w:val="center"/>
          </w:tcPr>
          <w:p w14:paraId="4F51241A" w14:textId="77777777" w:rsidR="00185040" w:rsidRPr="00FF512C" w:rsidRDefault="00185040" w:rsidP="0021041D">
            <w:pPr>
              <w:pStyle w:val="TableHeading"/>
              <w:keepNext w:val="0"/>
              <w:jc w:val="center"/>
              <w:rPr>
                <w:rFonts w:cs="Calibri"/>
                <w:b w:val="0"/>
                <w:bCs/>
                <w:color w:val="000000"/>
                <w:szCs w:val="20"/>
              </w:rPr>
            </w:pPr>
            <w:r w:rsidRPr="00FF512C">
              <w:rPr>
                <w:rFonts w:cs="Calibri"/>
                <w:b w:val="0"/>
                <w:bCs/>
                <w:color w:val="000000"/>
                <w:szCs w:val="20"/>
              </w:rPr>
              <w:t>0.1792</w:t>
            </w:r>
          </w:p>
        </w:tc>
        <w:tc>
          <w:tcPr>
            <w:tcW w:w="1165" w:type="dxa"/>
            <w:vAlign w:val="center"/>
          </w:tcPr>
          <w:p w14:paraId="76E2DBD3" w14:textId="22C1E4C0" w:rsidR="00185040" w:rsidRPr="002B70D2" w:rsidRDefault="003E2BEF" w:rsidP="0021041D">
            <w:pPr>
              <w:pStyle w:val="TableHeading"/>
              <w:keepNext w:val="0"/>
              <w:jc w:val="center"/>
              <w:rPr>
                <w:rFonts w:cs="Calibri"/>
                <w:b w:val="0"/>
                <w:bCs/>
                <w:color w:val="000000"/>
                <w:szCs w:val="20"/>
                <w:highlight w:val="darkGray"/>
              </w:rPr>
            </w:pPr>
            <w:r w:rsidRPr="003E2BEF">
              <w:rPr>
                <w:rFonts w:cs="Calibri" w:hint="eastAsia"/>
                <w:b w:val="0"/>
                <w:bCs/>
                <w:color w:val="000000"/>
                <w:w w:val="15"/>
                <w:szCs w:val="20"/>
                <w:shd w:val="solid" w:color="000000" w:fill="000000"/>
                <w:fitText w:val="57" w:id="-1304706559"/>
                <w14:textFill>
                  <w14:solidFill>
                    <w14:srgbClr w14:val="000000">
                      <w14:alpha w14:val="100000"/>
                    </w14:srgbClr>
                  </w14:solidFill>
                </w14:textFill>
              </w:rPr>
              <w:t xml:space="preserve">　</w:t>
            </w:r>
            <w:r w:rsidRPr="003E2BEF">
              <w:rPr>
                <w:rFonts w:cs="Calibri"/>
                <w:b w:val="0"/>
                <w:bCs/>
                <w:color w:val="000000"/>
                <w:w w:val="15"/>
                <w:szCs w:val="20"/>
                <w:shd w:val="solid" w:color="000000" w:fill="000000"/>
                <w:fitText w:val="57" w:id="-1304706559"/>
                <w14:textFill>
                  <w14:solidFill>
                    <w14:srgbClr w14:val="000000">
                      <w14:alpha w14:val="100000"/>
                    </w14:srgbClr>
                  </w14:solidFill>
                </w14:textFill>
              </w:rPr>
              <w:t>|</w:t>
            </w:r>
            <w:r w:rsidRPr="003E2BEF">
              <w:rPr>
                <w:rFonts w:cs="Calibri" w:hint="eastAsia"/>
                <w:b w:val="0"/>
                <w:bCs/>
                <w:color w:val="000000"/>
                <w:spacing w:val="-8"/>
                <w:w w:val="15"/>
                <w:szCs w:val="20"/>
                <w:shd w:val="solid" w:color="000000" w:fill="000000"/>
                <w:fitText w:val="57" w:id="-1304706559"/>
                <w14:textFill>
                  <w14:solidFill>
                    <w14:srgbClr w14:val="000000">
                      <w14:alpha w14:val="100000"/>
                    </w14:srgbClr>
                  </w14:solidFill>
                </w14:textFill>
              </w:rPr>
              <w:t xml:space="preserve">　</w:t>
            </w:r>
            <w:r w:rsidR="002B70D2">
              <w:rPr>
                <w:bCs/>
                <w:szCs w:val="20"/>
                <w:vertAlign w:val="superscript"/>
              </w:rPr>
              <w:t>2</w:t>
            </w:r>
          </w:p>
        </w:tc>
        <w:tc>
          <w:tcPr>
            <w:tcW w:w="1257" w:type="dxa"/>
            <w:vAlign w:val="center"/>
          </w:tcPr>
          <w:p w14:paraId="78181A72" w14:textId="77777777" w:rsidR="00185040" w:rsidRPr="00FF512C" w:rsidRDefault="00185040" w:rsidP="0021041D">
            <w:pPr>
              <w:pStyle w:val="TableHeading"/>
              <w:keepNext w:val="0"/>
              <w:jc w:val="center"/>
              <w:rPr>
                <w:rFonts w:cs="Calibri"/>
                <w:b w:val="0"/>
                <w:bCs/>
                <w:color w:val="000000"/>
                <w:szCs w:val="20"/>
              </w:rPr>
            </w:pPr>
            <w:r w:rsidRPr="00FF512C">
              <w:rPr>
                <w:rFonts w:cs="Calibri"/>
                <w:b w:val="0"/>
                <w:bCs/>
                <w:color w:val="000000"/>
                <w:szCs w:val="20"/>
              </w:rPr>
              <w:t>+30%</w:t>
            </w:r>
          </w:p>
        </w:tc>
      </w:tr>
      <w:tr w:rsidR="00185040" w:rsidRPr="00FF512C" w14:paraId="4BC7F43B" w14:textId="77777777" w:rsidTr="00624A83">
        <w:tc>
          <w:tcPr>
            <w:tcW w:w="9017" w:type="dxa"/>
            <w:gridSpan w:val="5"/>
          </w:tcPr>
          <w:p w14:paraId="66D31B37" w14:textId="77777777" w:rsidR="00185040" w:rsidRPr="00FF512C" w:rsidRDefault="00185040" w:rsidP="0021041D">
            <w:pPr>
              <w:pStyle w:val="TableHeading"/>
              <w:keepNext w:val="0"/>
              <w:rPr>
                <w:rStyle w:val="CommentReference"/>
                <w:b/>
                <w:bCs/>
              </w:rPr>
            </w:pPr>
            <w:r w:rsidRPr="00FF512C">
              <w:rPr>
                <w:rStyle w:val="CommentReference"/>
              </w:rPr>
              <w:t xml:space="preserve">Longer term RAASi treatment effects (base case: based on various published sources) </w:t>
            </w:r>
          </w:p>
        </w:tc>
      </w:tr>
      <w:tr w:rsidR="00185040" w:rsidRPr="00FF512C" w14:paraId="507F8E67" w14:textId="77777777" w:rsidTr="003E2BEF">
        <w:tc>
          <w:tcPr>
            <w:tcW w:w="4265" w:type="dxa"/>
          </w:tcPr>
          <w:p w14:paraId="50F160D0" w14:textId="77777777" w:rsidR="00185040" w:rsidRPr="00FF512C" w:rsidRDefault="00185040" w:rsidP="0021041D">
            <w:pPr>
              <w:pStyle w:val="TableHeading"/>
              <w:keepNext w:val="0"/>
              <w:rPr>
                <w:rStyle w:val="CommentReference"/>
                <w:b/>
                <w:bCs/>
              </w:rPr>
            </w:pPr>
            <w:r w:rsidRPr="00FF512C">
              <w:rPr>
                <w:rStyle w:val="CommentReference"/>
                <w:b/>
                <w:bCs/>
              </w:rPr>
              <w:t>IRR for mortality in CKD patients increased by 20%</w:t>
            </w:r>
          </w:p>
        </w:tc>
        <w:tc>
          <w:tcPr>
            <w:tcW w:w="1165" w:type="dxa"/>
            <w:tcBorders>
              <w:bottom w:val="single" w:sz="4" w:space="0" w:color="auto"/>
            </w:tcBorders>
            <w:shd w:val="solid" w:color="000000" w:fill="000000"/>
            <w:vAlign w:val="center"/>
          </w:tcPr>
          <w:p w14:paraId="571BDC2F" w14:textId="472A91C8" w:rsidR="00185040" w:rsidRPr="003E2BEF" w:rsidRDefault="003E2BEF" w:rsidP="0021041D">
            <w:pPr>
              <w:pStyle w:val="TableHeading"/>
              <w:keepNext w:val="0"/>
              <w:jc w:val="center"/>
              <w:rPr>
                <w:rStyle w:val="CommentReference"/>
                <w:b/>
                <w:bCs/>
              </w:rPr>
            </w:pPr>
            <w:r w:rsidRPr="003E2BEF">
              <w:rPr>
                <w:rFonts w:cs="Calibri" w:hint="eastAsia"/>
                <w:b w:val="0"/>
                <w:bCs/>
                <w:color w:val="000000"/>
                <w:w w:val="15"/>
                <w:szCs w:val="20"/>
                <w:fitText w:val="46" w:id="-1304706558"/>
                <w14:textFill>
                  <w14:solidFill>
                    <w14:srgbClr w14:val="000000">
                      <w14:alpha w14:val="100000"/>
                    </w14:srgbClr>
                  </w14:solidFill>
                </w14:textFill>
              </w:rPr>
              <w:t xml:space="preserve">　</w:t>
            </w:r>
            <w:r w:rsidRPr="003E2BEF">
              <w:rPr>
                <w:rFonts w:cs="Calibri"/>
                <w:b w:val="0"/>
                <w:bCs/>
                <w:color w:val="000000"/>
                <w:w w:val="15"/>
                <w:szCs w:val="20"/>
                <w:fitText w:val="46" w:id="-1304706558"/>
                <w14:textFill>
                  <w14:solidFill>
                    <w14:srgbClr w14:val="000000">
                      <w14:alpha w14:val="100000"/>
                    </w14:srgbClr>
                  </w14:solidFill>
                </w14:textFill>
              </w:rPr>
              <w:t>|</w:t>
            </w:r>
            <w:r w:rsidRPr="003E2BEF">
              <w:rPr>
                <w:rFonts w:cs="Calibri" w:hint="eastAsia"/>
                <w:b w:val="0"/>
                <w:bCs/>
                <w:color w:val="000000"/>
                <w:spacing w:val="-19"/>
                <w:w w:val="15"/>
                <w:szCs w:val="20"/>
                <w:fitText w:val="46" w:id="-1304706558"/>
                <w14:textFill>
                  <w14:solidFill>
                    <w14:srgbClr w14:val="000000">
                      <w14:alpha w14:val="100000"/>
                    </w14:srgbClr>
                  </w14:solidFill>
                </w14:textFill>
              </w:rPr>
              <w:t xml:space="preserve">　</w:t>
            </w:r>
          </w:p>
        </w:tc>
        <w:tc>
          <w:tcPr>
            <w:tcW w:w="1165" w:type="dxa"/>
            <w:vAlign w:val="center"/>
          </w:tcPr>
          <w:p w14:paraId="62DAE1FF" w14:textId="77777777" w:rsidR="00185040" w:rsidRPr="00FF512C" w:rsidRDefault="00185040" w:rsidP="0021041D">
            <w:pPr>
              <w:pStyle w:val="TableHeading"/>
              <w:keepNext w:val="0"/>
              <w:jc w:val="center"/>
              <w:rPr>
                <w:rStyle w:val="CommentReference"/>
                <w:b/>
                <w:bCs/>
              </w:rPr>
            </w:pPr>
            <w:r w:rsidRPr="00FF512C">
              <w:rPr>
                <w:rFonts w:cs="Calibri"/>
                <w:b w:val="0"/>
                <w:bCs/>
                <w:color w:val="000000"/>
                <w:szCs w:val="20"/>
              </w:rPr>
              <w:t>0.2212</w:t>
            </w:r>
          </w:p>
        </w:tc>
        <w:tc>
          <w:tcPr>
            <w:tcW w:w="1165" w:type="dxa"/>
            <w:vAlign w:val="center"/>
          </w:tcPr>
          <w:p w14:paraId="021CD533" w14:textId="06F07784" w:rsidR="00185040" w:rsidRPr="002B70D2" w:rsidRDefault="003E2BEF" w:rsidP="0021041D">
            <w:pPr>
              <w:pStyle w:val="TableHeading"/>
              <w:keepNext w:val="0"/>
              <w:jc w:val="center"/>
              <w:rPr>
                <w:rStyle w:val="CommentReference"/>
                <w:b/>
                <w:bCs/>
                <w:highlight w:val="darkGray"/>
              </w:rPr>
            </w:pPr>
            <w:r w:rsidRPr="003E2BEF">
              <w:rPr>
                <w:rFonts w:cs="Calibri" w:hint="eastAsia"/>
                <w:b w:val="0"/>
                <w:bCs/>
                <w:color w:val="000000"/>
                <w:w w:val="15"/>
                <w:szCs w:val="20"/>
                <w:shd w:val="solid" w:color="000000" w:fill="000000"/>
                <w:fitText w:val="57" w:id="-1304706557"/>
                <w14:textFill>
                  <w14:solidFill>
                    <w14:srgbClr w14:val="000000">
                      <w14:alpha w14:val="100000"/>
                    </w14:srgbClr>
                  </w14:solidFill>
                </w14:textFill>
              </w:rPr>
              <w:t xml:space="preserve">　</w:t>
            </w:r>
            <w:r w:rsidRPr="003E2BEF">
              <w:rPr>
                <w:rFonts w:cs="Calibri"/>
                <w:b w:val="0"/>
                <w:bCs/>
                <w:color w:val="000000"/>
                <w:w w:val="15"/>
                <w:szCs w:val="20"/>
                <w:shd w:val="solid" w:color="000000" w:fill="000000"/>
                <w:fitText w:val="57" w:id="-1304706557"/>
                <w14:textFill>
                  <w14:solidFill>
                    <w14:srgbClr w14:val="000000">
                      <w14:alpha w14:val="100000"/>
                    </w14:srgbClr>
                  </w14:solidFill>
                </w14:textFill>
              </w:rPr>
              <w:t>|</w:t>
            </w:r>
            <w:r w:rsidRPr="003E2BEF">
              <w:rPr>
                <w:rFonts w:cs="Calibri" w:hint="eastAsia"/>
                <w:b w:val="0"/>
                <w:bCs/>
                <w:color w:val="000000"/>
                <w:spacing w:val="-8"/>
                <w:w w:val="15"/>
                <w:szCs w:val="20"/>
                <w:shd w:val="solid" w:color="000000" w:fill="000000"/>
                <w:fitText w:val="57" w:id="-1304706557"/>
                <w14:textFill>
                  <w14:solidFill>
                    <w14:srgbClr w14:val="000000">
                      <w14:alpha w14:val="100000"/>
                    </w14:srgbClr>
                  </w14:solidFill>
                </w14:textFill>
              </w:rPr>
              <w:t xml:space="preserve">　</w:t>
            </w:r>
            <w:r w:rsidR="002B70D2">
              <w:rPr>
                <w:bCs/>
                <w:szCs w:val="20"/>
                <w:vertAlign w:val="superscript"/>
              </w:rPr>
              <w:t>1</w:t>
            </w:r>
          </w:p>
        </w:tc>
        <w:tc>
          <w:tcPr>
            <w:tcW w:w="1257" w:type="dxa"/>
            <w:vAlign w:val="center"/>
          </w:tcPr>
          <w:p w14:paraId="272BA5AC" w14:textId="77777777" w:rsidR="00185040" w:rsidRPr="00FF512C" w:rsidRDefault="00185040" w:rsidP="0021041D">
            <w:pPr>
              <w:pStyle w:val="TableHeading"/>
              <w:keepNext w:val="0"/>
              <w:jc w:val="center"/>
              <w:rPr>
                <w:rStyle w:val="CommentReference"/>
                <w:b/>
                <w:bCs/>
              </w:rPr>
            </w:pPr>
            <w:r w:rsidRPr="00FF512C">
              <w:rPr>
                <w:rFonts w:cs="Calibri"/>
                <w:b w:val="0"/>
                <w:bCs/>
                <w:color w:val="000000"/>
                <w:szCs w:val="20"/>
              </w:rPr>
              <w:t>0%</w:t>
            </w:r>
          </w:p>
        </w:tc>
      </w:tr>
      <w:tr w:rsidR="00185040" w:rsidRPr="00FF512C" w14:paraId="64F67F79" w14:textId="77777777" w:rsidTr="003E2BEF">
        <w:tc>
          <w:tcPr>
            <w:tcW w:w="4265" w:type="dxa"/>
          </w:tcPr>
          <w:p w14:paraId="4886EADF" w14:textId="77777777" w:rsidR="00185040" w:rsidRPr="00FF512C" w:rsidRDefault="00185040" w:rsidP="0021041D">
            <w:pPr>
              <w:pStyle w:val="TableHeading"/>
              <w:keepNext w:val="0"/>
              <w:rPr>
                <w:rStyle w:val="CommentReference"/>
                <w:b/>
                <w:bCs/>
              </w:rPr>
            </w:pPr>
            <w:r w:rsidRPr="00FF512C">
              <w:rPr>
                <w:rStyle w:val="CommentReference"/>
                <w:b/>
                <w:bCs/>
              </w:rPr>
              <w:t>IRR for mortality in CKD patients decreased by 20%</w:t>
            </w:r>
          </w:p>
        </w:tc>
        <w:tc>
          <w:tcPr>
            <w:tcW w:w="1165" w:type="dxa"/>
            <w:tcBorders>
              <w:bottom w:val="single" w:sz="4" w:space="0" w:color="auto"/>
            </w:tcBorders>
            <w:shd w:val="solid" w:color="000000" w:fill="000000"/>
            <w:vAlign w:val="center"/>
          </w:tcPr>
          <w:p w14:paraId="7AED449A" w14:textId="77BC217F" w:rsidR="00185040" w:rsidRPr="003E2BEF" w:rsidRDefault="003E2BEF" w:rsidP="0021041D">
            <w:pPr>
              <w:pStyle w:val="TableHeading"/>
              <w:keepNext w:val="0"/>
              <w:jc w:val="center"/>
              <w:rPr>
                <w:rStyle w:val="CommentReference"/>
                <w:b/>
                <w:bCs/>
              </w:rPr>
            </w:pPr>
            <w:r w:rsidRPr="003E2BEF">
              <w:rPr>
                <w:rFonts w:cs="Calibri" w:hint="eastAsia"/>
                <w:b w:val="0"/>
                <w:bCs/>
                <w:color w:val="000000"/>
                <w:w w:val="15"/>
                <w:szCs w:val="20"/>
                <w:fitText w:val="46" w:id="-1304706556"/>
                <w14:textFill>
                  <w14:solidFill>
                    <w14:srgbClr w14:val="000000">
                      <w14:alpha w14:val="100000"/>
                    </w14:srgbClr>
                  </w14:solidFill>
                </w14:textFill>
              </w:rPr>
              <w:t xml:space="preserve">　</w:t>
            </w:r>
            <w:r w:rsidRPr="003E2BEF">
              <w:rPr>
                <w:rFonts w:cs="Calibri"/>
                <w:b w:val="0"/>
                <w:bCs/>
                <w:color w:val="000000"/>
                <w:w w:val="15"/>
                <w:szCs w:val="20"/>
                <w:fitText w:val="46" w:id="-1304706556"/>
                <w14:textFill>
                  <w14:solidFill>
                    <w14:srgbClr w14:val="000000">
                      <w14:alpha w14:val="100000"/>
                    </w14:srgbClr>
                  </w14:solidFill>
                </w14:textFill>
              </w:rPr>
              <w:t>|</w:t>
            </w:r>
            <w:r w:rsidRPr="003E2BEF">
              <w:rPr>
                <w:rFonts w:cs="Calibri" w:hint="eastAsia"/>
                <w:b w:val="0"/>
                <w:bCs/>
                <w:color w:val="000000"/>
                <w:spacing w:val="-19"/>
                <w:w w:val="15"/>
                <w:szCs w:val="20"/>
                <w:fitText w:val="46" w:id="-1304706556"/>
                <w14:textFill>
                  <w14:solidFill>
                    <w14:srgbClr w14:val="000000">
                      <w14:alpha w14:val="100000"/>
                    </w14:srgbClr>
                  </w14:solidFill>
                </w14:textFill>
              </w:rPr>
              <w:t xml:space="preserve">　</w:t>
            </w:r>
          </w:p>
        </w:tc>
        <w:tc>
          <w:tcPr>
            <w:tcW w:w="1165" w:type="dxa"/>
            <w:vAlign w:val="center"/>
          </w:tcPr>
          <w:p w14:paraId="7B6DAEBE" w14:textId="77777777" w:rsidR="00185040" w:rsidRPr="00FF512C" w:rsidRDefault="00185040" w:rsidP="0021041D">
            <w:pPr>
              <w:pStyle w:val="TableHeading"/>
              <w:keepNext w:val="0"/>
              <w:jc w:val="center"/>
              <w:rPr>
                <w:rStyle w:val="CommentReference"/>
                <w:b/>
                <w:bCs/>
              </w:rPr>
            </w:pPr>
            <w:r w:rsidRPr="00FF512C">
              <w:rPr>
                <w:rFonts w:cs="Calibri"/>
                <w:b w:val="0"/>
                <w:bCs/>
                <w:color w:val="000000"/>
                <w:szCs w:val="20"/>
              </w:rPr>
              <w:t>0.2363</w:t>
            </w:r>
          </w:p>
        </w:tc>
        <w:tc>
          <w:tcPr>
            <w:tcW w:w="1165" w:type="dxa"/>
            <w:vAlign w:val="center"/>
          </w:tcPr>
          <w:p w14:paraId="39D5B752" w14:textId="5E739577" w:rsidR="00185040" w:rsidRPr="002B70D2" w:rsidRDefault="003E2BEF" w:rsidP="0021041D">
            <w:pPr>
              <w:pStyle w:val="TableHeading"/>
              <w:keepNext w:val="0"/>
              <w:jc w:val="center"/>
              <w:rPr>
                <w:rStyle w:val="CommentReference"/>
                <w:b/>
                <w:bCs/>
                <w:highlight w:val="darkGray"/>
              </w:rPr>
            </w:pPr>
            <w:r w:rsidRPr="003E2BEF">
              <w:rPr>
                <w:rFonts w:cs="Calibri" w:hint="eastAsia"/>
                <w:b w:val="0"/>
                <w:bCs/>
                <w:color w:val="000000"/>
                <w:w w:val="15"/>
                <w:szCs w:val="20"/>
                <w:shd w:val="solid" w:color="000000" w:fill="000000"/>
                <w:fitText w:val="57" w:id="-1304706555"/>
                <w14:textFill>
                  <w14:solidFill>
                    <w14:srgbClr w14:val="000000">
                      <w14:alpha w14:val="100000"/>
                    </w14:srgbClr>
                  </w14:solidFill>
                </w14:textFill>
              </w:rPr>
              <w:t xml:space="preserve">　</w:t>
            </w:r>
            <w:r w:rsidRPr="003E2BEF">
              <w:rPr>
                <w:rFonts w:cs="Calibri"/>
                <w:b w:val="0"/>
                <w:bCs/>
                <w:color w:val="000000"/>
                <w:w w:val="15"/>
                <w:szCs w:val="20"/>
                <w:shd w:val="solid" w:color="000000" w:fill="000000"/>
                <w:fitText w:val="57" w:id="-1304706555"/>
                <w14:textFill>
                  <w14:solidFill>
                    <w14:srgbClr w14:val="000000">
                      <w14:alpha w14:val="100000"/>
                    </w14:srgbClr>
                  </w14:solidFill>
                </w14:textFill>
              </w:rPr>
              <w:t>|</w:t>
            </w:r>
            <w:r w:rsidRPr="003E2BEF">
              <w:rPr>
                <w:rFonts w:cs="Calibri" w:hint="eastAsia"/>
                <w:b w:val="0"/>
                <w:bCs/>
                <w:color w:val="000000"/>
                <w:spacing w:val="-8"/>
                <w:w w:val="15"/>
                <w:szCs w:val="20"/>
                <w:shd w:val="solid" w:color="000000" w:fill="000000"/>
                <w:fitText w:val="57" w:id="-1304706555"/>
                <w14:textFill>
                  <w14:solidFill>
                    <w14:srgbClr w14:val="000000">
                      <w14:alpha w14:val="100000"/>
                    </w14:srgbClr>
                  </w14:solidFill>
                </w14:textFill>
              </w:rPr>
              <w:t xml:space="preserve">　</w:t>
            </w:r>
            <w:r w:rsidR="002B70D2">
              <w:rPr>
                <w:bCs/>
                <w:szCs w:val="20"/>
                <w:vertAlign w:val="superscript"/>
              </w:rPr>
              <w:t>1</w:t>
            </w:r>
          </w:p>
        </w:tc>
        <w:tc>
          <w:tcPr>
            <w:tcW w:w="1257" w:type="dxa"/>
            <w:vAlign w:val="center"/>
          </w:tcPr>
          <w:p w14:paraId="56E687D9" w14:textId="77777777" w:rsidR="00185040" w:rsidRPr="00FF512C" w:rsidRDefault="00185040" w:rsidP="0021041D">
            <w:pPr>
              <w:pStyle w:val="TableHeading"/>
              <w:keepNext w:val="0"/>
              <w:jc w:val="center"/>
              <w:rPr>
                <w:rStyle w:val="CommentReference"/>
                <w:b/>
                <w:bCs/>
              </w:rPr>
            </w:pPr>
            <w:r w:rsidRPr="00FF512C">
              <w:rPr>
                <w:rFonts w:cs="Calibri"/>
                <w:b w:val="0"/>
                <w:bCs/>
                <w:color w:val="000000"/>
                <w:szCs w:val="20"/>
              </w:rPr>
              <w:t>0%</w:t>
            </w:r>
          </w:p>
        </w:tc>
      </w:tr>
      <w:tr w:rsidR="00185040" w:rsidRPr="00FF512C" w14:paraId="1CB186FE" w14:textId="77777777" w:rsidTr="003E2BEF">
        <w:tc>
          <w:tcPr>
            <w:tcW w:w="4265" w:type="dxa"/>
          </w:tcPr>
          <w:p w14:paraId="5F853785" w14:textId="77777777" w:rsidR="00185040" w:rsidRPr="00FF512C" w:rsidRDefault="00185040" w:rsidP="0021041D">
            <w:pPr>
              <w:pStyle w:val="TableHeading"/>
              <w:keepNext w:val="0"/>
              <w:rPr>
                <w:rStyle w:val="CommentReference"/>
                <w:b/>
                <w:bCs/>
              </w:rPr>
            </w:pPr>
            <w:r w:rsidRPr="00FF512C">
              <w:rPr>
                <w:rStyle w:val="CommentReference"/>
                <w:b/>
                <w:bCs/>
              </w:rPr>
              <w:t>Treatment effect on mortality in CKD patients removed</w:t>
            </w:r>
          </w:p>
        </w:tc>
        <w:tc>
          <w:tcPr>
            <w:tcW w:w="1165" w:type="dxa"/>
            <w:tcBorders>
              <w:bottom w:val="single" w:sz="4" w:space="0" w:color="auto"/>
            </w:tcBorders>
            <w:shd w:val="solid" w:color="000000" w:fill="000000"/>
            <w:vAlign w:val="center"/>
          </w:tcPr>
          <w:p w14:paraId="14AFDF1B" w14:textId="6D768284" w:rsidR="00185040" w:rsidRPr="003E2BEF" w:rsidRDefault="003E2BEF" w:rsidP="0021041D">
            <w:pPr>
              <w:pStyle w:val="TableHeading"/>
              <w:keepNext w:val="0"/>
              <w:jc w:val="center"/>
              <w:rPr>
                <w:rStyle w:val="CommentReference"/>
                <w:b/>
                <w:bCs/>
              </w:rPr>
            </w:pPr>
            <w:r w:rsidRPr="003E2BEF">
              <w:rPr>
                <w:rFonts w:cs="Calibri" w:hint="eastAsia"/>
                <w:b w:val="0"/>
                <w:bCs/>
                <w:color w:val="000000"/>
                <w:w w:val="15"/>
                <w:szCs w:val="20"/>
                <w:fitText w:val="46" w:id="-1304706554"/>
                <w14:textFill>
                  <w14:solidFill>
                    <w14:srgbClr w14:val="000000">
                      <w14:alpha w14:val="100000"/>
                    </w14:srgbClr>
                  </w14:solidFill>
                </w14:textFill>
              </w:rPr>
              <w:t xml:space="preserve">　</w:t>
            </w:r>
            <w:r w:rsidRPr="003E2BEF">
              <w:rPr>
                <w:rFonts w:cs="Calibri"/>
                <w:b w:val="0"/>
                <w:bCs/>
                <w:color w:val="000000"/>
                <w:w w:val="15"/>
                <w:szCs w:val="20"/>
                <w:fitText w:val="46" w:id="-1304706554"/>
                <w14:textFill>
                  <w14:solidFill>
                    <w14:srgbClr w14:val="000000">
                      <w14:alpha w14:val="100000"/>
                    </w14:srgbClr>
                  </w14:solidFill>
                </w14:textFill>
              </w:rPr>
              <w:t>|</w:t>
            </w:r>
            <w:r w:rsidRPr="003E2BEF">
              <w:rPr>
                <w:rFonts w:cs="Calibri" w:hint="eastAsia"/>
                <w:b w:val="0"/>
                <w:bCs/>
                <w:color w:val="000000"/>
                <w:spacing w:val="-19"/>
                <w:w w:val="15"/>
                <w:szCs w:val="20"/>
                <w:fitText w:val="46" w:id="-1304706554"/>
                <w14:textFill>
                  <w14:solidFill>
                    <w14:srgbClr w14:val="000000">
                      <w14:alpha w14:val="100000"/>
                    </w14:srgbClr>
                  </w14:solidFill>
                </w14:textFill>
              </w:rPr>
              <w:t xml:space="preserve">　</w:t>
            </w:r>
          </w:p>
        </w:tc>
        <w:tc>
          <w:tcPr>
            <w:tcW w:w="1165" w:type="dxa"/>
            <w:vAlign w:val="center"/>
          </w:tcPr>
          <w:p w14:paraId="3A0ED6F7" w14:textId="77777777" w:rsidR="00185040" w:rsidRPr="00FF512C" w:rsidRDefault="00185040" w:rsidP="0021041D">
            <w:pPr>
              <w:pStyle w:val="TableHeading"/>
              <w:keepNext w:val="0"/>
              <w:jc w:val="center"/>
              <w:rPr>
                <w:rStyle w:val="CommentReference"/>
                <w:b/>
                <w:bCs/>
              </w:rPr>
            </w:pPr>
            <w:r w:rsidRPr="00FF512C">
              <w:rPr>
                <w:rFonts w:cs="Calibri"/>
                <w:b w:val="0"/>
                <w:bCs/>
                <w:color w:val="000000"/>
                <w:szCs w:val="20"/>
              </w:rPr>
              <w:t>0.0582</w:t>
            </w:r>
          </w:p>
        </w:tc>
        <w:tc>
          <w:tcPr>
            <w:tcW w:w="1165" w:type="dxa"/>
            <w:vAlign w:val="center"/>
          </w:tcPr>
          <w:p w14:paraId="6659987F" w14:textId="67BEC4F9" w:rsidR="00185040" w:rsidRPr="002B70D2" w:rsidRDefault="003E2BEF" w:rsidP="0021041D">
            <w:pPr>
              <w:pStyle w:val="TableHeading"/>
              <w:keepNext w:val="0"/>
              <w:jc w:val="center"/>
              <w:rPr>
                <w:rStyle w:val="CommentReference"/>
                <w:b/>
                <w:bCs/>
                <w:highlight w:val="darkGray"/>
              </w:rPr>
            </w:pPr>
            <w:r w:rsidRPr="003E2BEF">
              <w:rPr>
                <w:rFonts w:cs="Calibri" w:hint="eastAsia"/>
                <w:b w:val="0"/>
                <w:bCs/>
                <w:color w:val="000000"/>
                <w:w w:val="15"/>
                <w:szCs w:val="20"/>
                <w:shd w:val="solid" w:color="000000" w:fill="000000"/>
                <w:fitText w:val="57" w:id="-1304706553"/>
                <w14:textFill>
                  <w14:solidFill>
                    <w14:srgbClr w14:val="000000">
                      <w14:alpha w14:val="100000"/>
                    </w14:srgbClr>
                  </w14:solidFill>
                </w14:textFill>
              </w:rPr>
              <w:t xml:space="preserve">　</w:t>
            </w:r>
            <w:r w:rsidRPr="003E2BEF">
              <w:rPr>
                <w:rFonts w:cs="Calibri"/>
                <w:b w:val="0"/>
                <w:bCs/>
                <w:color w:val="000000"/>
                <w:w w:val="15"/>
                <w:szCs w:val="20"/>
                <w:shd w:val="solid" w:color="000000" w:fill="000000"/>
                <w:fitText w:val="57" w:id="-1304706553"/>
                <w14:textFill>
                  <w14:solidFill>
                    <w14:srgbClr w14:val="000000">
                      <w14:alpha w14:val="100000"/>
                    </w14:srgbClr>
                  </w14:solidFill>
                </w14:textFill>
              </w:rPr>
              <w:t>|</w:t>
            </w:r>
            <w:r w:rsidRPr="003E2BEF">
              <w:rPr>
                <w:rFonts w:cs="Calibri" w:hint="eastAsia"/>
                <w:b w:val="0"/>
                <w:bCs/>
                <w:color w:val="000000"/>
                <w:spacing w:val="-8"/>
                <w:w w:val="15"/>
                <w:szCs w:val="20"/>
                <w:shd w:val="solid" w:color="000000" w:fill="000000"/>
                <w:fitText w:val="57" w:id="-1304706553"/>
                <w14:textFill>
                  <w14:solidFill>
                    <w14:srgbClr w14:val="000000">
                      <w14:alpha w14:val="100000"/>
                    </w14:srgbClr>
                  </w14:solidFill>
                </w14:textFill>
              </w:rPr>
              <w:t xml:space="preserve">　</w:t>
            </w:r>
            <w:r w:rsidR="002B70D2">
              <w:rPr>
                <w:bCs/>
                <w:szCs w:val="20"/>
                <w:vertAlign w:val="superscript"/>
              </w:rPr>
              <w:t>6</w:t>
            </w:r>
          </w:p>
        </w:tc>
        <w:tc>
          <w:tcPr>
            <w:tcW w:w="1257" w:type="dxa"/>
            <w:vAlign w:val="center"/>
          </w:tcPr>
          <w:p w14:paraId="163C2704" w14:textId="77777777" w:rsidR="00185040" w:rsidRPr="00FF512C" w:rsidRDefault="00185040" w:rsidP="0021041D">
            <w:pPr>
              <w:pStyle w:val="TableHeading"/>
              <w:keepNext w:val="0"/>
              <w:jc w:val="center"/>
              <w:rPr>
                <w:rStyle w:val="CommentReference"/>
                <w:b/>
                <w:bCs/>
              </w:rPr>
            </w:pPr>
            <w:r w:rsidRPr="00FF512C">
              <w:rPr>
                <w:rFonts w:cs="Calibri"/>
                <w:b w:val="0"/>
                <w:bCs/>
                <w:color w:val="000000"/>
                <w:szCs w:val="20"/>
              </w:rPr>
              <w:t>-42%</w:t>
            </w:r>
          </w:p>
        </w:tc>
      </w:tr>
      <w:tr w:rsidR="00185040" w:rsidRPr="00FF512C" w14:paraId="4489FD9C" w14:textId="77777777" w:rsidTr="003E2BEF">
        <w:tc>
          <w:tcPr>
            <w:tcW w:w="4265" w:type="dxa"/>
          </w:tcPr>
          <w:p w14:paraId="61947D23" w14:textId="77777777" w:rsidR="00185040" w:rsidRPr="00FF512C" w:rsidRDefault="00185040" w:rsidP="0021041D">
            <w:pPr>
              <w:pStyle w:val="TableHeading"/>
              <w:keepNext w:val="0"/>
              <w:rPr>
                <w:rStyle w:val="CommentReference"/>
                <w:b/>
                <w:bCs/>
              </w:rPr>
            </w:pPr>
            <w:r w:rsidRPr="00FF512C">
              <w:rPr>
                <w:rStyle w:val="CommentReference"/>
                <w:b/>
                <w:bCs/>
              </w:rPr>
              <w:t>OR for CKD progression increased by 20%</w:t>
            </w:r>
          </w:p>
        </w:tc>
        <w:tc>
          <w:tcPr>
            <w:tcW w:w="1165" w:type="dxa"/>
            <w:tcBorders>
              <w:bottom w:val="single" w:sz="4" w:space="0" w:color="auto"/>
            </w:tcBorders>
            <w:shd w:val="solid" w:color="000000" w:fill="000000"/>
            <w:vAlign w:val="center"/>
          </w:tcPr>
          <w:p w14:paraId="189190C4" w14:textId="27CFBDD6" w:rsidR="00185040" w:rsidRPr="003E2BEF" w:rsidRDefault="003E2BEF" w:rsidP="0021041D">
            <w:pPr>
              <w:pStyle w:val="TableHeading"/>
              <w:keepNext w:val="0"/>
              <w:jc w:val="center"/>
              <w:rPr>
                <w:rStyle w:val="CommentReference"/>
                <w:b/>
                <w:bCs/>
              </w:rPr>
            </w:pPr>
            <w:r w:rsidRPr="003E2BEF">
              <w:rPr>
                <w:rStyle w:val="CommentReference"/>
                <w:rFonts w:hint="eastAsia"/>
                <w:b/>
                <w:bCs/>
                <w:color w:val="000000"/>
                <w:w w:val="15"/>
                <w:fitText w:val="46" w:id="-1304706552"/>
                <w14:textFill>
                  <w14:solidFill>
                    <w14:srgbClr w14:val="000000">
                      <w14:alpha w14:val="100000"/>
                    </w14:srgbClr>
                  </w14:solidFill>
                </w14:textFill>
              </w:rPr>
              <w:t xml:space="preserve">　</w:t>
            </w:r>
            <w:r w:rsidRPr="003E2BEF">
              <w:rPr>
                <w:rStyle w:val="CommentReference"/>
                <w:b/>
                <w:bCs/>
                <w:color w:val="000000"/>
                <w:w w:val="15"/>
                <w:fitText w:val="46" w:id="-1304706552"/>
                <w14:textFill>
                  <w14:solidFill>
                    <w14:srgbClr w14:val="000000">
                      <w14:alpha w14:val="100000"/>
                    </w14:srgbClr>
                  </w14:solidFill>
                </w14:textFill>
              </w:rPr>
              <w:t>|</w:t>
            </w:r>
            <w:r w:rsidRPr="003E2BEF">
              <w:rPr>
                <w:rStyle w:val="CommentReference"/>
                <w:rFonts w:hint="eastAsia"/>
                <w:b/>
                <w:bCs/>
                <w:color w:val="000000"/>
                <w:spacing w:val="-20"/>
                <w:w w:val="15"/>
                <w:fitText w:val="46" w:id="-1304706552"/>
                <w14:textFill>
                  <w14:solidFill>
                    <w14:srgbClr w14:val="000000">
                      <w14:alpha w14:val="100000"/>
                    </w14:srgbClr>
                  </w14:solidFill>
                </w14:textFill>
              </w:rPr>
              <w:t xml:space="preserve">　</w:t>
            </w:r>
          </w:p>
        </w:tc>
        <w:tc>
          <w:tcPr>
            <w:tcW w:w="1165" w:type="dxa"/>
            <w:vAlign w:val="center"/>
          </w:tcPr>
          <w:p w14:paraId="236B7C02" w14:textId="77777777" w:rsidR="00185040" w:rsidRPr="00FF512C" w:rsidRDefault="00185040" w:rsidP="0021041D">
            <w:pPr>
              <w:pStyle w:val="TableHeading"/>
              <w:keepNext w:val="0"/>
              <w:jc w:val="center"/>
              <w:rPr>
                <w:rStyle w:val="CommentReference"/>
                <w:b/>
                <w:bCs/>
              </w:rPr>
            </w:pPr>
            <w:r w:rsidRPr="00FF512C">
              <w:rPr>
                <w:rStyle w:val="CommentReference"/>
                <w:b/>
                <w:bCs/>
              </w:rPr>
              <w:t>0.2483</w:t>
            </w:r>
          </w:p>
        </w:tc>
        <w:tc>
          <w:tcPr>
            <w:tcW w:w="1165" w:type="dxa"/>
            <w:vAlign w:val="center"/>
          </w:tcPr>
          <w:p w14:paraId="6D81132B" w14:textId="2BFB66A4" w:rsidR="00185040" w:rsidRPr="002B70D2" w:rsidRDefault="003E2BEF" w:rsidP="0021041D">
            <w:pPr>
              <w:pStyle w:val="TableHeading"/>
              <w:keepNext w:val="0"/>
              <w:jc w:val="center"/>
              <w:rPr>
                <w:rStyle w:val="CommentReference"/>
                <w:b/>
                <w:bCs/>
                <w:highlight w:val="darkGray"/>
              </w:rPr>
            </w:pPr>
            <w:r w:rsidRPr="003E2BEF">
              <w:rPr>
                <w:rStyle w:val="CommentReference"/>
                <w:rFonts w:hint="eastAsia"/>
                <w:b/>
                <w:bCs/>
                <w:color w:val="000000"/>
                <w:w w:val="15"/>
                <w:shd w:val="solid" w:color="000000" w:fill="000000"/>
                <w:fitText w:val="57" w:id="-1304706551"/>
                <w14:textFill>
                  <w14:solidFill>
                    <w14:srgbClr w14:val="000000">
                      <w14:alpha w14:val="100000"/>
                    </w14:srgbClr>
                  </w14:solidFill>
                </w14:textFill>
              </w:rPr>
              <w:t xml:space="preserve">　</w:t>
            </w:r>
            <w:r w:rsidRPr="003E2BEF">
              <w:rPr>
                <w:rStyle w:val="CommentReference"/>
                <w:b/>
                <w:bCs/>
                <w:color w:val="000000"/>
                <w:w w:val="15"/>
                <w:shd w:val="solid" w:color="000000" w:fill="000000"/>
                <w:fitText w:val="57" w:id="-1304706551"/>
                <w14:textFill>
                  <w14:solidFill>
                    <w14:srgbClr w14:val="000000">
                      <w14:alpha w14:val="100000"/>
                    </w14:srgbClr>
                  </w14:solidFill>
                </w14:textFill>
              </w:rPr>
              <w:t>|</w:t>
            </w:r>
            <w:r w:rsidRPr="003E2BEF">
              <w:rPr>
                <w:rStyle w:val="CommentReference"/>
                <w:rFonts w:hint="eastAsia"/>
                <w:b/>
                <w:bCs/>
                <w:color w:val="000000"/>
                <w:spacing w:val="-9"/>
                <w:w w:val="15"/>
                <w:shd w:val="solid" w:color="000000" w:fill="000000"/>
                <w:fitText w:val="57" w:id="-1304706551"/>
                <w14:textFill>
                  <w14:solidFill>
                    <w14:srgbClr w14:val="000000">
                      <w14:alpha w14:val="100000"/>
                    </w14:srgbClr>
                  </w14:solidFill>
                </w14:textFill>
              </w:rPr>
              <w:t xml:space="preserve">　</w:t>
            </w:r>
            <w:r w:rsidR="002B70D2">
              <w:rPr>
                <w:bCs/>
                <w:szCs w:val="20"/>
                <w:vertAlign w:val="superscript"/>
              </w:rPr>
              <w:t>6</w:t>
            </w:r>
          </w:p>
        </w:tc>
        <w:tc>
          <w:tcPr>
            <w:tcW w:w="1257" w:type="dxa"/>
            <w:vAlign w:val="center"/>
          </w:tcPr>
          <w:p w14:paraId="0BC94C8A" w14:textId="77777777" w:rsidR="00185040" w:rsidRPr="00FF512C" w:rsidRDefault="00185040" w:rsidP="0021041D">
            <w:pPr>
              <w:pStyle w:val="TableHeading"/>
              <w:keepNext w:val="0"/>
              <w:jc w:val="center"/>
              <w:rPr>
                <w:rStyle w:val="CommentReference"/>
                <w:b/>
                <w:bCs/>
              </w:rPr>
            </w:pPr>
            <w:r w:rsidRPr="00FF512C">
              <w:rPr>
                <w:rStyle w:val="CommentReference"/>
                <w:b/>
                <w:bCs/>
              </w:rPr>
              <w:t>-27%</w:t>
            </w:r>
          </w:p>
        </w:tc>
      </w:tr>
      <w:tr w:rsidR="00185040" w:rsidRPr="00FF512C" w14:paraId="10B3DCB0" w14:textId="77777777" w:rsidTr="003E2BEF">
        <w:tc>
          <w:tcPr>
            <w:tcW w:w="4265" w:type="dxa"/>
          </w:tcPr>
          <w:p w14:paraId="7CD31B57" w14:textId="77777777" w:rsidR="00185040" w:rsidRPr="00FF512C" w:rsidRDefault="00185040" w:rsidP="0021041D">
            <w:pPr>
              <w:pStyle w:val="TableHeading"/>
              <w:keepNext w:val="0"/>
              <w:rPr>
                <w:rStyle w:val="CommentReference"/>
                <w:b/>
                <w:bCs/>
              </w:rPr>
            </w:pPr>
            <w:r w:rsidRPr="00FF512C">
              <w:rPr>
                <w:rStyle w:val="CommentReference"/>
                <w:b/>
                <w:bCs/>
              </w:rPr>
              <w:t>OR for CKD progression decreased by 20%</w:t>
            </w:r>
          </w:p>
        </w:tc>
        <w:tc>
          <w:tcPr>
            <w:tcW w:w="1165" w:type="dxa"/>
            <w:tcBorders>
              <w:bottom w:val="single" w:sz="4" w:space="0" w:color="auto"/>
            </w:tcBorders>
            <w:shd w:val="solid" w:color="000000" w:fill="000000"/>
            <w:vAlign w:val="center"/>
          </w:tcPr>
          <w:p w14:paraId="49CCD85C" w14:textId="59FE667D" w:rsidR="00185040" w:rsidRPr="003E2BEF" w:rsidRDefault="003E2BEF" w:rsidP="0021041D">
            <w:pPr>
              <w:pStyle w:val="TableHeading"/>
              <w:keepNext w:val="0"/>
              <w:jc w:val="center"/>
              <w:rPr>
                <w:rStyle w:val="CommentReference"/>
                <w:b/>
                <w:bCs/>
              </w:rPr>
            </w:pPr>
            <w:r w:rsidRPr="003E2BEF">
              <w:rPr>
                <w:rStyle w:val="CommentReference"/>
                <w:rFonts w:hint="eastAsia"/>
                <w:b/>
                <w:bCs/>
                <w:color w:val="000000"/>
                <w:w w:val="15"/>
                <w:fitText w:val="46" w:id="-1304706550"/>
                <w14:textFill>
                  <w14:solidFill>
                    <w14:srgbClr w14:val="000000">
                      <w14:alpha w14:val="100000"/>
                    </w14:srgbClr>
                  </w14:solidFill>
                </w14:textFill>
              </w:rPr>
              <w:t xml:space="preserve">　</w:t>
            </w:r>
            <w:r w:rsidRPr="003E2BEF">
              <w:rPr>
                <w:rStyle w:val="CommentReference"/>
                <w:b/>
                <w:bCs/>
                <w:color w:val="000000"/>
                <w:w w:val="15"/>
                <w:fitText w:val="46" w:id="-1304706550"/>
                <w14:textFill>
                  <w14:solidFill>
                    <w14:srgbClr w14:val="000000">
                      <w14:alpha w14:val="100000"/>
                    </w14:srgbClr>
                  </w14:solidFill>
                </w14:textFill>
              </w:rPr>
              <w:t>|</w:t>
            </w:r>
            <w:r w:rsidRPr="003E2BEF">
              <w:rPr>
                <w:rStyle w:val="CommentReference"/>
                <w:rFonts w:hint="eastAsia"/>
                <w:b/>
                <w:bCs/>
                <w:color w:val="000000"/>
                <w:spacing w:val="-20"/>
                <w:w w:val="15"/>
                <w:fitText w:val="46" w:id="-1304706550"/>
                <w14:textFill>
                  <w14:solidFill>
                    <w14:srgbClr w14:val="000000">
                      <w14:alpha w14:val="100000"/>
                    </w14:srgbClr>
                  </w14:solidFill>
                </w14:textFill>
              </w:rPr>
              <w:t xml:space="preserve">　</w:t>
            </w:r>
          </w:p>
        </w:tc>
        <w:tc>
          <w:tcPr>
            <w:tcW w:w="1165" w:type="dxa"/>
            <w:vAlign w:val="center"/>
          </w:tcPr>
          <w:p w14:paraId="52950FB9" w14:textId="77777777" w:rsidR="00185040" w:rsidRPr="00FF512C" w:rsidRDefault="00185040" w:rsidP="0021041D">
            <w:pPr>
              <w:pStyle w:val="TableHeading"/>
              <w:keepNext w:val="0"/>
              <w:jc w:val="center"/>
              <w:rPr>
                <w:rStyle w:val="CommentReference"/>
                <w:b/>
                <w:bCs/>
              </w:rPr>
            </w:pPr>
            <w:r w:rsidRPr="00FF512C">
              <w:rPr>
                <w:rStyle w:val="CommentReference"/>
                <w:b/>
                <w:bCs/>
              </w:rPr>
              <w:t>0.2114</w:t>
            </w:r>
          </w:p>
        </w:tc>
        <w:tc>
          <w:tcPr>
            <w:tcW w:w="1165" w:type="dxa"/>
            <w:vAlign w:val="center"/>
          </w:tcPr>
          <w:p w14:paraId="3B88FEEE" w14:textId="193C9249" w:rsidR="00185040" w:rsidRPr="002B70D2" w:rsidRDefault="003E2BEF" w:rsidP="0021041D">
            <w:pPr>
              <w:pStyle w:val="TableHeading"/>
              <w:keepNext w:val="0"/>
              <w:jc w:val="center"/>
              <w:rPr>
                <w:rStyle w:val="CommentReference"/>
                <w:b/>
                <w:bCs/>
                <w:highlight w:val="darkGray"/>
              </w:rPr>
            </w:pPr>
            <w:r w:rsidRPr="003E2BEF">
              <w:rPr>
                <w:rStyle w:val="CommentReference"/>
                <w:rFonts w:hint="eastAsia"/>
                <w:b/>
                <w:bCs/>
                <w:color w:val="000000"/>
                <w:w w:val="15"/>
                <w:shd w:val="solid" w:color="000000" w:fill="000000"/>
                <w:fitText w:val="57" w:id="-1304706549"/>
                <w14:textFill>
                  <w14:solidFill>
                    <w14:srgbClr w14:val="000000">
                      <w14:alpha w14:val="100000"/>
                    </w14:srgbClr>
                  </w14:solidFill>
                </w14:textFill>
              </w:rPr>
              <w:t xml:space="preserve">　</w:t>
            </w:r>
            <w:r w:rsidRPr="003E2BEF">
              <w:rPr>
                <w:rStyle w:val="CommentReference"/>
                <w:b/>
                <w:bCs/>
                <w:color w:val="000000"/>
                <w:w w:val="15"/>
                <w:shd w:val="solid" w:color="000000" w:fill="000000"/>
                <w:fitText w:val="57" w:id="-1304706549"/>
                <w14:textFill>
                  <w14:solidFill>
                    <w14:srgbClr w14:val="000000">
                      <w14:alpha w14:val="100000"/>
                    </w14:srgbClr>
                  </w14:solidFill>
                </w14:textFill>
              </w:rPr>
              <w:t>|</w:t>
            </w:r>
            <w:r w:rsidRPr="003E2BEF">
              <w:rPr>
                <w:rStyle w:val="CommentReference"/>
                <w:rFonts w:hint="eastAsia"/>
                <w:b/>
                <w:bCs/>
                <w:color w:val="000000"/>
                <w:spacing w:val="-9"/>
                <w:w w:val="15"/>
                <w:shd w:val="solid" w:color="000000" w:fill="000000"/>
                <w:fitText w:val="57" w:id="-1304706549"/>
                <w14:textFill>
                  <w14:solidFill>
                    <w14:srgbClr w14:val="000000">
                      <w14:alpha w14:val="100000"/>
                    </w14:srgbClr>
                  </w14:solidFill>
                </w14:textFill>
              </w:rPr>
              <w:t xml:space="preserve">　</w:t>
            </w:r>
            <w:r w:rsidR="002B70D2">
              <w:rPr>
                <w:bCs/>
                <w:szCs w:val="20"/>
                <w:vertAlign w:val="superscript"/>
              </w:rPr>
              <w:t>2</w:t>
            </w:r>
          </w:p>
        </w:tc>
        <w:tc>
          <w:tcPr>
            <w:tcW w:w="1257" w:type="dxa"/>
            <w:vAlign w:val="center"/>
          </w:tcPr>
          <w:p w14:paraId="11A8B852" w14:textId="77777777" w:rsidR="00185040" w:rsidRPr="00FF512C" w:rsidRDefault="00185040" w:rsidP="0021041D">
            <w:pPr>
              <w:pStyle w:val="TableHeading"/>
              <w:keepNext w:val="0"/>
              <w:jc w:val="center"/>
              <w:rPr>
                <w:rStyle w:val="CommentReference"/>
                <w:b/>
                <w:bCs/>
              </w:rPr>
            </w:pPr>
            <w:r w:rsidRPr="00FF512C">
              <w:rPr>
                <w:rStyle w:val="CommentReference"/>
                <w:b/>
                <w:bCs/>
              </w:rPr>
              <w:t>+29%</w:t>
            </w:r>
          </w:p>
        </w:tc>
      </w:tr>
      <w:tr w:rsidR="00185040" w:rsidRPr="00FF512C" w14:paraId="00046B2F" w14:textId="77777777" w:rsidTr="003E2BEF">
        <w:tc>
          <w:tcPr>
            <w:tcW w:w="4265" w:type="dxa"/>
          </w:tcPr>
          <w:p w14:paraId="5F25F692" w14:textId="77777777" w:rsidR="00185040" w:rsidRPr="00FF512C" w:rsidRDefault="00185040" w:rsidP="0021041D">
            <w:pPr>
              <w:pStyle w:val="TableHeading"/>
              <w:keepNext w:val="0"/>
              <w:rPr>
                <w:rStyle w:val="CommentReference"/>
                <w:b/>
                <w:bCs/>
              </w:rPr>
            </w:pPr>
            <w:r w:rsidRPr="00FF512C">
              <w:rPr>
                <w:rStyle w:val="CommentReference"/>
                <w:b/>
                <w:bCs/>
              </w:rPr>
              <w:t>Treatment effect on CKD progression removed</w:t>
            </w:r>
          </w:p>
        </w:tc>
        <w:tc>
          <w:tcPr>
            <w:tcW w:w="1165" w:type="dxa"/>
            <w:shd w:val="solid" w:color="000000" w:fill="000000"/>
            <w:vAlign w:val="center"/>
          </w:tcPr>
          <w:p w14:paraId="4E712671" w14:textId="0F227B10" w:rsidR="00185040" w:rsidRPr="003E2BEF" w:rsidRDefault="003E2BEF" w:rsidP="0021041D">
            <w:pPr>
              <w:pStyle w:val="TableHeading"/>
              <w:keepNext w:val="0"/>
              <w:jc w:val="center"/>
              <w:rPr>
                <w:rStyle w:val="CommentReference"/>
                <w:b/>
                <w:bCs/>
              </w:rPr>
            </w:pPr>
            <w:r w:rsidRPr="003E2BEF">
              <w:rPr>
                <w:rStyle w:val="CommentReference"/>
                <w:rFonts w:hint="eastAsia"/>
                <w:b/>
                <w:bCs/>
                <w:color w:val="000000"/>
                <w:w w:val="15"/>
                <w:fitText w:val="46" w:id="-1304706548"/>
                <w14:textFill>
                  <w14:solidFill>
                    <w14:srgbClr w14:val="000000">
                      <w14:alpha w14:val="100000"/>
                    </w14:srgbClr>
                  </w14:solidFill>
                </w14:textFill>
              </w:rPr>
              <w:t xml:space="preserve">　</w:t>
            </w:r>
            <w:r w:rsidRPr="003E2BEF">
              <w:rPr>
                <w:rStyle w:val="CommentReference"/>
                <w:b/>
                <w:bCs/>
                <w:color w:val="000000"/>
                <w:w w:val="15"/>
                <w:fitText w:val="46" w:id="-1304706548"/>
                <w14:textFill>
                  <w14:solidFill>
                    <w14:srgbClr w14:val="000000">
                      <w14:alpha w14:val="100000"/>
                    </w14:srgbClr>
                  </w14:solidFill>
                </w14:textFill>
              </w:rPr>
              <w:t>|</w:t>
            </w:r>
            <w:r w:rsidRPr="003E2BEF">
              <w:rPr>
                <w:rStyle w:val="CommentReference"/>
                <w:rFonts w:hint="eastAsia"/>
                <w:b/>
                <w:bCs/>
                <w:color w:val="000000"/>
                <w:spacing w:val="-20"/>
                <w:w w:val="15"/>
                <w:fitText w:val="46" w:id="-1304706548"/>
                <w14:textFill>
                  <w14:solidFill>
                    <w14:srgbClr w14:val="000000">
                      <w14:alpha w14:val="100000"/>
                    </w14:srgbClr>
                  </w14:solidFill>
                </w14:textFill>
              </w:rPr>
              <w:t xml:space="preserve">　</w:t>
            </w:r>
          </w:p>
        </w:tc>
        <w:tc>
          <w:tcPr>
            <w:tcW w:w="1165" w:type="dxa"/>
            <w:vAlign w:val="center"/>
          </w:tcPr>
          <w:p w14:paraId="65DC8A00" w14:textId="77777777" w:rsidR="00185040" w:rsidRPr="00FF512C" w:rsidRDefault="00185040" w:rsidP="0021041D">
            <w:pPr>
              <w:pStyle w:val="TableHeading"/>
              <w:keepNext w:val="0"/>
              <w:jc w:val="center"/>
              <w:rPr>
                <w:rStyle w:val="CommentReference"/>
                <w:b/>
                <w:bCs/>
              </w:rPr>
            </w:pPr>
            <w:r w:rsidRPr="00FF512C">
              <w:rPr>
                <w:rStyle w:val="CommentReference"/>
                <w:b/>
                <w:bCs/>
              </w:rPr>
              <w:t>0.1810</w:t>
            </w:r>
          </w:p>
        </w:tc>
        <w:tc>
          <w:tcPr>
            <w:tcW w:w="1165" w:type="dxa"/>
            <w:vAlign w:val="center"/>
          </w:tcPr>
          <w:p w14:paraId="58A710BE" w14:textId="5ED647A3" w:rsidR="00185040" w:rsidRPr="002B70D2" w:rsidRDefault="003E2BEF" w:rsidP="0021041D">
            <w:pPr>
              <w:pStyle w:val="TableHeading"/>
              <w:keepNext w:val="0"/>
              <w:jc w:val="center"/>
              <w:rPr>
                <w:rStyle w:val="CommentReference"/>
                <w:b/>
                <w:bCs/>
                <w:highlight w:val="darkGray"/>
              </w:rPr>
            </w:pPr>
            <w:r w:rsidRPr="003E2BEF">
              <w:rPr>
                <w:rStyle w:val="CommentReference"/>
                <w:rFonts w:hint="eastAsia"/>
                <w:b/>
                <w:bCs/>
                <w:color w:val="000000"/>
                <w:w w:val="15"/>
                <w:shd w:val="solid" w:color="000000" w:fill="000000"/>
                <w:fitText w:val="57" w:id="-1304706547"/>
                <w14:textFill>
                  <w14:solidFill>
                    <w14:srgbClr w14:val="000000">
                      <w14:alpha w14:val="100000"/>
                    </w14:srgbClr>
                  </w14:solidFill>
                </w14:textFill>
              </w:rPr>
              <w:t xml:space="preserve">　</w:t>
            </w:r>
            <w:r w:rsidRPr="003E2BEF">
              <w:rPr>
                <w:rStyle w:val="CommentReference"/>
                <w:b/>
                <w:bCs/>
                <w:color w:val="000000"/>
                <w:w w:val="15"/>
                <w:shd w:val="solid" w:color="000000" w:fill="000000"/>
                <w:fitText w:val="57" w:id="-1304706547"/>
                <w14:textFill>
                  <w14:solidFill>
                    <w14:srgbClr w14:val="000000">
                      <w14:alpha w14:val="100000"/>
                    </w14:srgbClr>
                  </w14:solidFill>
                </w14:textFill>
              </w:rPr>
              <w:t>|</w:t>
            </w:r>
            <w:r w:rsidRPr="003E2BEF">
              <w:rPr>
                <w:rStyle w:val="CommentReference"/>
                <w:rFonts w:hint="eastAsia"/>
                <w:b/>
                <w:bCs/>
                <w:color w:val="000000"/>
                <w:spacing w:val="-9"/>
                <w:w w:val="15"/>
                <w:shd w:val="solid" w:color="000000" w:fill="000000"/>
                <w:fitText w:val="57" w:id="-1304706547"/>
                <w14:textFill>
                  <w14:solidFill>
                    <w14:srgbClr w14:val="000000">
                      <w14:alpha w14:val="100000"/>
                    </w14:srgbClr>
                  </w14:solidFill>
                </w14:textFill>
              </w:rPr>
              <w:t xml:space="preserve">　</w:t>
            </w:r>
            <w:r w:rsidR="002B70D2">
              <w:rPr>
                <w:bCs/>
                <w:szCs w:val="20"/>
                <w:vertAlign w:val="superscript"/>
              </w:rPr>
              <w:t>4</w:t>
            </w:r>
          </w:p>
        </w:tc>
        <w:tc>
          <w:tcPr>
            <w:tcW w:w="1257" w:type="dxa"/>
            <w:vAlign w:val="center"/>
          </w:tcPr>
          <w:p w14:paraId="1C3A34B3" w14:textId="77777777" w:rsidR="00185040" w:rsidRPr="00FF512C" w:rsidRDefault="00185040" w:rsidP="0021041D">
            <w:pPr>
              <w:pStyle w:val="TableHeading"/>
              <w:keepNext w:val="0"/>
              <w:jc w:val="center"/>
              <w:rPr>
                <w:rStyle w:val="CommentReference"/>
                <w:b/>
                <w:bCs/>
              </w:rPr>
            </w:pPr>
            <w:r w:rsidRPr="00FF512C">
              <w:rPr>
                <w:rStyle w:val="CommentReference"/>
                <w:b/>
                <w:bCs/>
              </w:rPr>
              <w:t>+97%</w:t>
            </w:r>
          </w:p>
        </w:tc>
      </w:tr>
      <w:tr w:rsidR="00185040" w:rsidRPr="00FF512C" w14:paraId="77A6222C" w14:textId="77777777" w:rsidTr="00624A83">
        <w:tc>
          <w:tcPr>
            <w:tcW w:w="9017" w:type="dxa"/>
            <w:gridSpan w:val="5"/>
          </w:tcPr>
          <w:p w14:paraId="4490875F" w14:textId="77777777" w:rsidR="00185040" w:rsidRPr="00FF512C" w:rsidRDefault="00185040" w:rsidP="0021041D">
            <w:pPr>
              <w:pStyle w:val="TableHeading"/>
              <w:keepNext w:val="0"/>
              <w:rPr>
                <w:rStyle w:val="CommentReference"/>
                <w:b/>
                <w:bCs/>
              </w:rPr>
            </w:pPr>
            <w:r w:rsidRPr="00FF512C">
              <w:rPr>
                <w:bCs/>
                <w:szCs w:val="20"/>
              </w:rPr>
              <w:t xml:space="preserve">Health state utility values (base case: CKD 3/4 using Gorodetskaya TTO values; CKD 5/dialysis/transplantation using Lee EQ-5D-3L values; NYHA Class I-V using Gohler 2009 EQ-5D-3L values) </w:t>
            </w:r>
          </w:p>
        </w:tc>
      </w:tr>
      <w:tr w:rsidR="00185040" w:rsidRPr="00FF512C" w14:paraId="0AF3BFB5" w14:textId="77777777" w:rsidTr="003E2BEF">
        <w:tc>
          <w:tcPr>
            <w:tcW w:w="4265" w:type="dxa"/>
          </w:tcPr>
          <w:p w14:paraId="3B79F7CF" w14:textId="77777777" w:rsidR="00185040" w:rsidRPr="00FF512C" w:rsidRDefault="00185040" w:rsidP="0021041D">
            <w:pPr>
              <w:pStyle w:val="TableHeading"/>
              <w:keepNext w:val="0"/>
              <w:rPr>
                <w:rStyle w:val="CommentReference"/>
                <w:b/>
                <w:bCs/>
              </w:rPr>
            </w:pPr>
            <w:r w:rsidRPr="00FF512C">
              <w:rPr>
                <w:b w:val="0"/>
                <w:bCs/>
                <w:szCs w:val="20"/>
              </w:rPr>
              <w:t>CKD/RRT utility values increased by 20%</w:t>
            </w:r>
          </w:p>
        </w:tc>
        <w:tc>
          <w:tcPr>
            <w:tcW w:w="1165" w:type="dxa"/>
            <w:tcBorders>
              <w:bottom w:val="single" w:sz="4" w:space="0" w:color="auto"/>
            </w:tcBorders>
            <w:shd w:val="solid" w:color="000000" w:fill="000000"/>
          </w:tcPr>
          <w:p w14:paraId="5124838F" w14:textId="4F28A326" w:rsidR="00185040" w:rsidRPr="003E2BEF" w:rsidRDefault="003E2BEF" w:rsidP="0021041D">
            <w:pPr>
              <w:pStyle w:val="TableHeading"/>
              <w:keepNext w:val="0"/>
              <w:jc w:val="center"/>
              <w:rPr>
                <w:rStyle w:val="CommentReference"/>
                <w:b/>
                <w:bCs/>
              </w:rPr>
            </w:pPr>
            <w:r w:rsidRPr="003E2BEF">
              <w:rPr>
                <w:rFonts w:hint="eastAsia"/>
                <w:b w:val="0"/>
                <w:bCs/>
                <w:color w:val="000000"/>
                <w:w w:val="15"/>
                <w:fitText w:val="46" w:id="-1304706546"/>
                <w14:textFill>
                  <w14:solidFill>
                    <w14:srgbClr w14:val="000000">
                      <w14:alpha w14:val="100000"/>
                    </w14:srgbClr>
                  </w14:solidFill>
                </w14:textFill>
              </w:rPr>
              <w:t xml:space="preserve">　</w:t>
            </w:r>
            <w:r w:rsidRPr="003E2BEF">
              <w:rPr>
                <w:b w:val="0"/>
                <w:bCs/>
                <w:color w:val="000000"/>
                <w:w w:val="15"/>
                <w:fitText w:val="46" w:id="-1304706546"/>
                <w14:textFill>
                  <w14:solidFill>
                    <w14:srgbClr w14:val="000000">
                      <w14:alpha w14:val="100000"/>
                    </w14:srgbClr>
                  </w14:solidFill>
                </w14:textFill>
              </w:rPr>
              <w:t>|</w:t>
            </w:r>
            <w:r w:rsidRPr="003E2BEF">
              <w:rPr>
                <w:rFonts w:hint="eastAsia"/>
                <w:b w:val="0"/>
                <w:bCs/>
                <w:color w:val="000000"/>
                <w:spacing w:val="-19"/>
                <w:w w:val="15"/>
                <w:fitText w:val="46" w:id="-1304706546"/>
                <w14:textFill>
                  <w14:solidFill>
                    <w14:srgbClr w14:val="000000">
                      <w14:alpha w14:val="100000"/>
                    </w14:srgbClr>
                  </w14:solidFill>
                </w14:textFill>
              </w:rPr>
              <w:t xml:space="preserve">　</w:t>
            </w:r>
          </w:p>
        </w:tc>
        <w:tc>
          <w:tcPr>
            <w:tcW w:w="1165" w:type="dxa"/>
          </w:tcPr>
          <w:p w14:paraId="00D7EA1B" w14:textId="77777777" w:rsidR="00185040" w:rsidRPr="00FF512C" w:rsidRDefault="00185040" w:rsidP="0021041D">
            <w:pPr>
              <w:pStyle w:val="TableHeading"/>
              <w:keepNext w:val="0"/>
              <w:jc w:val="center"/>
              <w:rPr>
                <w:rStyle w:val="CommentReference"/>
                <w:b/>
                <w:bCs/>
              </w:rPr>
            </w:pPr>
            <w:r w:rsidRPr="00FF512C">
              <w:rPr>
                <w:b w:val="0"/>
                <w:bCs/>
              </w:rPr>
              <w:t>0.2673</w:t>
            </w:r>
          </w:p>
        </w:tc>
        <w:tc>
          <w:tcPr>
            <w:tcW w:w="1165" w:type="dxa"/>
          </w:tcPr>
          <w:p w14:paraId="763CC986" w14:textId="3AA1C306" w:rsidR="00185040" w:rsidRPr="002B70D2" w:rsidRDefault="003E2BEF" w:rsidP="0021041D">
            <w:pPr>
              <w:pStyle w:val="TableHeading"/>
              <w:keepNext w:val="0"/>
              <w:jc w:val="center"/>
              <w:rPr>
                <w:rStyle w:val="CommentReference"/>
                <w:b/>
                <w:bCs/>
                <w:highlight w:val="darkGray"/>
              </w:rPr>
            </w:pPr>
            <w:r w:rsidRPr="003E2BEF">
              <w:rPr>
                <w:rFonts w:hint="eastAsia"/>
                <w:b w:val="0"/>
                <w:bCs/>
                <w:color w:val="000000"/>
                <w:w w:val="15"/>
                <w:shd w:val="solid" w:color="000000" w:fill="000000"/>
                <w:fitText w:val="57" w:id="-1304706545"/>
                <w14:textFill>
                  <w14:solidFill>
                    <w14:srgbClr w14:val="000000">
                      <w14:alpha w14:val="100000"/>
                    </w14:srgbClr>
                  </w14:solidFill>
                </w14:textFill>
              </w:rPr>
              <w:t xml:space="preserve">　</w:t>
            </w:r>
            <w:r w:rsidRPr="003E2BEF">
              <w:rPr>
                <w:b w:val="0"/>
                <w:bCs/>
                <w:color w:val="000000"/>
                <w:w w:val="15"/>
                <w:shd w:val="solid" w:color="000000" w:fill="000000"/>
                <w:fitText w:val="57" w:id="-1304706545"/>
                <w14:textFill>
                  <w14:solidFill>
                    <w14:srgbClr w14:val="000000">
                      <w14:alpha w14:val="100000"/>
                    </w14:srgbClr>
                  </w14:solidFill>
                </w14:textFill>
              </w:rPr>
              <w:t>|</w:t>
            </w:r>
            <w:r w:rsidRPr="003E2BEF">
              <w:rPr>
                <w:rFonts w:hint="eastAsia"/>
                <w:b w:val="0"/>
                <w:bCs/>
                <w:color w:val="000000"/>
                <w:spacing w:val="-8"/>
                <w:w w:val="15"/>
                <w:shd w:val="solid" w:color="000000" w:fill="000000"/>
                <w:fitText w:val="57" w:id="-1304706545"/>
                <w14:textFill>
                  <w14:solidFill>
                    <w14:srgbClr w14:val="000000">
                      <w14:alpha w14:val="100000"/>
                    </w14:srgbClr>
                  </w14:solidFill>
                </w14:textFill>
              </w:rPr>
              <w:t xml:space="preserve">　</w:t>
            </w:r>
            <w:r w:rsidR="002B70D2">
              <w:rPr>
                <w:bCs/>
                <w:szCs w:val="20"/>
                <w:vertAlign w:val="superscript"/>
              </w:rPr>
              <w:t>1</w:t>
            </w:r>
          </w:p>
        </w:tc>
        <w:tc>
          <w:tcPr>
            <w:tcW w:w="1257" w:type="dxa"/>
          </w:tcPr>
          <w:p w14:paraId="150C10F8" w14:textId="77777777" w:rsidR="00185040" w:rsidRPr="00FF512C" w:rsidRDefault="00185040" w:rsidP="0021041D">
            <w:pPr>
              <w:pStyle w:val="TableHeading"/>
              <w:keepNext w:val="0"/>
              <w:jc w:val="center"/>
              <w:rPr>
                <w:rStyle w:val="CommentReference"/>
                <w:b/>
                <w:bCs/>
              </w:rPr>
            </w:pPr>
            <w:r w:rsidRPr="00FF512C">
              <w:rPr>
                <w:b w:val="0"/>
                <w:bCs/>
              </w:rPr>
              <w:t>-14%</w:t>
            </w:r>
          </w:p>
        </w:tc>
      </w:tr>
      <w:tr w:rsidR="00185040" w:rsidRPr="00FF512C" w14:paraId="75ACF488" w14:textId="77777777" w:rsidTr="003E2BEF">
        <w:tc>
          <w:tcPr>
            <w:tcW w:w="4265" w:type="dxa"/>
          </w:tcPr>
          <w:p w14:paraId="440E2C6A" w14:textId="77777777" w:rsidR="00185040" w:rsidRPr="00FF512C" w:rsidRDefault="00185040" w:rsidP="0021041D">
            <w:pPr>
              <w:pStyle w:val="TableHeading"/>
              <w:keepNext w:val="0"/>
              <w:rPr>
                <w:rStyle w:val="CommentReference"/>
                <w:b/>
                <w:bCs/>
              </w:rPr>
            </w:pPr>
            <w:r w:rsidRPr="00FF512C">
              <w:rPr>
                <w:b w:val="0"/>
                <w:bCs/>
                <w:szCs w:val="20"/>
              </w:rPr>
              <w:t>CKD/RRT utility values decreased by 20%</w:t>
            </w:r>
          </w:p>
        </w:tc>
        <w:tc>
          <w:tcPr>
            <w:tcW w:w="1165" w:type="dxa"/>
            <w:tcBorders>
              <w:bottom w:val="single" w:sz="4" w:space="0" w:color="auto"/>
            </w:tcBorders>
            <w:shd w:val="solid" w:color="000000" w:fill="000000"/>
            <w:vAlign w:val="center"/>
          </w:tcPr>
          <w:p w14:paraId="6ECAB80B" w14:textId="2B087671" w:rsidR="00185040" w:rsidRPr="003E2BEF" w:rsidRDefault="003E2BEF" w:rsidP="0021041D">
            <w:pPr>
              <w:pStyle w:val="TableHeading"/>
              <w:keepNext w:val="0"/>
              <w:jc w:val="center"/>
              <w:rPr>
                <w:rStyle w:val="CommentReference"/>
                <w:b/>
                <w:bCs/>
              </w:rPr>
            </w:pPr>
            <w:r w:rsidRPr="003E2BEF">
              <w:rPr>
                <w:rFonts w:hint="eastAsia"/>
                <w:b w:val="0"/>
                <w:bCs/>
                <w:color w:val="000000"/>
                <w:w w:val="15"/>
                <w:szCs w:val="20"/>
                <w:fitText w:val="46" w:id="-1304706544"/>
                <w14:textFill>
                  <w14:solidFill>
                    <w14:srgbClr w14:val="000000">
                      <w14:alpha w14:val="100000"/>
                    </w14:srgbClr>
                  </w14:solidFill>
                </w14:textFill>
              </w:rPr>
              <w:t xml:space="preserve">　</w:t>
            </w:r>
            <w:r w:rsidRPr="003E2BEF">
              <w:rPr>
                <w:b w:val="0"/>
                <w:bCs/>
                <w:color w:val="000000"/>
                <w:w w:val="15"/>
                <w:szCs w:val="20"/>
                <w:fitText w:val="46" w:id="-1304706544"/>
                <w14:textFill>
                  <w14:solidFill>
                    <w14:srgbClr w14:val="000000">
                      <w14:alpha w14:val="100000"/>
                    </w14:srgbClr>
                  </w14:solidFill>
                </w14:textFill>
              </w:rPr>
              <w:t>|</w:t>
            </w:r>
            <w:r w:rsidRPr="003E2BEF">
              <w:rPr>
                <w:rFonts w:hint="eastAsia"/>
                <w:b w:val="0"/>
                <w:bCs/>
                <w:color w:val="000000"/>
                <w:spacing w:val="-19"/>
                <w:w w:val="15"/>
                <w:szCs w:val="20"/>
                <w:fitText w:val="46" w:id="-1304706544"/>
                <w14:textFill>
                  <w14:solidFill>
                    <w14:srgbClr w14:val="000000">
                      <w14:alpha w14:val="100000"/>
                    </w14:srgbClr>
                  </w14:solidFill>
                </w14:textFill>
              </w:rPr>
              <w:t xml:space="preserve">　</w:t>
            </w:r>
          </w:p>
        </w:tc>
        <w:tc>
          <w:tcPr>
            <w:tcW w:w="1165" w:type="dxa"/>
            <w:vAlign w:val="center"/>
          </w:tcPr>
          <w:p w14:paraId="72038085" w14:textId="77777777" w:rsidR="00185040" w:rsidRPr="00FF512C" w:rsidRDefault="00185040" w:rsidP="0021041D">
            <w:pPr>
              <w:pStyle w:val="TableHeading"/>
              <w:keepNext w:val="0"/>
              <w:jc w:val="center"/>
              <w:rPr>
                <w:rStyle w:val="CommentReference"/>
                <w:b/>
                <w:bCs/>
              </w:rPr>
            </w:pPr>
            <w:r w:rsidRPr="00FF512C">
              <w:rPr>
                <w:b w:val="0"/>
                <w:bCs/>
                <w:szCs w:val="20"/>
              </w:rPr>
              <w:t>0.1829</w:t>
            </w:r>
          </w:p>
        </w:tc>
        <w:tc>
          <w:tcPr>
            <w:tcW w:w="1165" w:type="dxa"/>
            <w:vAlign w:val="center"/>
          </w:tcPr>
          <w:p w14:paraId="0B665858" w14:textId="21E38399" w:rsidR="00185040" w:rsidRPr="002B70D2" w:rsidRDefault="003E2BEF" w:rsidP="0021041D">
            <w:pPr>
              <w:pStyle w:val="TableHeading"/>
              <w:keepNext w:val="0"/>
              <w:jc w:val="center"/>
              <w:rPr>
                <w:rStyle w:val="CommentReference"/>
                <w:b/>
                <w:bCs/>
                <w:highlight w:val="darkGray"/>
              </w:rPr>
            </w:pPr>
            <w:r w:rsidRPr="003E2BEF">
              <w:rPr>
                <w:rFonts w:hint="eastAsia"/>
                <w:b w:val="0"/>
                <w:bCs/>
                <w:color w:val="000000"/>
                <w:w w:val="15"/>
                <w:szCs w:val="20"/>
                <w:shd w:val="solid" w:color="000000" w:fill="000000"/>
                <w:fitText w:val="57" w:id="-1304706560"/>
                <w14:textFill>
                  <w14:solidFill>
                    <w14:srgbClr w14:val="000000">
                      <w14:alpha w14:val="100000"/>
                    </w14:srgbClr>
                  </w14:solidFill>
                </w14:textFill>
              </w:rPr>
              <w:t xml:space="preserve">　</w:t>
            </w:r>
            <w:r w:rsidRPr="003E2BEF">
              <w:rPr>
                <w:b w:val="0"/>
                <w:bCs/>
                <w:color w:val="000000"/>
                <w:w w:val="15"/>
                <w:szCs w:val="20"/>
                <w:shd w:val="solid" w:color="000000" w:fill="000000"/>
                <w:fitText w:val="57" w:id="-1304706560"/>
                <w14:textFill>
                  <w14:solidFill>
                    <w14:srgbClr w14:val="000000">
                      <w14:alpha w14:val="100000"/>
                    </w14:srgbClr>
                  </w14:solidFill>
                </w14:textFill>
              </w:rPr>
              <w:t>|</w:t>
            </w:r>
            <w:r w:rsidRPr="003E2BEF">
              <w:rPr>
                <w:rFonts w:hint="eastAsia"/>
                <w:b w:val="0"/>
                <w:bCs/>
                <w:color w:val="000000"/>
                <w:spacing w:val="-8"/>
                <w:w w:val="15"/>
                <w:szCs w:val="20"/>
                <w:shd w:val="solid" w:color="000000" w:fill="000000"/>
                <w:fitText w:val="57" w:id="-1304706560"/>
                <w14:textFill>
                  <w14:solidFill>
                    <w14:srgbClr w14:val="000000">
                      <w14:alpha w14:val="100000"/>
                    </w14:srgbClr>
                  </w14:solidFill>
                </w14:textFill>
              </w:rPr>
              <w:t xml:space="preserve">　</w:t>
            </w:r>
            <w:r w:rsidR="002B70D2">
              <w:rPr>
                <w:bCs/>
                <w:szCs w:val="20"/>
                <w:vertAlign w:val="superscript"/>
              </w:rPr>
              <w:t>2</w:t>
            </w:r>
          </w:p>
        </w:tc>
        <w:tc>
          <w:tcPr>
            <w:tcW w:w="1257" w:type="dxa"/>
            <w:vAlign w:val="center"/>
          </w:tcPr>
          <w:p w14:paraId="7057DC57" w14:textId="77777777" w:rsidR="00185040" w:rsidRPr="00FF512C" w:rsidRDefault="00185040" w:rsidP="0021041D">
            <w:pPr>
              <w:pStyle w:val="TableHeading"/>
              <w:keepNext w:val="0"/>
              <w:jc w:val="center"/>
              <w:rPr>
                <w:rStyle w:val="CommentReference"/>
                <w:b/>
                <w:bCs/>
              </w:rPr>
            </w:pPr>
            <w:r w:rsidRPr="00FF512C">
              <w:rPr>
                <w:b w:val="0"/>
                <w:bCs/>
                <w:szCs w:val="20"/>
              </w:rPr>
              <w:t>+25%</w:t>
            </w:r>
          </w:p>
        </w:tc>
      </w:tr>
      <w:tr w:rsidR="00185040" w:rsidRPr="00FF512C" w14:paraId="4506D404" w14:textId="77777777" w:rsidTr="003E2BEF">
        <w:tc>
          <w:tcPr>
            <w:tcW w:w="4265" w:type="dxa"/>
          </w:tcPr>
          <w:p w14:paraId="072DFA39" w14:textId="77777777" w:rsidR="00185040" w:rsidRPr="00FF512C" w:rsidRDefault="00185040" w:rsidP="0021041D">
            <w:pPr>
              <w:pStyle w:val="TableHeading"/>
              <w:keepNext w:val="0"/>
              <w:rPr>
                <w:rStyle w:val="CommentReference"/>
                <w:b/>
                <w:bCs/>
              </w:rPr>
            </w:pPr>
            <w:r w:rsidRPr="00FF512C">
              <w:rPr>
                <w:b w:val="0"/>
                <w:bCs/>
                <w:szCs w:val="20"/>
              </w:rPr>
              <w:t>Use Gorodetskaya TTO values for all CKD/RRT states</w:t>
            </w:r>
            <w:r w:rsidRPr="00FF512C">
              <w:rPr>
                <w:b w:val="0"/>
                <w:bCs/>
                <w:szCs w:val="20"/>
                <w:vertAlign w:val="superscript"/>
              </w:rPr>
              <w:t>a</w:t>
            </w:r>
          </w:p>
        </w:tc>
        <w:tc>
          <w:tcPr>
            <w:tcW w:w="1165" w:type="dxa"/>
            <w:tcBorders>
              <w:bottom w:val="single" w:sz="4" w:space="0" w:color="auto"/>
            </w:tcBorders>
            <w:shd w:val="solid" w:color="000000" w:fill="000000"/>
            <w:vAlign w:val="center"/>
          </w:tcPr>
          <w:p w14:paraId="09E51714" w14:textId="24065D2E" w:rsidR="00185040" w:rsidRPr="003E2BEF" w:rsidRDefault="003E2BEF" w:rsidP="0021041D">
            <w:pPr>
              <w:pStyle w:val="TableHeading"/>
              <w:keepNext w:val="0"/>
              <w:jc w:val="center"/>
              <w:rPr>
                <w:rStyle w:val="CommentReference"/>
                <w:b/>
                <w:bCs/>
              </w:rPr>
            </w:pPr>
            <w:r w:rsidRPr="003E2BEF">
              <w:rPr>
                <w:rFonts w:hint="eastAsia"/>
                <w:b w:val="0"/>
                <w:bCs/>
                <w:color w:val="000000"/>
                <w:w w:val="15"/>
                <w:szCs w:val="20"/>
                <w:fitText w:val="46" w:id="-1304706559"/>
                <w14:textFill>
                  <w14:solidFill>
                    <w14:srgbClr w14:val="000000">
                      <w14:alpha w14:val="100000"/>
                    </w14:srgbClr>
                  </w14:solidFill>
                </w14:textFill>
              </w:rPr>
              <w:t xml:space="preserve">　</w:t>
            </w:r>
            <w:r w:rsidRPr="003E2BEF">
              <w:rPr>
                <w:b w:val="0"/>
                <w:bCs/>
                <w:color w:val="000000"/>
                <w:w w:val="15"/>
                <w:szCs w:val="20"/>
                <w:fitText w:val="46" w:id="-1304706559"/>
                <w14:textFill>
                  <w14:solidFill>
                    <w14:srgbClr w14:val="000000">
                      <w14:alpha w14:val="100000"/>
                    </w14:srgbClr>
                  </w14:solidFill>
                </w14:textFill>
              </w:rPr>
              <w:t>|</w:t>
            </w:r>
            <w:r w:rsidRPr="003E2BEF">
              <w:rPr>
                <w:rFonts w:hint="eastAsia"/>
                <w:b w:val="0"/>
                <w:bCs/>
                <w:color w:val="000000"/>
                <w:spacing w:val="-19"/>
                <w:w w:val="15"/>
                <w:szCs w:val="20"/>
                <w:fitText w:val="46" w:id="-1304706559"/>
                <w14:textFill>
                  <w14:solidFill>
                    <w14:srgbClr w14:val="000000">
                      <w14:alpha w14:val="100000"/>
                    </w14:srgbClr>
                  </w14:solidFill>
                </w14:textFill>
              </w:rPr>
              <w:t xml:space="preserve">　</w:t>
            </w:r>
          </w:p>
        </w:tc>
        <w:tc>
          <w:tcPr>
            <w:tcW w:w="1165" w:type="dxa"/>
            <w:vAlign w:val="center"/>
          </w:tcPr>
          <w:p w14:paraId="34B320D9" w14:textId="77777777" w:rsidR="00185040" w:rsidRPr="00FF512C" w:rsidRDefault="00185040" w:rsidP="0021041D">
            <w:pPr>
              <w:pStyle w:val="TableHeading"/>
              <w:keepNext w:val="0"/>
              <w:jc w:val="center"/>
              <w:rPr>
                <w:rStyle w:val="CommentReference"/>
                <w:b/>
                <w:bCs/>
              </w:rPr>
            </w:pPr>
            <w:r w:rsidRPr="00FF512C">
              <w:rPr>
                <w:b w:val="0"/>
                <w:bCs/>
                <w:szCs w:val="20"/>
              </w:rPr>
              <w:t>0.2328</w:t>
            </w:r>
          </w:p>
        </w:tc>
        <w:tc>
          <w:tcPr>
            <w:tcW w:w="1165" w:type="dxa"/>
            <w:vAlign w:val="center"/>
          </w:tcPr>
          <w:p w14:paraId="570002B7" w14:textId="4DC6F0CF" w:rsidR="00185040" w:rsidRPr="002B70D2" w:rsidRDefault="003E2BEF" w:rsidP="0021041D">
            <w:pPr>
              <w:pStyle w:val="TableHeading"/>
              <w:keepNext w:val="0"/>
              <w:jc w:val="center"/>
              <w:rPr>
                <w:rStyle w:val="CommentReference"/>
                <w:b/>
                <w:bCs/>
                <w:highlight w:val="darkGray"/>
              </w:rPr>
            </w:pPr>
            <w:r w:rsidRPr="003E2BEF">
              <w:rPr>
                <w:rFonts w:hint="eastAsia"/>
                <w:b w:val="0"/>
                <w:bCs/>
                <w:color w:val="000000"/>
                <w:w w:val="15"/>
                <w:szCs w:val="20"/>
                <w:shd w:val="solid" w:color="000000" w:fill="000000"/>
                <w:fitText w:val="57" w:id="-1304706558"/>
                <w14:textFill>
                  <w14:solidFill>
                    <w14:srgbClr w14:val="000000">
                      <w14:alpha w14:val="100000"/>
                    </w14:srgbClr>
                  </w14:solidFill>
                </w14:textFill>
              </w:rPr>
              <w:t xml:space="preserve">　</w:t>
            </w:r>
            <w:r w:rsidRPr="003E2BEF">
              <w:rPr>
                <w:b w:val="0"/>
                <w:bCs/>
                <w:color w:val="000000"/>
                <w:w w:val="15"/>
                <w:szCs w:val="20"/>
                <w:shd w:val="solid" w:color="000000" w:fill="000000"/>
                <w:fitText w:val="57" w:id="-1304706558"/>
                <w14:textFill>
                  <w14:solidFill>
                    <w14:srgbClr w14:val="000000">
                      <w14:alpha w14:val="100000"/>
                    </w14:srgbClr>
                  </w14:solidFill>
                </w14:textFill>
              </w:rPr>
              <w:t>|</w:t>
            </w:r>
            <w:r w:rsidRPr="003E2BEF">
              <w:rPr>
                <w:rFonts w:hint="eastAsia"/>
                <w:b w:val="0"/>
                <w:bCs/>
                <w:color w:val="000000"/>
                <w:spacing w:val="-8"/>
                <w:w w:val="15"/>
                <w:szCs w:val="20"/>
                <w:shd w:val="solid" w:color="000000" w:fill="000000"/>
                <w:fitText w:val="57" w:id="-1304706558"/>
                <w14:textFill>
                  <w14:solidFill>
                    <w14:srgbClr w14:val="000000">
                      <w14:alpha w14:val="100000"/>
                    </w14:srgbClr>
                  </w14:solidFill>
                </w14:textFill>
              </w:rPr>
              <w:t xml:space="preserve">　</w:t>
            </w:r>
            <w:r w:rsidR="002B70D2">
              <w:rPr>
                <w:bCs/>
                <w:szCs w:val="20"/>
                <w:vertAlign w:val="superscript"/>
              </w:rPr>
              <w:t>1</w:t>
            </w:r>
          </w:p>
        </w:tc>
        <w:tc>
          <w:tcPr>
            <w:tcW w:w="1257" w:type="dxa"/>
            <w:vAlign w:val="center"/>
          </w:tcPr>
          <w:p w14:paraId="3675172C" w14:textId="77777777" w:rsidR="00185040" w:rsidRPr="00FF512C" w:rsidRDefault="00185040" w:rsidP="0021041D">
            <w:pPr>
              <w:pStyle w:val="TableHeading"/>
              <w:keepNext w:val="0"/>
              <w:jc w:val="center"/>
              <w:rPr>
                <w:rStyle w:val="CommentReference"/>
                <w:b/>
                <w:bCs/>
              </w:rPr>
            </w:pPr>
            <w:r w:rsidRPr="00FF512C">
              <w:rPr>
                <w:b w:val="0"/>
                <w:bCs/>
                <w:szCs w:val="20"/>
              </w:rPr>
              <w:t>-2%</w:t>
            </w:r>
          </w:p>
        </w:tc>
      </w:tr>
      <w:tr w:rsidR="00185040" w:rsidRPr="00FF512C" w14:paraId="255267A0" w14:textId="77777777" w:rsidTr="003E2BEF">
        <w:tc>
          <w:tcPr>
            <w:tcW w:w="4265" w:type="dxa"/>
          </w:tcPr>
          <w:p w14:paraId="32007FE9" w14:textId="71145A5C" w:rsidR="00185040" w:rsidRPr="00FF512C" w:rsidRDefault="00661AFB" w:rsidP="0021041D">
            <w:pPr>
              <w:pStyle w:val="TableHeading"/>
              <w:keepNext w:val="0"/>
              <w:rPr>
                <w:rStyle w:val="CommentReference"/>
                <w:b/>
              </w:rPr>
            </w:pPr>
            <w:r w:rsidRPr="00FF512C">
              <w:rPr>
                <w:rStyle w:val="CommentReference"/>
                <w:b/>
              </w:rPr>
              <w:t xml:space="preserve">[C] </w:t>
            </w:r>
            <w:r w:rsidR="00185040" w:rsidRPr="00FF512C">
              <w:rPr>
                <w:b w:val="0"/>
                <w:bCs/>
                <w:szCs w:val="20"/>
              </w:rPr>
              <w:t>Use Gorodetskaya HUI values for all CKD/RRT states</w:t>
            </w:r>
            <w:r w:rsidR="00185040" w:rsidRPr="00FF512C">
              <w:rPr>
                <w:b w:val="0"/>
                <w:bCs/>
                <w:szCs w:val="20"/>
                <w:vertAlign w:val="superscript"/>
              </w:rPr>
              <w:t>a</w:t>
            </w:r>
            <w:r w:rsidRPr="00FF512C">
              <w:rPr>
                <w:bCs/>
                <w:szCs w:val="20"/>
                <w:vertAlign w:val="superscript"/>
              </w:rPr>
              <w:t xml:space="preserve"> </w:t>
            </w:r>
          </w:p>
        </w:tc>
        <w:tc>
          <w:tcPr>
            <w:tcW w:w="1165" w:type="dxa"/>
            <w:tcBorders>
              <w:bottom w:val="single" w:sz="4" w:space="0" w:color="auto"/>
            </w:tcBorders>
            <w:shd w:val="solid" w:color="000000" w:fill="000000"/>
            <w:vAlign w:val="center"/>
          </w:tcPr>
          <w:p w14:paraId="5837DB0B" w14:textId="288C924D" w:rsidR="00185040" w:rsidRPr="003E2BEF" w:rsidRDefault="003E2BEF" w:rsidP="0021041D">
            <w:pPr>
              <w:pStyle w:val="TableHeading"/>
              <w:keepNext w:val="0"/>
              <w:jc w:val="center"/>
              <w:rPr>
                <w:rStyle w:val="CommentReference"/>
                <w:b/>
                <w:bCs/>
              </w:rPr>
            </w:pPr>
            <w:r w:rsidRPr="003E2BEF">
              <w:rPr>
                <w:rFonts w:hint="eastAsia"/>
                <w:b w:val="0"/>
                <w:bCs/>
                <w:color w:val="000000"/>
                <w:w w:val="15"/>
                <w:szCs w:val="20"/>
                <w:fitText w:val="46" w:id="-1304706557"/>
                <w14:textFill>
                  <w14:solidFill>
                    <w14:srgbClr w14:val="000000">
                      <w14:alpha w14:val="100000"/>
                    </w14:srgbClr>
                  </w14:solidFill>
                </w14:textFill>
              </w:rPr>
              <w:t xml:space="preserve">　</w:t>
            </w:r>
            <w:r w:rsidRPr="003E2BEF">
              <w:rPr>
                <w:b w:val="0"/>
                <w:bCs/>
                <w:color w:val="000000"/>
                <w:w w:val="15"/>
                <w:szCs w:val="20"/>
                <w:fitText w:val="46" w:id="-1304706557"/>
                <w14:textFill>
                  <w14:solidFill>
                    <w14:srgbClr w14:val="000000">
                      <w14:alpha w14:val="100000"/>
                    </w14:srgbClr>
                  </w14:solidFill>
                </w14:textFill>
              </w:rPr>
              <w:t>|</w:t>
            </w:r>
            <w:r w:rsidRPr="003E2BEF">
              <w:rPr>
                <w:rFonts w:hint="eastAsia"/>
                <w:b w:val="0"/>
                <w:bCs/>
                <w:color w:val="000000"/>
                <w:spacing w:val="-19"/>
                <w:w w:val="15"/>
                <w:szCs w:val="20"/>
                <w:fitText w:val="46" w:id="-1304706557"/>
                <w14:textFill>
                  <w14:solidFill>
                    <w14:srgbClr w14:val="000000">
                      <w14:alpha w14:val="100000"/>
                    </w14:srgbClr>
                  </w14:solidFill>
                </w14:textFill>
              </w:rPr>
              <w:t xml:space="preserve">　</w:t>
            </w:r>
          </w:p>
        </w:tc>
        <w:tc>
          <w:tcPr>
            <w:tcW w:w="1165" w:type="dxa"/>
            <w:vAlign w:val="center"/>
          </w:tcPr>
          <w:p w14:paraId="71DB272F" w14:textId="77777777" w:rsidR="00185040" w:rsidRPr="00FF512C" w:rsidRDefault="00185040" w:rsidP="0021041D">
            <w:pPr>
              <w:pStyle w:val="TableHeading"/>
              <w:keepNext w:val="0"/>
              <w:jc w:val="center"/>
              <w:rPr>
                <w:rStyle w:val="CommentReference"/>
                <w:b/>
                <w:bCs/>
              </w:rPr>
            </w:pPr>
            <w:r w:rsidRPr="00FF512C">
              <w:rPr>
                <w:b w:val="0"/>
                <w:bCs/>
                <w:szCs w:val="20"/>
              </w:rPr>
              <w:t>0.1610</w:t>
            </w:r>
          </w:p>
        </w:tc>
        <w:tc>
          <w:tcPr>
            <w:tcW w:w="1165" w:type="dxa"/>
            <w:vAlign w:val="center"/>
          </w:tcPr>
          <w:p w14:paraId="7F7B2F61" w14:textId="23CCEFC4" w:rsidR="00185040" w:rsidRPr="002B70D2" w:rsidRDefault="003E2BEF" w:rsidP="0021041D">
            <w:pPr>
              <w:pStyle w:val="TableHeading"/>
              <w:keepNext w:val="0"/>
              <w:jc w:val="center"/>
              <w:rPr>
                <w:rStyle w:val="CommentReference"/>
                <w:b/>
                <w:bCs/>
                <w:highlight w:val="darkGray"/>
              </w:rPr>
            </w:pPr>
            <w:r w:rsidRPr="003E2BEF">
              <w:rPr>
                <w:rFonts w:hint="eastAsia"/>
                <w:b w:val="0"/>
                <w:bCs/>
                <w:color w:val="000000"/>
                <w:w w:val="15"/>
                <w:szCs w:val="20"/>
                <w:shd w:val="solid" w:color="000000" w:fill="000000"/>
                <w:fitText w:val="57" w:id="-1304706556"/>
                <w14:textFill>
                  <w14:solidFill>
                    <w14:srgbClr w14:val="000000">
                      <w14:alpha w14:val="100000"/>
                    </w14:srgbClr>
                  </w14:solidFill>
                </w14:textFill>
              </w:rPr>
              <w:t xml:space="preserve">　</w:t>
            </w:r>
            <w:r w:rsidRPr="003E2BEF">
              <w:rPr>
                <w:b w:val="0"/>
                <w:bCs/>
                <w:color w:val="000000"/>
                <w:w w:val="15"/>
                <w:szCs w:val="20"/>
                <w:shd w:val="solid" w:color="000000" w:fill="000000"/>
                <w:fitText w:val="57" w:id="-1304706556"/>
                <w14:textFill>
                  <w14:solidFill>
                    <w14:srgbClr w14:val="000000">
                      <w14:alpha w14:val="100000"/>
                    </w14:srgbClr>
                  </w14:solidFill>
                </w14:textFill>
              </w:rPr>
              <w:t>|</w:t>
            </w:r>
            <w:r w:rsidRPr="003E2BEF">
              <w:rPr>
                <w:rFonts w:hint="eastAsia"/>
                <w:b w:val="0"/>
                <w:bCs/>
                <w:color w:val="000000"/>
                <w:spacing w:val="-8"/>
                <w:w w:val="15"/>
                <w:szCs w:val="20"/>
                <w:shd w:val="solid" w:color="000000" w:fill="000000"/>
                <w:fitText w:val="57" w:id="-1304706556"/>
                <w14:textFill>
                  <w14:solidFill>
                    <w14:srgbClr w14:val="000000">
                      <w14:alpha w14:val="100000"/>
                    </w14:srgbClr>
                  </w14:solidFill>
                </w14:textFill>
              </w:rPr>
              <w:t xml:space="preserve">　</w:t>
            </w:r>
            <w:r w:rsidR="002B70D2">
              <w:rPr>
                <w:bCs/>
                <w:szCs w:val="20"/>
                <w:vertAlign w:val="superscript"/>
              </w:rPr>
              <w:t>2</w:t>
            </w:r>
          </w:p>
        </w:tc>
        <w:tc>
          <w:tcPr>
            <w:tcW w:w="1257" w:type="dxa"/>
            <w:vAlign w:val="center"/>
          </w:tcPr>
          <w:p w14:paraId="33D59F70" w14:textId="77777777" w:rsidR="00185040" w:rsidRPr="00FF512C" w:rsidRDefault="00185040" w:rsidP="0021041D">
            <w:pPr>
              <w:pStyle w:val="TableHeading"/>
              <w:keepNext w:val="0"/>
              <w:jc w:val="center"/>
              <w:rPr>
                <w:rStyle w:val="CommentReference"/>
                <w:b/>
                <w:bCs/>
              </w:rPr>
            </w:pPr>
            <w:r w:rsidRPr="00FF512C">
              <w:rPr>
                <w:b w:val="0"/>
                <w:bCs/>
                <w:szCs w:val="20"/>
              </w:rPr>
              <w:t>+42%</w:t>
            </w:r>
          </w:p>
        </w:tc>
      </w:tr>
      <w:tr w:rsidR="00185040" w:rsidRPr="00FF512C" w14:paraId="0CC4A6C2" w14:textId="77777777" w:rsidTr="003E2BEF">
        <w:tc>
          <w:tcPr>
            <w:tcW w:w="4265" w:type="dxa"/>
          </w:tcPr>
          <w:p w14:paraId="655E3A17" w14:textId="77777777" w:rsidR="00185040" w:rsidRPr="00FF512C" w:rsidRDefault="00185040" w:rsidP="0021041D">
            <w:pPr>
              <w:pStyle w:val="TableHeading"/>
              <w:keepNext w:val="0"/>
              <w:rPr>
                <w:rStyle w:val="CommentReference"/>
                <w:b/>
                <w:bCs/>
              </w:rPr>
            </w:pPr>
            <w:r w:rsidRPr="00FF512C">
              <w:rPr>
                <w:b w:val="0"/>
                <w:bCs/>
                <w:szCs w:val="20"/>
              </w:rPr>
              <w:t xml:space="preserve">Use Gorodetskaya HUI values for CKD 3/4, use Lee EQ-5D-3L values for RRT </w:t>
            </w:r>
          </w:p>
        </w:tc>
        <w:tc>
          <w:tcPr>
            <w:tcW w:w="1165" w:type="dxa"/>
            <w:tcBorders>
              <w:bottom w:val="single" w:sz="4" w:space="0" w:color="auto"/>
            </w:tcBorders>
            <w:shd w:val="solid" w:color="000000" w:fill="000000"/>
            <w:vAlign w:val="center"/>
          </w:tcPr>
          <w:p w14:paraId="6AE783CE" w14:textId="21B0D939" w:rsidR="00185040" w:rsidRPr="003E2BEF" w:rsidRDefault="003E2BEF" w:rsidP="0021041D">
            <w:pPr>
              <w:pStyle w:val="TableHeading"/>
              <w:keepNext w:val="0"/>
              <w:jc w:val="center"/>
              <w:rPr>
                <w:rStyle w:val="CommentReference"/>
                <w:b/>
                <w:bCs/>
              </w:rPr>
            </w:pPr>
            <w:r w:rsidRPr="003E2BEF">
              <w:rPr>
                <w:rFonts w:hint="eastAsia"/>
                <w:b w:val="0"/>
                <w:bCs/>
                <w:color w:val="000000"/>
                <w:w w:val="15"/>
                <w:szCs w:val="20"/>
                <w:fitText w:val="46" w:id="-1304706555"/>
                <w14:textFill>
                  <w14:solidFill>
                    <w14:srgbClr w14:val="000000">
                      <w14:alpha w14:val="100000"/>
                    </w14:srgbClr>
                  </w14:solidFill>
                </w14:textFill>
              </w:rPr>
              <w:t xml:space="preserve">　</w:t>
            </w:r>
            <w:r w:rsidRPr="003E2BEF">
              <w:rPr>
                <w:b w:val="0"/>
                <w:bCs/>
                <w:color w:val="000000"/>
                <w:w w:val="15"/>
                <w:szCs w:val="20"/>
                <w:fitText w:val="46" w:id="-1304706555"/>
                <w14:textFill>
                  <w14:solidFill>
                    <w14:srgbClr w14:val="000000">
                      <w14:alpha w14:val="100000"/>
                    </w14:srgbClr>
                  </w14:solidFill>
                </w14:textFill>
              </w:rPr>
              <w:t>|</w:t>
            </w:r>
            <w:r w:rsidRPr="003E2BEF">
              <w:rPr>
                <w:rFonts w:hint="eastAsia"/>
                <w:b w:val="0"/>
                <w:bCs/>
                <w:color w:val="000000"/>
                <w:spacing w:val="-19"/>
                <w:w w:val="15"/>
                <w:szCs w:val="20"/>
                <w:fitText w:val="46" w:id="-1304706555"/>
                <w14:textFill>
                  <w14:solidFill>
                    <w14:srgbClr w14:val="000000">
                      <w14:alpha w14:val="100000"/>
                    </w14:srgbClr>
                  </w14:solidFill>
                </w14:textFill>
              </w:rPr>
              <w:t xml:space="preserve">　</w:t>
            </w:r>
          </w:p>
        </w:tc>
        <w:tc>
          <w:tcPr>
            <w:tcW w:w="1165" w:type="dxa"/>
            <w:vAlign w:val="center"/>
          </w:tcPr>
          <w:p w14:paraId="4EB874EA" w14:textId="77777777" w:rsidR="00185040" w:rsidRPr="00FF512C" w:rsidRDefault="00185040" w:rsidP="0021041D">
            <w:pPr>
              <w:pStyle w:val="TableHeading"/>
              <w:keepNext w:val="0"/>
              <w:jc w:val="center"/>
              <w:rPr>
                <w:rStyle w:val="CommentReference"/>
                <w:b/>
                <w:bCs/>
              </w:rPr>
            </w:pPr>
            <w:r w:rsidRPr="00FF512C">
              <w:rPr>
                <w:b w:val="0"/>
                <w:bCs/>
                <w:szCs w:val="20"/>
              </w:rPr>
              <w:t>0.1599</w:t>
            </w:r>
          </w:p>
        </w:tc>
        <w:tc>
          <w:tcPr>
            <w:tcW w:w="1165" w:type="dxa"/>
            <w:vAlign w:val="center"/>
          </w:tcPr>
          <w:p w14:paraId="156A113F" w14:textId="41710BBB" w:rsidR="00185040" w:rsidRPr="002B70D2" w:rsidRDefault="003E2BEF" w:rsidP="0021041D">
            <w:pPr>
              <w:pStyle w:val="TableHeading"/>
              <w:keepNext w:val="0"/>
              <w:jc w:val="center"/>
              <w:rPr>
                <w:rStyle w:val="CommentReference"/>
                <w:b/>
                <w:bCs/>
                <w:highlight w:val="darkGray"/>
              </w:rPr>
            </w:pPr>
            <w:r w:rsidRPr="003E2BEF">
              <w:rPr>
                <w:rFonts w:hint="eastAsia"/>
                <w:b w:val="0"/>
                <w:bCs/>
                <w:color w:val="000000"/>
                <w:w w:val="15"/>
                <w:szCs w:val="20"/>
                <w:shd w:val="solid" w:color="000000" w:fill="000000"/>
                <w:fitText w:val="57" w:id="-1304706554"/>
                <w14:textFill>
                  <w14:solidFill>
                    <w14:srgbClr w14:val="000000">
                      <w14:alpha w14:val="100000"/>
                    </w14:srgbClr>
                  </w14:solidFill>
                </w14:textFill>
              </w:rPr>
              <w:t xml:space="preserve">　</w:t>
            </w:r>
            <w:r w:rsidRPr="003E2BEF">
              <w:rPr>
                <w:b w:val="0"/>
                <w:bCs/>
                <w:color w:val="000000"/>
                <w:w w:val="15"/>
                <w:szCs w:val="20"/>
                <w:shd w:val="solid" w:color="000000" w:fill="000000"/>
                <w:fitText w:val="57" w:id="-1304706554"/>
                <w14:textFill>
                  <w14:solidFill>
                    <w14:srgbClr w14:val="000000">
                      <w14:alpha w14:val="100000"/>
                    </w14:srgbClr>
                  </w14:solidFill>
                </w14:textFill>
              </w:rPr>
              <w:t>|</w:t>
            </w:r>
            <w:r w:rsidRPr="003E2BEF">
              <w:rPr>
                <w:rFonts w:hint="eastAsia"/>
                <w:b w:val="0"/>
                <w:bCs/>
                <w:color w:val="000000"/>
                <w:spacing w:val="-8"/>
                <w:w w:val="15"/>
                <w:szCs w:val="20"/>
                <w:shd w:val="solid" w:color="000000" w:fill="000000"/>
                <w:fitText w:val="57" w:id="-1304706554"/>
                <w14:textFill>
                  <w14:solidFill>
                    <w14:srgbClr w14:val="000000">
                      <w14:alpha w14:val="100000"/>
                    </w14:srgbClr>
                  </w14:solidFill>
                </w14:textFill>
              </w:rPr>
              <w:t xml:space="preserve">　</w:t>
            </w:r>
            <w:r w:rsidR="002B70D2">
              <w:rPr>
                <w:bCs/>
                <w:szCs w:val="20"/>
                <w:vertAlign w:val="superscript"/>
              </w:rPr>
              <w:t>5</w:t>
            </w:r>
          </w:p>
        </w:tc>
        <w:tc>
          <w:tcPr>
            <w:tcW w:w="1257" w:type="dxa"/>
            <w:vAlign w:val="center"/>
          </w:tcPr>
          <w:p w14:paraId="2124685E" w14:textId="77777777" w:rsidR="00185040" w:rsidRPr="00FF512C" w:rsidRDefault="00185040" w:rsidP="0021041D">
            <w:pPr>
              <w:pStyle w:val="TableHeading"/>
              <w:keepNext w:val="0"/>
              <w:jc w:val="center"/>
              <w:rPr>
                <w:rStyle w:val="CommentReference"/>
                <w:b/>
                <w:bCs/>
              </w:rPr>
            </w:pPr>
            <w:r w:rsidRPr="00FF512C">
              <w:rPr>
                <w:b w:val="0"/>
                <w:bCs/>
                <w:szCs w:val="20"/>
              </w:rPr>
              <w:t>+43%</w:t>
            </w:r>
          </w:p>
        </w:tc>
      </w:tr>
      <w:tr w:rsidR="00185040" w:rsidRPr="00FF512C" w14:paraId="619F3CB4" w14:textId="77777777" w:rsidTr="003E2BEF">
        <w:tc>
          <w:tcPr>
            <w:tcW w:w="4265" w:type="dxa"/>
          </w:tcPr>
          <w:p w14:paraId="6F3E1453" w14:textId="77777777" w:rsidR="00185040" w:rsidRPr="00FF512C" w:rsidRDefault="00185040" w:rsidP="0021041D">
            <w:pPr>
              <w:pStyle w:val="TableHeading"/>
              <w:keepNext w:val="0"/>
              <w:rPr>
                <w:rStyle w:val="CommentReference"/>
                <w:b/>
                <w:bCs/>
              </w:rPr>
            </w:pPr>
            <w:r w:rsidRPr="00FF512C">
              <w:rPr>
                <w:b w:val="0"/>
                <w:bCs/>
                <w:szCs w:val="20"/>
              </w:rPr>
              <w:t>Use Jesky EQ-5D-3L values for CKD 3/4, use Lee EQ-5D-3L values for RRT</w:t>
            </w:r>
          </w:p>
        </w:tc>
        <w:tc>
          <w:tcPr>
            <w:tcW w:w="1165" w:type="dxa"/>
            <w:shd w:val="solid" w:color="000000" w:fill="000000"/>
            <w:vAlign w:val="center"/>
          </w:tcPr>
          <w:p w14:paraId="3B9EA8AB" w14:textId="2F819F5D" w:rsidR="00185040" w:rsidRPr="003E2BEF" w:rsidRDefault="003E2BEF" w:rsidP="0021041D">
            <w:pPr>
              <w:pStyle w:val="TableHeading"/>
              <w:keepNext w:val="0"/>
              <w:jc w:val="center"/>
              <w:rPr>
                <w:rStyle w:val="CommentReference"/>
                <w:b/>
                <w:bCs/>
              </w:rPr>
            </w:pPr>
            <w:r w:rsidRPr="003E2BEF">
              <w:rPr>
                <w:rFonts w:hint="eastAsia"/>
                <w:b w:val="0"/>
                <w:bCs/>
                <w:color w:val="000000"/>
                <w:w w:val="15"/>
                <w:szCs w:val="20"/>
                <w:fitText w:val="46" w:id="-1304706553"/>
                <w14:textFill>
                  <w14:solidFill>
                    <w14:srgbClr w14:val="000000">
                      <w14:alpha w14:val="100000"/>
                    </w14:srgbClr>
                  </w14:solidFill>
                </w14:textFill>
              </w:rPr>
              <w:t xml:space="preserve">　</w:t>
            </w:r>
            <w:r w:rsidRPr="003E2BEF">
              <w:rPr>
                <w:b w:val="0"/>
                <w:bCs/>
                <w:color w:val="000000"/>
                <w:w w:val="15"/>
                <w:szCs w:val="20"/>
                <w:fitText w:val="46" w:id="-1304706553"/>
                <w14:textFill>
                  <w14:solidFill>
                    <w14:srgbClr w14:val="000000">
                      <w14:alpha w14:val="100000"/>
                    </w14:srgbClr>
                  </w14:solidFill>
                </w14:textFill>
              </w:rPr>
              <w:t>|</w:t>
            </w:r>
            <w:r w:rsidRPr="003E2BEF">
              <w:rPr>
                <w:rFonts w:hint="eastAsia"/>
                <w:b w:val="0"/>
                <w:bCs/>
                <w:color w:val="000000"/>
                <w:spacing w:val="-19"/>
                <w:w w:val="15"/>
                <w:szCs w:val="20"/>
                <w:fitText w:val="46" w:id="-1304706553"/>
                <w14:textFill>
                  <w14:solidFill>
                    <w14:srgbClr w14:val="000000">
                      <w14:alpha w14:val="100000"/>
                    </w14:srgbClr>
                  </w14:solidFill>
                </w14:textFill>
              </w:rPr>
              <w:t xml:space="preserve">　</w:t>
            </w:r>
          </w:p>
        </w:tc>
        <w:tc>
          <w:tcPr>
            <w:tcW w:w="1165" w:type="dxa"/>
            <w:vAlign w:val="center"/>
          </w:tcPr>
          <w:p w14:paraId="50B96CFB" w14:textId="77777777" w:rsidR="00185040" w:rsidRPr="00FF512C" w:rsidRDefault="00185040" w:rsidP="0021041D">
            <w:pPr>
              <w:pStyle w:val="TableHeading"/>
              <w:keepNext w:val="0"/>
              <w:jc w:val="center"/>
              <w:rPr>
                <w:rStyle w:val="CommentReference"/>
                <w:b/>
                <w:bCs/>
              </w:rPr>
            </w:pPr>
            <w:r w:rsidRPr="00FF512C">
              <w:rPr>
                <w:b w:val="0"/>
                <w:bCs/>
                <w:szCs w:val="20"/>
              </w:rPr>
              <w:t>0.2038</w:t>
            </w:r>
          </w:p>
        </w:tc>
        <w:tc>
          <w:tcPr>
            <w:tcW w:w="1165" w:type="dxa"/>
            <w:vAlign w:val="center"/>
          </w:tcPr>
          <w:p w14:paraId="7496B03F" w14:textId="1267DF2F" w:rsidR="00185040" w:rsidRPr="002B70D2" w:rsidRDefault="003E2BEF" w:rsidP="0021041D">
            <w:pPr>
              <w:pStyle w:val="TableHeading"/>
              <w:keepNext w:val="0"/>
              <w:jc w:val="center"/>
              <w:rPr>
                <w:rStyle w:val="CommentReference"/>
                <w:b/>
                <w:bCs/>
                <w:highlight w:val="darkGray"/>
              </w:rPr>
            </w:pPr>
            <w:r w:rsidRPr="003E2BEF">
              <w:rPr>
                <w:rFonts w:hint="eastAsia"/>
                <w:b w:val="0"/>
                <w:bCs/>
                <w:color w:val="000000"/>
                <w:w w:val="15"/>
                <w:szCs w:val="20"/>
                <w:shd w:val="solid" w:color="000000" w:fill="000000"/>
                <w:fitText w:val="57" w:id="-1304706552"/>
                <w14:textFill>
                  <w14:solidFill>
                    <w14:srgbClr w14:val="000000">
                      <w14:alpha w14:val="100000"/>
                    </w14:srgbClr>
                  </w14:solidFill>
                </w14:textFill>
              </w:rPr>
              <w:t xml:space="preserve">　</w:t>
            </w:r>
            <w:r w:rsidRPr="003E2BEF">
              <w:rPr>
                <w:b w:val="0"/>
                <w:bCs/>
                <w:color w:val="000000"/>
                <w:w w:val="15"/>
                <w:szCs w:val="20"/>
                <w:shd w:val="solid" w:color="000000" w:fill="000000"/>
                <w:fitText w:val="57" w:id="-1304706552"/>
                <w14:textFill>
                  <w14:solidFill>
                    <w14:srgbClr w14:val="000000">
                      <w14:alpha w14:val="100000"/>
                    </w14:srgbClr>
                  </w14:solidFill>
                </w14:textFill>
              </w:rPr>
              <w:t>|</w:t>
            </w:r>
            <w:r w:rsidRPr="003E2BEF">
              <w:rPr>
                <w:rFonts w:hint="eastAsia"/>
                <w:b w:val="0"/>
                <w:bCs/>
                <w:color w:val="000000"/>
                <w:spacing w:val="-8"/>
                <w:w w:val="15"/>
                <w:szCs w:val="20"/>
                <w:shd w:val="solid" w:color="000000" w:fill="000000"/>
                <w:fitText w:val="57" w:id="-1304706552"/>
                <w14:textFill>
                  <w14:solidFill>
                    <w14:srgbClr w14:val="000000">
                      <w14:alpha w14:val="100000"/>
                    </w14:srgbClr>
                  </w14:solidFill>
                </w14:textFill>
              </w:rPr>
              <w:t xml:space="preserve">　</w:t>
            </w:r>
            <w:r w:rsidR="002B70D2">
              <w:rPr>
                <w:bCs/>
                <w:szCs w:val="20"/>
                <w:vertAlign w:val="superscript"/>
              </w:rPr>
              <w:t>2</w:t>
            </w:r>
          </w:p>
        </w:tc>
        <w:tc>
          <w:tcPr>
            <w:tcW w:w="1257" w:type="dxa"/>
            <w:vAlign w:val="center"/>
          </w:tcPr>
          <w:p w14:paraId="53F463A3" w14:textId="77777777" w:rsidR="00185040" w:rsidRPr="00FF512C" w:rsidRDefault="00185040" w:rsidP="0021041D">
            <w:pPr>
              <w:pStyle w:val="TableHeading"/>
              <w:keepNext w:val="0"/>
              <w:jc w:val="center"/>
              <w:rPr>
                <w:rStyle w:val="CommentReference"/>
                <w:b/>
                <w:bCs/>
              </w:rPr>
            </w:pPr>
            <w:r w:rsidRPr="00FF512C">
              <w:rPr>
                <w:b w:val="0"/>
                <w:bCs/>
                <w:szCs w:val="20"/>
              </w:rPr>
              <w:t>+12%</w:t>
            </w:r>
          </w:p>
        </w:tc>
      </w:tr>
      <w:tr w:rsidR="00661AFB" w:rsidRPr="00FF512C" w14:paraId="0BD942C7" w14:textId="77777777" w:rsidTr="00661AFB">
        <w:tc>
          <w:tcPr>
            <w:tcW w:w="9017" w:type="dxa"/>
            <w:gridSpan w:val="5"/>
          </w:tcPr>
          <w:p w14:paraId="71740B0F" w14:textId="27235C29" w:rsidR="00661AFB" w:rsidRPr="00FF512C" w:rsidRDefault="00661AFB" w:rsidP="0021041D">
            <w:pPr>
              <w:pStyle w:val="TableHeading"/>
              <w:keepNext w:val="0"/>
              <w:rPr>
                <w:b w:val="0"/>
                <w:bCs/>
                <w:szCs w:val="20"/>
              </w:rPr>
            </w:pPr>
            <w:r w:rsidRPr="00FF512C">
              <w:t>Multivariate sensitivity analysis</w:t>
            </w:r>
          </w:p>
        </w:tc>
      </w:tr>
      <w:tr w:rsidR="00661AFB" w:rsidRPr="00FF512C" w14:paraId="7014EB2B" w14:textId="77777777" w:rsidTr="003E2BEF">
        <w:tc>
          <w:tcPr>
            <w:tcW w:w="4265" w:type="dxa"/>
          </w:tcPr>
          <w:p w14:paraId="3DB9FDFC" w14:textId="77777777" w:rsidR="00661AFB" w:rsidRPr="00FF512C" w:rsidRDefault="00661AFB" w:rsidP="0021041D">
            <w:pPr>
              <w:pStyle w:val="TableHeading"/>
              <w:keepNext w:val="0"/>
            </w:pPr>
            <w:r w:rsidRPr="00FF512C">
              <w:t>A + B + C</w:t>
            </w:r>
          </w:p>
          <w:p w14:paraId="0B88DF87" w14:textId="2CB69E27" w:rsidR="00661AFB" w:rsidRPr="00FF512C" w:rsidRDefault="00D23872" w:rsidP="0021041D">
            <w:pPr>
              <w:pStyle w:val="TableHeading"/>
              <w:keepNext w:val="0"/>
              <w:rPr>
                <w:b w:val="0"/>
                <w:bCs/>
              </w:rPr>
            </w:pPr>
            <w:r w:rsidRPr="00FF512C">
              <w:t xml:space="preserve">A: </w:t>
            </w:r>
            <w:r w:rsidR="00661AFB" w:rsidRPr="00FF512C">
              <w:rPr>
                <w:b w:val="0"/>
                <w:bCs/>
              </w:rPr>
              <w:t xml:space="preserve">Baseline RAASi use based on OPAL-HK Part B (40% maximal; 60% sub-maximal); </w:t>
            </w:r>
          </w:p>
          <w:p w14:paraId="5354C635" w14:textId="50653C78" w:rsidR="00661AFB" w:rsidRPr="00FF512C" w:rsidRDefault="00D23872" w:rsidP="0021041D">
            <w:pPr>
              <w:pStyle w:val="TableHeading"/>
              <w:keepNext w:val="0"/>
              <w:rPr>
                <w:b w:val="0"/>
                <w:bCs/>
              </w:rPr>
            </w:pPr>
            <w:r w:rsidRPr="00FF512C">
              <w:t>B:</w:t>
            </w:r>
            <w:r w:rsidRPr="00FF512C">
              <w:rPr>
                <w:b w:val="0"/>
                <w:bCs/>
              </w:rPr>
              <w:t xml:space="preserve"> </w:t>
            </w:r>
            <w:r w:rsidR="00C62BC5" w:rsidRPr="00FF512C">
              <w:rPr>
                <w:b w:val="0"/>
                <w:bCs/>
              </w:rPr>
              <w:t>P</w:t>
            </w:r>
            <w:r w:rsidR="00661AFB" w:rsidRPr="00FF512C">
              <w:rPr>
                <w:b w:val="0"/>
                <w:bCs/>
              </w:rPr>
              <w:t xml:space="preserve">roportion of patients using 25.2 g/day (54.55%) based on OPAL-HK Part B; </w:t>
            </w:r>
          </w:p>
          <w:p w14:paraId="79F6A4EF" w14:textId="4C9F2AE1" w:rsidR="00661AFB" w:rsidRPr="00FF512C" w:rsidRDefault="00D23872" w:rsidP="0021041D">
            <w:pPr>
              <w:pStyle w:val="TableHeading"/>
              <w:keepNext w:val="0"/>
              <w:rPr>
                <w:b w:val="0"/>
                <w:bCs/>
                <w:szCs w:val="20"/>
              </w:rPr>
            </w:pPr>
            <w:r w:rsidRPr="00FF512C">
              <w:t>C:</w:t>
            </w:r>
            <w:r w:rsidRPr="00FF512C">
              <w:rPr>
                <w:b w:val="0"/>
                <w:bCs/>
              </w:rPr>
              <w:t xml:space="preserve"> H</w:t>
            </w:r>
            <w:r w:rsidR="00661AFB" w:rsidRPr="00FF512C">
              <w:rPr>
                <w:b w:val="0"/>
                <w:bCs/>
              </w:rPr>
              <w:t xml:space="preserve">ealth state utility values for CKD/RRT states based on </w:t>
            </w:r>
            <w:r w:rsidR="00D9181E" w:rsidRPr="00FF512C">
              <w:rPr>
                <w:b w:val="0"/>
                <w:bCs/>
              </w:rPr>
              <w:t>G</w:t>
            </w:r>
            <w:r w:rsidR="00661AFB" w:rsidRPr="00FF512C">
              <w:rPr>
                <w:b w:val="0"/>
                <w:bCs/>
              </w:rPr>
              <w:t>orodetskaya HUI values.</w:t>
            </w:r>
          </w:p>
        </w:tc>
        <w:tc>
          <w:tcPr>
            <w:tcW w:w="1165" w:type="dxa"/>
            <w:shd w:val="solid" w:color="000000" w:fill="000000"/>
            <w:vAlign w:val="center"/>
          </w:tcPr>
          <w:p w14:paraId="06226122" w14:textId="55A63D48" w:rsidR="00661AFB" w:rsidRPr="003E2BEF" w:rsidRDefault="003E2BEF" w:rsidP="0021041D">
            <w:pPr>
              <w:pStyle w:val="TableHeading"/>
              <w:keepNext w:val="0"/>
              <w:jc w:val="center"/>
              <w:rPr>
                <w:b w:val="0"/>
                <w:bCs/>
                <w:szCs w:val="20"/>
              </w:rPr>
            </w:pPr>
            <w:r w:rsidRPr="003E2BEF">
              <w:rPr>
                <w:rFonts w:hint="eastAsia"/>
                <w:b w:val="0"/>
                <w:bCs/>
                <w:color w:val="000000"/>
                <w:w w:val="15"/>
                <w:fitText w:val="46" w:id="-1304706551"/>
                <w14:textFill>
                  <w14:solidFill>
                    <w14:srgbClr w14:val="000000">
                      <w14:alpha w14:val="100000"/>
                    </w14:srgbClr>
                  </w14:solidFill>
                </w14:textFill>
              </w:rPr>
              <w:t xml:space="preserve">　</w:t>
            </w:r>
            <w:r w:rsidRPr="003E2BEF">
              <w:rPr>
                <w:b w:val="0"/>
                <w:bCs/>
                <w:color w:val="000000"/>
                <w:w w:val="15"/>
                <w:fitText w:val="46" w:id="-1304706551"/>
                <w14:textFill>
                  <w14:solidFill>
                    <w14:srgbClr w14:val="000000">
                      <w14:alpha w14:val="100000"/>
                    </w14:srgbClr>
                  </w14:solidFill>
                </w14:textFill>
              </w:rPr>
              <w:t>|</w:t>
            </w:r>
            <w:r w:rsidRPr="003E2BEF">
              <w:rPr>
                <w:rFonts w:hint="eastAsia"/>
                <w:b w:val="0"/>
                <w:bCs/>
                <w:color w:val="000000"/>
                <w:spacing w:val="-19"/>
                <w:w w:val="15"/>
                <w:fitText w:val="46" w:id="-1304706551"/>
                <w14:textFill>
                  <w14:solidFill>
                    <w14:srgbClr w14:val="000000">
                      <w14:alpha w14:val="100000"/>
                    </w14:srgbClr>
                  </w14:solidFill>
                </w14:textFill>
              </w:rPr>
              <w:t xml:space="preserve">　</w:t>
            </w:r>
          </w:p>
        </w:tc>
        <w:tc>
          <w:tcPr>
            <w:tcW w:w="1165" w:type="dxa"/>
            <w:vAlign w:val="center"/>
          </w:tcPr>
          <w:p w14:paraId="6FF51603" w14:textId="73AE4EE3" w:rsidR="00661AFB" w:rsidRPr="00FF512C" w:rsidRDefault="00661AFB" w:rsidP="0021041D">
            <w:pPr>
              <w:pStyle w:val="TableHeading"/>
              <w:keepNext w:val="0"/>
              <w:jc w:val="center"/>
              <w:rPr>
                <w:b w:val="0"/>
                <w:bCs/>
                <w:szCs w:val="20"/>
              </w:rPr>
            </w:pPr>
            <w:r w:rsidRPr="00FF512C">
              <w:rPr>
                <w:b w:val="0"/>
                <w:bCs/>
              </w:rPr>
              <w:t>0.1481</w:t>
            </w:r>
          </w:p>
        </w:tc>
        <w:tc>
          <w:tcPr>
            <w:tcW w:w="1165" w:type="dxa"/>
            <w:vAlign w:val="center"/>
          </w:tcPr>
          <w:p w14:paraId="285A67EE" w14:textId="472F4BA0" w:rsidR="00661AFB" w:rsidRPr="00FF512C" w:rsidRDefault="003E2BEF" w:rsidP="0021041D">
            <w:pPr>
              <w:pStyle w:val="TableHeading"/>
              <w:keepNext w:val="0"/>
              <w:jc w:val="center"/>
              <w:rPr>
                <w:b w:val="0"/>
                <w:bCs/>
                <w:szCs w:val="20"/>
              </w:rPr>
            </w:pPr>
            <w:r w:rsidRPr="003E2BEF">
              <w:rPr>
                <w:rFonts w:hint="eastAsia"/>
                <w:b w:val="0"/>
                <w:bCs/>
                <w:color w:val="000000"/>
                <w:w w:val="15"/>
                <w:shd w:val="solid" w:color="000000" w:fill="000000"/>
                <w:fitText w:val="57" w:id="-1304706550"/>
                <w14:textFill>
                  <w14:solidFill>
                    <w14:srgbClr w14:val="000000">
                      <w14:alpha w14:val="100000"/>
                    </w14:srgbClr>
                  </w14:solidFill>
                </w14:textFill>
              </w:rPr>
              <w:t xml:space="preserve">　</w:t>
            </w:r>
            <w:r w:rsidRPr="003E2BEF">
              <w:rPr>
                <w:b w:val="0"/>
                <w:bCs/>
                <w:color w:val="000000"/>
                <w:w w:val="15"/>
                <w:shd w:val="solid" w:color="000000" w:fill="000000"/>
                <w:fitText w:val="57" w:id="-1304706550"/>
                <w14:textFill>
                  <w14:solidFill>
                    <w14:srgbClr w14:val="000000">
                      <w14:alpha w14:val="100000"/>
                    </w14:srgbClr>
                  </w14:solidFill>
                </w14:textFill>
              </w:rPr>
              <w:t>|</w:t>
            </w:r>
            <w:r w:rsidRPr="003E2BEF">
              <w:rPr>
                <w:rFonts w:hint="eastAsia"/>
                <w:b w:val="0"/>
                <w:bCs/>
                <w:color w:val="000000"/>
                <w:spacing w:val="-8"/>
                <w:w w:val="15"/>
                <w:shd w:val="solid" w:color="000000" w:fill="000000"/>
                <w:fitText w:val="57" w:id="-1304706550"/>
                <w14:textFill>
                  <w14:solidFill>
                    <w14:srgbClr w14:val="000000">
                      <w14:alpha w14:val="100000"/>
                    </w14:srgbClr>
                  </w14:solidFill>
                </w14:textFill>
              </w:rPr>
              <w:t xml:space="preserve">　</w:t>
            </w:r>
            <w:r w:rsidR="002B70D2">
              <w:rPr>
                <w:bCs/>
                <w:szCs w:val="20"/>
                <w:vertAlign w:val="superscript"/>
              </w:rPr>
              <w:t>7</w:t>
            </w:r>
          </w:p>
        </w:tc>
        <w:tc>
          <w:tcPr>
            <w:tcW w:w="1257" w:type="dxa"/>
            <w:vAlign w:val="center"/>
          </w:tcPr>
          <w:p w14:paraId="2F51CC3C" w14:textId="2AE26844" w:rsidR="00661AFB" w:rsidRPr="00FF512C" w:rsidRDefault="00661AFB" w:rsidP="0021041D">
            <w:pPr>
              <w:pStyle w:val="TableHeading"/>
              <w:keepNext w:val="0"/>
              <w:jc w:val="center"/>
              <w:rPr>
                <w:b w:val="0"/>
                <w:bCs/>
                <w:szCs w:val="20"/>
              </w:rPr>
            </w:pPr>
            <w:r w:rsidRPr="00FF512C">
              <w:rPr>
                <w:b w:val="0"/>
                <w:bCs/>
              </w:rPr>
              <w:t>+366%</w:t>
            </w:r>
          </w:p>
        </w:tc>
      </w:tr>
    </w:tbl>
    <w:p w14:paraId="34E8B316" w14:textId="77777777" w:rsidR="00185040" w:rsidRPr="002F6665" w:rsidRDefault="00185040" w:rsidP="0021041D">
      <w:pPr>
        <w:pStyle w:val="COMTablefooter"/>
      </w:pPr>
      <w:r w:rsidRPr="002F6665">
        <w:t xml:space="preserve">Source: Table 3.9.1, p219 of the resubmission; </w:t>
      </w:r>
      <w:r w:rsidRPr="002F6665">
        <w:rPr>
          <w:snapToGrid/>
        </w:rPr>
        <w:t>‘Attachment 13a - Veltassa Cost Effectiveness Analysis’ spreadsheet provided with the resubmission</w:t>
      </w:r>
    </w:p>
    <w:p w14:paraId="5E2B29D5" w14:textId="77777777" w:rsidR="00185040" w:rsidRPr="002F6665" w:rsidRDefault="00185040" w:rsidP="0021041D">
      <w:pPr>
        <w:pStyle w:val="COMTablefooter"/>
      </w:pPr>
      <w:r w:rsidRPr="002F6665">
        <w:t>Abbreviations: CKD, chronic kidney disease; HUI, Health Utilities Index; ICER, incremental cost effectiveness ratio; NYHA, New York Heart Association; QALY, quality-adjusted life year; RAASi, renin-angiotensin-aldosterone system inhibitors; RRT, renal replacement therapy; TTO, time trade off</w:t>
      </w:r>
    </w:p>
    <w:p w14:paraId="7218B0CD" w14:textId="3964A344" w:rsidR="00D2659E" w:rsidRDefault="00185040" w:rsidP="002B70D2">
      <w:pPr>
        <w:pStyle w:val="COMTablefooter"/>
        <w:spacing w:after="0"/>
      </w:pPr>
      <w:r w:rsidRPr="002F6665">
        <w:rPr>
          <w:vertAlign w:val="superscript"/>
        </w:rPr>
        <w:t>a</w:t>
      </w:r>
      <w:r w:rsidRPr="002F6665">
        <w:t xml:space="preserve"> For the purposes of these analysis the utility value of transplantation was assumed to be equivalent to CKD 3; however transplantation utilities have minimal impact due to the rarity of the event in the economic model</w:t>
      </w:r>
    </w:p>
    <w:p w14:paraId="03653779" w14:textId="77777777" w:rsidR="002B70D2" w:rsidRPr="009A6D58" w:rsidRDefault="002B70D2" w:rsidP="002B70D2">
      <w:pPr>
        <w:rPr>
          <w:rFonts w:ascii="Arial Narrow" w:hAnsi="Arial Narrow"/>
          <w:i/>
          <w:sz w:val="18"/>
          <w:szCs w:val="18"/>
        </w:rPr>
      </w:pPr>
      <w:r w:rsidRPr="009A6D58">
        <w:rPr>
          <w:rFonts w:ascii="Arial Narrow" w:hAnsi="Arial Narrow"/>
          <w:i/>
          <w:sz w:val="18"/>
          <w:szCs w:val="18"/>
        </w:rPr>
        <w:t xml:space="preserve">The redacted values correspond to the following ranges: </w:t>
      </w:r>
    </w:p>
    <w:p w14:paraId="5D0DCBA3" w14:textId="558F66DD" w:rsidR="002B70D2" w:rsidRPr="009A6D58" w:rsidRDefault="002B70D2" w:rsidP="002B70D2">
      <w:pPr>
        <w:rPr>
          <w:rFonts w:ascii="Arial Narrow" w:hAnsi="Arial Narrow"/>
          <w:i/>
          <w:sz w:val="18"/>
          <w:szCs w:val="18"/>
        </w:rPr>
      </w:pPr>
      <w:r w:rsidRPr="009A6D58">
        <w:rPr>
          <w:rFonts w:ascii="Arial Narrow" w:hAnsi="Arial Narrow"/>
          <w:i/>
          <w:sz w:val="18"/>
          <w:szCs w:val="18"/>
          <w:vertAlign w:val="superscript"/>
        </w:rPr>
        <w:t>1</w:t>
      </w:r>
      <w:r>
        <w:rPr>
          <w:rFonts w:ascii="Arial Narrow" w:hAnsi="Arial Narrow"/>
          <w:i/>
          <w:sz w:val="18"/>
          <w:szCs w:val="18"/>
        </w:rPr>
        <w:t xml:space="preserve"> </w:t>
      </w:r>
      <w:r w:rsidRPr="002B70D2">
        <w:rPr>
          <w:rFonts w:ascii="Arial Narrow" w:hAnsi="Arial Narrow"/>
          <w:i/>
          <w:sz w:val="18"/>
          <w:szCs w:val="18"/>
        </w:rPr>
        <w:t>$25,000 to &lt; $35,000</w:t>
      </w:r>
    </w:p>
    <w:p w14:paraId="754A0C45" w14:textId="05B29725" w:rsidR="002B70D2" w:rsidRPr="009A6D58" w:rsidRDefault="002B70D2" w:rsidP="002B70D2">
      <w:pPr>
        <w:rPr>
          <w:rFonts w:ascii="Arial Narrow" w:hAnsi="Arial Narrow"/>
          <w:i/>
          <w:sz w:val="18"/>
          <w:szCs w:val="18"/>
        </w:rPr>
      </w:pPr>
      <w:r w:rsidRPr="009A6D58">
        <w:rPr>
          <w:rFonts w:ascii="Arial Narrow" w:hAnsi="Arial Narrow"/>
          <w:i/>
          <w:sz w:val="18"/>
          <w:szCs w:val="18"/>
          <w:vertAlign w:val="superscript"/>
        </w:rPr>
        <w:t>2</w:t>
      </w:r>
      <w:r>
        <w:rPr>
          <w:rFonts w:ascii="Arial Narrow" w:hAnsi="Arial Narrow"/>
          <w:i/>
          <w:sz w:val="18"/>
          <w:szCs w:val="18"/>
        </w:rPr>
        <w:t xml:space="preserve"> </w:t>
      </w:r>
      <w:r w:rsidRPr="002B70D2">
        <w:rPr>
          <w:rFonts w:ascii="Arial Narrow" w:hAnsi="Arial Narrow"/>
          <w:i/>
          <w:sz w:val="18"/>
          <w:szCs w:val="18"/>
        </w:rPr>
        <w:t>$35,000 to &lt; $45,000</w:t>
      </w:r>
    </w:p>
    <w:p w14:paraId="34C5AE06" w14:textId="423DCC27" w:rsidR="002B70D2" w:rsidRDefault="002B70D2" w:rsidP="002B70D2">
      <w:pPr>
        <w:rPr>
          <w:rFonts w:ascii="Arial Narrow" w:hAnsi="Arial Narrow"/>
          <w:i/>
          <w:sz w:val="18"/>
          <w:szCs w:val="18"/>
        </w:rPr>
      </w:pPr>
      <w:r w:rsidRPr="009A6D58">
        <w:rPr>
          <w:rFonts w:ascii="Arial Narrow" w:hAnsi="Arial Narrow"/>
          <w:i/>
          <w:sz w:val="18"/>
          <w:szCs w:val="18"/>
          <w:vertAlign w:val="superscript"/>
        </w:rPr>
        <w:t>3</w:t>
      </w:r>
      <w:r>
        <w:rPr>
          <w:rFonts w:ascii="Arial Narrow" w:hAnsi="Arial Narrow"/>
          <w:i/>
          <w:sz w:val="18"/>
          <w:szCs w:val="18"/>
        </w:rPr>
        <w:t xml:space="preserve"> </w:t>
      </w:r>
      <w:r w:rsidRPr="002B70D2">
        <w:rPr>
          <w:rFonts w:ascii="Arial Narrow" w:hAnsi="Arial Narrow"/>
          <w:i/>
          <w:sz w:val="18"/>
          <w:szCs w:val="18"/>
        </w:rPr>
        <w:t>$95,000 to &lt; $115,000</w:t>
      </w:r>
    </w:p>
    <w:p w14:paraId="1EB1F8DE" w14:textId="79714C84" w:rsidR="002B70D2" w:rsidRDefault="002B70D2" w:rsidP="002B70D2">
      <w:pPr>
        <w:rPr>
          <w:rFonts w:ascii="Arial Narrow" w:hAnsi="Arial Narrow"/>
          <w:i/>
          <w:sz w:val="18"/>
          <w:szCs w:val="18"/>
        </w:rPr>
      </w:pPr>
      <w:r>
        <w:rPr>
          <w:rFonts w:ascii="Arial Narrow" w:hAnsi="Arial Narrow"/>
          <w:i/>
          <w:sz w:val="18"/>
          <w:szCs w:val="18"/>
          <w:vertAlign w:val="superscript"/>
        </w:rPr>
        <w:t>4</w:t>
      </w:r>
      <w:r>
        <w:rPr>
          <w:rFonts w:ascii="Arial Narrow" w:hAnsi="Arial Narrow"/>
          <w:i/>
          <w:sz w:val="18"/>
          <w:szCs w:val="18"/>
        </w:rPr>
        <w:t xml:space="preserve"> </w:t>
      </w:r>
      <w:r w:rsidRPr="002B70D2">
        <w:rPr>
          <w:rFonts w:ascii="Arial Narrow" w:hAnsi="Arial Narrow"/>
          <w:i/>
          <w:sz w:val="18"/>
          <w:szCs w:val="18"/>
        </w:rPr>
        <w:t>$55,000 to &lt; $75,000</w:t>
      </w:r>
    </w:p>
    <w:p w14:paraId="2CA52A93" w14:textId="76AF442F" w:rsidR="002B70D2" w:rsidRPr="002B70D2" w:rsidRDefault="002B70D2" w:rsidP="002B70D2">
      <w:pPr>
        <w:rPr>
          <w:rFonts w:ascii="Arial Narrow" w:hAnsi="Arial Narrow"/>
          <w:i/>
          <w:sz w:val="18"/>
          <w:szCs w:val="18"/>
        </w:rPr>
      </w:pPr>
      <w:r>
        <w:rPr>
          <w:rFonts w:ascii="Arial Narrow" w:hAnsi="Arial Narrow"/>
          <w:i/>
          <w:sz w:val="18"/>
          <w:szCs w:val="18"/>
          <w:vertAlign w:val="superscript"/>
        </w:rPr>
        <w:t>5</w:t>
      </w:r>
      <w:r>
        <w:rPr>
          <w:rFonts w:ascii="Arial Narrow" w:hAnsi="Arial Narrow"/>
          <w:i/>
          <w:sz w:val="18"/>
          <w:szCs w:val="18"/>
        </w:rPr>
        <w:t xml:space="preserve"> </w:t>
      </w:r>
      <w:r w:rsidRPr="002B70D2">
        <w:rPr>
          <w:rFonts w:ascii="Arial Narrow" w:hAnsi="Arial Narrow"/>
          <w:i/>
          <w:sz w:val="18"/>
          <w:szCs w:val="18"/>
        </w:rPr>
        <w:t>$45,000 to &lt; $55,000</w:t>
      </w:r>
    </w:p>
    <w:p w14:paraId="575F1FA5" w14:textId="46C75F4C" w:rsidR="002B70D2" w:rsidRDefault="002B70D2" w:rsidP="002B70D2">
      <w:pPr>
        <w:rPr>
          <w:rFonts w:ascii="Arial Narrow" w:hAnsi="Arial Narrow"/>
          <w:i/>
          <w:sz w:val="18"/>
          <w:szCs w:val="18"/>
        </w:rPr>
      </w:pPr>
      <w:r>
        <w:rPr>
          <w:rFonts w:ascii="Arial Narrow" w:hAnsi="Arial Narrow"/>
          <w:i/>
          <w:sz w:val="18"/>
          <w:szCs w:val="18"/>
          <w:vertAlign w:val="superscript"/>
        </w:rPr>
        <w:t>6</w:t>
      </w:r>
      <w:r>
        <w:rPr>
          <w:rFonts w:ascii="Arial Narrow" w:hAnsi="Arial Narrow"/>
          <w:i/>
          <w:sz w:val="18"/>
          <w:szCs w:val="18"/>
        </w:rPr>
        <w:t xml:space="preserve"> </w:t>
      </w:r>
      <w:r w:rsidRPr="002B70D2">
        <w:rPr>
          <w:rFonts w:ascii="Arial Narrow" w:hAnsi="Arial Narrow"/>
          <w:i/>
          <w:sz w:val="18"/>
          <w:szCs w:val="18"/>
        </w:rPr>
        <w:t>$15,000 to &lt; $25,000</w:t>
      </w:r>
    </w:p>
    <w:p w14:paraId="774DD966" w14:textId="3EDAE4E3" w:rsidR="002B70D2" w:rsidRPr="009A6D58" w:rsidRDefault="002B70D2" w:rsidP="002B70D2">
      <w:pPr>
        <w:spacing w:after="120"/>
        <w:rPr>
          <w:rFonts w:ascii="Arial Narrow" w:hAnsi="Arial Narrow"/>
          <w:i/>
          <w:sz w:val="18"/>
          <w:szCs w:val="18"/>
        </w:rPr>
      </w:pPr>
      <w:r>
        <w:rPr>
          <w:rFonts w:ascii="Arial Narrow" w:hAnsi="Arial Narrow"/>
          <w:i/>
          <w:sz w:val="18"/>
          <w:szCs w:val="18"/>
          <w:vertAlign w:val="superscript"/>
        </w:rPr>
        <w:t>7</w:t>
      </w:r>
      <w:r>
        <w:rPr>
          <w:rFonts w:ascii="Arial Narrow" w:hAnsi="Arial Narrow"/>
          <w:i/>
          <w:sz w:val="18"/>
          <w:szCs w:val="18"/>
        </w:rPr>
        <w:t xml:space="preserve"> </w:t>
      </w:r>
      <w:r w:rsidRPr="002B70D2">
        <w:rPr>
          <w:rFonts w:ascii="Arial Narrow" w:hAnsi="Arial Narrow"/>
          <w:i/>
          <w:sz w:val="18"/>
          <w:szCs w:val="18"/>
        </w:rPr>
        <w:t>$135,000 to &lt; $155,000</w:t>
      </w:r>
    </w:p>
    <w:p w14:paraId="570DBE26" w14:textId="2BC75C4B" w:rsidR="0095738D" w:rsidRPr="00FF512C" w:rsidRDefault="0095738D" w:rsidP="00FE7043">
      <w:pPr>
        <w:pStyle w:val="COMexecsumnumberedpara"/>
        <w:numPr>
          <w:ilvl w:val="1"/>
          <w:numId w:val="1"/>
        </w:numPr>
      </w:pPr>
      <w:bookmarkStart w:id="56" w:name="_Ref116559896"/>
      <w:r w:rsidRPr="00FF512C">
        <w:t xml:space="preserve">The ESC considered that the </w:t>
      </w:r>
      <w:r w:rsidR="000D13E8" w:rsidRPr="00FF512C">
        <w:t xml:space="preserve">base case </w:t>
      </w:r>
      <w:r w:rsidRPr="00FF512C">
        <w:t xml:space="preserve">ICER was highly optimistic and considered </w:t>
      </w:r>
      <w:r w:rsidR="00A33CD1" w:rsidRPr="00FF512C">
        <w:t xml:space="preserve">the model was </w:t>
      </w:r>
      <w:r w:rsidR="003E0E7F" w:rsidRPr="00FF512C">
        <w:t>unlikely to be</w:t>
      </w:r>
      <w:r w:rsidR="00A33CD1" w:rsidRPr="00FF512C">
        <w:t xml:space="preserve"> reliable as</w:t>
      </w:r>
      <w:r w:rsidR="00677281" w:rsidRPr="00FF512C">
        <w:t>:</w:t>
      </w:r>
      <w:r w:rsidR="00A33CD1" w:rsidRPr="00FF512C">
        <w:t xml:space="preserve"> </w:t>
      </w:r>
      <w:r w:rsidR="00677281" w:rsidRPr="00FF512C">
        <w:t xml:space="preserve">(a) </w:t>
      </w:r>
      <w:r w:rsidR="00A33CD1" w:rsidRPr="00FF512C">
        <w:t xml:space="preserve">it was still dependent on the underlying premise that short-term patiromer treatment would lead to patients remaining on maximal RAASi therapy for a prolonged period and gaining long-term cardiovascular </w:t>
      </w:r>
      <w:r w:rsidR="00A33CD1" w:rsidRPr="00FF512C">
        <w:lastRenderedPageBreak/>
        <w:t>and renal benefits</w:t>
      </w:r>
      <w:r w:rsidR="00677281" w:rsidRPr="00FF512C">
        <w:t xml:space="preserve">; and (b) the model was poorly documented, with </w:t>
      </w:r>
      <w:r w:rsidR="00AE7D3C" w:rsidRPr="00FF512C">
        <w:t xml:space="preserve">numerous </w:t>
      </w:r>
      <w:r w:rsidR="00677281" w:rsidRPr="00FF512C">
        <w:t>inconsistences, double counting and system</w:t>
      </w:r>
      <w:r w:rsidR="00AE7D3C" w:rsidRPr="00FF512C">
        <w:t>at</w:t>
      </w:r>
      <w:r w:rsidR="00677281" w:rsidRPr="00FF512C">
        <w:t>ic errors</w:t>
      </w:r>
      <w:r w:rsidR="00202697" w:rsidRPr="00FF512C">
        <w:t>.</w:t>
      </w:r>
      <w:bookmarkEnd w:id="56"/>
      <w:r w:rsidR="00D9181E" w:rsidRPr="00FF512C">
        <w:t xml:space="preserve"> The ESC also noted that some of the results of the sensitivity analyses seemed counter-intuitive, for example the </w:t>
      </w:r>
      <w:r w:rsidR="00A96222" w:rsidRPr="00FF512C">
        <w:t xml:space="preserve">ICER decreased substantially when the treatment effect on mortality in CKD patients was removed; the ICER decreased with time horizons of 10 and 20 years; and the </w:t>
      </w:r>
      <w:r w:rsidR="000F7040" w:rsidRPr="00FF512C">
        <w:t>ICER</w:t>
      </w:r>
      <w:r w:rsidR="000D5CE3" w:rsidRPr="00FF512C">
        <w:t xml:space="preserve"> was </w:t>
      </w:r>
      <w:r w:rsidR="00AA4496" w:rsidRPr="00FF512C">
        <w:t>driven by</w:t>
      </w:r>
      <w:r w:rsidR="000D5CE3" w:rsidRPr="00FF512C">
        <w:t xml:space="preserve"> </w:t>
      </w:r>
      <w:r w:rsidR="000F7040" w:rsidRPr="00FF512C">
        <w:t>incremental</w:t>
      </w:r>
      <w:r w:rsidR="000D5CE3" w:rsidRPr="00FF512C">
        <w:t xml:space="preserve"> cost</w:t>
      </w:r>
      <w:r w:rsidR="000F7040" w:rsidRPr="00FF512C">
        <w:t>s</w:t>
      </w:r>
      <w:r w:rsidR="000D5CE3" w:rsidRPr="00FF512C">
        <w:t xml:space="preserve"> of hospitalisations and renal replacement therapy (dialysis and transplantation)</w:t>
      </w:r>
      <w:r w:rsidR="000F7040" w:rsidRPr="00FF512C">
        <w:t xml:space="preserve"> particularly in some of the sensitivity analyses</w:t>
      </w:r>
      <w:r w:rsidR="000D5CE3" w:rsidRPr="00FF512C">
        <w:t xml:space="preserve">. </w:t>
      </w:r>
    </w:p>
    <w:p w14:paraId="3F861D86" w14:textId="77777777" w:rsidR="0095738D" w:rsidRPr="0095738D" w:rsidRDefault="0095738D" w:rsidP="00DF453A">
      <w:pPr>
        <w:pStyle w:val="4-SubsectSubhead"/>
      </w:pPr>
      <w:r w:rsidRPr="0095738D">
        <w:t>Cost-minimisation approach</w:t>
      </w:r>
    </w:p>
    <w:p w14:paraId="68352763" w14:textId="76199E18" w:rsidR="00FE7043" w:rsidRPr="00FF512C" w:rsidRDefault="00FE7043" w:rsidP="00FE7043">
      <w:pPr>
        <w:pStyle w:val="COMexecsumnumberedpara"/>
        <w:numPr>
          <w:ilvl w:val="1"/>
          <w:numId w:val="1"/>
        </w:numPr>
      </w:pPr>
      <w:r w:rsidRPr="00FF512C">
        <w:rPr>
          <w:lang w:eastAsia="zh-CN"/>
        </w:rPr>
        <w:t xml:space="preserve">The cost-minimisation approach presented in the resubmission was based on a weighted average of patiromer in </w:t>
      </w:r>
      <w:r w:rsidRPr="003E2BEF">
        <w:rPr>
          <w:lang w:eastAsia="zh-CN"/>
        </w:rPr>
        <w:t>acute (30%) and chronic (70%) hyperkalaemia</w:t>
      </w:r>
      <w:r w:rsidRPr="00FF512C">
        <w:rPr>
          <w:lang w:eastAsia="zh-CN"/>
        </w:rPr>
        <w:t xml:space="preserve"> patients, based on the results of the sponsor-commissioned clinician survey (KOL survey 2). The inclusion of patients with acute hyperkalaemia </w:t>
      </w:r>
      <w:r w:rsidR="00E40034">
        <w:rPr>
          <w:lang w:eastAsia="zh-CN"/>
        </w:rPr>
        <w:t>wa</w:t>
      </w:r>
      <w:r w:rsidRPr="00FF512C">
        <w:rPr>
          <w:lang w:eastAsia="zh-CN"/>
        </w:rPr>
        <w:t>s inconsistent with the proposed restriction. During the evaluation the cost-minimisation approach was limited to the chronic hyperkalaemia population only.</w:t>
      </w:r>
      <w:r w:rsidR="006D3BB0" w:rsidRPr="00FF512C">
        <w:rPr>
          <w:lang w:eastAsia="zh-CN"/>
        </w:rPr>
        <w:t xml:space="preserve"> The ESC noted this correction increased the proposed AEMP </w:t>
      </w:r>
      <w:r w:rsidR="006D3BB0" w:rsidRPr="00153C28">
        <w:rPr>
          <w:lang w:eastAsia="zh-CN"/>
        </w:rPr>
        <w:t>from $</w:t>
      </w:r>
      <w:r w:rsidR="003E2BEF" w:rsidRPr="005F4857">
        <w:rPr>
          <w:color w:val="000000"/>
          <w:w w:val="15"/>
          <w:shd w:val="solid" w:color="000000" w:fill="000000"/>
          <w:fitText w:val="-20" w:id="-1304706549"/>
          <w:lang w:eastAsia="zh-CN"/>
          <w14:textFill>
            <w14:solidFill>
              <w14:srgbClr w14:val="000000">
                <w14:alpha w14:val="100000"/>
              </w14:srgbClr>
            </w14:solidFill>
          </w14:textFill>
        </w:rPr>
        <w:t xml:space="preserve">|  </w:t>
      </w:r>
      <w:r w:rsidR="003E2BEF" w:rsidRPr="005F4857">
        <w:rPr>
          <w:color w:val="000000"/>
          <w:spacing w:val="-69"/>
          <w:w w:val="15"/>
          <w:shd w:val="solid" w:color="000000" w:fill="000000"/>
          <w:fitText w:val="-20" w:id="-1304706549"/>
          <w:lang w:eastAsia="zh-CN"/>
          <w14:textFill>
            <w14:solidFill>
              <w14:srgbClr w14:val="000000">
                <w14:alpha w14:val="100000"/>
              </w14:srgbClr>
            </w14:solidFill>
          </w14:textFill>
        </w:rPr>
        <w:t>|</w:t>
      </w:r>
      <w:r w:rsidR="006D3BB0" w:rsidRPr="00FF512C">
        <w:rPr>
          <w:lang w:eastAsia="zh-CN"/>
        </w:rPr>
        <w:t xml:space="preserve"> to </w:t>
      </w:r>
      <w:r w:rsidR="006D3BB0" w:rsidRPr="00153C28">
        <w:rPr>
          <w:lang w:eastAsia="zh-CN"/>
        </w:rPr>
        <w:t>$</w:t>
      </w:r>
      <w:r w:rsidR="003E2BEF" w:rsidRPr="005F4857">
        <w:rPr>
          <w:color w:val="000000"/>
          <w:w w:val="15"/>
          <w:shd w:val="solid" w:color="000000" w:fill="000000"/>
          <w:fitText w:val="-20" w:id="-1304706548"/>
          <w:lang w:eastAsia="zh-CN"/>
          <w14:textFill>
            <w14:solidFill>
              <w14:srgbClr w14:val="000000">
                <w14:alpha w14:val="100000"/>
              </w14:srgbClr>
            </w14:solidFill>
          </w14:textFill>
        </w:rPr>
        <w:t xml:space="preserve">|  </w:t>
      </w:r>
      <w:r w:rsidR="003E2BEF" w:rsidRPr="005F4857">
        <w:rPr>
          <w:color w:val="000000"/>
          <w:spacing w:val="-69"/>
          <w:w w:val="15"/>
          <w:shd w:val="solid" w:color="000000" w:fill="000000"/>
          <w:fitText w:val="-20" w:id="-1304706548"/>
          <w:lang w:eastAsia="zh-CN"/>
          <w14:textFill>
            <w14:solidFill>
              <w14:srgbClr w14:val="000000">
                <w14:alpha w14:val="100000"/>
              </w14:srgbClr>
            </w14:solidFill>
          </w14:textFill>
        </w:rPr>
        <w:t>|</w:t>
      </w:r>
      <w:r w:rsidR="006D3BB0" w:rsidRPr="00FF512C">
        <w:rPr>
          <w:lang w:eastAsia="zh-CN"/>
        </w:rPr>
        <w:t xml:space="preserve"> (an increase of 20%).</w:t>
      </w:r>
    </w:p>
    <w:p w14:paraId="5A34FDA5" w14:textId="77777777" w:rsidR="00FE7043" w:rsidRPr="00FF512C" w:rsidRDefault="00FE7043" w:rsidP="00FE7043">
      <w:pPr>
        <w:pStyle w:val="COMexecsumnumberedpara"/>
        <w:numPr>
          <w:ilvl w:val="1"/>
          <w:numId w:val="1"/>
        </w:numPr>
        <w:spacing w:after="60"/>
        <w:rPr>
          <w:lang w:eastAsia="zh-CN"/>
        </w:rPr>
      </w:pPr>
      <w:r w:rsidRPr="00FF512C">
        <w:rPr>
          <w:lang w:eastAsia="zh-CN"/>
        </w:rPr>
        <w:t>The assumed equi-effective doses were:</w:t>
      </w:r>
    </w:p>
    <w:p w14:paraId="3DF3865F" w14:textId="7B2CC376" w:rsidR="00FE7043" w:rsidRPr="002F6665" w:rsidRDefault="00FE7043" w:rsidP="00072D56">
      <w:pPr>
        <w:spacing w:after="120"/>
        <w:ind w:left="720" w:firstLine="720"/>
      </w:pPr>
      <w:r w:rsidRPr="002F6665">
        <w:t>15</w:t>
      </w:r>
      <w:r w:rsidR="00126C75" w:rsidRPr="002F6665">
        <w:t> g</w:t>
      </w:r>
      <w:r w:rsidRPr="002F6665">
        <w:t xml:space="preserve"> SPS/CPS is equivalent to 4.95</w:t>
      </w:r>
      <w:r w:rsidR="00126C75" w:rsidRPr="002F6665">
        <w:t> g</w:t>
      </w:r>
      <w:r w:rsidRPr="002F6665">
        <w:t xml:space="preserve"> patiromer.</w:t>
      </w:r>
    </w:p>
    <w:p w14:paraId="4276C5C6" w14:textId="7CCC9447" w:rsidR="00FE7043" w:rsidRPr="002F6665" w:rsidRDefault="00FE7043" w:rsidP="00FE7043">
      <w:pPr>
        <w:pStyle w:val="COMexecsumnumberedpara"/>
        <w:numPr>
          <w:ilvl w:val="1"/>
          <w:numId w:val="1"/>
        </w:numPr>
      </w:pPr>
      <w:r w:rsidRPr="002F6665">
        <w:t xml:space="preserve">Results of the cost-minimisation approach are presented in </w:t>
      </w:r>
      <w:r w:rsidRPr="002F6665">
        <w:fldChar w:fldCharType="begin"/>
      </w:r>
      <w:r w:rsidRPr="002F6665">
        <w:instrText xml:space="preserve"> REF _Ref110955861 \h </w:instrText>
      </w:r>
      <w:r w:rsidR="00734B79" w:rsidRPr="002F6665">
        <w:instrText xml:space="preserve"> \* MERGEFORMAT </w:instrText>
      </w:r>
      <w:r w:rsidRPr="002F6665">
        <w:fldChar w:fldCharType="separate"/>
      </w:r>
      <w:r w:rsidR="00565456" w:rsidRPr="00565456">
        <w:t>Table 16</w:t>
      </w:r>
      <w:r w:rsidRPr="002F6665">
        <w:fldChar w:fldCharType="end"/>
      </w:r>
      <w:r w:rsidRPr="002F6665">
        <w:t xml:space="preserve"> below.</w:t>
      </w:r>
    </w:p>
    <w:p w14:paraId="618E1FE9" w14:textId="78938003" w:rsidR="00FE7043" w:rsidRPr="002F6665" w:rsidRDefault="00FE7043" w:rsidP="00D345A9">
      <w:pPr>
        <w:pStyle w:val="Caption"/>
        <w:rPr>
          <w:sz w:val="20"/>
          <w:szCs w:val="20"/>
        </w:rPr>
      </w:pPr>
      <w:bookmarkStart w:id="57" w:name="_Ref110955861"/>
      <w:bookmarkStart w:id="58" w:name="_Ref116559437"/>
      <w:r w:rsidRPr="002F6665">
        <w:rPr>
          <w:sz w:val="20"/>
          <w:szCs w:val="20"/>
        </w:rPr>
        <w:lastRenderedPageBreak/>
        <w:t xml:space="preserve">Table </w:t>
      </w:r>
      <w:r w:rsidRPr="002F6665">
        <w:rPr>
          <w:sz w:val="20"/>
          <w:szCs w:val="20"/>
        </w:rPr>
        <w:fldChar w:fldCharType="begin"/>
      </w:r>
      <w:r w:rsidRPr="002F6665">
        <w:rPr>
          <w:sz w:val="20"/>
          <w:szCs w:val="20"/>
        </w:rPr>
        <w:instrText xml:space="preserve"> SEQ Table \* ARABIC </w:instrText>
      </w:r>
      <w:r w:rsidRPr="002F6665">
        <w:rPr>
          <w:sz w:val="20"/>
          <w:szCs w:val="20"/>
        </w:rPr>
        <w:fldChar w:fldCharType="separate"/>
      </w:r>
      <w:r w:rsidR="00565456">
        <w:rPr>
          <w:noProof/>
          <w:sz w:val="20"/>
          <w:szCs w:val="20"/>
        </w:rPr>
        <w:t>16</w:t>
      </w:r>
      <w:r w:rsidRPr="002F6665">
        <w:rPr>
          <w:noProof/>
          <w:sz w:val="20"/>
          <w:szCs w:val="20"/>
        </w:rPr>
        <w:fldChar w:fldCharType="end"/>
      </w:r>
      <w:bookmarkEnd w:id="57"/>
      <w:r w:rsidRPr="002F6665">
        <w:rPr>
          <w:sz w:val="20"/>
          <w:szCs w:val="20"/>
        </w:rPr>
        <w:t>: Results of the cost-minimisation approach</w:t>
      </w:r>
      <w:r w:rsidR="005059AE">
        <w:rPr>
          <w:sz w:val="20"/>
          <w:szCs w:val="20"/>
        </w:rPr>
        <w:t xml:space="preserve"> presented in the resubmission</w:t>
      </w:r>
      <w:bookmarkEnd w:id="58"/>
      <w:r w:rsidR="005059AE">
        <w:rPr>
          <w:sz w:val="20"/>
          <w:szCs w:val="20"/>
        </w:rPr>
        <w:t xml:space="preserve"> </w:t>
      </w:r>
      <w:r w:rsidR="001C6D85">
        <w:rPr>
          <w:sz w:val="20"/>
          <w:szCs w:val="20"/>
        </w:rPr>
        <w:t>(for chronic hyperkalaemia)</w:t>
      </w:r>
    </w:p>
    <w:tbl>
      <w:tblPr>
        <w:tblStyle w:val="TableGrid"/>
        <w:tblW w:w="5000" w:type="pct"/>
        <w:tblCellMar>
          <w:left w:w="57" w:type="dxa"/>
          <w:right w:w="57" w:type="dxa"/>
        </w:tblCellMar>
        <w:tblLook w:val="04A0" w:firstRow="1" w:lastRow="0" w:firstColumn="1" w:lastColumn="0" w:noHBand="0" w:noVBand="1"/>
      </w:tblPr>
      <w:tblGrid>
        <w:gridCol w:w="1838"/>
        <w:gridCol w:w="851"/>
        <w:gridCol w:w="6328"/>
      </w:tblGrid>
      <w:tr w:rsidR="00FE7043" w:rsidRPr="002F6665" w14:paraId="4C44CB8C" w14:textId="77777777" w:rsidTr="00D345A9">
        <w:trPr>
          <w:tblHeader/>
        </w:trPr>
        <w:tc>
          <w:tcPr>
            <w:tcW w:w="1838" w:type="dxa"/>
          </w:tcPr>
          <w:p w14:paraId="246B0576" w14:textId="77777777" w:rsidR="00FE7043" w:rsidRPr="002F6665" w:rsidRDefault="00FE7043" w:rsidP="00D345A9">
            <w:pPr>
              <w:keepNext/>
              <w:rPr>
                <w:rFonts w:ascii="Arial Narrow" w:hAnsi="Arial Narrow"/>
                <w:b/>
                <w:bCs/>
                <w:sz w:val="20"/>
                <w:szCs w:val="20"/>
              </w:rPr>
            </w:pPr>
            <w:r w:rsidRPr="002F6665">
              <w:rPr>
                <w:rFonts w:ascii="Arial Narrow" w:hAnsi="Arial Narrow"/>
                <w:b/>
                <w:bCs/>
                <w:sz w:val="20"/>
                <w:szCs w:val="20"/>
              </w:rPr>
              <w:t>Component</w:t>
            </w:r>
          </w:p>
        </w:tc>
        <w:tc>
          <w:tcPr>
            <w:tcW w:w="851" w:type="dxa"/>
            <w:vAlign w:val="center"/>
          </w:tcPr>
          <w:p w14:paraId="38BD5536" w14:textId="77777777" w:rsidR="00FE7043" w:rsidRPr="002F6665" w:rsidRDefault="00FE7043" w:rsidP="00D345A9">
            <w:pPr>
              <w:keepNext/>
              <w:jc w:val="center"/>
              <w:rPr>
                <w:rFonts w:ascii="Arial Narrow" w:hAnsi="Arial Narrow"/>
                <w:b/>
                <w:bCs/>
                <w:sz w:val="20"/>
                <w:szCs w:val="20"/>
              </w:rPr>
            </w:pPr>
            <w:r w:rsidRPr="002F6665">
              <w:rPr>
                <w:rFonts w:ascii="Arial Narrow" w:hAnsi="Arial Narrow"/>
                <w:b/>
                <w:bCs/>
                <w:sz w:val="20"/>
                <w:szCs w:val="20"/>
              </w:rPr>
              <w:t>Value</w:t>
            </w:r>
          </w:p>
        </w:tc>
        <w:tc>
          <w:tcPr>
            <w:tcW w:w="6328" w:type="dxa"/>
          </w:tcPr>
          <w:p w14:paraId="527ACE2F" w14:textId="77777777" w:rsidR="00FE7043" w:rsidRPr="002F6665" w:rsidRDefault="00FE7043" w:rsidP="00D345A9">
            <w:pPr>
              <w:keepNext/>
              <w:rPr>
                <w:rFonts w:ascii="Arial Narrow" w:hAnsi="Arial Narrow"/>
                <w:b/>
                <w:bCs/>
                <w:sz w:val="20"/>
                <w:szCs w:val="20"/>
              </w:rPr>
            </w:pPr>
            <w:r w:rsidRPr="002F6665">
              <w:rPr>
                <w:rFonts w:ascii="Arial Narrow" w:hAnsi="Arial Narrow"/>
                <w:b/>
                <w:bCs/>
                <w:sz w:val="20"/>
                <w:szCs w:val="20"/>
              </w:rPr>
              <w:t>Source/calculation</w:t>
            </w:r>
          </w:p>
        </w:tc>
      </w:tr>
      <w:tr w:rsidR="00FE7043" w:rsidRPr="002F6665" w14:paraId="1D6FE454" w14:textId="77777777" w:rsidTr="00D345A9">
        <w:tc>
          <w:tcPr>
            <w:tcW w:w="9017" w:type="dxa"/>
            <w:gridSpan w:val="3"/>
          </w:tcPr>
          <w:p w14:paraId="064197F9" w14:textId="77777777" w:rsidR="00FE7043" w:rsidRPr="002F6665" w:rsidRDefault="00FE7043" w:rsidP="00D345A9">
            <w:pPr>
              <w:keepNext/>
              <w:rPr>
                <w:rFonts w:ascii="Arial Narrow" w:hAnsi="Arial Narrow"/>
                <w:b/>
                <w:bCs/>
                <w:sz w:val="20"/>
                <w:szCs w:val="20"/>
              </w:rPr>
            </w:pPr>
            <w:r w:rsidRPr="002F6665">
              <w:rPr>
                <w:rFonts w:ascii="Arial Narrow" w:hAnsi="Arial Narrow"/>
                <w:b/>
                <w:bCs/>
                <w:sz w:val="20"/>
                <w:szCs w:val="20"/>
              </w:rPr>
              <w:t>SPS/CPS</w:t>
            </w:r>
          </w:p>
        </w:tc>
      </w:tr>
      <w:tr w:rsidR="00FE7043" w:rsidRPr="002F6665" w14:paraId="0D5FD1A8" w14:textId="77777777" w:rsidTr="00D345A9">
        <w:tc>
          <w:tcPr>
            <w:tcW w:w="9017" w:type="dxa"/>
            <w:gridSpan w:val="3"/>
          </w:tcPr>
          <w:p w14:paraId="68973F2F" w14:textId="77777777" w:rsidR="00FE7043" w:rsidRPr="002F6665" w:rsidRDefault="00FE7043" w:rsidP="00D345A9">
            <w:pPr>
              <w:keepNext/>
              <w:jc w:val="left"/>
              <w:rPr>
                <w:rFonts w:ascii="Arial Narrow" w:hAnsi="Arial Narrow"/>
                <w:b/>
                <w:bCs/>
                <w:smallCaps/>
                <w:sz w:val="20"/>
                <w:szCs w:val="20"/>
              </w:rPr>
            </w:pPr>
            <w:r w:rsidRPr="002F6665">
              <w:rPr>
                <w:rFonts w:ascii="Arial Narrow" w:hAnsi="Arial Narrow"/>
                <w:b/>
                <w:bCs/>
                <w:smallCaps/>
                <w:sz w:val="20"/>
                <w:szCs w:val="20"/>
              </w:rPr>
              <w:t>Drug costs</w:t>
            </w:r>
          </w:p>
        </w:tc>
      </w:tr>
      <w:tr w:rsidR="00FE7043" w:rsidRPr="002F6665" w14:paraId="54E308B5" w14:textId="77777777" w:rsidTr="00D345A9">
        <w:tc>
          <w:tcPr>
            <w:tcW w:w="1838" w:type="dxa"/>
          </w:tcPr>
          <w:p w14:paraId="2FFADCDE" w14:textId="77777777" w:rsidR="00FE7043" w:rsidRPr="002F6665" w:rsidRDefault="00FE7043" w:rsidP="00D345A9">
            <w:pPr>
              <w:keepNext/>
              <w:jc w:val="left"/>
              <w:rPr>
                <w:rFonts w:ascii="Arial Narrow" w:hAnsi="Arial Narrow"/>
                <w:sz w:val="20"/>
                <w:szCs w:val="20"/>
              </w:rPr>
            </w:pPr>
            <w:r w:rsidRPr="002F6665">
              <w:rPr>
                <w:rFonts w:ascii="Arial Narrow" w:hAnsi="Arial Narrow"/>
                <w:sz w:val="20"/>
                <w:szCs w:val="20"/>
              </w:rPr>
              <w:t>Unit cost SPS</w:t>
            </w:r>
          </w:p>
        </w:tc>
        <w:tc>
          <w:tcPr>
            <w:tcW w:w="851" w:type="dxa"/>
          </w:tcPr>
          <w:p w14:paraId="45F80B63" w14:textId="77777777" w:rsidR="00FE7043" w:rsidRPr="002F6665" w:rsidRDefault="00FE7043" w:rsidP="00D345A9">
            <w:pPr>
              <w:keepNext/>
              <w:jc w:val="center"/>
              <w:rPr>
                <w:rFonts w:ascii="Arial Narrow" w:hAnsi="Arial Narrow"/>
                <w:sz w:val="20"/>
                <w:szCs w:val="20"/>
              </w:rPr>
            </w:pPr>
            <w:r w:rsidRPr="002F6665">
              <w:rPr>
                <w:rFonts w:ascii="Arial Narrow" w:hAnsi="Arial Narrow"/>
                <w:sz w:val="20"/>
                <w:szCs w:val="20"/>
              </w:rPr>
              <w:t>$54.71</w:t>
            </w:r>
          </w:p>
        </w:tc>
        <w:tc>
          <w:tcPr>
            <w:tcW w:w="6328" w:type="dxa"/>
          </w:tcPr>
          <w:p w14:paraId="57D9AD87" w14:textId="4384841D" w:rsidR="00FE7043" w:rsidRPr="002F6665" w:rsidRDefault="00FE7043" w:rsidP="00D345A9">
            <w:pPr>
              <w:keepNext/>
              <w:jc w:val="left"/>
              <w:rPr>
                <w:rFonts w:ascii="Arial Narrow" w:hAnsi="Arial Narrow"/>
                <w:bCs/>
                <w:snapToGrid w:val="0"/>
                <w:sz w:val="20"/>
              </w:rPr>
            </w:pPr>
            <w:r w:rsidRPr="002F6665">
              <w:rPr>
                <w:rFonts w:ascii="Arial Narrow" w:hAnsi="Arial Narrow"/>
                <w:bCs/>
                <w:snapToGrid w:val="0"/>
                <w:sz w:val="20"/>
              </w:rPr>
              <w:t>AEMP for item 4470G sodium polystyrene sulfonate (Resonium-A) oral powder 454</w:t>
            </w:r>
            <w:r w:rsidR="00126C75" w:rsidRPr="002F6665">
              <w:rPr>
                <w:rFonts w:ascii="Arial Narrow" w:hAnsi="Arial Narrow"/>
                <w:bCs/>
                <w:snapToGrid w:val="0"/>
                <w:sz w:val="20"/>
              </w:rPr>
              <w:t> g</w:t>
            </w:r>
            <w:r w:rsidRPr="002F6665">
              <w:rPr>
                <w:rFonts w:ascii="Arial Narrow" w:hAnsi="Arial Narrow"/>
                <w:bCs/>
                <w:snapToGrid w:val="0"/>
                <w:sz w:val="20"/>
              </w:rPr>
              <w:t xml:space="preserve"> (Repatriation Pharmaceutical Benefits).</w:t>
            </w:r>
          </w:p>
        </w:tc>
      </w:tr>
      <w:tr w:rsidR="00FE7043" w:rsidRPr="002F6665" w14:paraId="5D7BA04E" w14:textId="77777777" w:rsidTr="00D345A9">
        <w:tc>
          <w:tcPr>
            <w:tcW w:w="1838" w:type="dxa"/>
          </w:tcPr>
          <w:p w14:paraId="24D1DA7A" w14:textId="77777777" w:rsidR="00FE7043" w:rsidRPr="002F6665" w:rsidRDefault="00FE7043" w:rsidP="00D345A9">
            <w:pPr>
              <w:keepNext/>
              <w:jc w:val="left"/>
              <w:rPr>
                <w:rFonts w:ascii="Arial Narrow" w:hAnsi="Arial Narrow"/>
                <w:sz w:val="20"/>
                <w:szCs w:val="20"/>
              </w:rPr>
            </w:pPr>
            <w:r w:rsidRPr="002F6665">
              <w:rPr>
                <w:rFonts w:ascii="Arial Narrow" w:hAnsi="Arial Narrow"/>
                <w:sz w:val="20"/>
                <w:szCs w:val="20"/>
              </w:rPr>
              <w:t>Unit cost CPS</w:t>
            </w:r>
          </w:p>
        </w:tc>
        <w:tc>
          <w:tcPr>
            <w:tcW w:w="851" w:type="dxa"/>
          </w:tcPr>
          <w:p w14:paraId="21B7422E" w14:textId="77777777" w:rsidR="00FE7043" w:rsidRPr="003E2BEF" w:rsidRDefault="00FE7043" w:rsidP="00D345A9">
            <w:pPr>
              <w:keepNext/>
              <w:jc w:val="center"/>
              <w:rPr>
                <w:rFonts w:ascii="Arial Narrow" w:hAnsi="Arial Narrow"/>
                <w:sz w:val="20"/>
                <w:szCs w:val="20"/>
              </w:rPr>
            </w:pPr>
            <w:r w:rsidRPr="003E2BEF">
              <w:rPr>
                <w:rFonts w:ascii="Arial Narrow" w:hAnsi="Arial Narrow"/>
                <w:bCs/>
                <w:snapToGrid w:val="0"/>
                <w:sz w:val="20"/>
              </w:rPr>
              <w:t>$259.67</w:t>
            </w:r>
          </w:p>
        </w:tc>
        <w:tc>
          <w:tcPr>
            <w:tcW w:w="6328" w:type="dxa"/>
          </w:tcPr>
          <w:p w14:paraId="0E72999C" w14:textId="77777777" w:rsidR="00FE7043" w:rsidRPr="003E2BEF" w:rsidRDefault="00FE7043" w:rsidP="00D345A9">
            <w:pPr>
              <w:keepNext/>
              <w:jc w:val="left"/>
              <w:rPr>
                <w:rFonts w:ascii="Arial Narrow" w:hAnsi="Arial Narrow"/>
                <w:bCs/>
                <w:snapToGrid w:val="0"/>
                <w:sz w:val="20"/>
              </w:rPr>
            </w:pPr>
            <w:r w:rsidRPr="003E2BEF">
              <w:rPr>
                <w:rFonts w:ascii="Arial Narrow" w:hAnsi="Arial Narrow"/>
                <w:bCs/>
                <w:snapToGrid w:val="0"/>
                <w:sz w:val="20"/>
              </w:rPr>
              <w:t>Wholesaler price to pharmacy ($280.79) less 7.52% mark-up to derive ex-manufacturer price (based on sponsor-commissioned market data).</w:t>
            </w:r>
          </w:p>
        </w:tc>
      </w:tr>
      <w:tr w:rsidR="00FE7043" w:rsidRPr="002F6665" w14:paraId="6CF46B2D" w14:textId="77777777" w:rsidTr="00D345A9">
        <w:trPr>
          <w:trHeight w:val="371"/>
        </w:trPr>
        <w:tc>
          <w:tcPr>
            <w:tcW w:w="1838" w:type="dxa"/>
          </w:tcPr>
          <w:p w14:paraId="6AC1B7BC" w14:textId="77777777" w:rsidR="00FE7043" w:rsidRPr="002F6665" w:rsidRDefault="00FE7043" w:rsidP="00D345A9">
            <w:pPr>
              <w:keepNext/>
              <w:jc w:val="left"/>
              <w:rPr>
                <w:rFonts w:ascii="Arial Narrow" w:hAnsi="Arial Narrow"/>
                <w:sz w:val="20"/>
                <w:szCs w:val="20"/>
              </w:rPr>
            </w:pPr>
            <w:r w:rsidRPr="002F6665">
              <w:rPr>
                <w:rFonts w:ascii="Arial Narrow" w:hAnsi="Arial Narrow"/>
                <w:sz w:val="20"/>
                <w:szCs w:val="20"/>
              </w:rPr>
              <w:t>Average daily dose</w:t>
            </w:r>
          </w:p>
        </w:tc>
        <w:tc>
          <w:tcPr>
            <w:tcW w:w="851" w:type="dxa"/>
          </w:tcPr>
          <w:p w14:paraId="24B29A9D" w14:textId="53E3EFEC" w:rsidR="00FE7043" w:rsidRPr="003E2BEF" w:rsidRDefault="00FE7043" w:rsidP="00D345A9">
            <w:pPr>
              <w:keepNext/>
              <w:jc w:val="center"/>
              <w:rPr>
                <w:rFonts w:ascii="Arial Narrow" w:hAnsi="Arial Narrow"/>
                <w:bCs/>
                <w:snapToGrid w:val="0"/>
                <w:sz w:val="20"/>
              </w:rPr>
            </w:pPr>
            <w:r w:rsidRPr="003E2BEF">
              <w:rPr>
                <w:rFonts w:ascii="Arial Narrow" w:hAnsi="Arial Narrow"/>
                <w:bCs/>
                <w:snapToGrid w:val="0"/>
                <w:sz w:val="20"/>
              </w:rPr>
              <w:t>15</w:t>
            </w:r>
            <w:r w:rsidR="00126C75" w:rsidRPr="003E2BEF">
              <w:rPr>
                <w:rFonts w:ascii="Arial Narrow" w:hAnsi="Arial Narrow"/>
                <w:bCs/>
                <w:snapToGrid w:val="0"/>
                <w:sz w:val="20"/>
              </w:rPr>
              <w:t> g</w:t>
            </w:r>
          </w:p>
        </w:tc>
        <w:tc>
          <w:tcPr>
            <w:tcW w:w="6328" w:type="dxa"/>
          </w:tcPr>
          <w:p w14:paraId="72E2416A" w14:textId="1D3718AD" w:rsidR="00FE7043" w:rsidRPr="003E2BEF" w:rsidRDefault="00FE7043" w:rsidP="00D345A9">
            <w:pPr>
              <w:pStyle w:val="COMTabletext"/>
            </w:pPr>
            <w:r w:rsidRPr="003E2BEF">
              <w:rPr>
                <w:bCs w:val="0"/>
                <w:snapToGrid w:val="0"/>
              </w:rPr>
              <w:t>Average daily dose of 30</w:t>
            </w:r>
            <w:r w:rsidR="00126C75" w:rsidRPr="003E2BEF">
              <w:rPr>
                <w:bCs w:val="0"/>
                <w:snapToGrid w:val="0"/>
              </w:rPr>
              <w:t> g</w:t>
            </w:r>
            <w:r w:rsidRPr="003E2BEF">
              <w:t xml:space="preserve"> (KOL survey 2; median response to dose and frequency of SPS/CPS) × 5/7 days per week (stated source KOL survey 2, but it is unclear how this value was derived) × 70% adherence (KOL survey 2; median response to expected patiromer adherence if PBS-listed).</w:t>
            </w:r>
          </w:p>
        </w:tc>
      </w:tr>
      <w:tr w:rsidR="00FE7043" w:rsidRPr="002F6665" w14:paraId="2E81E325" w14:textId="77777777" w:rsidTr="00D345A9">
        <w:tc>
          <w:tcPr>
            <w:tcW w:w="1838" w:type="dxa"/>
          </w:tcPr>
          <w:p w14:paraId="77C09E4C" w14:textId="77777777" w:rsidR="00FE7043" w:rsidRPr="002F6665" w:rsidRDefault="00FE7043" w:rsidP="00D345A9">
            <w:pPr>
              <w:keepNext/>
              <w:jc w:val="left"/>
              <w:rPr>
                <w:rFonts w:ascii="Arial Narrow" w:hAnsi="Arial Narrow"/>
                <w:sz w:val="20"/>
                <w:szCs w:val="20"/>
              </w:rPr>
            </w:pPr>
            <w:r w:rsidRPr="002F6665">
              <w:rPr>
                <w:rFonts w:ascii="Arial Narrow" w:hAnsi="Arial Narrow"/>
                <w:sz w:val="20"/>
                <w:szCs w:val="20"/>
              </w:rPr>
              <w:t>Duration of treatment</w:t>
            </w:r>
          </w:p>
        </w:tc>
        <w:tc>
          <w:tcPr>
            <w:tcW w:w="851" w:type="dxa"/>
          </w:tcPr>
          <w:p w14:paraId="3385BAAD" w14:textId="77777777" w:rsidR="00FE7043" w:rsidRPr="002F6665" w:rsidRDefault="00FE7043" w:rsidP="00D345A9">
            <w:pPr>
              <w:keepNext/>
              <w:jc w:val="center"/>
              <w:rPr>
                <w:rFonts w:ascii="Arial Narrow" w:hAnsi="Arial Narrow"/>
                <w:bCs/>
                <w:snapToGrid w:val="0"/>
                <w:sz w:val="20"/>
              </w:rPr>
            </w:pPr>
            <w:r w:rsidRPr="002F6665">
              <w:rPr>
                <w:rFonts w:ascii="Arial Narrow" w:hAnsi="Arial Narrow"/>
                <w:bCs/>
                <w:snapToGrid w:val="0"/>
                <w:sz w:val="20"/>
              </w:rPr>
              <w:t>112 days</w:t>
            </w:r>
          </w:p>
        </w:tc>
        <w:tc>
          <w:tcPr>
            <w:tcW w:w="6328" w:type="dxa"/>
          </w:tcPr>
          <w:p w14:paraId="2C575C6F" w14:textId="77777777" w:rsidR="00FE7043" w:rsidRPr="002F6665" w:rsidRDefault="00FE7043" w:rsidP="00D345A9">
            <w:pPr>
              <w:pStyle w:val="COMTabletext"/>
            </w:pPr>
            <w:r w:rsidRPr="002F6665">
              <w:t>Based on KOL survey 2; median response to a</w:t>
            </w:r>
            <w:r w:rsidRPr="002F6665">
              <w:rPr>
                <w:szCs w:val="20"/>
              </w:rPr>
              <w:t>verage length of chronic SPS/CPS treatment for CKD 3/4 patients treated for hyperkalaemia.</w:t>
            </w:r>
          </w:p>
        </w:tc>
      </w:tr>
      <w:tr w:rsidR="00FE7043" w:rsidRPr="002F6665" w14:paraId="2AF36157" w14:textId="77777777" w:rsidTr="00D345A9">
        <w:tc>
          <w:tcPr>
            <w:tcW w:w="1838" w:type="dxa"/>
          </w:tcPr>
          <w:p w14:paraId="47F3CD98" w14:textId="77777777" w:rsidR="00FE7043" w:rsidRPr="002F6665" w:rsidRDefault="00FE7043" w:rsidP="00D345A9">
            <w:pPr>
              <w:keepNext/>
              <w:jc w:val="left"/>
              <w:rPr>
                <w:rFonts w:ascii="Arial Narrow" w:hAnsi="Arial Narrow"/>
                <w:sz w:val="20"/>
                <w:szCs w:val="20"/>
              </w:rPr>
            </w:pPr>
            <w:r w:rsidRPr="002F6665">
              <w:rPr>
                <w:rFonts w:ascii="Arial Narrow" w:hAnsi="Arial Narrow"/>
                <w:sz w:val="20"/>
                <w:szCs w:val="20"/>
              </w:rPr>
              <w:t>Total cost SPS</w:t>
            </w:r>
          </w:p>
        </w:tc>
        <w:tc>
          <w:tcPr>
            <w:tcW w:w="851" w:type="dxa"/>
          </w:tcPr>
          <w:p w14:paraId="6F23212C" w14:textId="77777777" w:rsidR="00FE7043" w:rsidRPr="002F6665" w:rsidRDefault="00FE7043" w:rsidP="00D345A9">
            <w:pPr>
              <w:keepNext/>
              <w:jc w:val="center"/>
              <w:rPr>
                <w:rFonts w:ascii="Arial Narrow" w:hAnsi="Arial Narrow"/>
                <w:bCs/>
                <w:snapToGrid w:val="0"/>
                <w:sz w:val="20"/>
              </w:rPr>
            </w:pPr>
            <w:r w:rsidRPr="002F6665">
              <w:rPr>
                <w:rFonts w:ascii="Arial Narrow" w:hAnsi="Arial Narrow"/>
                <w:sz w:val="20"/>
                <w:szCs w:val="20"/>
              </w:rPr>
              <w:t>$202.45</w:t>
            </w:r>
          </w:p>
        </w:tc>
        <w:tc>
          <w:tcPr>
            <w:tcW w:w="6328" w:type="dxa"/>
          </w:tcPr>
          <w:p w14:paraId="31BC96D6" w14:textId="536D3835" w:rsidR="00FE7043" w:rsidRPr="002F6665" w:rsidRDefault="00FE7043" w:rsidP="00D345A9">
            <w:pPr>
              <w:pStyle w:val="COMTabletext"/>
            </w:pPr>
            <w:r w:rsidRPr="002F6665">
              <w:rPr>
                <w:szCs w:val="20"/>
              </w:rPr>
              <w:t>$54.71 per pack × 1 pack (average daily dose of 21</w:t>
            </w:r>
            <w:r w:rsidR="00126C75" w:rsidRPr="002F6665">
              <w:rPr>
                <w:szCs w:val="20"/>
              </w:rPr>
              <w:t> g</w:t>
            </w:r>
            <w:r w:rsidRPr="002F6665">
              <w:rPr>
                <w:szCs w:val="20"/>
              </w:rPr>
              <w:t xml:space="preserve"> over 14 days results in 0.65 × 454</w:t>
            </w:r>
            <w:r w:rsidR="00126C75" w:rsidRPr="002F6665">
              <w:rPr>
                <w:szCs w:val="20"/>
              </w:rPr>
              <w:t> g</w:t>
            </w:r>
            <w:r w:rsidRPr="002F6665">
              <w:rPr>
                <w:szCs w:val="20"/>
              </w:rPr>
              <w:t xml:space="preserve"> SPS packs; assumes minimum packs=1).</w:t>
            </w:r>
          </w:p>
        </w:tc>
      </w:tr>
      <w:tr w:rsidR="00FE7043" w:rsidRPr="002F6665" w14:paraId="3C8BE9C1" w14:textId="77777777" w:rsidTr="00D345A9">
        <w:tc>
          <w:tcPr>
            <w:tcW w:w="1838" w:type="dxa"/>
          </w:tcPr>
          <w:p w14:paraId="55EA1907" w14:textId="77777777" w:rsidR="00FE7043" w:rsidRPr="002F6665" w:rsidRDefault="00FE7043" w:rsidP="00D345A9">
            <w:pPr>
              <w:keepNext/>
              <w:jc w:val="left"/>
              <w:rPr>
                <w:rFonts w:ascii="Arial Narrow" w:hAnsi="Arial Narrow"/>
                <w:sz w:val="20"/>
                <w:szCs w:val="20"/>
              </w:rPr>
            </w:pPr>
            <w:r w:rsidRPr="002F6665">
              <w:rPr>
                <w:rFonts w:ascii="Arial Narrow" w:hAnsi="Arial Narrow"/>
                <w:sz w:val="20"/>
                <w:szCs w:val="20"/>
              </w:rPr>
              <w:t>Total cost CPS</w:t>
            </w:r>
          </w:p>
        </w:tc>
        <w:tc>
          <w:tcPr>
            <w:tcW w:w="851" w:type="dxa"/>
          </w:tcPr>
          <w:p w14:paraId="10CEF3E4" w14:textId="77777777" w:rsidR="00FE7043" w:rsidRPr="002F6665" w:rsidRDefault="00FE7043" w:rsidP="00D345A9">
            <w:pPr>
              <w:keepNext/>
              <w:jc w:val="center"/>
              <w:rPr>
                <w:rFonts w:ascii="Arial Narrow" w:hAnsi="Arial Narrow"/>
                <w:bCs/>
                <w:snapToGrid w:val="0"/>
                <w:sz w:val="20"/>
              </w:rPr>
            </w:pPr>
            <w:r w:rsidRPr="002F6665">
              <w:rPr>
                <w:rFonts w:ascii="Arial Narrow" w:hAnsi="Arial Narrow"/>
                <w:bCs/>
                <w:snapToGrid w:val="0"/>
                <w:sz w:val="20"/>
              </w:rPr>
              <w:t>$1,454.15</w:t>
            </w:r>
          </w:p>
        </w:tc>
        <w:tc>
          <w:tcPr>
            <w:tcW w:w="6328" w:type="dxa"/>
          </w:tcPr>
          <w:p w14:paraId="6E6F3D34" w14:textId="50F63CFD" w:rsidR="00FE7043" w:rsidRPr="002F6665" w:rsidRDefault="00FE7043" w:rsidP="00D345A9">
            <w:pPr>
              <w:keepNext/>
              <w:jc w:val="left"/>
              <w:rPr>
                <w:rFonts w:ascii="Arial Narrow" w:hAnsi="Arial Narrow"/>
                <w:sz w:val="20"/>
                <w:szCs w:val="20"/>
              </w:rPr>
            </w:pPr>
            <w:r w:rsidRPr="002F6665">
              <w:rPr>
                <w:rFonts w:ascii="Arial Narrow" w:hAnsi="Arial Narrow"/>
                <w:sz w:val="20"/>
                <w:szCs w:val="20"/>
              </w:rPr>
              <w:t>$259.67 per pack × 1 pack (average daily dose of 21</w:t>
            </w:r>
            <w:r w:rsidR="00126C75" w:rsidRPr="002F6665">
              <w:rPr>
                <w:rFonts w:ascii="Arial Narrow" w:hAnsi="Arial Narrow"/>
                <w:sz w:val="20"/>
                <w:szCs w:val="20"/>
              </w:rPr>
              <w:t> g</w:t>
            </w:r>
            <w:r w:rsidRPr="002F6665">
              <w:rPr>
                <w:rFonts w:ascii="Arial Narrow" w:hAnsi="Arial Narrow"/>
                <w:sz w:val="20"/>
                <w:szCs w:val="20"/>
              </w:rPr>
              <w:t xml:space="preserve"> over 14 days results in 0.98 × 300</w:t>
            </w:r>
            <w:r w:rsidR="00126C75" w:rsidRPr="002F6665">
              <w:rPr>
                <w:rFonts w:ascii="Arial Narrow" w:hAnsi="Arial Narrow"/>
                <w:sz w:val="20"/>
                <w:szCs w:val="20"/>
              </w:rPr>
              <w:t> g</w:t>
            </w:r>
            <w:r w:rsidRPr="002F6665">
              <w:rPr>
                <w:rFonts w:ascii="Arial Narrow" w:hAnsi="Arial Narrow"/>
                <w:sz w:val="20"/>
                <w:szCs w:val="20"/>
              </w:rPr>
              <w:t xml:space="preserve"> CPS packs; assumes minimum packs = 1).</w:t>
            </w:r>
          </w:p>
        </w:tc>
      </w:tr>
      <w:tr w:rsidR="00FE7043" w:rsidRPr="002F6665" w14:paraId="1D647593" w14:textId="77777777" w:rsidTr="00D345A9">
        <w:tc>
          <w:tcPr>
            <w:tcW w:w="1838" w:type="dxa"/>
          </w:tcPr>
          <w:p w14:paraId="5E936050" w14:textId="77777777" w:rsidR="00FE7043" w:rsidRPr="002F6665" w:rsidRDefault="00FE7043" w:rsidP="00D345A9">
            <w:pPr>
              <w:keepNext/>
              <w:jc w:val="left"/>
              <w:rPr>
                <w:rFonts w:ascii="Arial Narrow" w:hAnsi="Arial Narrow"/>
                <w:sz w:val="20"/>
                <w:szCs w:val="20"/>
              </w:rPr>
            </w:pPr>
            <w:r w:rsidRPr="002F6665">
              <w:rPr>
                <w:rFonts w:ascii="Arial Narrow" w:hAnsi="Arial Narrow"/>
                <w:sz w:val="20"/>
                <w:szCs w:val="20"/>
              </w:rPr>
              <w:t>Weighted cost SPS/CPS</w:t>
            </w:r>
          </w:p>
        </w:tc>
        <w:tc>
          <w:tcPr>
            <w:tcW w:w="851" w:type="dxa"/>
          </w:tcPr>
          <w:p w14:paraId="56E2B6AD" w14:textId="28AC6D9E" w:rsidR="00FE7043" w:rsidRPr="002F6665" w:rsidRDefault="00FE7043" w:rsidP="00D345A9">
            <w:pPr>
              <w:keepNext/>
              <w:jc w:val="center"/>
              <w:rPr>
                <w:rFonts w:ascii="Arial Narrow" w:hAnsi="Arial Narrow"/>
                <w:snapToGrid w:val="0"/>
                <w:sz w:val="20"/>
              </w:rPr>
            </w:pPr>
            <w:r w:rsidRPr="002F6665">
              <w:rPr>
                <w:rFonts w:ascii="Arial Narrow" w:hAnsi="Arial Narrow"/>
                <w:snapToGrid w:val="0"/>
                <w:sz w:val="20"/>
              </w:rPr>
              <w:t>$</w:t>
            </w:r>
            <w:r w:rsidR="003E2BEF" w:rsidRPr="003E2BEF">
              <w:rPr>
                <w:rFonts w:ascii="Arial Narrow" w:hAnsi="Arial Narrow"/>
                <w:snapToGrid w:val="0"/>
                <w:color w:val="000000"/>
                <w:spacing w:val="191"/>
                <w:sz w:val="20"/>
                <w:shd w:val="solid" w:color="000000" w:fill="000000"/>
                <w:fitText w:val="277" w:id="-1304706547"/>
                <w14:textFill>
                  <w14:solidFill>
                    <w14:srgbClr w14:val="000000">
                      <w14:alpha w14:val="100000"/>
                    </w14:srgbClr>
                  </w14:solidFill>
                </w14:textFill>
              </w:rPr>
              <w:t>|</w:t>
            </w:r>
            <w:r w:rsidR="003E2BEF" w:rsidRPr="003E2BEF">
              <w:rPr>
                <w:rFonts w:ascii="Arial Narrow" w:hAnsi="Arial Narrow"/>
                <w:snapToGrid w:val="0"/>
                <w:color w:val="000000"/>
                <w:spacing w:val="1"/>
                <w:sz w:val="20"/>
                <w:shd w:val="solid" w:color="000000" w:fill="000000"/>
                <w:fitText w:val="277" w:id="-1304706547"/>
                <w14:textFill>
                  <w14:solidFill>
                    <w14:srgbClr w14:val="000000">
                      <w14:alpha w14:val="100000"/>
                    </w14:srgbClr>
                  </w14:solidFill>
                </w14:textFill>
              </w:rPr>
              <w:t>|</w:t>
            </w:r>
          </w:p>
        </w:tc>
        <w:tc>
          <w:tcPr>
            <w:tcW w:w="6328" w:type="dxa"/>
          </w:tcPr>
          <w:p w14:paraId="5286EDFA" w14:textId="49919FDF" w:rsidR="00FE7043" w:rsidRPr="002F6665" w:rsidRDefault="00FE7043" w:rsidP="00D345A9">
            <w:pPr>
              <w:pStyle w:val="COMTabletext"/>
            </w:pPr>
            <w:r w:rsidRPr="002F6665">
              <w:rPr>
                <w:szCs w:val="20"/>
              </w:rPr>
              <w:t>Weighted average cost of SPS (</w:t>
            </w:r>
            <w:r w:rsidR="003E2BEF" w:rsidRPr="003E2BEF">
              <w:rPr>
                <w:color w:val="000000"/>
                <w:spacing w:val="62"/>
                <w:szCs w:val="20"/>
                <w:shd w:val="solid" w:color="000000" w:fill="000000"/>
                <w:fitText w:val="357" w:id="-1304706546"/>
                <w14:textFill>
                  <w14:solidFill>
                    <w14:srgbClr w14:val="000000">
                      <w14:alpha w14:val="100000"/>
                    </w14:srgbClr>
                  </w14:solidFill>
                </w14:textFill>
              </w:rPr>
              <w:t>|||</w:t>
            </w:r>
            <w:r w:rsidR="003E2BEF" w:rsidRPr="003E2BEF">
              <w:rPr>
                <w:color w:val="000000"/>
                <w:spacing w:val="1"/>
                <w:szCs w:val="20"/>
                <w:shd w:val="solid" w:color="000000" w:fill="000000"/>
                <w:fitText w:val="357" w:id="-1304706546"/>
                <w14:textFill>
                  <w14:solidFill>
                    <w14:srgbClr w14:val="000000">
                      <w14:alpha w14:val="100000"/>
                    </w14:srgbClr>
                  </w14:solidFill>
                </w14:textFill>
              </w:rPr>
              <w:t>|</w:t>
            </w:r>
            <w:r w:rsidRPr="002F6665">
              <w:rPr>
                <w:szCs w:val="20"/>
              </w:rPr>
              <w:t>%×$54.71) and CPS (</w:t>
            </w:r>
            <w:r w:rsidR="003E2BEF" w:rsidRPr="003E2BEF">
              <w:rPr>
                <w:color w:val="000000"/>
                <w:spacing w:val="66"/>
                <w:szCs w:val="20"/>
                <w:shd w:val="solid" w:color="000000" w:fill="000000"/>
                <w:fitText w:val="369" w:id="-1304706545"/>
                <w14:textFill>
                  <w14:solidFill>
                    <w14:srgbClr w14:val="000000">
                      <w14:alpha w14:val="100000"/>
                    </w14:srgbClr>
                  </w14:solidFill>
                </w14:textFill>
              </w:rPr>
              <w:t>|||</w:t>
            </w:r>
            <w:r w:rsidR="003E2BEF" w:rsidRPr="003E2BEF">
              <w:rPr>
                <w:color w:val="000000"/>
                <w:spacing w:val="1"/>
                <w:szCs w:val="20"/>
                <w:shd w:val="solid" w:color="000000" w:fill="000000"/>
                <w:fitText w:val="369" w:id="-1304706545"/>
                <w14:textFill>
                  <w14:solidFill>
                    <w14:srgbClr w14:val="000000">
                      <w14:alpha w14:val="100000"/>
                    </w14:srgbClr>
                  </w14:solidFill>
                </w14:textFill>
              </w:rPr>
              <w:t>|</w:t>
            </w:r>
            <w:r w:rsidRPr="002F6665">
              <w:rPr>
                <w:szCs w:val="20"/>
              </w:rPr>
              <w:t>%×$259.67); with weights based on sponsor-commissioned market data (2021).</w:t>
            </w:r>
          </w:p>
        </w:tc>
      </w:tr>
      <w:tr w:rsidR="00FE7043" w:rsidRPr="002F6665" w14:paraId="2B800C2F" w14:textId="77777777" w:rsidTr="00D345A9">
        <w:tc>
          <w:tcPr>
            <w:tcW w:w="9017" w:type="dxa"/>
            <w:gridSpan w:val="3"/>
          </w:tcPr>
          <w:p w14:paraId="31FF5581" w14:textId="77777777" w:rsidR="00FE7043" w:rsidRPr="002F6665" w:rsidRDefault="00FE7043" w:rsidP="00D345A9">
            <w:pPr>
              <w:pStyle w:val="COMTabletext"/>
              <w:rPr>
                <w:b/>
                <w:bCs w:val="0"/>
                <w:smallCaps/>
                <w:szCs w:val="20"/>
              </w:rPr>
            </w:pPr>
            <w:r w:rsidRPr="002F6665">
              <w:rPr>
                <w:b/>
                <w:bCs w:val="0"/>
                <w:smallCaps/>
                <w:szCs w:val="20"/>
              </w:rPr>
              <w:t>Adverse event costs</w:t>
            </w:r>
          </w:p>
        </w:tc>
      </w:tr>
      <w:tr w:rsidR="00FE7043" w:rsidRPr="002F6665" w14:paraId="232B024F" w14:textId="77777777" w:rsidTr="00D345A9">
        <w:tc>
          <w:tcPr>
            <w:tcW w:w="1838" w:type="dxa"/>
          </w:tcPr>
          <w:p w14:paraId="6A602423" w14:textId="77777777" w:rsidR="00FE7043" w:rsidRPr="002F6665" w:rsidRDefault="00FE7043" w:rsidP="00D345A9">
            <w:pPr>
              <w:keepNext/>
              <w:jc w:val="left"/>
              <w:rPr>
                <w:rFonts w:ascii="Arial Narrow" w:hAnsi="Arial Narrow"/>
                <w:sz w:val="20"/>
                <w:szCs w:val="20"/>
              </w:rPr>
            </w:pPr>
            <w:r w:rsidRPr="002F6665">
              <w:rPr>
                <w:rFonts w:ascii="Arial Narrow" w:hAnsi="Arial Narrow"/>
                <w:sz w:val="20"/>
                <w:szCs w:val="20"/>
              </w:rPr>
              <w:t>Unit cost lactulose</w:t>
            </w:r>
          </w:p>
        </w:tc>
        <w:tc>
          <w:tcPr>
            <w:tcW w:w="851" w:type="dxa"/>
          </w:tcPr>
          <w:p w14:paraId="05575458" w14:textId="77777777" w:rsidR="00FE7043" w:rsidRPr="002F6665" w:rsidRDefault="00FE7043" w:rsidP="00D345A9">
            <w:pPr>
              <w:keepNext/>
              <w:jc w:val="center"/>
              <w:rPr>
                <w:rFonts w:ascii="Arial Narrow" w:hAnsi="Arial Narrow"/>
                <w:sz w:val="20"/>
                <w:szCs w:val="20"/>
              </w:rPr>
            </w:pPr>
            <w:r w:rsidRPr="002F6665">
              <w:rPr>
                <w:rFonts w:ascii="Arial Narrow" w:hAnsi="Arial Narrow"/>
                <w:sz w:val="20"/>
                <w:szCs w:val="20"/>
              </w:rPr>
              <w:t>$9.50</w:t>
            </w:r>
          </w:p>
        </w:tc>
        <w:tc>
          <w:tcPr>
            <w:tcW w:w="6328" w:type="dxa"/>
          </w:tcPr>
          <w:p w14:paraId="024B7097" w14:textId="68CC6ED4" w:rsidR="00FE7043" w:rsidRPr="002F6665" w:rsidRDefault="00FE7043" w:rsidP="00D345A9">
            <w:pPr>
              <w:keepNext/>
              <w:jc w:val="left"/>
              <w:rPr>
                <w:rFonts w:ascii="Arial Narrow" w:hAnsi="Arial Narrow"/>
                <w:sz w:val="20"/>
                <w:szCs w:val="20"/>
              </w:rPr>
            </w:pPr>
            <w:r w:rsidRPr="002F6665">
              <w:rPr>
                <w:rFonts w:ascii="Arial Narrow" w:hAnsi="Arial Narrow"/>
                <w:bCs/>
                <w:snapToGrid w:val="0"/>
                <w:sz w:val="20"/>
              </w:rPr>
              <w:t>Price for Actilax l</w:t>
            </w:r>
            <w:r w:rsidRPr="002F6665">
              <w:rPr>
                <w:rFonts w:ascii="Arial Narrow" w:hAnsi="Arial Narrow"/>
                <w:bCs/>
                <w:snapToGrid w:val="0"/>
                <w:sz w:val="20"/>
                <w:szCs w:val="22"/>
                <w:lang w:eastAsia="en-US"/>
              </w:rPr>
              <w:t xml:space="preserve">actulose </w:t>
            </w:r>
            <w:r w:rsidRPr="002F6665">
              <w:rPr>
                <w:rFonts w:ascii="Arial Narrow" w:hAnsi="Arial Narrow"/>
                <w:bCs/>
                <w:snapToGrid w:val="0"/>
                <w:sz w:val="20"/>
              </w:rPr>
              <w:t>solution 500</w:t>
            </w:r>
            <w:r w:rsidR="00126C75" w:rsidRPr="002F6665">
              <w:rPr>
                <w:rFonts w:ascii="Arial Narrow" w:hAnsi="Arial Narrow"/>
                <w:bCs/>
                <w:snapToGrid w:val="0"/>
                <w:sz w:val="20"/>
              </w:rPr>
              <w:t> mL</w:t>
            </w:r>
            <w:r w:rsidRPr="002F6665">
              <w:rPr>
                <w:rFonts w:ascii="Arial Narrow" w:hAnsi="Arial Narrow"/>
                <w:bCs/>
                <w:snapToGrid w:val="0"/>
                <w:sz w:val="20"/>
              </w:rPr>
              <w:t xml:space="preserve"> from online pharmacy.</w:t>
            </w:r>
          </w:p>
        </w:tc>
      </w:tr>
      <w:tr w:rsidR="00FE7043" w:rsidRPr="002F6665" w14:paraId="5DCB5090" w14:textId="77777777" w:rsidTr="00D345A9">
        <w:tc>
          <w:tcPr>
            <w:tcW w:w="1838" w:type="dxa"/>
          </w:tcPr>
          <w:p w14:paraId="4404660C" w14:textId="77777777" w:rsidR="00FE7043" w:rsidRPr="002F6665" w:rsidRDefault="00FE7043" w:rsidP="00D345A9">
            <w:pPr>
              <w:keepNext/>
              <w:jc w:val="left"/>
              <w:rPr>
                <w:rFonts w:ascii="Arial Narrow" w:hAnsi="Arial Narrow"/>
                <w:sz w:val="20"/>
                <w:szCs w:val="20"/>
              </w:rPr>
            </w:pPr>
            <w:r w:rsidRPr="002F6665">
              <w:rPr>
                <w:rFonts w:ascii="Arial Narrow" w:hAnsi="Arial Narrow"/>
                <w:sz w:val="20"/>
                <w:szCs w:val="20"/>
              </w:rPr>
              <w:t>Proportion of patients</w:t>
            </w:r>
          </w:p>
        </w:tc>
        <w:tc>
          <w:tcPr>
            <w:tcW w:w="851" w:type="dxa"/>
          </w:tcPr>
          <w:p w14:paraId="77CBA090" w14:textId="77777777" w:rsidR="00FE7043" w:rsidRPr="002F6665" w:rsidRDefault="00FE7043" w:rsidP="00D345A9">
            <w:pPr>
              <w:keepNext/>
              <w:jc w:val="center"/>
              <w:rPr>
                <w:rFonts w:ascii="Arial Narrow" w:hAnsi="Arial Narrow"/>
                <w:sz w:val="20"/>
                <w:szCs w:val="20"/>
              </w:rPr>
            </w:pPr>
            <w:r w:rsidRPr="002F6665">
              <w:rPr>
                <w:rFonts w:ascii="Arial Narrow" w:hAnsi="Arial Narrow"/>
                <w:sz w:val="20"/>
                <w:szCs w:val="20"/>
              </w:rPr>
              <w:t>23%</w:t>
            </w:r>
          </w:p>
        </w:tc>
        <w:tc>
          <w:tcPr>
            <w:tcW w:w="6328" w:type="dxa"/>
          </w:tcPr>
          <w:p w14:paraId="59DBBC15" w14:textId="77777777" w:rsidR="00FE7043" w:rsidRPr="002F6665" w:rsidRDefault="00FE7043" w:rsidP="00D345A9">
            <w:pPr>
              <w:keepNext/>
              <w:jc w:val="left"/>
              <w:rPr>
                <w:rFonts w:ascii="Arial Narrow" w:hAnsi="Arial Narrow"/>
                <w:bCs/>
                <w:snapToGrid w:val="0"/>
                <w:sz w:val="20"/>
              </w:rPr>
            </w:pPr>
            <w:r w:rsidRPr="002F6665">
              <w:rPr>
                <w:rFonts w:ascii="Arial Narrow" w:hAnsi="Arial Narrow"/>
                <w:bCs/>
                <w:snapToGrid w:val="0"/>
                <w:sz w:val="20"/>
              </w:rPr>
              <w:t>Based on KOL survey 2; proportion of clinicians reporting use of laxatives alongside SPS/</w:t>
            </w:r>
            <w:r w:rsidRPr="003E2BEF">
              <w:rPr>
                <w:rFonts w:ascii="Arial Narrow" w:hAnsi="Arial Narrow"/>
                <w:bCs/>
                <w:snapToGrid w:val="0"/>
                <w:sz w:val="20"/>
              </w:rPr>
              <w:t>CPS (=5/22). From the clinician survey, only 4 clinicians (18%) reported use of laxatives.</w:t>
            </w:r>
          </w:p>
        </w:tc>
      </w:tr>
      <w:tr w:rsidR="00FE7043" w:rsidRPr="002F6665" w14:paraId="2C6368C3" w14:textId="77777777" w:rsidTr="00D345A9">
        <w:tc>
          <w:tcPr>
            <w:tcW w:w="1838" w:type="dxa"/>
          </w:tcPr>
          <w:p w14:paraId="5BDE8378" w14:textId="77777777" w:rsidR="00FE7043" w:rsidRPr="002F6665" w:rsidRDefault="00FE7043" w:rsidP="00D345A9">
            <w:pPr>
              <w:keepNext/>
              <w:jc w:val="left"/>
              <w:rPr>
                <w:rFonts w:ascii="Arial Narrow" w:hAnsi="Arial Narrow"/>
                <w:sz w:val="20"/>
                <w:szCs w:val="20"/>
              </w:rPr>
            </w:pPr>
            <w:r w:rsidRPr="002F6665">
              <w:rPr>
                <w:rFonts w:ascii="Arial Narrow" w:hAnsi="Arial Narrow"/>
                <w:sz w:val="20"/>
                <w:szCs w:val="20"/>
              </w:rPr>
              <w:t>Total cost constipation treatment</w:t>
            </w:r>
          </w:p>
        </w:tc>
        <w:tc>
          <w:tcPr>
            <w:tcW w:w="851" w:type="dxa"/>
          </w:tcPr>
          <w:p w14:paraId="026686A9" w14:textId="77777777" w:rsidR="00FE7043" w:rsidRPr="002F6665" w:rsidRDefault="00FE7043" w:rsidP="00D345A9">
            <w:pPr>
              <w:keepNext/>
              <w:jc w:val="center"/>
              <w:rPr>
                <w:rFonts w:ascii="Arial Narrow" w:hAnsi="Arial Narrow"/>
                <w:sz w:val="20"/>
                <w:szCs w:val="20"/>
              </w:rPr>
            </w:pPr>
            <w:r w:rsidRPr="002F6665">
              <w:rPr>
                <w:rFonts w:ascii="Arial Narrow" w:hAnsi="Arial Narrow"/>
                <w:sz w:val="20"/>
                <w:szCs w:val="20"/>
              </w:rPr>
              <w:t>$9.79</w:t>
            </w:r>
          </w:p>
        </w:tc>
        <w:tc>
          <w:tcPr>
            <w:tcW w:w="6328" w:type="dxa"/>
          </w:tcPr>
          <w:p w14:paraId="3248C2BC" w14:textId="1428602C" w:rsidR="00FE7043" w:rsidRPr="002F6665" w:rsidRDefault="00FE7043" w:rsidP="00D345A9">
            <w:pPr>
              <w:keepNext/>
              <w:jc w:val="left"/>
              <w:rPr>
                <w:rFonts w:ascii="Arial Narrow" w:hAnsi="Arial Narrow"/>
                <w:sz w:val="20"/>
                <w:szCs w:val="20"/>
              </w:rPr>
            </w:pPr>
            <w:r w:rsidRPr="002F6665">
              <w:rPr>
                <w:rFonts w:ascii="Arial Narrow" w:hAnsi="Arial Narrow"/>
                <w:sz w:val="20"/>
                <w:szCs w:val="20"/>
              </w:rPr>
              <w:t>$9.50 per 500</w:t>
            </w:r>
            <w:r w:rsidR="00126C75" w:rsidRPr="002F6665">
              <w:rPr>
                <w:rFonts w:ascii="Arial Narrow" w:hAnsi="Arial Narrow"/>
                <w:sz w:val="20"/>
                <w:szCs w:val="20"/>
              </w:rPr>
              <w:t> mg</w:t>
            </w:r>
            <w:r w:rsidRPr="002F6665">
              <w:rPr>
                <w:rFonts w:ascii="Arial Narrow" w:hAnsi="Arial Narrow"/>
                <w:sz w:val="20"/>
                <w:szCs w:val="20"/>
              </w:rPr>
              <w:t xml:space="preserve"> bottle × 4.48 bottles (20</w:t>
            </w:r>
            <w:r w:rsidR="00126C75" w:rsidRPr="002F6665">
              <w:rPr>
                <w:rFonts w:ascii="Arial Narrow" w:hAnsi="Arial Narrow"/>
                <w:sz w:val="20"/>
                <w:szCs w:val="20"/>
              </w:rPr>
              <w:t> mg</w:t>
            </w:r>
            <w:r w:rsidRPr="002F6665">
              <w:rPr>
                <w:rFonts w:ascii="Arial Narrow" w:hAnsi="Arial Narrow"/>
                <w:sz w:val="20"/>
                <w:szCs w:val="20"/>
              </w:rPr>
              <w:t>/day</w:t>
            </w:r>
            <w:r w:rsidRPr="002F6665">
              <w:rPr>
                <w:rFonts w:ascii="Arial Narrow" w:hAnsi="Arial Narrow"/>
                <w:sz w:val="20"/>
                <w:szCs w:val="20"/>
                <w:vertAlign w:val="superscript"/>
              </w:rPr>
              <w:t>a</w:t>
            </w:r>
            <w:r w:rsidRPr="002F6665">
              <w:rPr>
                <w:rFonts w:ascii="Arial Narrow" w:hAnsi="Arial Narrow"/>
                <w:sz w:val="20"/>
                <w:szCs w:val="20"/>
              </w:rPr>
              <w:t xml:space="preserve"> over 112 days) × 23% of patients.</w:t>
            </w:r>
          </w:p>
        </w:tc>
      </w:tr>
      <w:tr w:rsidR="00FE7043" w:rsidRPr="002F6665" w14:paraId="247BB366" w14:textId="77777777" w:rsidTr="00D345A9">
        <w:tc>
          <w:tcPr>
            <w:tcW w:w="1838" w:type="dxa"/>
          </w:tcPr>
          <w:p w14:paraId="7CB6CFBC" w14:textId="77777777" w:rsidR="00FE7043" w:rsidRPr="002F6665" w:rsidRDefault="00FE7043" w:rsidP="00D345A9">
            <w:pPr>
              <w:keepNext/>
              <w:jc w:val="left"/>
              <w:rPr>
                <w:rFonts w:ascii="Arial Narrow" w:hAnsi="Arial Narrow"/>
                <w:sz w:val="20"/>
                <w:szCs w:val="20"/>
              </w:rPr>
            </w:pPr>
            <w:r w:rsidRPr="002F6665">
              <w:rPr>
                <w:rFonts w:ascii="Arial Narrow" w:hAnsi="Arial Narrow"/>
                <w:sz w:val="20"/>
                <w:szCs w:val="20"/>
              </w:rPr>
              <w:t>Unit cost serious GI adverse events</w:t>
            </w:r>
          </w:p>
        </w:tc>
        <w:tc>
          <w:tcPr>
            <w:tcW w:w="851" w:type="dxa"/>
          </w:tcPr>
          <w:p w14:paraId="0C4C69C5" w14:textId="77777777" w:rsidR="00FE7043" w:rsidRPr="002F6665" w:rsidRDefault="00FE7043" w:rsidP="00D345A9">
            <w:pPr>
              <w:keepNext/>
              <w:jc w:val="left"/>
              <w:rPr>
                <w:rFonts w:ascii="Arial Narrow" w:hAnsi="Arial Narrow"/>
                <w:sz w:val="20"/>
                <w:szCs w:val="20"/>
              </w:rPr>
            </w:pPr>
            <w:r w:rsidRPr="002F6665">
              <w:rPr>
                <w:rFonts w:ascii="Arial Narrow" w:hAnsi="Arial Narrow"/>
                <w:bCs/>
                <w:snapToGrid w:val="0"/>
                <w:sz w:val="20"/>
              </w:rPr>
              <w:t>$3,009.81</w:t>
            </w:r>
          </w:p>
        </w:tc>
        <w:tc>
          <w:tcPr>
            <w:tcW w:w="6328" w:type="dxa"/>
            <w:vAlign w:val="center"/>
          </w:tcPr>
          <w:p w14:paraId="6A825174" w14:textId="516AFFA6" w:rsidR="00FE7043" w:rsidRPr="00D0477A" w:rsidRDefault="00FE7043" w:rsidP="00D345A9">
            <w:pPr>
              <w:keepNext/>
              <w:jc w:val="left"/>
              <w:rPr>
                <w:rFonts w:ascii="Arial Narrow" w:hAnsi="Arial Narrow"/>
                <w:i/>
                <w:iCs/>
                <w:sz w:val="20"/>
                <w:szCs w:val="20"/>
              </w:rPr>
            </w:pPr>
            <w:r w:rsidRPr="002F6665">
              <w:rPr>
                <w:rFonts w:ascii="Arial Narrow" w:hAnsi="Arial Narrow"/>
                <w:bCs/>
                <w:snapToGrid w:val="0"/>
                <w:sz w:val="20"/>
                <w:szCs w:val="22"/>
                <w:lang w:eastAsia="en-US"/>
              </w:rPr>
              <w:t>Weighted average of AR-DRG G70A (other digestive system disorders, major complexity</w:t>
            </w:r>
            <w:r w:rsidRPr="002F6665">
              <w:rPr>
                <w:rFonts w:ascii="Arial Narrow" w:hAnsi="Arial Narrow"/>
                <w:bCs/>
                <w:snapToGrid w:val="0"/>
                <w:sz w:val="20"/>
              </w:rPr>
              <w:t>; $8,732; 14,077 separations),</w:t>
            </w:r>
            <w:r w:rsidRPr="002F6665">
              <w:rPr>
                <w:rFonts w:ascii="Arial Narrow" w:hAnsi="Arial Narrow"/>
                <w:bCs/>
                <w:snapToGrid w:val="0"/>
                <w:sz w:val="20"/>
                <w:szCs w:val="22"/>
                <w:lang w:eastAsia="en-US"/>
              </w:rPr>
              <w:t xml:space="preserve"> AR-DRG G70B (other digestive system disorders, intermediate; </w:t>
            </w:r>
            <w:r w:rsidRPr="002F6665">
              <w:rPr>
                <w:rFonts w:ascii="Arial Narrow" w:hAnsi="Arial Narrow"/>
                <w:bCs/>
                <w:snapToGrid w:val="0"/>
                <w:sz w:val="20"/>
              </w:rPr>
              <w:t xml:space="preserve">$3,494; 31,553 separations), and </w:t>
            </w:r>
            <w:r w:rsidRPr="002F6665">
              <w:rPr>
                <w:rFonts w:ascii="Arial Narrow" w:hAnsi="Arial Narrow"/>
                <w:bCs/>
                <w:snapToGrid w:val="0"/>
                <w:sz w:val="20"/>
                <w:szCs w:val="22"/>
                <w:lang w:eastAsia="en-US"/>
              </w:rPr>
              <w:t>AR-DRG G70C (other digestive system disorders, minor complexity</w:t>
            </w:r>
            <w:r w:rsidRPr="002F6665">
              <w:rPr>
                <w:rFonts w:ascii="Arial Narrow" w:hAnsi="Arial Narrow"/>
                <w:bCs/>
                <w:snapToGrid w:val="0"/>
                <w:sz w:val="20"/>
              </w:rPr>
              <w:t xml:space="preserve"> $1,542</w:t>
            </w:r>
            <w:r w:rsidRPr="002F6665">
              <w:rPr>
                <w:rFonts w:ascii="Arial Narrow" w:hAnsi="Arial Narrow"/>
                <w:bCs/>
                <w:snapToGrid w:val="0"/>
                <w:sz w:val="20"/>
                <w:szCs w:val="22"/>
                <w:lang w:eastAsia="en-US"/>
              </w:rPr>
              <w:t xml:space="preserve">; </w:t>
            </w:r>
            <w:r w:rsidRPr="002F6665">
              <w:rPr>
                <w:rFonts w:ascii="Arial Narrow" w:hAnsi="Arial Narrow"/>
                <w:bCs/>
                <w:snapToGrid w:val="0"/>
                <w:sz w:val="20"/>
              </w:rPr>
              <w:t xml:space="preserve">665,261 separations); </w:t>
            </w:r>
            <w:r w:rsidRPr="002F6665">
              <w:rPr>
                <w:rFonts w:ascii="Arial Narrow" w:hAnsi="Arial Narrow"/>
                <w:bCs/>
                <w:snapToGrid w:val="0"/>
                <w:sz w:val="20"/>
                <w:szCs w:val="22"/>
                <w:lang w:eastAsia="en-US"/>
              </w:rPr>
              <w:t xml:space="preserve">weighted by number of </w:t>
            </w:r>
            <w:r w:rsidRPr="001C6D85">
              <w:rPr>
                <w:rFonts w:ascii="Arial Narrow" w:hAnsi="Arial Narrow"/>
                <w:bCs/>
                <w:snapToGrid w:val="0"/>
                <w:sz w:val="20"/>
                <w:szCs w:val="22"/>
                <w:lang w:eastAsia="en-US"/>
              </w:rPr>
              <w:t xml:space="preserve">separations </w:t>
            </w:r>
            <w:r w:rsidRPr="001C6D85">
              <w:rPr>
                <w:rFonts w:ascii="Arial Narrow" w:hAnsi="Arial Narrow"/>
                <w:bCs/>
                <w:snapToGrid w:val="0"/>
                <w:sz w:val="20"/>
              </w:rPr>
              <w:t>(</w:t>
            </w:r>
            <w:r w:rsidRPr="001C6D85">
              <w:rPr>
                <w:rFonts w:ascii="Arial Narrow" w:hAnsi="Arial Narrow"/>
                <w:bCs/>
                <w:snapToGrid w:val="0"/>
                <w:sz w:val="20"/>
                <w:szCs w:val="22"/>
                <w:lang w:eastAsia="en-US"/>
              </w:rPr>
              <w:t>NHCDC Round 23 2018-2019).</w:t>
            </w:r>
            <w:r w:rsidR="001F61BF" w:rsidRPr="001C6D85">
              <w:rPr>
                <w:rFonts w:ascii="Arial Narrow" w:hAnsi="Arial Narrow"/>
                <w:bCs/>
                <w:snapToGrid w:val="0"/>
                <w:sz w:val="20"/>
                <w:szCs w:val="22"/>
                <w:lang w:eastAsia="en-US"/>
              </w:rPr>
              <w:t xml:space="preserve"> This was removed in the PSCR.</w:t>
            </w:r>
            <w:r w:rsidR="001F61BF">
              <w:rPr>
                <w:rFonts w:ascii="Arial Narrow" w:hAnsi="Arial Narrow"/>
                <w:bCs/>
                <w:i/>
                <w:iCs/>
                <w:snapToGrid w:val="0"/>
                <w:sz w:val="20"/>
                <w:szCs w:val="22"/>
                <w:lang w:eastAsia="en-US"/>
              </w:rPr>
              <w:t xml:space="preserve"> </w:t>
            </w:r>
          </w:p>
        </w:tc>
      </w:tr>
      <w:tr w:rsidR="00FE7043" w:rsidRPr="002F6665" w14:paraId="687B30E7" w14:textId="77777777" w:rsidTr="00D345A9">
        <w:tc>
          <w:tcPr>
            <w:tcW w:w="1838" w:type="dxa"/>
          </w:tcPr>
          <w:p w14:paraId="389E04E1" w14:textId="77777777" w:rsidR="00FE7043" w:rsidRPr="002F6665" w:rsidRDefault="00FE7043" w:rsidP="00D345A9">
            <w:pPr>
              <w:keepNext/>
              <w:jc w:val="left"/>
              <w:rPr>
                <w:rFonts w:ascii="Arial Narrow" w:hAnsi="Arial Narrow"/>
                <w:sz w:val="20"/>
                <w:szCs w:val="20"/>
              </w:rPr>
            </w:pPr>
            <w:r w:rsidRPr="002F6665">
              <w:rPr>
                <w:rFonts w:ascii="Arial Narrow" w:hAnsi="Arial Narrow"/>
                <w:sz w:val="20"/>
                <w:szCs w:val="20"/>
              </w:rPr>
              <w:t>Total cost serious GI adverse events</w:t>
            </w:r>
          </w:p>
        </w:tc>
        <w:tc>
          <w:tcPr>
            <w:tcW w:w="851" w:type="dxa"/>
          </w:tcPr>
          <w:p w14:paraId="212E07C1" w14:textId="77777777" w:rsidR="00FE7043" w:rsidRPr="002F6665" w:rsidRDefault="00FE7043" w:rsidP="00D345A9">
            <w:pPr>
              <w:keepNext/>
              <w:jc w:val="center"/>
              <w:rPr>
                <w:rFonts w:ascii="Arial Narrow" w:hAnsi="Arial Narrow"/>
                <w:sz w:val="20"/>
                <w:szCs w:val="20"/>
              </w:rPr>
            </w:pPr>
            <w:r w:rsidRPr="002F6665">
              <w:rPr>
                <w:rFonts w:ascii="Arial Narrow" w:hAnsi="Arial Narrow"/>
                <w:sz w:val="20"/>
                <w:szCs w:val="20"/>
              </w:rPr>
              <w:t>$9.24</w:t>
            </w:r>
          </w:p>
        </w:tc>
        <w:tc>
          <w:tcPr>
            <w:tcW w:w="6328" w:type="dxa"/>
          </w:tcPr>
          <w:p w14:paraId="7DEC2CAF" w14:textId="006D8051" w:rsidR="00FE7043" w:rsidRPr="002F6665" w:rsidRDefault="00FE7043" w:rsidP="00D345A9">
            <w:pPr>
              <w:keepNext/>
              <w:jc w:val="left"/>
              <w:rPr>
                <w:rFonts w:ascii="Arial Narrow" w:hAnsi="Arial Narrow"/>
                <w:sz w:val="20"/>
                <w:szCs w:val="20"/>
              </w:rPr>
            </w:pPr>
            <w:r w:rsidRPr="002F6665">
              <w:rPr>
                <w:rFonts w:ascii="Arial Narrow" w:hAnsi="Arial Narrow"/>
                <w:sz w:val="20"/>
                <w:szCs w:val="20"/>
              </w:rPr>
              <w:t>Cost of GI hospitalisation ($3,009.81) × incremental rate of serious GI adverse events (0.01 per patient year) for SPS/CPS versus patiromer from naïve comparison; adjusted for duration of chronic use (112/365 days).</w:t>
            </w:r>
            <w:r w:rsidR="001F61BF">
              <w:rPr>
                <w:rFonts w:ascii="Arial Narrow" w:hAnsi="Arial Narrow"/>
                <w:sz w:val="20"/>
                <w:szCs w:val="20"/>
              </w:rPr>
              <w:t xml:space="preserve"> </w:t>
            </w:r>
            <w:r w:rsidR="001F61BF" w:rsidRPr="003636FD">
              <w:rPr>
                <w:rFonts w:ascii="Arial Narrow" w:hAnsi="Arial Narrow"/>
                <w:bCs/>
                <w:snapToGrid w:val="0"/>
                <w:sz w:val="20"/>
                <w:szCs w:val="22"/>
                <w:lang w:eastAsia="en-US"/>
              </w:rPr>
              <w:t>This was removed in the PSCR.</w:t>
            </w:r>
          </w:p>
        </w:tc>
      </w:tr>
      <w:tr w:rsidR="00FE7043" w:rsidRPr="002F6665" w14:paraId="1BB03896" w14:textId="77777777" w:rsidTr="00D345A9">
        <w:tc>
          <w:tcPr>
            <w:tcW w:w="1838" w:type="dxa"/>
          </w:tcPr>
          <w:p w14:paraId="59100D85" w14:textId="77777777" w:rsidR="00FE7043" w:rsidRPr="002F6665" w:rsidRDefault="00FE7043" w:rsidP="00D345A9">
            <w:pPr>
              <w:keepNext/>
              <w:jc w:val="left"/>
              <w:rPr>
                <w:rFonts w:ascii="Arial Narrow" w:hAnsi="Arial Narrow"/>
                <w:sz w:val="20"/>
                <w:szCs w:val="20"/>
              </w:rPr>
            </w:pPr>
            <w:r w:rsidRPr="002F6665">
              <w:rPr>
                <w:rFonts w:ascii="Arial Narrow" w:hAnsi="Arial Narrow"/>
                <w:sz w:val="20"/>
                <w:szCs w:val="20"/>
              </w:rPr>
              <w:t>Total adverse event cost</w:t>
            </w:r>
          </w:p>
        </w:tc>
        <w:tc>
          <w:tcPr>
            <w:tcW w:w="851" w:type="dxa"/>
          </w:tcPr>
          <w:p w14:paraId="57E38DF8" w14:textId="77777777" w:rsidR="00FE7043" w:rsidRPr="002F6665" w:rsidRDefault="00FE7043" w:rsidP="00D345A9">
            <w:pPr>
              <w:keepNext/>
              <w:jc w:val="center"/>
              <w:rPr>
                <w:rFonts w:ascii="Arial Narrow" w:hAnsi="Arial Narrow"/>
                <w:sz w:val="20"/>
                <w:szCs w:val="20"/>
              </w:rPr>
            </w:pPr>
            <w:r w:rsidRPr="002F6665">
              <w:rPr>
                <w:rFonts w:ascii="Arial Narrow" w:hAnsi="Arial Narrow"/>
                <w:sz w:val="20"/>
                <w:szCs w:val="20"/>
              </w:rPr>
              <w:t>$19.02</w:t>
            </w:r>
          </w:p>
        </w:tc>
        <w:tc>
          <w:tcPr>
            <w:tcW w:w="6328" w:type="dxa"/>
          </w:tcPr>
          <w:p w14:paraId="4FCA3716" w14:textId="77777777" w:rsidR="00FE7043" w:rsidRPr="002F6665" w:rsidRDefault="00FE7043" w:rsidP="00D345A9">
            <w:pPr>
              <w:keepNext/>
              <w:jc w:val="left"/>
              <w:rPr>
                <w:rFonts w:ascii="Arial Narrow" w:hAnsi="Arial Narrow"/>
                <w:sz w:val="20"/>
                <w:szCs w:val="20"/>
              </w:rPr>
            </w:pPr>
            <w:r w:rsidRPr="002F6665">
              <w:rPr>
                <w:rFonts w:ascii="Arial Narrow" w:hAnsi="Arial Narrow"/>
                <w:sz w:val="20"/>
                <w:szCs w:val="20"/>
              </w:rPr>
              <w:t>Cost of constipation treatment ($9.79) plus cost of serious GI adverse events ($9.24).</w:t>
            </w:r>
          </w:p>
        </w:tc>
      </w:tr>
      <w:tr w:rsidR="00FE7043" w:rsidRPr="002F6665" w14:paraId="4A9F7F90" w14:textId="77777777" w:rsidTr="00D345A9">
        <w:tc>
          <w:tcPr>
            <w:tcW w:w="1838" w:type="dxa"/>
          </w:tcPr>
          <w:p w14:paraId="5277940E" w14:textId="77777777" w:rsidR="00FE7043" w:rsidRPr="002F6665" w:rsidRDefault="00FE7043" w:rsidP="00D345A9">
            <w:pPr>
              <w:keepNext/>
              <w:jc w:val="left"/>
              <w:rPr>
                <w:rFonts w:ascii="Arial Narrow" w:hAnsi="Arial Narrow"/>
                <w:b/>
                <w:bCs/>
                <w:sz w:val="20"/>
                <w:szCs w:val="20"/>
              </w:rPr>
            </w:pPr>
            <w:r w:rsidRPr="002F6665">
              <w:rPr>
                <w:rFonts w:ascii="Arial Narrow" w:hAnsi="Arial Narrow"/>
                <w:b/>
                <w:bCs/>
                <w:sz w:val="20"/>
                <w:szCs w:val="20"/>
              </w:rPr>
              <w:t>Total cost</w:t>
            </w:r>
          </w:p>
        </w:tc>
        <w:tc>
          <w:tcPr>
            <w:tcW w:w="851" w:type="dxa"/>
          </w:tcPr>
          <w:p w14:paraId="5077B474" w14:textId="45B65785" w:rsidR="00FE7043" w:rsidRPr="002F6665" w:rsidRDefault="00FE7043" w:rsidP="00D345A9">
            <w:pPr>
              <w:keepNext/>
              <w:jc w:val="center"/>
              <w:rPr>
                <w:rFonts w:ascii="Arial Narrow" w:hAnsi="Arial Narrow"/>
                <w:b/>
                <w:bCs/>
                <w:sz w:val="20"/>
                <w:szCs w:val="20"/>
              </w:rPr>
            </w:pPr>
            <w:r w:rsidRPr="002F6665">
              <w:rPr>
                <w:rFonts w:ascii="Arial Narrow" w:hAnsi="Arial Narrow"/>
                <w:b/>
                <w:bCs/>
                <w:sz w:val="20"/>
                <w:szCs w:val="20"/>
              </w:rPr>
              <w:t>$</w:t>
            </w:r>
            <w:r w:rsidR="003E2BEF" w:rsidRPr="003E2BEF">
              <w:rPr>
                <w:rFonts w:ascii="Arial Narrow" w:hAnsi="Arial Narrow"/>
                <w:b/>
                <w:bCs/>
                <w:color w:val="000000"/>
                <w:spacing w:val="185"/>
                <w:sz w:val="20"/>
                <w:szCs w:val="20"/>
                <w:shd w:val="solid" w:color="000000" w:fill="000000"/>
                <w:fitText w:val="277" w:id="-1304706544"/>
                <w14:textFill>
                  <w14:solidFill>
                    <w14:srgbClr w14:val="000000">
                      <w14:alpha w14:val="100000"/>
                    </w14:srgbClr>
                  </w14:solidFill>
                </w14:textFill>
              </w:rPr>
              <w:t>|</w:t>
            </w:r>
            <w:r w:rsidR="003E2BEF" w:rsidRPr="003E2BEF">
              <w:rPr>
                <w:rFonts w:ascii="Arial Narrow" w:hAnsi="Arial Narrow"/>
                <w:b/>
                <w:bCs/>
                <w:color w:val="000000"/>
                <w:spacing w:val="1"/>
                <w:sz w:val="20"/>
                <w:szCs w:val="20"/>
                <w:shd w:val="solid" w:color="000000" w:fill="000000"/>
                <w:fitText w:val="277" w:id="-1304706544"/>
                <w14:textFill>
                  <w14:solidFill>
                    <w14:srgbClr w14:val="000000">
                      <w14:alpha w14:val="100000"/>
                    </w14:srgbClr>
                  </w14:solidFill>
                </w14:textFill>
              </w:rPr>
              <w:t>|</w:t>
            </w:r>
          </w:p>
        </w:tc>
        <w:tc>
          <w:tcPr>
            <w:tcW w:w="6328" w:type="dxa"/>
          </w:tcPr>
          <w:p w14:paraId="1B52980A" w14:textId="27DB40DC" w:rsidR="00FE7043" w:rsidRPr="002F6665" w:rsidRDefault="00FE7043" w:rsidP="00D345A9">
            <w:pPr>
              <w:keepNext/>
              <w:jc w:val="left"/>
              <w:rPr>
                <w:rFonts w:ascii="Arial Narrow" w:hAnsi="Arial Narrow"/>
                <w:sz w:val="20"/>
                <w:szCs w:val="20"/>
              </w:rPr>
            </w:pPr>
            <w:r w:rsidRPr="002F6665">
              <w:rPr>
                <w:rFonts w:ascii="Arial Narrow" w:hAnsi="Arial Narrow"/>
                <w:sz w:val="20"/>
                <w:szCs w:val="20"/>
              </w:rPr>
              <w:t>Weighted cost of SPS/CPS ($</w:t>
            </w:r>
            <w:r w:rsidR="003E2BEF" w:rsidRPr="003E2BEF">
              <w:rPr>
                <w:rFonts w:ascii="Arial Narrow" w:hAnsi="Arial Narrow"/>
                <w:color w:val="000000"/>
                <w:spacing w:val="66"/>
                <w:sz w:val="20"/>
                <w:szCs w:val="20"/>
                <w:shd w:val="solid" w:color="000000" w:fill="000000"/>
                <w:fitText w:val="369" w:id="-1304706560"/>
                <w14:textFill>
                  <w14:solidFill>
                    <w14:srgbClr w14:val="000000">
                      <w14:alpha w14:val="100000"/>
                    </w14:srgbClr>
                  </w14:solidFill>
                </w14:textFill>
              </w:rPr>
              <w:t>|||</w:t>
            </w:r>
            <w:r w:rsidR="003E2BEF" w:rsidRPr="003E2BEF">
              <w:rPr>
                <w:rFonts w:ascii="Arial Narrow" w:hAnsi="Arial Narrow"/>
                <w:color w:val="000000"/>
                <w:spacing w:val="1"/>
                <w:sz w:val="20"/>
                <w:szCs w:val="20"/>
                <w:shd w:val="solid" w:color="000000" w:fill="000000"/>
                <w:fitText w:val="369" w:id="-1304706560"/>
                <w14:textFill>
                  <w14:solidFill>
                    <w14:srgbClr w14:val="000000">
                      <w14:alpha w14:val="100000"/>
                    </w14:srgbClr>
                  </w14:solidFill>
                </w14:textFill>
              </w:rPr>
              <w:t>|</w:t>
            </w:r>
            <w:r w:rsidRPr="002F6665">
              <w:rPr>
                <w:rFonts w:ascii="Arial Narrow" w:hAnsi="Arial Narrow"/>
                <w:sz w:val="20"/>
                <w:szCs w:val="20"/>
              </w:rPr>
              <w:t>) plus the cost of adverse events ($19.02).</w:t>
            </w:r>
          </w:p>
        </w:tc>
      </w:tr>
      <w:tr w:rsidR="00FE7043" w:rsidRPr="002F6665" w14:paraId="2E0E3E03" w14:textId="77777777" w:rsidTr="00D345A9">
        <w:tc>
          <w:tcPr>
            <w:tcW w:w="9017" w:type="dxa"/>
            <w:gridSpan w:val="3"/>
          </w:tcPr>
          <w:p w14:paraId="63ED9F89" w14:textId="77777777" w:rsidR="00FE7043" w:rsidRPr="002F6665" w:rsidRDefault="00FE7043" w:rsidP="00D345A9">
            <w:pPr>
              <w:keepNext/>
              <w:jc w:val="left"/>
              <w:rPr>
                <w:rFonts w:ascii="Arial Narrow" w:hAnsi="Arial Narrow"/>
                <w:b/>
                <w:bCs/>
                <w:sz w:val="20"/>
                <w:szCs w:val="20"/>
              </w:rPr>
            </w:pPr>
            <w:r w:rsidRPr="002F6665">
              <w:rPr>
                <w:rFonts w:ascii="Arial Narrow" w:hAnsi="Arial Narrow"/>
                <w:b/>
                <w:bCs/>
                <w:sz w:val="20"/>
                <w:szCs w:val="20"/>
              </w:rPr>
              <w:t>Patiromer</w:t>
            </w:r>
          </w:p>
        </w:tc>
      </w:tr>
      <w:tr w:rsidR="00FE7043" w:rsidRPr="002F6665" w14:paraId="33182826" w14:textId="77777777" w:rsidTr="00D345A9">
        <w:tc>
          <w:tcPr>
            <w:tcW w:w="1838" w:type="dxa"/>
          </w:tcPr>
          <w:p w14:paraId="736DBA80" w14:textId="77777777" w:rsidR="00FE7043" w:rsidRPr="002F6665" w:rsidRDefault="00FE7043" w:rsidP="00D345A9">
            <w:pPr>
              <w:keepNext/>
              <w:rPr>
                <w:rFonts w:ascii="Arial Narrow" w:hAnsi="Arial Narrow"/>
                <w:sz w:val="20"/>
                <w:szCs w:val="20"/>
              </w:rPr>
            </w:pPr>
            <w:r w:rsidRPr="002F6665">
              <w:rPr>
                <w:rFonts w:ascii="Arial Narrow" w:hAnsi="Arial Narrow"/>
                <w:sz w:val="20"/>
                <w:szCs w:val="20"/>
              </w:rPr>
              <w:t>Total cost</w:t>
            </w:r>
          </w:p>
        </w:tc>
        <w:tc>
          <w:tcPr>
            <w:tcW w:w="851" w:type="dxa"/>
          </w:tcPr>
          <w:p w14:paraId="5398B04B" w14:textId="360B1AE2" w:rsidR="00FE7043" w:rsidRPr="002F6665" w:rsidRDefault="00FE7043" w:rsidP="00D345A9">
            <w:pPr>
              <w:keepNext/>
              <w:jc w:val="center"/>
              <w:rPr>
                <w:rFonts w:ascii="Arial Narrow" w:hAnsi="Arial Narrow"/>
                <w:sz w:val="20"/>
                <w:szCs w:val="20"/>
              </w:rPr>
            </w:pPr>
            <w:r w:rsidRPr="002F6665">
              <w:rPr>
                <w:rFonts w:ascii="Arial Narrow" w:hAnsi="Arial Narrow"/>
                <w:sz w:val="20"/>
                <w:szCs w:val="20"/>
              </w:rPr>
              <w:t>$</w:t>
            </w:r>
            <w:r w:rsidR="003E2BEF" w:rsidRPr="003E2BEF">
              <w:rPr>
                <w:rFonts w:ascii="Arial Narrow" w:hAnsi="Arial Narrow"/>
                <w:color w:val="000000"/>
                <w:spacing w:val="191"/>
                <w:sz w:val="20"/>
                <w:szCs w:val="20"/>
                <w:shd w:val="solid" w:color="000000" w:fill="000000"/>
                <w:fitText w:val="277" w:id="-1304706559"/>
                <w14:textFill>
                  <w14:solidFill>
                    <w14:srgbClr w14:val="000000">
                      <w14:alpha w14:val="100000"/>
                    </w14:srgbClr>
                  </w14:solidFill>
                </w14:textFill>
              </w:rPr>
              <w:t>|</w:t>
            </w:r>
            <w:r w:rsidR="003E2BEF" w:rsidRPr="003E2BEF">
              <w:rPr>
                <w:rFonts w:ascii="Arial Narrow" w:hAnsi="Arial Narrow"/>
                <w:color w:val="000000"/>
                <w:spacing w:val="1"/>
                <w:sz w:val="20"/>
                <w:szCs w:val="20"/>
                <w:shd w:val="solid" w:color="000000" w:fill="000000"/>
                <w:fitText w:val="277" w:id="-1304706559"/>
                <w14:textFill>
                  <w14:solidFill>
                    <w14:srgbClr w14:val="000000">
                      <w14:alpha w14:val="100000"/>
                    </w14:srgbClr>
                  </w14:solidFill>
                </w14:textFill>
              </w:rPr>
              <w:t>|</w:t>
            </w:r>
          </w:p>
        </w:tc>
        <w:tc>
          <w:tcPr>
            <w:tcW w:w="6328" w:type="dxa"/>
          </w:tcPr>
          <w:p w14:paraId="23B00763" w14:textId="77777777" w:rsidR="00FE7043" w:rsidRPr="002F6665" w:rsidRDefault="00FE7043" w:rsidP="00D345A9">
            <w:pPr>
              <w:keepNext/>
              <w:jc w:val="left"/>
              <w:rPr>
                <w:rFonts w:ascii="Arial Narrow" w:hAnsi="Arial Narrow"/>
                <w:sz w:val="20"/>
                <w:szCs w:val="20"/>
              </w:rPr>
            </w:pPr>
            <w:r w:rsidRPr="002F6665">
              <w:rPr>
                <w:rFonts w:ascii="Arial Narrow" w:hAnsi="Arial Narrow"/>
                <w:sz w:val="20"/>
                <w:szCs w:val="20"/>
              </w:rPr>
              <w:t>Total cost of SPS/CPS</w:t>
            </w:r>
          </w:p>
        </w:tc>
      </w:tr>
      <w:tr w:rsidR="00FE7043" w:rsidRPr="002F6665" w14:paraId="3513B813" w14:textId="77777777" w:rsidTr="00D345A9">
        <w:tc>
          <w:tcPr>
            <w:tcW w:w="1838" w:type="dxa"/>
          </w:tcPr>
          <w:p w14:paraId="40C902B6" w14:textId="77777777" w:rsidR="00FE7043" w:rsidRPr="002F6665" w:rsidRDefault="00FE7043" w:rsidP="00D345A9">
            <w:pPr>
              <w:keepNext/>
              <w:rPr>
                <w:rFonts w:ascii="Arial Narrow" w:hAnsi="Arial Narrow"/>
                <w:sz w:val="20"/>
                <w:szCs w:val="20"/>
              </w:rPr>
            </w:pPr>
            <w:r w:rsidRPr="002F6665">
              <w:rPr>
                <w:rFonts w:ascii="Arial Narrow" w:hAnsi="Arial Narrow"/>
                <w:sz w:val="20"/>
                <w:szCs w:val="20"/>
              </w:rPr>
              <w:t>Average daily dose</w:t>
            </w:r>
          </w:p>
        </w:tc>
        <w:tc>
          <w:tcPr>
            <w:tcW w:w="851" w:type="dxa"/>
          </w:tcPr>
          <w:p w14:paraId="7A79CFD6" w14:textId="23AC5BC1" w:rsidR="00FE7043" w:rsidRPr="002F6665" w:rsidRDefault="00FE7043" w:rsidP="00D345A9">
            <w:pPr>
              <w:keepNext/>
              <w:jc w:val="center"/>
              <w:rPr>
                <w:rFonts w:ascii="Arial Narrow" w:hAnsi="Arial Narrow"/>
                <w:sz w:val="20"/>
                <w:szCs w:val="20"/>
              </w:rPr>
            </w:pPr>
            <w:r w:rsidRPr="002F6665">
              <w:rPr>
                <w:rFonts w:ascii="Arial Narrow" w:hAnsi="Arial Narrow"/>
                <w:sz w:val="20"/>
                <w:szCs w:val="20"/>
              </w:rPr>
              <w:t>4.95</w:t>
            </w:r>
            <w:r w:rsidR="00126C75" w:rsidRPr="002F6665">
              <w:rPr>
                <w:rFonts w:ascii="Arial Narrow" w:hAnsi="Arial Narrow"/>
                <w:sz w:val="20"/>
                <w:szCs w:val="20"/>
              </w:rPr>
              <w:t> g</w:t>
            </w:r>
          </w:p>
        </w:tc>
        <w:tc>
          <w:tcPr>
            <w:tcW w:w="6328" w:type="dxa"/>
          </w:tcPr>
          <w:p w14:paraId="2E274F23" w14:textId="5E4D3D76" w:rsidR="00FE7043" w:rsidRPr="002F6665" w:rsidRDefault="00FE7043" w:rsidP="00D345A9">
            <w:pPr>
              <w:pStyle w:val="COMTabletext"/>
              <w:rPr>
                <w:szCs w:val="20"/>
              </w:rPr>
            </w:pPr>
            <w:r w:rsidRPr="002F6665">
              <w:t>Average daily dose of 9.9</w:t>
            </w:r>
            <w:r w:rsidR="00126C75" w:rsidRPr="002F6665">
              <w:t> g</w:t>
            </w:r>
            <w:r w:rsidRPr="002F6665">
              <w:t xml:space="preserve"> based on VCAP analysis (85.7% patients on 8.4</w:t>
            </w:r>
            <w:r w:rsidR="00126C75" w:rsidRPr="002F6665">
              <w:t> g</w:t>
            </w:r>
            <w:r w:rsidRPr="002F6665">
              <w:t xml:space="preserve"> dose; 10.7% patients on 16.8</w:t>
            </w:r>
            <w:r w:rsidR="00126C75" w:rsidRPr="002F6665">
              <w:t> g</w:t>
            </w:r>
            <w:r w:rsidRPr="002F6665">
              <w:t xml:space="preserve"> dose; 3.6% patients on 25.2</w:t>
            </w:r>
            <w:r w:rsidR="00126C75" w:rsidRPr="002F6665">
              <w:t> g</w:t>
            </w:r>
            <w:r w:rsidRPr="002F6665">
              <w:t xml:space="preserve"> dose) </w:t>
            </w:r>
            <w:r w:rsidRPr="003E2BEF">
              <w:t>× 5/7 days per week (stated source KOL survey 2, but it is unclear how this value was derived) × 70% adherence (KOL survey 2; median response to expected patiromer adherence if</w:t>
            </w:r>
            <w:r w:rsidRPr="002F6665">
              <w:t xml:space="preserve"> PBS-listed).</w:t>
            </w:r>
          </w:p>
        </w:tc>
      </w:tr>
      <w:tr w:rsidR="00FE7043" w:rsidRPr="002F6665" w14:paraId="39C8E3B0" w14:textId="77777777" w:rsidTr="00D345A9">
        <w:tc>
          <w:tcPr>
            <w:tcW w:w="1838" w:type="dxa"/>
          </w:tcPr>
          <w:p w14:paraId="508979E2" w14:textId="77777777" w:rsidR="00FE7043" w:rsidRPr="002F6665" w:rsidRDefault="00FE7043" w:rsidP="00786FB2">
            <w:pPr>
              <w:rPr>
                <w:rFonts w:ascii="Arial Narrow" w:hAnsi="Arial Narrow"/>
                <w:sz w:val="20"/>
                <w:szCs w:val="20"/>
              </w:rPr>
            </w:pPr>
            <w:r w:rsidRPr="002F6665">
              <w:rPr>
                <w:rFonts w:ascii="Arial Narrow" w:hAnsi="Arial Narrow"/>
                <w:sz w:val="20"/>
                <w:szCs w:val="20"/>
              </w:rPr>
              <w:t>Number of packs</w:t>
            </w:r>
          </w:p>
        </w:tc>
        <w:tc>
          <w:tcPr>
            <w:tcW w:w="851" w:type="dxa"/>
          </w:tcPr>
          <w:p w14:paraId="4515A9CB" w14:textId="77777777" w:rsidR="00FE7043" w:rsidRPr="002F6665" w:rsidRDefault="00FE7043" w:rsidP="00786FB2">
            <w:pPr>
              <w:jc w:val="center"/>
              <w:rPr>
                <w:rFonts w:ascii="Arial Narrow" w:hAnsi="Arial Narrow"/>
                <w:sz w:val="20"/>
                <w:szCs w:val="20"/>
              </w:rPr>
            </w:pPr>
            <w:r w:rsidRPr="002F6665">
              <w:rPr>
                <w:rFonts w:ascii="Arial Narrow" w:hAnsi="Arial Narrow"/>
                <w:sz w:val="20"/>
                <w:szCs w:val="20"/>
              </w:rPr>
              <w:t>1.93</w:t>
            </w:r>
          </w:p>
        </w:tc>
        <w:tc>
          <w:tcPr>
            <w:tcW w:w="6328" w:type="dxa"/>
          </w:tcPr>
          <w:p w14:paraId="6B1FB0A7" w14:textId="12E369FF" w:rsidR="00FE7043" w:rsidRPr="002F6665" w:rsidRDefault="00FE7043" w:rsidP="00786FB2">
            <w:pPr>
              <w:pStyle w:val="COMTabletext"/>
              <w:keepNext w:val="0"/>
              <w:rPr>
                <w:szCs w:val="20"/>
              </w:rPr>
            </w:pPr>
            <w:r w:rsidRPr="002F6665">
              <w:t>Number of packs over 112 days = 1.036 sachets per dose (to account for 3.6% of patients needing 2 sachets to achieve a 25.2</w:t>
            </w:r>
            <w:r w:rsidR="00126C75" w:rsidRPr="002F6665">
              <w:t> g</w:t>
            </w:r>
            <w:r w:rsidRPr="002F6665">
              <w:t xml:space="preserve"> dose) × 5 doses/7 days × 70% compliance × 112 days / 30 sachets per pack.</w:t>
            </w:r>
          </w:p>
        </w:tc>
      </w:tr>
      <w:tr w:rsidR="00FE7043" w:rsidRPr="002F6665" w14:paraId="3E94453D" w14:textId="77777777" w:rsidTr="00D345A9">
        <w:tc>
          <w:tcPr>
            <w:tcW w:w="1838" w:type="dxa"/>
          </w:tcPr>
          <w:p w14:paraId="6AD3BBDD" w14:textId="77777777" w:rsidR="00FE7043" w:rsidRPr="002F6665" w:rsidRDefault="00FE7043" w:rsidP="00786FB2">
            <w:pPr>
              <w:rPr>
                <w:rFonts w:ascii="Arial Narrow" w:hAnsi="Arial Narrow"/>
                <w:b/>
                <w:bCs/>
                <w:sz w:val="20"/>
                <w:szCs w:val="20"/>
              </w:rPr>
            </w:pPr>
            <w:r w:rsidRPr="002F6665">
              <w:rPr>
                <w:rFonts w:ascii="Arial Narrow" w:hAnsi="Arial Narrow"/>
                <w:b/>
                <w:bCs/>
                <w:sz w:val="20"/>
                <w:szCs w:val="20"/>
              </w:rPr>
              <w:t>Cost per pack</w:t>
            </w:r>
          </w:p>
        </w:tc>
        <w:tc>
          <w:tcPr>
            <w:tcW w:w="851" w:type="dxa"/>
          </w:tcPr>
          <w:p w14:paraId="57DB00D3" w14:textId="6474298B" w:rsidR="00FE7043" w:rsidRPr="002F6665" w:rsidRDefault="00FE7043" w:rsidP="00786FB2">
            <w:pPr>
              <w:jc w:val="center"/>
              <w:rPr>
                <w:rFonts w:ascii="Arial Narrow" w:hAnsi="Arial Narrow"/>
                <w:b/>
                <w:bCs/>
                <w:sz w:val="20"/>
                <w:szCs w:val="20"/>
              </w:rPr>
            </w:pPr>
            <w:r w:rsidRPr="002F6665">
              <w:rPr>
                <w:rFonts w:ascii="Arial Narrow" w:hAnsi="Arial Narrow"/>
                <w:b/>
                <w:bCs/>
                <w:sz w:val="20"/>
                <w:szCs w:val="20"/>
              </w:rPr>
              <w:t>$</w:t>
            </w:r>
            <w:r w:rsidR="003E2BEF" w:rsidRPr="003E2BEF">
              <w:rPr>
                <w:rFonts w:ascii="Arial Narrow" w:hAnsi="Arial Narrow"/>
                <w:b/>
                <w:bCs/>
                <w:color w:val="000000"/>
                <w:spacing w:val="185"/>
                <w:sz w:val="20"/>
                <w:szCs w:val="20"/>
                <w:shd w:val="solid" w:color="000000" w:fill="000000"/>
                <w:fitText w:val="277" w:id="-1304706558"/>
                <w14:textFill>
                  <w14:solidFill>
                    <w14:srgbClr w14:val="000000">
                      <w14:alpha w14:val="100000"/>
                    </w14:srgbClr>
                  </w14:solidFill>
                </w14:textFill>
              </w:rPr>
              <w:t>|</w:t>
            </w:r>
            <w:r w:rsidR="003E2BEF" w:rsidRPr="003E2BEF">
              <w:rPr>
                <w:rFonts w:ascii="Arial Narrow" w:hAnsi="Arial Narrow"/>
                <w:b/>
                <w:bCs/>
                <w:color w:val="000000"/>
                <w:spacing w:val="1"/>
                <w:sz w:val="20"/>
                <w:szCs w:val="20"/>
                <w:shd w:val="solid" w:color="000000" w:fill="000000"/>
                <w:fitText w:val="277" w:id="-1304706558"/>
                <w14:textFill>
                  <w14:solidFill>
                    <w14:srgbClr w14:val="000000">
                      <w14:alpha w14:val="100000"/>
                    </w14:srgbClr>
                  </w14:solidFill>
                </w14:textFill>
              </w:rPr>
              <w:t>|</w:t>
            </w:r>
          </w:p>
        </w:tc>
        <w:tc>
          <w:tcPr>
            <w:tcW w:w="6328" w:type="dxa"/>
          </w:tcPr>
          <w:p w14:paraId="07BB7C17" w14:textId="36B28B78" w:rsidR="00FE7043" w:rsidRPr="002F6665" w:rsidRDefault="00FE7043" w:rsidP="00786FB2">
            <w:pPr>
              <w:jc w:val="left"/>
              <w:rPr>
                <w:rFonts w:ascii="Arial Narrow" w:hAnsi="Arial Narrow"/>
                <w:sz w:val="20"/>
                <w:szCs w:val="20"/>
              </w:rPr>
            </w:pPr>
            <w:r w:rsidRPr="002F6665">
              <w:rPr>
                <w:rFonts w:ascii="Arial Narrow" w:hAnsi="Arial Narrow"/>
                <w:sz w:val="20"/>
                <w:szCs w:val="20"/>
              </w:rPr>
              <w:t>Total cost ($</w:t>
            </w:r>
            <w:r w:rsidR="003E2BEF" w:rsidRPr="003E2BEF">
              <w:rPr>
                <w:rFonts w:ascii="Arial Narrow" w:hAnsi="Arial Narrow"/>
                <w:color w:val="000000"/>
                <w:spacing w:val="66"/>
                <w:sz w:val="20"/>
                <w:szCs w:val="20"/>
                <w:shd w:val="solid" w:color="000000" w:fill="000000"/>
                <w:fitText w:val="369" w:id="-1304706557"/>
                <w14:textFill>
                  <w14:solidFill>
                    <w14:srgbClr w14:val="000000">
                      <w14:alpha w14:val="100000"/>
                    </w14:srgbClr>
                  </w14:solidFill>
                </w14:textFill>
              </w:rPr>
              <w:t>|||</w:t>
            </w:r>
            <w:r w:rsidR="003E2BEF" w:rsidRPr="003E2BEF">
              <w:rPr>
                <w:rFonts w:ascii="Arial Narrow" w:hAnsi="Arial Narrow"/>
                <w:color w:val="000000"/>
                <w:spacing w:val="1"/>
                <w:sz w:val="20"/>
                <w:szCs w:val="20"/>
                <w:shd w:val="solid" w:color="000000" w:fill="000000"/>
                <w:fitText w:val="369" w:id="-1304706557"/>
                <w14:textFill>
                  <w14:solidFill>
                    <w14:srgbClr w14:val="000000">
                      <w14:alpha w14:val="100000"/>
                    </w14:srgbClr>
                  </w14:solidFill>
                </w14:textFill>
              </w:rPr>
              <w:t>|</w:t>
            </w:r>
            <w:r w:rsidRPr="002F6665">
              <w:rPr>
                <w:rFonts w:ascii="Arial Narrow" w:hAnsi="Arial Narrow"/>
                <w:sz w:val="20"/>
                <w:szCs w:val="20"/>
              </w:rPr>
              <w:t>) divided by number of packs (1.93).</w:t>
            </w:r>
          </w:p>
        </w:tc>
      </w:tr>
      <w:tr w:rsidR="001C6D85" w:rsidRPr="002F6665" w14:paraId="299F275C" w14:textId="77777777" w:rsidTr="00D345A9">
        <w:tc>
          <w:tcPr>
            <w:tcW w:w="1838" w:type="dxa"/>
          </w:tcPr>
          <w:p w14:paraId="2ABF7AB5" w14:textId="677FDD1F" w:rsidR="001C6D85" w:rsidRPr="002F6665" w:rsidRDefault="002448EF" w:rsidP="00786FB2">
            <w:pPr>
              <w:rPr>
                <w:rFonts w:ascii="Arial Narrow" w:hAnsi="Arial Narrow"/>
                <w:b/>
                <w:bCs/>
                <w:sz w:val="20"/>
                <w:szCs w:val="20"/>
              </w:rPr>
            </w:pPr>
            <w:r>
              <w:rPr>
                <w:rFonts w:ascii="Arial Narrow" w:hAnsi="Arial Narrow"/>
                <w:b/>
                <w:bCs/>
                <w:sz w:val="20"/>
                <w:szCs w:val="20"/>
              </w:rPr>
              <w:t>PSCR: c</w:t>
            </w:r>
            <w:r w:rsidR="001C6D85">
              <w:rPr>
                <w:rFonts w:ascii="Arial Narrow" w:hAnsi="Arial Narrow"/>
                <w:b/>
                <w:bCs/>
                <w:sz w:val="20"/>
                <w:szCs w:val="20"/>
              </w:rPr>
              <w:t xml:space="preserve">ost per pack </w:t>
            </w:r>
          </w:p>
        </w:tc>
        <w:tc>
          <w:tcPr>
            <w:tcW w:w="851" w:type="dxa"/>
          </w:tcPr>
          <w:p w14:paraId="0ED34CDF" w14:textId="5530E186" w:rsidR="001C6D85" w:rsidRPr="002F6665" w:rsidRDefault="001C6D85" w:rsidP="00786FB2">
            <w:pPr>
              <w:jc w:val="center"/>
              <w:rPr>
                <w:rFonts w:ascii="Arial Narrow" w:hAnsi="Arial Narrow"/>
                <w:b/>
                <w:bCs/>
                <w:sz w:val="20"/>
                <w:szCs w:val="20"/>
              </w:rPr>
            </w:pPr>
            <w:r w:rsidRPr="001C6D85">
              <w:rPr>
                <w:rFonts w:ascii="Arial Narrow" w:hAnsi="Arial Narrow"/>
                <w:b/>
                <w:bCs/>
                <w:sz w:val="20"/>
                <w:szCs w:val="20"/>
              </w:rPr>
              <w:t>$</w:t>
            </w:r>
            <w:r w:rsidR="003E2BEF" w:rsidRPr="003E2BEF">
              <w:rPr>
                <w:rFonts w:ascii="Arial Narrow" w:hAnsi="Arial Narrow"/>
                <w:b/>
                <w:bCs/>
                <w:color w:val="000000"/>
                <w:spacing w:val="185"/>
                <w:sz w:val="20"/>
                <w:szCs w:val="20"/>
                <w:shd w:val="solid" w:color="000000" w:fill="000000"/>
                <w:fitText w:val="277" w:id="-1304706556"/>
                <w14:textFill>
                  <w14:solidFill>
                    <w14:srgbClr w14:val="000000">
                      <w14:alpha w14:val="100000"/>
                    </w14:srgbClr>
                  </w14:solidFill>
                </w14:textFill>
              </w:rPr>
              <w:t>|</w:t>
            </w:r>
            <w:r w:rsidR="003E2BEF" w:rsidRPr="003E2BEF">
              <w:rPr>
                <w:rFonts w:ascii="Arial Narrow" w:hAnsi="Arial Narrow"/>
                <w:b/>
                <w:bCs/>
                <w:color w:val="000000"/>
                <w:spacing w:val="1"/>
                <w:sz w:val="20"/>
                <w:szCs w:val="20"/>
                <w:shd w:val="solid" w:color="000000" w:fill="000000"/>
                <w:fitText w:val="277" w:id="-1304706556"/>
                <w14:textFill>
                  <w14:solidFill>
                    <w14:srgbClr w14:val="000000">
                      <w14:alpha w14:val="100000"/>
                    </w14:srgbClr>
                  </w14:solidFill>
                </w14:textFill>
              </w:rPr>
              <w:t>|</w:t>
            </w:r>
          </w:p>
        </w:tc>
        <w:tc>
          <w:tcPr>
            <w:tcW w:w="6328" w:type="dxa"/>
          </w:tcPr>
          <w:p w14:paraId="5B38B5B1" w14:textId="6CB16152" w:rsidR="001C6D85" w:rsidRPr="002F6665" w:rsidRDefault="001C6D85" w:rsidP="00786FB2">
            <w:pPr>
              <w:jc w:val="left"/>
              <w:rPr>
                <w:rFonts w:ascii="Arial Narrow" w:hAnsi="Arial Narrow"/>
                <w:sz w:val="20"/>
                <w:szCs w:val="20"/>
              </w:rPr>
            </w:pPr>
            <w:r w:rsidRPr="001C6D85">
              <w:rPr>
                <w:rFonts w:ascii="Arial Narrow" w:hAnsi="Arial Narrow"/>
                <w:sz w:val="20"/>
                <w:szCs w:val="20"/>
              </w:rPr>
              <w:t>The PSCR removed the ‘serious gastrointestinal’ adverse event costs</w:t>
            </w:r>
            <w:r>
              <w:rPr>
                <w:rFonts w:ascii="Arial Narrow" w:hAnsi="Arial Narrow"/>
                <w:sz w:val="20"/>
                <w:szCs w:val="20"/>
              </w:rPr>
              <w:t xml:space="preserve"> for SPS/CPS resins</w:t>
            </w:r>
            <w:r w:rsidRPr="001C6D85">
              <w:rPr>
                <w:rFonts w:ascii="Arial Narrow" w:hAnsi="Arial Narrow"/>
                <w:sz w:val="20"/>
                <w:szCs w:val="20"/>
              </w:rPr>
              <w:t xml:space="preserve"> from the analysis</w:t>
            </w:r>
          </w:p>
        </w:tc>
      </w:tr>
    </w:tbl>
    <w:p w14:paraId="5931088E" w14:textId="1AD39BBA" w:rsidR="00FE7043" w:rsidRPr="00FF512C" w:rsidRDefault="00FE7043" w:rsidP="00786FB2">
      <w:pPr>
        <w:pStyle w:val="COMTablefooter"/>
      </w:pPr>
      <w:r w:rsidRPr="00FF512C">
        <w:lastRenderedPageBreak/>
        <w:t>Source: Table 3.10.4, p225 of the resubmission; ‘Attachment 13b - Veltassa Cost Minimisation Analysis’ spreadsheet provided with the resubmission</w:t>
      </w:r>
      <w:r w:rsidR="00515D00" w:rsidRPr="00FF512C">
        <w:t xml:space="preserve">, cell B10 on ‘Analysis (Effective)’ worksheet was changed to 0% to reflect </w:t>
      </w:r>
      <w:r w:rsidR="000E616F" w:rsidRPr="00FF512C">
        <w:t xml:space="preserve">the chronic hyperkalaemia population only. </w:t>
      </w:r>
    </w:p>
    <w:p w14:paraId="49220FCB" w14:textId="77777777" w:rsidR="00FE7043" w:rsidRPr="002F6665" w:rsidRDefault="00FE7043" w:rsidP="00786FB2">
      <w:pPr>
        <w:pStyle w:val="COMTablefooter"/>
      </w:pPr>
      <w:r w:rsidRPr="00FF512C">
        <w:t>Abbreviations: AEMP, approved ex-manufacturer price; AR-DRG, Australian Refined Diagnosis Related Groups; CKD, chronic</w:t>
      </w:r>
      <w:r w:rsidRPr="002F6665">
        <w:t xml:space="preserve"> kidney disease; CPS, calcium polystyrene sulfonate; GI, gastrointestinal; KOL, key opinion leader; NHCDC, National Hospital Cost Data Collection; PBS, Pharmaceutical Benefits Scheme; SPS, sodium polystyrene sulfonate; VCAP, Veltassa Compassionate Access Program</w:t>
      </w:r>
    </w:p>
    <w:p w14:paraId="3AC4C147" w14:textId="44B3E922" w:rsidR="00FE7043" w:rsidRPr="002F6665" w:rsidRDefault="00FE7043" w:rsidP="00786FB2">
      <w:pPr>
        <w:pStyle w:val="COMTablefooter"/>
      </w:pPr>
      <w:r w:rsidRPr="002F6665">
        <w:rPr>
          <w:vertAlign w:val="superscript"/>
        </w:rPr>
        <w:t>a</w:t>
      </w:r>
      <w:r w:rsidRPr="002F6665">
        <w:t xml:space="preserve"> Average daily dose of 20</w:t>
      </w:r>
      <w:r w:rsidR="00126C75" w:rsidRPr="002F6665">
        <w:t> mg</w:t>
      </w:r>
      <w:r w:rsidRPr="002F6665">
        <w:t>/day assumed. The Actilax product information states that the usual initial dose is 15 to 30</w:t>
      </w:r>
      <w:r w:rsidR="00126C75" w:rsidRPr="002F6665">
        <w:t> mL</w:t>
      </w:r>
      <w:r w:rsidRPr="002F6665">
        <w:t xml:space="preserve"> daily; and the dose may be increased to 45</w:t>
      </w:r>
      <w:r w:rsidR="00126C75" w:rsidRPr="002F6665">
        <w:t> mL</w:t>
      </w:r>
      <w:r w:rsidRPr="002F6665">
        <w:t xml:space="preserve"> daily if necessary. After three days, the dose may be reduced to 10 to 25</w:t>
      </w:r>
      <w:r w:rsidR="00126C75" w:rsidRPr="002F6665">
        <w:t> mL</w:t>
      </w:r>
      <w:r w:rsidRPr="002F6665">
        <w:t xml:space="preserve"> daily for maintenance.</w:t>
      </w:r>
    </w:p>
    <w:p w14:paraId="2937952A" w14:textId="052DFC02" w:rsidR="00FE7043" w:rsidRPr="00FF512C" w:rsidRDefault="00FE7043" w:rsidP="00FE7043">
      <w:pPr>
        <w:pStyle w:val="COMexecsumnumberedpara"/>
        <w:numPr>
          <w:ilvl w:val="1"/>
          <w:numId w:val="1"/>
        </w:numPr>
        <w:spacing w:after="0"/>
      </w:pPr>
      <w:bookmarkStart w:id="59" w:name="_Ref116560019"/>
      <w:r w:rsidRPr="00FF512C">
        <w:t xml:space="preserve">The </w:t>
      </w:r>
      <w:r w:rsidR="00F27ED6" w:rsidRPr="00FF512C">
        <w:t xml:space="preserve">ESC </w:t>
      </w:r>
      <w:r w:rsidR="00515D00" w:rsidRPr="00FF512C">
        <w:t>consider</w:t>
      </w:r>
      <w:r w:rsidR="00F27ED6" w:rsidRPr="00FF512C">
        <w:t xml:space="preserve">ed that there was </w:t>
      </w:r>
      <w:r w:rsidRPr="00FF512C">
        <w:t>considerable uncertainty associated with the cost-minimisation approach</w:t>
      </w:r>
      <w:r w:rsidR="00F27ED6" w:rsidRPr="00FF512C">
        <w:t xml:space="preserve"> as</w:t>
      </w:r>
      <w:r w:rsidRPr="00FF512C">
        <w:t>:</w:t>
      </w:r>
      <w:bookmarkEnd w:id="59"/>
      <w:r w:rsidRPr="00FF512C">
        <w:t xml:space="preserve"> </w:t>
      </w:r>
    </w:p>
    <w:p w14:paraId="546233F7" w14:textId="27C93984" w:rsidR="00FE7043" w:rsidRPr="00FF512C" w:rsidRDefault="00FE7043" w:rsidP="00804745">
      <w:pPr>
        <w:pStyle w:val="COMexecsumnumberedpara"/>
        <w:numPr>
          <w:ilvl w:val="0"/>
          <w:numId w:val="9"/>
        </w:numPr>
        <w:spacing w:after="0"/>
        <w:ind w:left="1077" w:hanging="357"/>
      </w:pPr>
      <w:r w:rsidRPr="00FF512C">
        <w:t>The average daily dose of patiromer, derived from an analysis of the sponsor’s compassionate access program (VCAP), may not be reliable. An analysis of the VCAP data conducted during the evaluation suggests about a third of patients were potentially using higher doses of patiromer than documented in the VCAP dataset, with a large difference observed in some patients.</w:t>
      </w:r>
      <w:r w:rsidR="00302BDF">
        <w:t xml:space="preserve"> The resubmission proposed that 3.6% of patients would use two </w:t>
      </w:r>
      <w:r w:rsidR="00FC694F">
        <w:t xml:space="preserve">patiromer </w:t>
      </w:r>
      <w:r w:rsidR="00302BDF">
        <w:t>sachets per day (to achieve a 25.2 g dose), and the PBAC noted this was a key assumption (rather than the average dose per patient) given the sponsor had proposed the same price per pack of patiromer (regardless of dose).</w:t>
      </w:r>
    </w:p>
    <w:p w14:paraId="56705E0D" w14:textId="5029895B" w:rsidR="00FE7043" w:rsidRPr="00FF512C" w:rsidRDefault="00FE7043" w:rsidP="00804745">
      <w:pPr>
        <w:pStyle w:val="COMexecsumnumberedpara"/>
        <w:numPr>
          <w:ilvl w:val="0"/>
          <w:numId w:val="9"/>
        </w:numPr>
        <w:spacing w:after="0"/>
        <w:ind w:left="1077" w:hanging="357"/>
      </w:pPr>
      <w:r w:rsidRPr="00FF512C">
        <w:t xml:space="preserve">The average daily doses of patiromer and SPS/CPS were derived from different sources, the sponsor’s compassionate access program (VCAP) for patiromer and the clinician survey (KOL survey 2) for SPS/CPS. </w:t>
      </w:r>
      <w:r w:rsidR="00B45AE9" w:rsidRPr="00FF512C">
        <w:t xml:space="preserve">The PSCR </w:t>
      </w:r>
      <w:r w:rsidR="001C6D85">
        <w:t>sta</w:t>
      </w:r>
      <w:r w:rsidR="001C6D85" w:rsidRPr="00FF512C">
        <w:t xml:space="preserve">ted </w:t>
      </w:r>
      <w:r w:rsidR="00B45AE9" w:rsidRPr="00FF512C">
        <w:t xml:space="preserve">that the doses applied reflected the best available information, as there were no published data on the utilisation or dosing of SPS/CPS in Australia. </w:t>
      </w:r>
      <w:r w:rsidRPr="00FF512C">
        <w:t xml:space="preserve">The </w:t>
      </w:r>
      <w:r w:rsidR="00F27ED6" w:rsidRPr="00FF512C">
        <w:t xml:space="preserve">ESC </w:t>
      </w:r>
      <w:r w:rsidR="00B45AE9" w:rsidRPr="00FF512C">
        <w:t xml:space="preserve">considered that it was highly uncertain whether proposed equi-effective doses </w:t>
      </w:r>
      <w:r w:rsidR="005059AE" w:rsidRPr="00FF512C">
        <w:t>would</w:t>
      </w:r>
      <w:r w:rsidR="00B45AE9" w:rsidRPr="00FF512C">
        <w:t xml:space="preserve"> result in </w:t>
      </w:r>
      <w:r w:rsidRPr="00FF512C">
        <w:t>non</w:t>
      </w:r>
      <w:r w:rsidR="00F27ED6" w:rsidRPr="00FF512C">
        <w:t>-</w:t>
      </w:r>
      <w:r w:rsidRPr="00FF512C">
        <w:t xml:space="preserve">inferior effectiveness. </w:t>
      </w:r>
    </w:p>
    <w:p w14:paraId="2FD4F1F7" w14:textId="2DC57336" w:rsidR="00FE7043" w:rsidRPr="003E2BEF" w:rsidRDefault="00FE7043" w:rsidP="00804745">
      <w:pPr>
        <w:pStyle w:val="COMexecsumnumberedpara"/>
        <w:numPr>
          <w:ilvl w:val="0"/>
          <w:numId w:val="9"/>
        </w:numPr>
        <w:spacing w:after="0"/>
        <w:ind w:left="1077" w:hanging="357"/>
      </w:pPr>
      <w:r w:rsidRPr="00FF512C">
        <w:t>The frequency of use of SPS/CPS and patiromer for chronic use (5 days per week) could not be verified during the evaluation. The clinician survey (KOL survey 2) asked respondents the frequency and dosage of SPS/CPS in clinical practice. The majority of responses indicated daily dosing, with a median daily dose that incorporates frequency of use of 30</w:t>
      </w:r>
      <w:r w:rsidR="00126C75" w:rsidRPr="00FF512C">
        <w:t> g</w:t>
      </w:r>
      <w:r w:rsidRPr="00FF512C">
        <w:t>.</w:t>
      </w:r>
      <w:r w:rsidR="001C6D85">
        <w:t xml:space="preserve"> The PBAC </w:t>
      </w:r>
      <w:r w:rsidR="005A4241">
        <w:t xml:space="preserve">noted that the </w:t>
      </w:r>
      <w:r w:rsidR="001C6D85">
        <w:t xml:space="preserve">assumption that patients would be </w:t>
      </w:r>
      <w:r w:rsidR="001C6D85" w:rsidRPr="003E2BEF">
        <w:t>treated for five days per week</w:t>
      </w:r>
      <w:r w:rsidR="005A4241" w:rsidRPr="003E2BEF">
        <w:t xml:space="preserve"> was applied in addition to an adherence rate of 70% (discussed below). The PBAC considered that it may be simpler to combine the two assumptions into a total adherence estimate, which based on the resubmission’s estimates would be 50% in both arms. </w:t>
      </w:r>
    </w:p>
    <w:p w14:paraId="17535106" w14:textId="77777777" w:rsidR="00FE7043" w:rsidRPr="003E2BEF" w:rsidRDefault="00FE7043" w:rsidP="00804745">
      <w:pPr>
        <w:pStyle w:val="COMexecsumnumberedpara"/>
        <w:numPr>
          <w:ilvl w:val="0"/>
          <w:numId w:val="9"/>
        </w:numPr>
        <w:spacing w:after="0"/>
        <w:ind w:left="1077" w:hanging="357"/>
      </w:pPr>
      <w:r w:rsidRPr="003E2BEF">
        <w:t>The adherence estimate of 70% was based on the clinician survey (KOL survey 2) for the expected adherence to patiromer treatment if listed on the PBS for the proposed population (median 70%, average 70.2%, range 49-100%). It is unclear whether this estimate will reflect adherence to SPS/CPS or patiromer in clinical practice. The estimate is inconsistent with the cost-effectiveness analysis of patiromer versus standard care, which assumed perfect adherence to patiromer. It is also inconsistent with adherence estimated in the budget impact model (96.4% based on AMETHYST-DN).</w:t>
      </w:r>
    </w:p>
    <w:p w14:paraId="725800CF" w14:textId="237C9085" w:rsidR="00FE7043" w:rsidRPr="00FF512C" w:rsidRDefault="00FE7043" w:rsidP="00804745">
      <w:pPr>
        <w:pStyle w:val="COMexecsumnumberedpara"/>
        <w:numPr>
          <w:ilvl w:val="0"/>
          <w:numId w:val="9"/>
        </w:numPr>
        <w:spacing w:after="0"/>
        <w:ind w:left="1077" w:hanging="357"/>
      </w:pPr>
      <w:r w:rsidRPr="00FF512C">
        <w:t>The resulting average daily doses (4.95</w:t>
      </w:r>
      <w:r w:rsidR="00126C75" w:rsidRPr="00FF512C">
        <w:t> g</w:t>
      </w:r>
      <w:r w:rsidRPr="00FF512C">
        <w:t xml:space="preserve"> for patiromer; 15</w:t>
      </w:r>
      <w:r w:rsidR="00126C75" w:rsidRPr="00FF512C">
        <w:t> g</w:t>
      </w:r>
      <w:r w:rsidRPr="00FF512C">
        <w:t xml:space="preserve"> for SPS/CPS) are lower than recommended in the product information documents (starting dose of 8.4</w:t>
      </w:r>
      <w:r w:rsidR="00126C75" w:rsidRPr="00FF512C">
        <w:t> g</w:t>
      </w:r>
      <w:r w:rsidRPr="00FF512C">
        <w:t xml:space="preserve"> daily for patiromer, up to 25.2</w:t>
      </w:r>
      <w:r w:rsidR="00126C75" w:rsidRPr="00FF512C">
        <w:t> g</w:t>
      </w:r>
      <w:r w:rsidRPr="00FF512C">
        <w:t xml:space="preserve"> daily; 15</w:t>
      </w:r>
      <w:r w:rsidR="00126C75" w:rsidRPr="00FF512C">
        <w:t> g</w:t>
      </w:r>
      <w:r w:rsidRPr="00FF512C">
        <w:t xml:space="preserve"> three to four times daily for SPS/CPS) </w:t>
      </w:r>
      <w:r w:rsidRPr="00FF512C">
        <w:lastRenderedPageBreak/>
        <w:t>and average doses used in the key patiromer clinical trial (12.8 to 21.4</w:t>
      </w:r>
      <w:r w:rsidR="00126C75" w:rsidRPr="00FF512C">
        <w:t> g</w:t>
      </w:r>
      <w:r w:rsidRPr="00FF512C">
        <w:t>/day in OPAL-HK).</w:t>
      </w:r>
    </w:p>
    <w:p w14:paraId="3523F6CB" w14:textId="4A82B174" w:rsidR="00FE7043" w:rsidRPr="00FF512C" w:rsidRDefault="00FE7043" w:rsidP="00804745">
      <w:pPr>
        <w:pStyle w:val="COMexecsumnumberedpara"/>
        <w:numPr>
          <w:ilvl w:val="0"/>
          <w:numId w:val="9"/>
        </w:numPr>
        <w:spacing w:after="0"/>
        <w:ind w:left="1077" w:hanging="357"/>
      </w:pPr>
      <w:r w:rsidRPr="00FF512C">
        <w:t xml:space="preserve">The duration of treatment is assumed to be the same for patiromer and SPS/CPS (16 weeks), based on the results of the KOL survey question regarding the average length of SPS/CPS treatment. </w:t>
      </w:r>
      <w:r w:rsidR="001F61BF" w:rsidRPr="00FF512C">
        <w:t xml:space="preserve">However, </w:t>
      </w:r>
      <w:r w:rsidRPr="00FF512C">
        <w:t>the US cohort study (Desai 2020) found that patients are significantly more likely to be continuously treated for a longer period with patiromer than SPS/CPS. Further, the duration of patiromer treatment is inconsistent with estimates used in the economic (average duration of treatment 11.3 months) and budget impact (11.9 months fixed duration) models.</w:t>
      </w:r>
    </w:p>
    <w:p w14:paraId="3FBF8B4F" w14:textId="77777777" w:rsidR="00FE7043" w:rsidRPr="00FF512C" w:rsidRDefault="00FE7043" w:rsidP="00804745">
      <w:pPr>
        <w:pStyle w:val="COMexecsumnumberedpara"/>
        <w:numPr>
          <w:ilvl w:val="0"/>
          <w:numId w:val="9"/>
        </w:numPr>
        <w:spacing w:after="0"/>
        <w:ind w:left="1077" w:hanging="357"/>
      </w:pPr>
      <w:r w:rsidRPr="00FF512C">
        <w:t>The submission assumed that 23% of SPS/CPS patients would be treated with lactulose for constipation, based on the results of the sponsor-commissioned survey (KOL survey 2). The resubmission suggested that 5 of the 22 respondents reported using laxatives alongside SPS/CPS, however, only 4 clinicians (18%) reported use of laxatives. Further, it is unclear whether the proportion of clinicians who prescribe laxatives alongside SPS/CPS would be the same as the proportion of patients using laxatives with SPS/CPS.</w:t>
      </w:r>
    </w:p>
    <w:p w14:paraId="32502D11" w14:textId="7BDA9A05" w:rsidR="00FE7043" w:rsidRPr="00FF512C" w:rsidRDefault="00D266C2" w:rsidP="00804745">
      <w:pPr>
        <w:pStyle w:val="COMexecsumnumberedpara"/>
        <w:numPr>
          <w:ilvl w:val="0"/>
          <w:numId w:val="9"/>
        </w:numPr>
        <w:ind w:left="1077" w:hanging="357"/>
      </w:pPr>
      <w:r w:rsidRPr="00FF512C">
        <w:t xml:space="preserve">The cost offset for severe gastrointestinal adverse events is likely to be overestimated, given rates for </w:t>
      </w:r>
      <w:r w:rsidR="006F334C" w:rsidRPr="00FF512C">
        <w:t xml:space="preserve">SPS/CPS were derived from a study in patients </w:t>
      </w:r>
      <w:r w:rsidR="00086D33" w:rsidRPr="00FF512C">
        <w:t>who were predominantly in CKD Stage 5, including patients treated with dialysis,</w:t>
      </w:r>
      <w:r w:rsidR="006D056F" w:rsidRPr="00FF512C">
        <w:t xml:space="preserve"> who are</w:t>
      </w:r>
      <w:r w:rsidR="00086D33" w:rsidRPr="00FF512C">
        <w:t xml:space="preserve"> more likely to experience gastrointestinal </w:t>
      </w:r>
      <w:r w:rsidR="006D056F" w:rsidRPr="00FF512C">
        <w:t>adverse events.</w:t>
      </w:r>
      <w:r w:rsidR="00B45AE9" w:rsidRPr="00FF512C">
        <w:t xml:space="preserve"> The PSCR removed the </w:t>
      </w:r>
      <w:r w:rsidR="006D3BB0" w:rsidRPr="00FF512C">
        <w:t xml:space="preserve">‘serious </w:t>
      </w:r>
      <w:r w:rsidR="00B45AE9" w:rsidRPr="00FF512C">
        <w:t>gastrointestinal</w:t>
      </w:r>
      <w:r w:rsidR="006D3BB0" w:rsidRPr="00FF512C">
        <w:t>’</w:t>
      </w:r>
      <w:r w:rsidR="00B45AE9" w:rsidRPr="00FF512C">
        <w:t xml:space="preserve"> adverse event costs from the analysis.</w:t>
      </w:r>
      <w:r w:rsidR="003E0E7F" w:rsidRPr="00FF512C">
        <w:t xml:space="preserve"> This reduced the AEMP per pack from $</w:t>
      </w:r>
      <w:r w:rsidR="003E2BEF" w:rsidRPr="005F4857">
        <w:rPr>
          <w:color w:val="000000"/>
          <w:w w:val="15"/>
          <w:shd w:val="solid" w:color="000000" w:fill="000000"/>
          <w:fitText w:val="-20" w:id="-1304706555"/>
          <w14:textFill>
            <w14:solidFill>
              <w14:srgbClr w14:val="000000">
                <w14:alpha w14:val="100000"/>
              </w14:srgbClr>
            </w14:solidFill>
          </w14:textFill>
        </w:rPr>
        <w:t xml:space="preserve">|  </w:t>
      </w:r>
      <w:r w:rsidR="003E2BEF" w:rsidRPr="005F4857">
        <w:rPr>
          <w:color w:val="000000"/>
          <w:spacing w:val="-69"/>
          <w:w w:val="15"/>
          <w:shd w:val="solid" w:color="000000" w:fill="000000"/>
          <w:fitText w:val="-20" w:id="-1304706555"/>
          <w14:textFill>
            <w14:solidFill>
              <w14:srgbClr w14:val="000000">
                <w14:alpha w14:val="100000"/>
              </w14:srgbClr>
            </w14:solidFill>
          </w14:textFill>
        </w:rPr>
        <w:t>|</w:t>
      </w:r>
      <w:r w:rsidR="003E0E7F" w:rsidRPr="00FF512C">
        <w:t xml:space="preserve"> to $</w:t>
      </w:r>
      <w:r w:rsidR="003E2BEF" w:rsidRPr="005F4857">
        <w:rPr>
          <w:color w:val="000000"/>
          <w:w w:val="15"/>
          <w:shd w:val="solid" w:color="000000" w:fill="000000"/>
          <w:fitText w:val="-20" w:id="-1304706554"/>
          <w14:textFill>
            <w14:solidFill>
              <w14:srgbClr w14:val="000000">
                <w14:alpha w14:val="100000"/>
              </w14:srgbClr>
            </w14:solidFill>
          </w14:textFill>
        </w:rPr>
        <w:t xml:space="preserve">|  </w:t>
      </w:r>
      <w:r w:rsidR="003E2BEF" w:rsidRPr="005F4857">
        <w:rPr>
          <w:color w:val="000000"/>
          <w:spacing w:val="-69"/>
          <w:w w:val="15"/>
          <w:shd w:val="solid" w:color="000000" w:fill="000000"/>
          <w:fitText w:val="-20" w:id="-1304706554"/>
          <w14:textFill>
            <w14:solidFill>
              <w14:srgbClr w14:val="000000">
                <w14:alpha w14:val="100000"/>
              </w14:srgbClr>
            </w14:solidFill>
          </w14:textFill>
        </w:rPr>
        <w:t>|</w:t>
      </w:r>
      <w:r w:rsidR="003E0E7F" w:rsidRPr="00FF512C">
        <w:t xml:space="preserve"> (based on the chronic hyperkalaemia population only, </w:t>
      </w:r>
      <w:r w:rsidR="006D3BB0" w:rsidRPr="00FF512C">
        <w:t xml:space="preserve">as corrected by the evaluation in </w:t>
      </w:r>
      <w:r w:rsidR="003E0E7F" w:rsidRPr="00FF512C">
        <w:fldChar w:fldCharType="begin"/>
      </w:r>
      <w:r w:rsidR="003E0E7F" w:rsidRPr="00FF512C">
        <w:instrText xml:space="preserve"> REF _Ref110955861 \h  \* MERGEFORMAT </w:instrText>
      </w:r>
      <w:r w:rsidR="003E0E7F" w:rsidRPr="00FF512C">
        <w:fldChar w:fldCharType="separate"/>
      </w:r>
      <w:r w:rsidR="00565456" w:rsidRPr="00565456">
        <w:t>Table 16</w:t>
      </w:r>
      <w:r w:rsidR="003E0E7F" w:rsidRPr="00FF512C">
        <w:fldChar w:fldCharType="end"/>
      </w:r>
      <w:r w:rsidR="003E0E7F" w:rsidRPr="00FF512C">
        <w:t>).</w:t>
      </w:r>
    </w:p>
    <w:p w14:paraId="2DC3FEDC" w14:textId="77777777" w:rsidR="00F27ED6" w:rsidRPr="00DB7335" w:rsidRDefault="00F27ED6" w:rsidP="00DF453A">
      <w:pPr>
        <w:pStyle w:val="4-SubsectSubhead"/>
      </w:pPr>
      <w:r w:rsidRPr="00DB7335">
        <w:t>Weighted average patiromer price</w:t>
      </w:r>
    </w:p>
    <w:p w14:paraId="16AB93CC" w14:textId="04AD9CF8" w:rsidR="000E616F" w:rsidRPr="00FF512C" w:rsidRDefault="00FE7043" w:rsidP="00FE7043">
      <w:pPr>
        <w:pStyle w:val="COMexecsumnumberedpara"/>
        <w:numPr>
          <w:ilvl w:val="1"/>
          <w:numId w:val="1"/>
        </w:numPr>
        <w:rPr>
          <w:lang w:eastAsia="zh-CN"/>
        </w:rPr>
      </w:pPr>
      <w:bookmarkStart w:id="60" w:name="_Ref116560021"/>
      <w:r w:rsidRPr="00FF512C">
        <w:rPr>
          <w:lang w:eastAsia="zh-CN"/>
        </w:rPr>
        <w:t xml:space="preserve">The resubmission assumed that </w:t>
      </w:r>
      <w:r w:rsidR="003E2BEF" w:rsidRPr="003E2BEF">
        <w:rPr>
          <w:color w:val="000000"/>
          <w:w w:val="60"/>
          <w:shd w:val="solid" w:color="000000" w:fill="000000"/>
          <w:fitText w:val="464" w:id="-1304706553"/>
          <w:lang w:eastAsia="zh-CN"/>
          <w14:textFill>
            <w14:solidFill>
              <w14:srgbClr w14:val="000000">
                <w14:alpha w14:val="100000"/>
              </w14:srgbClr>
            </w14:solidFill>
          </w14:textFill>
        </w:rPr>
        <w:t>|||  |||</w:t>
      </w:r>
      <w:r w:rsidRPr="00FF512C">
        <w:rPr>
          <w:lang w:eastAsia="zh-CN"/>
        </w:rPr>
        <w:t xml:space="preserve">% of use of patiromer will replace standard care and </w:t>
      </w:r>
      <w:r w:rsidR="003E2BEF" w:rsidRPr="005F4857">
        <w:rPr>
          <w:color w:val="000000"/>
          <w:w w:val="15"/>
          <w:shd w:val="solid" w:color="000000" w:fill="000000"/>
          <w:fitText w:val="-20" w:id="-1304706552"/>
          <w:lang w:eastAsia="zh-CN"/>
          <w14:textFill>
            <w14:solidFill>
              <w14:srgbClr w14:val="000000">
                <w14:alpha w14:val="100000"/>
              </w14:srgbClr>
            </w14:solidFill>
          </w14:textFill>
        </w:rPr>
        <w:t xml:space="preserve">|  </w:t>
      </w:r>
      <w:r w:rsidR="003E2BEF" w:rsidRPr="005F4857">
        <w:rPr>
          <w:color w:val="000000"/>
          <w:spacing w:val="-69"/>
          <w:w w:val="15"/>
          <w:shd w:val="solid" w:color="000000" w:fill="000000"/>
          <w:fitText w:val="-20" w:id="-1304706552"/>
          <w:lang w:eastAsia="zh-CN"/>
          <w14:textFill>
            <w14:solidFill>
              <w14:srgbClr w14:val="000000">
                <w14:alpha w14:val="100000"/>
              </w14:srgbClr>
            </w14:solidFill>
          </w14:textFill>
        </w:rPr>
        <w:t>|</w:t>
      </w:r>
      <w:r w:rsidRPr="00FF512C">
        <w:rPr>
          <w:lang w:eastAsia="zh-CN"/>
        </w:rPr>
        <w:t xml:space="preserve">% will replace SPS/CPS. </w:t>
      </w:r>
      <w:bookmarkStart w:id="61" w:name="_Hlk120540415"/>
      <w:r w:rsidRPr="00FF512C">
        <w:rPr>
          <w:lang w:eastAsia="zh-CN"/>
        </w:rPr>
        <w:t xml:space="preserve">The proportions were based on the median response </w:t>
      </w:r>
      <w:r w:rsidR="00734B79" w:rsidRPr="00FF512C">
        <w:rPr>
          <w:lang w:eastAsia="zh-CN"/>
        </w:rPr>
        <w:t xml:space="preserve">in the sponsor-commissioned clinician survey </w:t>
      </w:r>
      <w:bookmarkEnd w:id="61"/>
      <w:r w:rsidR="00734B79" w:rsidRPr="00FF512C">
        <w:rPr>
          <w:lang w:eastAsia="zh-CN"/>
        </w:rPr>
        <w:t xml:space="preserve">(KOL survey 2) regarding </w:t>
      </w:r>
      <w:r w:rsidRPr="00FF512C">
        <w:rPr>
          <w:lang w:eastAsia="zh-CN"/>
        </w:rPr>
        <w:t>the proportions of patients not controlled on dietary modification who are offered RAASi dose reduction/</w:t>
      </w:r>
      <w:r w:rsidRPr="00EB4A92">
        <w:rPr>
          <w:lang w:eastAsia="zh-CN"/>
        </w:rPr>
        <w:t>withdrawal (</w:t>
      </w:r>
      <w:r w:rsidR="003E2BEF" w:rsidRPr="005F4857">
        <w:rPr>
          <w:color w:val="000000"/>
          <w:w w:val="15"/>
          <w:shd w:val="solid" w:color="000000" w:fill="000000"/>
          <w:fitText w:val="-20" w:id="-1304706551"/>
          <w:lang w:eastAsia="zh-CN"/>
          <w14:textFill>
            <w14:solidFill>
              <w14:srgbClr w14:val="000000">
                <w14:alpha w14:val="100000"/>
              </w14:srgbClr>
            </w14:solidFill>
          </w14:textFill>
        </w:rPr>
        <w:t xml:space="preserve">|  </w:t>
      </w:r>
      <w:r w:rsidR="003E2BEF" w:rsidRPr="005F4857">
        <w:rPr>
          <w:color w:val="000000"/>
          <w:spacing w:val="-69"/>
          <w:w w:val="15"/>
          <w:shd w:val="solid" w:color="000000" w:fill="000000"/>
          <w:fitText w:val="-20" w:id="-1304706551"/>
          <w:lang w:eastAsia="zh-CN"/>
          <w14:textFill>
            <w14:solidFill>
              <w14:srgbClr w14:val="000000">
                <w14:alpha w14:val="100000"/>
              </w14:srgbClr>
            </w14:solidFill>
          </w14:textFill>
        </w:rPr>
        <w:t>|</w:t>
      </w:r>
      <w:r w:rsidRPr="00EB4A92">
        <w:rPr>
          <w:lang w:eastAsia="zh-CN"/>
        </w:rPr>
        <w:t>%), long-term SPS/CPS (</w:t>
      </w:r>
      <w:r w:rsidR="003E2BEF" w:rsidRPr="005F4857">
        <w:rPr>
          <w:color w:val="000000"/>
          <w:w w:val="15"/>
          <w:shd w:val="solid" w:color="000000" w:fill="000000"/>
          <w:fitText w:val="-20" w:id="-1304706550"/>
          <w:lang w:eastAsia="zh-CN"/>
          <w14:textFill>
            <w14:solidFill>
              <w14:srgbClr w14:val="000000">
                <w14:alpha w14:val="100000"/>
              </w14:srgbClr>
            </w14:solidFill>
          </w14:textFill>
        </w:rPr>
        <w:t xml:space="preserve">|  </w:t>
      </w:r>
      <w:r w:rsidR="003E2BEF" w:rsidRPr="005F4857">
        <w:rPr>
          <w:color w:val="000000"/>
          <w:spacing w:val="-69"/>
          <w:w w:val="15"/>
          <w:shd w:val="solid" w:color="000000" w:fill="000000"/>
          <w:fitText w:val="-20" w:id="-1304706550"/>
          <w:lang w:eastAsia="zh-CN"/>
          <w14:textFill>
            <w14:solidFill>
              <w14:srgbClr w14:val="000000">
                <w14:alpha w14:val="100000"/>
              </w14:srgbClr>
            </w14:solidFill>
          </w14:textFill>
        </w:rPr>
        <w:t>|</w:t>
      </w:r>
      <w:r w:rsidRPr="00EB4A92">
        <w:rPr>
          <w:lang w:eastAsia="zh-CN"/>
        </w:rPr>
        <w:t>%), or single dose SPS/CPS (</w:t>
      </w:r>
      <w:r w:rsidR="003E2BEF" w:rsidRPr="005F4857">
        <w:rPr>
          <w:color w:val="000000"/>
          <w:w w:val="15"/>
          <w:shd w:val="solid" w:color="000000" w:fill="000000"/>
          <w:fitText w:val="-20" w:id="-1304706549"/>
          <w:lang w:eastAsia="zh-CN"/>
          <w14:textFill>
            <w14:solidFill>
              <w14:srgbClr w14:val="000000">
                <w14:alpha w14:val="100000"/>
              </w14:srgbClr>
            </w14:solidFill>
          </w14:textFill>
        </w:rPr>
        <w:t xml:space="preserve">|  </w:t>
      </w:r>
      <w:r w:rsidR="003E2BEF" w:rsidRPr="005F4857">
        <w:rPr>
          <w:color w:val="000000"/>
          <w:spacing w:val="-69"/>
          <w:w w:val="15"/>
          <w:shd w:val="solid" w:color="000000" w:fill="000000"/>
          <w:fitText w:val="-20" w:id="-1304706549"/>
          <w:lang w:eastAsia="zh-CN"/>
          <w14:textFill>
            <w14:solidFill>
              <w14:srgbClr w14:val="000000">
                <w14:alpha w14:val="100000"/>
              </w14:srgbClr>
            </w14:solidFill>
          </w14:textFill>
        </w:rPr>
        <w:t>|</w:t>
      </w:r>
      <w:r w:rsidRPr="00EB4A92">
        <w:rPr>
          <w:lang w:eastAsia="zh-CN"/>
        </w:rPr>
        <w:t>%). The proportion</w:t>
      </w:r>
      <w:r w:rsidR="00734B79" w:rsidRPr="00EB4A92">
        <w:rPr>
          <w:lang w:eastAsia="zh-CN"/>
        </w:rPr>
        <w:t xml:space="preserve"> of patiromer use replacing SPS/CPS resins may be higher in clinical practice given </w:t>
      </w:r>
      <w:r w:rsidRPr="00EB4A92">
        <w:rPr>
          <w:lang w:eastAsia="zh-CN"/>
        </w:rPr>
        <w:t xml:space="preserve">the similar mechanism of action between patiromer and SPS/CPS, which may result in preferred uptake from this group; particularly given the limited availability of subsidised treatment and high private cost associated with SPS/CPS. </w:t>
      </w:r>
      <w:r w:rsidR="000E616F" w:rsidRPr="00EB4A92">
        <w:rPr>
          <w:lang w:eastAsia="zh-CN"/>
        </w:rPr>
        <w:t xml:space="preserve">The ESC considered that it was </w:t>
      </w:r>
      <w:r w:rsidR="00485C92" w:rsidRPr="00EB4A92">
        <w:rPr>
          <w:lang w:eastAsia="zh-CN"/>
        </w:rPr>
        <w:t xml:space="preserve">not satisfactorily demonstrated that </w:t>
      </w:r>
      <w:r w:rsidR="000E616F" w:rsidRPr="00EB4A92">
        <w:rPr>
          <w:lang w:eastAsia="zh-CN"/>
        </w:rPr>
        <w:t xml:space="preserve">the price of patiromer </w:t>
      </w:r>
      <w:r w:rsidR="00485C92" w:rsidRPr="00EB4A92">
        <w:rPr>
          <w:lang w:eastAsia="zh-CN"/>
        </w:rPr>
        <w:t xml:space="preserve">should </w:t>
      </w:r>
      <w:r w:rsidR="000E616F" w:rsidRPr="00EB4A92">
        <w:rPr>
          <w:lang w:eastAsia="zh-CN"/>
        </w:rPr>
        <w:t xml:space="preserve">be derived from a weighted price </w:t>
      </w:r>
      <w:r w:rsidR="00485C92" w:rsidRPr="00EB4A92">
        <w:rPr>
          <w:lang w:eastAsia="zh-CN"/>
        </w:rPr>
        <w:t>assuming</w:t>
      </w:r>
      <w:r w:rsidR="000E616F" w:rsidRPr="00EB4A92">
        <w:rPr>
          <w:lang w:eastAsia="zh-CN"/>
        </w:rPr>
        <w:t xml:space="preserve"> </w:t>
      </w:r>
      <w:r w:rsidR="003E2BEF" w:rsidRPr="005F4857">
        <w:rPr>
          <w:color w:val="000000"/>
          <w:w w:val="15"/>
          <w:shd w:val="solid" w:color="000000" w:fill="000000"/>
          <w:fitText w:val="-20" w:id="-1304706548"/>
          <w:lang w:eastAsia="zh-CN"/>
          <w14:textFill>
            <w14:solidFill>
              <w14:srgbClr w14:val="000000">
                <w14:alpha w14:val="100000"/>
              </w14:srgbClr>
            </w14:solidFill>
          </w14:textFill>
        </w:rPr>
        <w:t xml:space="preserve">|  </w:t>
      </w:r>
      <w:r w:rsidR="003E2BEF" w:rsidRPr="005F4857">
        <w:rPr>
          <w:color w:val="000000"/>
          <w:spacing w:val="-69"/>
          <w:w w:val="15"/>
          <w:shd w:val="solid" w:color="000000" w:fill="000000"/>
          <w:fitText w:val="-20" w:id="-1304706548"/>
          <w:lang w:eastAsia="zh-CN"/>
          <w14:textFill>
            <w14:solidFill>
              <w14:srgbClr w14:val="000000">
                <w14:alpha w14:val="100000"/>
              </w14:srgbClr>
            </w14:solidFill>
          </w14:textFill>
        </w:rPr>
        <w:t>|</w:t>
      </w:r>
      <w:r w:rsidR="000E616F" w:rsidRPr="00EB4A92">
        <w:rPr>
          <w:lang w:eastAsia="zh-CN"/>
        </w:rPr>
        <w:t xml:space="preserve">% of use of patiromer will replace standard care (and be based on the CUA versus standard care) and </w:t>
      </w:r>
      <w:r w:rsidR="003E2BEF" w:rsidRPr="005F4857">
        <w:rPr>
          <w:color w:val="000000"/>
          <w:w w:val="15"/>
          <w:shd w:val="solid" w:color="000000" w:fill="000000"/>
          <w:fitText w:val="-20" w:id="-1304706547"/>
          <w:lang w:eastAsia="zh-CN"/>
          <w14:textFill>
            <w14:solidFill>
              <w14:srgbClr w14:val="000000">
                <w14:alpha w14:val="100000"/>
              </w14:srgbClr>
            </w14:solidFill>
          </w14:textFill>
        </w:rPr>
        <w:t xml:space="preserve">|  </w:t>
      </w:r>
      <w:r w:rsidR="003E2BEF" w:rsidRPr="005F4857">
        <w:rPr>
          <w:color w:val="000000"/>
          <w:spacing w:val="-69"/>
          <w:w w:val="15"/>
          <w:shd w:val="solid" w:color="000000" w:fill="000000"/>
          <w:fitText w:val="-20" w:id="-1304706547"/>
          <w:lang w:eastAsia="zh-CN"/>
          <w14:textFill>
            <w14:solidFill>
              <w14:srgbClr w14:val="000000">
                <w14:alpha w14:val="100000"/>
              </w14:srgbClr>
            </w14:solidFill>
          </w14:textFill>
        </w:rPr>
        <w:t>|</w:t>
      </w:r>
      <w:r w:rsidR="000E616F" w:rsidRPr="00EB4A92">
        <w:rPr>
          <w:lang w:eastAsia="zh-CN"/>
        </w:rPr>
        <w:t>% will replace SPS/CPS (and be based on the CMA).</w:t>
      </w:r>
      <w:r w:rsidR="000E616F" w:rsidRPr="00EB4A92">
        <w:t xml:space="preserve"> The ESC considered that it was </w:t>
      </w:r>
      <w:r w:rsidR="000E616F" w:rsidRPr="00EB4A92">
        <w:rPr>
          <w:lang w:eastAsia="zh-CN"/>
        </w:rPr>
        <w:t>unclear</w:t>
      </w:r>
      <w:r w:rsidR="000E616F" w:rsidRPr="00FF512C">
        <w:rPr>
          <w:lang w:eastAsia="zh-CN"/>
        </w:rPr>
        <w:t xml:space="preserve"> why SPS/CPS resins could not be used to treat the overall target population, and, as such, the use of two different comparators (with a weighted price, reflecting a substantially higher patiromer price for the subpopulation who would otherwise be treated with standard care) </w:t>
      </w:r>
      <w:r w:rsidR="00485C92" w:rsidRPr="00FF512C">
        <w:rPr>
          <w:lang w:eastAsia="zh-CN"/>
        </w:rPr>
        <w:t>would not be</w:t>
      </w:r>
      <w:r w:rsidR="000E616F" w:rsidRPr="00FF512C">
        <w:rPr>
          <w:lang w:eastAsia="zh-CN"/>
        </w:rPr>
        <w:t xml:space="preserve"> appropriate.</w:t>
      </w:r>
      <w:bookmarkEnd w:id="60"/>
      <w:r w:rsidR="000E616F" w:rsidRPr="00FF512C">
        <w:rPr>
          <w:lang w:eastAsia="zh-CN"/>
        </w:rPr>
        <w:t xml:space="preserve">  </w:t>
      </w:r>
    </w:p>
    <w:p w14:paraId="7CC51BD5" w14:textId="46040921" w:rsidR="00FE7043" w:rsidRPr="00FF512C" w:rsidRDefault="00FE7043" w:rsidP="00FE7043">
      <w:pPr>
        <w:pStyle w:val="COMexecsumnumberedpara"/>
        <w:numPr>
          <w:ilvl w:val="1"/>
          <w:numId w:val="1"/>
        </w:numPr>
        <w:rPr>
          <w:lang w:eastAsia="zh-CN"/>
        </w:rPr>
      </w:pPr>
      <w:r w:rsidRPr="00FF512C">
        <w:rPr>
          <w:lang w:eastAsia="zh-CN"/>
        </w:rPr>
        <w:lastRenderedPageBreak/>
        <w:t>In contrast, the budget impact model assumed a maximum uptake of patiromer of 50% from standard care patients. The survey did not ask clinicians how patiromer will be used in clinical practice.</w:t>
      </w:r>
      <w:r w:rsidR="00485C92" w:rsidRPr="00FF512C">
        <w:rPr>
          <w:lang w:eastAsia="zh-CN"/>
        </w:rPr>
        <w:t xml:space="preserve"> The ESC considered there was considerable uncertainty in the uptake and usage of patiromer.</w:t>
      </w:r>
    </w:p>
    <w:p w14:paraId="30C9A29B" w14:textId="6D377AFA" w:rsidR="00FE7043" w:rsidRPr="00FF512C" w:rsidRDefault="00FE7043" w:rsidP="00FE7043">
      <w:pPr>
        <w:pStyle w:val="COMexecsumnumberedpara"/>
        <w:numPr>
          <w:ilvl w:val="1"/>
          <w:numId w:val="1"/>
        </w:numPr>
        <w:rPr>
          <w:lang w:eastAsia="zh-CN"/>
        </w:rPr>
      </w:pPr>
      <w:r w:rsidRPr="00FF512C">
        <w:rPr>
          <w:lang w:eastAsia="zh-CN"/>
        </w:rPr>
        <w:t xml:space="preserve">The proposed price of patiromer reflects the weighted average of the prices of patiromer used in each economic evaluation, as summarised in </w:t>
      </w:r>
      <w:r w:rsidRPr="00FF512C">
        <w:rPr>
          <w:lang w:eastAsia="zh-CN"/>
        </w:rPr>
        <w:fldChar w:fldCharType="begin"/>
      </w:r>
      <w:r w:rsidRPr="00FF512C">
        <w:rPr>
          <w:lang w:eastAsia="zh-CN"/>
        </w:rPr>
        <w:instrText xml:space="preserve"> REF _Ref110952479 \h </w:instrText>
      </w:r>
      <w:r w:rsidR="00255D9E" w:rsidRPr="00FF512C">
        <w:rPr>
          <w:lang w:eastAsia="zh-CN"/>
        </w:rPr>
        <w:instrText xml:space="preserve"> \* MERGEFORMAT </w:instrText>
      </w:r>
      <w:r w:rsidRPr="00FF512C">
        <w:rPr>
          <w:lang w:eastAsia="zh-CN"/>
        </w:rPr>
      </w:r>
      <w:r w:rsidRPr="00FF512C">
        <w:rPr>
          <w:lang w:eastAsia="zh-CN"/>
        </w:rPr>
        <w:fldChar w:fldCharType="separate"/>
      </w:r>
      <w:r w:rsidR="00565456" w:rsidRPr="00565456">
        <w:t xml:space="preserve">Table </w:t>
      </w:r>
      <w:r w:rsidR="00565456" w:rsidRPr="00565456">
        <w:rPr>
          <w:noProof/>
        </w:rPr>
        <w:t>17</w:t>
      </w:r>
      <w:r w:rsidRPr="00FF512C">
        <w:rPr>
          <w:lang w:eastAsia="zh-CN"/>
        </w:rPr>
        <w:fldChar w:fldCharType="end"/>
      </w:r>
      <w:r w:rsidRPr="00FF512C">
        <w:rPr>
          <w:lang w:eastAsia="zh-CN"/>
        </w:rPr>
        <w:t>.</w:t>
      </w:r>
    </w:p>
    <w:p w14:paraId="426FE143" w14:textId="18FD0DBE" w:rsidR="00FE7043" w:rsidRPr="001159D0" w:rsidRDefault="00FE7043" w:rsidP="00E500C2">
      <w:pPr>
        <w:pStyle w:val="Caption"/>
        <w:keepLines/>
        <w:rPr>
          <w:sz w:val="20"/>
          <w:szCs w:val="20"/>
        </w:rPr>
      </w:pPr>
      <w:bookmarkStart w:id="62" w:name="_Ref110952479"/>
      <w:r w:rsidRPr="001159D0">
        <w:rPr>
          <w:sz w:val="20"/>
          <w:szCs w:val="20"/>
        </w:rPr>
        <w:t xml:space="preserve">Table </w:t>
      </w:r>
      <w:r w:rsidRPr="001159D0">
        <w:rPr>
          <w:sz w:val="20"/>
          <w:szCs w:val="20"/>
        </w:rPr>
        <w:fldChar w:fldCharType="begin"/>
      </w:r>
      <w:r w:rsidRPr="001159D0">
        <w:rPr>
          <w:sz w:val="20"/>
          <w:szCs w:val="20"/>
        </w:rPr>
        <w:instrText xml:space="preserve"> SEQ Table \* ARABIC </w:instrText>
      </w:r>
      <w:r w:rsidRPr="001159D0">
        <w:rPr>
          <w:sz w:val="20"/>
          <w:szCs w:val="20"/>
        </w:rPr>
        <w:fldChar w:fldCharType="separate"/>
      </w:r>
      <w:r w:rsidR="00565456">
        <w:rPr>
          <w:noProof/>
          <w:sz w:val="20"/>
          <w:szCs w:val="20"/>
        </w:rPr>
        <w:t>17</w:t>
      </w:r>
      <w:r w:rsidRPr="001159D0">
        <w:rPr>
          <w:sz w:val="20"/>
          <w:szCs w:val="20"/>
        </w:rPr>
        <w:fldChar w:fldCharType="end"/>
      </w:r>
      <w:bookmarkEnd w:id="62"/>
      <w:r w:rsidRPr="001159D0">
        <w:rPr>
          <w:sz w:val="20"/>
          <w:szCs w:val="20"/>
        </w:rPr>
        <w:t>: Weighted patiromer price</w:t>
      </w:r>
    </w:p>
    <w:tbl>
      <w:tblPr>
        <w:tblStyle w:val="TableGrid"/>
        <w:tblW w:w="0" w:type="auto"/>
        <w:tblLook w:val="04A0" w:firstRow="1" w:lastRow="0" w:firstColumn="1" w:lastColumn="0" w:noHBand="0" w:noVBand="1"/>
      </w:tblPr>
      <w:tblGrid>
        <w:gridCol w:w="3681"/>
        <w:gridCol w:w="2667"/>
        <w:gridCol w:w="2668"/>
      </w:tblGrid>
      <w:tr w:rsidR="00FE7043" w:rsidRPr="002F6665" w14:paraId="5A365241" w14:textId="77777777" w:rsidTr="00140D86">
        <w:tc>
          <w:tcPr>
            <w:tcW w:w="3681" w:type="dxa"/>
          </w:tcPr>
          <w:p w14:paraId="59218FB8" w14:textId="77777777" w:rsidR="00FE7043" w:rsidRPr="002F6665" w:rsidRDefault="00FE7043" w:rsidP="00E500C2">
            <w:pPr>
              <w:pStyle w:val="COMTabletext"/>
              <w:keepLines/>
            </w:pPr>
          </w:p>
        </w:tc>
        <w:tc>
          <w:tcPr>
            <w:tcW w:w="2667" w:type="dxa"/>
          </w:tcPr>
          <w:p w14:paraId="77937183" w14:textId="77777777" w:rsidR="00FE7043" w:rsidRPr="002F6665" w:rsidRDefault="00FE7043" w:rsidP="00E500C2">
            <w:pPr>
              <w:pStyle w:val="COMTabletext"/>
              <w:keepLines/>
              <w:jc w:val="center"/>
              <w:rPr>
                <w:b/>
                <w:bCs w:val="0"/>
              </w:rPr>
            </w:pPr>
            <w:r w:rsidRPr="002F6665">
              <w:rPr>
                <w:b/>
                <w:bCs w:val="0"/>
              </w:rPr>
              <w:t>Cost-effectiveness versus standard care</w:t>
            </w:r>
          </w:p>
        </w:tc>
        <w:tc>
          <w:tcPr>
            <w:tcW w:w="2668" w:type="dxa"/>
          </w:tcPr>
          <w:p w14:paraId="6E76AF77" w14:textId="77777777" w:rsidR="00FE7043" w:rsidRPr="002F6665" w:rsidRDefault="00FE7043" w:rsidP="00E500C2">
            <w:pPr>
              <w:pStyle w:val="COMTabletext"/>
              <w:keepLines/>
              <w:jc w:val="center"/>
              <w:rPr>
                <w:b/>
                <w:bCs w:val="0"/>
              </w:rPr>
            </w:pPr>
            <w:r w:rsidRPr="002F6665">
              <w:rPr>
                <w:b/>
                <w:bCs w:val="0"/>
              </w:rPr>
              <w:t>Cost-minimisation versus SPS/CPS</w:t>
            </w:r>
          </w:p>
        </w:tc>
      </w:tr>
      <w:tr w:rsidR="00FE7043" w:rsidRPr="002F6665" w14:paraId="317D450B" w14:textId="77777777" w:rsidTr="00140D86">
        <w:tc>
          <w:tcPr>
            <w:tcW w:w="3681" w:type="dxa"/>
          </w:tcPr>
          <w:p w14:paraId="70FE6259" w14:textId="77777777" w:rsidR="00FE7043" w:rsidRPr="002F6665" w:rsidRDefault="00FE7043" w:rsidP="00E500C2">
            <w:pPr>
              <w:pStyle w:val="COMTabletext"/>
              <w:keepLines/>
            </w:pPr>
            <w:r w:rsidRPr="002F6665">
              <w:t>Effective DPMQ</w:t>
            </w:r>
          </w:p>
        </w:tc>
        <w:tc>
          <w:tcPr>
            <w:tcW w:w="2667" w:type="dxa"/>
          </w:tcPr>
          <w:p w14:paraId="6A0FEF42" w14:textId="3A8C2BEE" w:rsidR="00FE7043" w:rsidRPr="002F6665" w:rsidRDefault="00FE7043" w:rsidP="00E500C2">
            <w:pPr>
              <w:pStyle w:val="COMTabletext"/>
              <w:keepLines/>
              <w:jc w:val="center"/>
            </w:pPr>
            <w:r w:rsidRPr="002F6665">
              <w:t>$</w:t>
            </w:r>
            <w:r w:rsidR="003E2BEF" w:rsidRPr="003E2BEF">
              <w:rPr>
                <w:color w:val="000000"/>
                <w:shd w:val="solid" w:color="000000" w:fill="000000"/>
                <w14:textFill>
                  <w14:solidFill>
                    <w14:srgbClr w14:val="000000">
                      <w14:alpha w14:val="100000"/>
                    </w14:srgbClr>
                  </w14:solidFill>
                </w14:textFill>
              </w:rPr>
              <w:t>|</w:t>
            </w:r>
          </w:p>
        </w:tc>
        <w:tc>
          <w:tcPr>
            <w:tcW w:w="2668" w:type="dxa"/>
          </w:tcPr>
          <w:p w14:paraId="005AABCB" w14:textId="349E354C" w:rsidR="00FE7043" w:rsidRPr="002F6665" w:rsidRDefault="00FE7043" w:rsidP="00E500C2">
            <w:pPr>
              <w:pStyle w:val="COMTabletext"/>
              <w:keepLines/>
              <w:jc w:val="center"/>
            </w:pPr>
            <w:r w:rsidRPr="002F6665">
              <w:t>$</w:t>
            </w:r>
            <w:r w:rsidR="003E2BEF" w:rsidRPr="003E2BEF">
              <w:rPr>
                <w:color w:val="000000"/>
                <w:shd w:val="solid" w:color="000000" w:fill="000000"/>
                <w14:textFill>
                  <w14:solidFill>
                    <w14:srgbClr w14:val="000000">
                      <w14:alpha w14:val="100000"/>
                    </w14:srgbClr>
                  </w14:solidFill>
                </w14:textFill>
              </w:rPr>
              <w:t>|</w:t>
            </w:r>
            <w:r w:rsidRPr="002F6665">
              <w:rPr>
                <w:vertAlign w:val="superscript"/>
              </w:rPr>
              <w:t>a</w:t>
            </w:r>
          </w:p>
        </w:tc>
      </w:tr>
      <w:tr w:rsidR="00FE7043" w:rsidRPr="002F6665" w14:paraId="373903D2" w14:textId="77777777" w:rsidTr="00140D86">
        <w:tc>
          <w:tcPr>
            <w:tcW w:w="3681" w:type="dxa"/>
          </w:tcPr>
          <w:p w14:paraId="2DCE769D" w14:textId="77777777" w:rsidR="00FE7043" w:rsidRPr="002F6665" w:rsidRDefault="00FE7043" w:rsidP="00E500C2">
            <w:pPr>
              <w:pStyle w:val="COMTabletext"/>
              <w:keepLines/>
            </w:pPr>
            <w:r w:rsidRPr="002F6665">
              <w:t>Proportion of use</w:t>
            </w:r>
            <w:r w:rsidRPr="002F6665">
              <w:rPr>
                <w:vertAlign w:val="superscript"/>
              </w:rPr>
              <w:t>b</w:t>
            </w:r>
          </w:p>
        </w:tc>
        <w:tc>
          <w:tcPr>
            <w:tcW w:w="2667" w:type="dxa"/>
          </w:tcPr>
          <w:p w14:paraId="64A92F10" w14:textId="2A64BD4F" w:rsidR="00FE7043" w:rsidRPr="00A50FEB" w:rsidRDefault="003E2BEF" w:rsidP="00E500C2">
            <w:pPr>
              <w:pStyle w:val="COMTabletext"/>
              <w:keepLines/>
              <w:jc w:val="center"/>
            </w:pPr>
            <w:r w:rsidRPr="003E2BEF">
              <w:rPr>
                <w:color w:val="000000"/>
                <w:shd w:val="solid" w:color="000000" w:fill="000000"/>
                <w14:textFill>
                  <w14:solidFill>
                    <w14:srgbClr w14:val="000000">
                      <w14:alpha w14:val="100000"/>
                    </w14:srgbClr>
                  </w14:solidFill>
                </w14:textFill>
              </w:rPr>
              <w:t>|</w:t>
            </w:r>
            <w:r w:rsidR="00FE7043" w:rsidRPr="00A50FEB">
              <w:t>%</w:t>
            </w:r>
          </w:p>
        </w:tc>
        <w:tc>
          <w:tcPr>
            <w:tcW w:w="2668" w:type="dxa"/>
          </w:tcPr>
          <w:p w14:paraId="497F6456" w14:textId="4F8B84D0" w:rsidR="00FE7043" w:rsidRPr="00A50FEB" w:rsidRDefault="003E2BEF" w:rsidP="00E500C2">
            <w:pPr>
              <w:pStyle w:val="COMTabletext"/>
              <w:keepLines/>
              <w:jc w:val="center"/>
            </w:pPr>
            <w:r w:rsidRPr="003E2BEF">
              <w:rPr>
                <w:color w:val="000000"/>
                <w:shd w:val="solid" w:color="000000" w:fill="000000"/>
                <w14:textFill>
                  <w14:solidFill>
                    <w14:srgbClr w14:val="000000">
                      <w14:alpha w14:val="100000"/>
                    </w14:srgbClr>
                  </w14:solidFill>
                </w14:textFill>
              </w:rPr>
              <w:t>|</w:t>
            </w:r>
            <w:r w:rsidR="00FE7043" w:rsidRPr="00A50FEB">
              <w:t>%</w:t>
            </w:r>
          </w:p>
        </w:tc>
      </w:tr>
      <w:tr w:rsidR="00FE7043" w:rsidRPr="002F6665" w14:paraId="482E851F" w14:textId="77777777" w:rsidTr="00140D86">
        <w:tc>
          <w:tcPr>
            <w:tcW w:w="3681" w:type="dxa"/>
          </w:tcPr>
          <w:p w14:paraId="21545B32" w14:textId="77777777" w:rsidR="00FE7043" w:rsidRPr="002F6665" w:rsidRDefault="00FE7043" w:rsidP="00E500C2">
            <w:pPr>
              <w:pStyle w:val="COMTabletext"/>
              <w:keepLines/>
            </w:pPr>
            <w:r w:rsidRPr="002F6665">
              <w:t>Weighted average (effective DPMQ)</w:t>
            </w:r>
          </w:p>
        </w:tc>
        <w:tc>
          <w:tcPr>
            <w:tcW w:w="5335" w:type="dxa"/>
            <w:gridSpan w:val="2"/>
          </w:tcPr>
          <w:p w14:paraId="3C3B40B7" w14:textId="6A3086D4" w:rsidR="00FE7043" w:rsidRPr="002F6665" w:rsidRDefault="00FE7043" w:rsidP="00E500C2">
            <w:pPr>
              <w:pStyle w:val="COMTabletext"/>
              <w:keepLines/>
              <w:jc w:val="center"/>
            </w:pPr>
            <w:r w:rsidRPr="002F6665">
              <w:t>$</w:t>
            </w:r>
            <w:r w:rsidR="003E2BEF" w:rsidRPr="003E2BEF">
              <w:rPr>
                <w:color w:val="000000"/>
                <w:shd w:val="solid" w:color="000000" w:fill="000000"/>
                <w14:textFill>
                  <w14:solidFill>
                    <w14:srgbClr w14:val="000000">
                      <w14:alpha w14:val="100000"/>
                    </w14:srgbClr>
                  </w14:solidFill>
                </w14:textFill>
              </w:rPr>
              <w:t>|</w:t>
            </w:r>
          </w:p>
        </w:tc>
      </w:tr>
    </w:tbl>
    <w:p w14:paraId="3BB5CB88" w14:textId="77777777" w:rsidR="00FE7043" w:rsidRPr="002F6665" w:rsidRDefault="00FE7043" w:rsidP="00E500C2">
      <w:pPr>
        <w:pStyle w:val="COMTablefooter"/>
        <w:keepNext/>
        <w:keepLines/>
      </w:pPr>
      <w:r w:rsidRPr="002F6665">
        <w:t>Source: Table 3.11.1, p226 of the resubmission</w:t>
      </w:r>
    </w:p>
    <w:p w14:paraId="484DEF01" w14:textId="77777777" w:rsidR="00FE7043" w:rsidRPr="002F6665" w:rsidRDefault="00FE7043" w:rsidP="00E500C2">
      <w:pPr>
        <w:pStyle w:val="COMTablefooter"/>
        <w:keepNext/>
        <w:keepLines/>
      </w:pPr>
      <w:r w:rsidRPr="002F6665">
        <w:rPr>
          <w:snapToGrid/>
        </w:rPr>
        <w:t>Abbreviations: CPS, calcium polystyrene sulfonate; DPMQ, dispensed price for maximum quantity; SPS, sodium polystyrene sulfonate.</w:t>
      </w:r>
    </w:p>
    <w:p w14:paraId="70D6E7F4" w14:textId="77777777" w:rsidR="00FE7043" w:rsidRPr="002F6665" w:rsidRDefault="00FE7043" w:rsidP="00E500C2">
      <w:pPr>
        <w:pStyle w:val="COMTablefooter"/>
        <w:keepNext/>
        <w:keepLines/>
        <w:rPr>
          <w:vertAlign w:val="superscript"/>
        </w:rPr>
      </w:pPr>
      <w:r w:rsidRPr="002F6665">
        <w:rPr>
          <w:vertAlign w:val="superscript"/>
        </w:rPr>
        <w:t>a</w:t>
      </w:r>
      <w:r w:rsidRPr="002F6665">
        <w:t xml:space="preserve"> The price derived from the cost-minimisation approach was limited to the chronic hyperkalaemia population only during the evaluation.</w:t>
      </w:r>
    </w:p>
    <w:p w14:paraId="7F8D7FBC" w14:textId="111D14D4" w:rsidR="00FE7043" w:rsidRPr="001159D0" w:rsidRDefault="00FE7043" w:rsidP="00E500C2">
      <w:pPr>
        <w:pStyle w:val="COMTablefooter"/>
        <w:keepNext/>
        <w:keepLines/>
      </w:pPr>
      <w:r w:rsidRPr="002F6665">
        <w:rPr>
          <w:vertAlign w:val="superscript"/>
        </w:rPr>
        <w:t>b</w:t>
      </w:r>
      <w:r w:rsidRPr="002F6665">
        <w:t xml:space="preserve"> Proportion of use based on sponsor-commissioned survey of treating clinicians (KOL survey 2); median response to proportion of patients not controlled on dietary modification who are offered RAASi dose reduction/</w:t>
      </w:r>
      <w:r w:rsidRPr="00A50FEB">
        <w:t>withdrawal (</w:t>
      </w:r>
      <w:r w:rsidR="003E2BEF" w:rsidRPr="003E2BEF">
        <w:rPr>
          <w:color w:val="000000"/>
          <w:spacing w:val="13"/>
          <w:shd w:val="solid" w:color="000000" w:fill="000000"/>
          <w:fitText w:val="302" w:id="-1304706546"/>
          <w14:textFill>
            <w14:solidFill>
              <w14:srgbClr w14:val="000000">
                <w14:alpha w14:val="100000"/>
              </w14:srgbClr>
            </w14:solidFill>
          </w14:textFill>
        </w:rPr>
        <w:t>||  |</w:t>
      </w:r>
      <w:r w:rsidR="003E2BEF" w:rsidRPr="003E2BEF">
        <w:rPr>
          <w:color w:val="000000"/>
          <w:spacing w:val="2"/>
          <w:shd w:val="solid" w:color="000000" w:fill="000000"/>
          <w:fitText w:val="302" w:id="-1304706546"/>
          <w14:textFill>
            <w14:solidFill>
              <w14:srgbClr w14:val="000000">
                <w14:alpha w14:val="100000"/>
              </w14:srgbClr>
            </w14:solidFill>
          </w14:textFill>
        </w:rPr>
        <w:t>|</w:t>
      </w:r>
      <w:r w:rsidRPr="00A50FEB">
        <w:t>%); or long-term (</w:t>
      </w:r>
      <w:r w:rsidR="003E2BEF" w:rsidRPr="003E2BEF">
        <w:rPr>
          <w:color w:val="000000"/>
          <w:spacing w:val="13"/>
          <w:shd w:val="solid" w:color="000000" w:fill="000000"/>
          <w:fitText w:val="302" w:id="-1304706545"/>
          <w14:textFill>
            <w14:solidFill>
              <w14:srgbClr w14:val="000000">
                <w14:alpha w14:val="100000"/>
              </w14:srgbClr>
            </w14:solidFill>
          </w14:textFill>
        </w:rPr>
        <w:t>||  |</w:t>
      </w:r>
      <w:r w:rsidR="003E2BEF" w:rsidRPr="003E2BEF">
        <w:rPr>
          <w:color w:val="000000"/>
          <w:spacing w:val="2"/>
          <w:shd w:val="solid" w:color="000000" w:fill="000000"/>
          <w:fitText w:val="302" w:id="-1304706545"/>
          <w14:textFill>
            <w14:solidFill>
              <w14:srgbClr w14:val="000000">
                <w14:alpha w14:val="100000"/>
              </w14:srgbClr>
            </w14:solidFill>
          </w14:textFill>
        </w:rPr>
        <w:t>|</w:t>
      </w:r>
      <w:r w:rsidRPr="00A50FEB">
        <w:t>%) or single-dose (</w:t>
      </w:r>
      <w:r w:rsidR="003E2BEF" w:rsidRPr="003E2BEF">
        <w:rPr>
          <w:color w:val="000000"/>
          <w:spacing w:val="15"/>
          <w:shd w:val="solid" w:color="000000" w:fill="000000"/>
          <w:fitText w:val="314" w:id="-1304706544"/>
          <w14:textFill>
            <w14:solidFill>
              <w14:srgbClr w14:val="000000">
                <w14:alpha w14:val="100000"/>
              </w14:srgbClr>
            </w14:solidFill>
          </w14:textFill>
        </w:rPr>
        <w:t>||  |</w:t>
      </w:r>
      <w:r w:rsidR="003E2BEF" w:rsidRPr="003E2BEF">
        <w:rPr>
          <w:color w:val="000000"/>
          <w:spacing w:val="4"/>
          <w:shd w:val="solid" w:color="000000" w:fill="000000"/>
          <w:fitText w:val="314" w:id="-1304706544"/>
          <w14:textFill>
            <w14:solidFill>
              <w14:srgbClr w14:val="000000">
                <w14:alpha w14:val="100000"/>
              </w14:srgbClr>
            </w14:solidFill>
          </w14:textFill>
        </w:rPr>
        <w:t>|</w:t>
      </w:r>
      <w:r w:rsidRPr="00A50FEB">
        <w:t>%) SPS/CPS.</w:t>
      </w:r>
    </w:p>
    <w:p w14:paraId="726A587D" w14:textId="586893D1" w:rsidR="00FE7043" w:rsidRPr="00FF512C" w:rsidRDefault="00FE7043" w:rsidP="00FE7043">
      <w:pPr>
        <w:pStyle w:val="COMexecsumnumberedpara"/>
        <w:numPr>
          <w:ilvl w:val="1"/>
          <w:numId w:val="1"/>
        </w:numPr>
        <w:rPr>
          <w:lang w:eastAsia="zh-CN"/>
        </w:rPr>
      </w:pPr>
      <w:r w:rsidRPr="00FF512C">
        <w:rPr>
          <w:lang w:eastAsia="zh-CN"/>
        </w:rPr>
        <w:t xml:space="preserve">The weighted average effective DPMQ calculated during the evaluation </w:t>
      </w:r>
      <w:r w:rsidR="006D3BB0" w:rsidRPr="00FF512C">
        <w:rPr>
          <w:lang w:eastAsia="zh-CN"/>
        </w:rPr>
        <w:t>wa</w:t>
      </w:r>
      <w:r w:rsidRPr="00FF512C">
        <w:rPr>
          <w:lang w:eastAsia="zh-CN"/>
        </w:rPr>
        <w:t>s $</w:t>
      </w:r>
      <w:r w:rsidR="003E2BEF" w:rsidRPr="003E2BEF">
        <w:rPr>
          <w:color w:val="000000"/>
          <w:w w:val="58"/>
          <w:shd w:val="solid" w:color="000000" w:fill="000000"/>
          <w:fitText w:val="453" w:id="-1304706560"/>
          <w:lang w:eastAsia="zh-CN"/>
          <w14:textFill>
            <w14:solidFill>
              <w14:srgbClr w14:val="000000">
                <w14:alpha w14:val="100000"/>
              </w14:srgbClr>
            </w14:solidFill>
          </w14:textFill>
        </w:rPr>
        <w:t>|||  ||</w:t>
      </w:r>
      <w:r w:rsidR="003E2BEF" w:rsidRPr="003E2BEF">
        <w:rPr>
          <w:color w:val="000000"/>
          <w:spacing w:val="6"/>
          <w:w w:val="58"/>
          <w:shd w:val="solid" w:color="000000" w:fill="000000"/>
          <w:fitText w:val="453" w:id="-1304706560"/>
          <w:lang w:eastAsia="zh-CN"/>
          <w14:textFill>
            <w14:solidFill>
              <w14:srgbClr w14:val="000000">
                <w14:alpha w14:val="100000"/>
              </w14:srgbClr>
            </w14:solidFill>
          </w14:textFill>
        </w:rPr>
        <w:t>|</w:t>
      </w:r>
      <w:r w:rsidR="00BE1A27" w:rsidRPr="00FF512C">
        <w:rPr>
          <w:lang w:eastAsia="zh-CN"/>
        </w:rPr>
        <w:t>, based on the price proposed in the resubmission</w:t>
      </w:r>
      <w:r w:rsidRPr="00FF512C">
        <w:rPr>
          <w:lang w:eastAsia="zh-CN"/>
        </w:rPr>
        <w:t xml:space="preserve">. </w:t>
      </w:r>
      <w:r w:rsidR="00BE1A27" w:rsidRPr="00FF512C">
        <w:rPr>
          <w:lang w:eastAsia="zh-CN"/>
        </w:rPr>
        <w:t xml:space="preserve">The weighted DPMQ would be </w:t>
      </w:r>
      <w:r w:rsidR="006D3BB0" w:rsidRPr="00FF512C">
        <w:rPr>
          <w:lang w:eastAsia="zh-CN"/>
        </w:rPr>
        <w:t>$</w:t>
      </w:r>
      <w:r w:rsidR="003E2BEF" w:rsidRPr="005F4857">
        <w:rPr>
          <w:color w:val="000000"/>
          <w:w w:val="15"/>
          <w:shd w:val="solid" w:color="000000" w:fill="000000"/>
          <w:fitText w:val="-20" w:id="-1304706559"/>
          <w:lang w:eastAsia="zh-CN"/>
          <w14:textFill>
            <w14:solidFill>
              <w14:srgbClr w14:val="000000">
                <w14:alpha w14:val="100000"/>
              </w14:srgbClr>
            </w14:solidFill>
          </w14:textFill>
        </w:rPr>
        <w:t xml:space="preserve">|  </w:t>
      </w:r>
      <w:r w:rsidR="003E2BEF" w:rsidRPr="005F4857">
        <w:rPr>
          <w:color w:val="000000"/>
          <w:spacing w:val="-69"/>
          <w:w w:val="15"/>
          <w:shd w:val="solid" w:color="000000" w:fill="000000"/>
          <w:fitText w:val="-20" w:id="-1304706559"/>
          <w:lang w:eastAsia="zh-CN"/>
          <w14:textFill>
            <w14:solidFill>
              <w14:srgbClr w14:val="000000">
                <w14:alpha w14:val="100000"/>
              </w14:srgbClr>
            </w14:solidFill>
          </w14:textFill>
        </w:rPr>
        <w:t>|</w:t>
      </w:r>
      <w:r w:rsidR="006D3BB0" w:rsidRPr="00FF512C">
        <w:rPr>
          <w:lang w:eastAsia="zh-CN"/>
        </w:rPr>
        <w:t xml:space="preserve"> (i.e. $1.44 lower) with serious gastrointestinal’ adverse event costs removed, per the PSCR.</w:t>
      </w:r>
    </w:p>
    <w:p w14:paraId="472842D7" w14:textId="312953DC" w:rsidR="00C25D9C" w:rsidRPr="001159D0" w:rsidRDefault="00C25D9C" w:rsidP="00BB732D">
      <w:pPr>
        <w:pStyle w:val="COMH2-non-numbered"/>
      </w:pPr>
      <w:bookmarkStart w:id="63" w:name="_Toc111818936"/>
      <w:r w:rsidRPr="001159D0">
        <w:t>Drug cost/patient</w:t>
      </w:r>
      <w:bookmarkEnd w:id="45"/>
      <w:bookmarkEnd w:id="63"/>
    </w:p>
    <w:p w14:paraId="402392A5" w14:textId="50D13F3F" w:rsidR="00733389" w:rsidRPr="001159D0" w:rsidRDefault="00733389" w:rsidP="00C87A82">
      <w:pPr>
        <w:pStyle w:val="Caption"/>
        <w:rPr>
          <w:sz w:val="20"/>
          <w:szCs w:val="20"/>
        </w:rPr>
      </w:pPr>
      <w:r w:rsidRPr="001159D0">
        <w:rPr>
          <w:sz w:val="20"/>
          <w:szCs w:val="20"/>
        </w:rPr>
        <w:t xml:space="preserve">Table </w:t>
      </w:r>
      <w:r w:rsidR="007465D7" w:rsidRPr="001159D0">
        <w:rPr>
          <w:sz w:val="20"/>
          <w:szCs w:val="20"/>
        </w:rPr>
        <w:fldChar w:fldCharType="begin"/>
      </w:r>
      <w:r w:rsidR="007465D7" w:rsidRPr="001159D0">
        <w:rPr>
          <w:sz w:val="20"/>
          <w:szCs w:val="20"/>
        </w:rPr>
        <w:instrText xml:space="preserve"> SEQ Table \* ARABIC </w:instrText>
      </w:r>
      <w:r w:rsidR="007465D7" w:rsidRPr="001159D0">
        <w:rPr>
          <w:sz w:val="20"/>
          <w:szCs w:val="20"/>
        </w:rPr>
        <w:fldChar w:fldCharType="separate"/>
      </w:r>
      <w:r w:rsidR="00565456">
        <w:rPr>
          <w:noProof/>
          <w:sz w:val="20"/>
          <w:szCs w:val="20"/>
        </w:rPr>
        <w:t>18</w:t>
      </w:r>
      <w:r w:rsidR="007465D7" w:rsidRPr="001159D0">
        <w:rPr>
          <w:sz w:val="20"/>
          <w:szCs w:val="20"/>
        </w:rPr>
        <w:fldChar w:fldCharType="end"/>
      </w:r>
      <w:r w:rsidRPr="001159D0">
        <w:rPr>
          <w:sz w:val="20"/>
          <w:szCs w:val="20"/>
        </w:rPr>
        <w:t>: Drug cost per patient for patiromer</w:t>
      </w:r>
      <w:r w:rsidR="00DF512C">
        <w:rPr>
          <w:sz w:val="20"/>
          <w:szCs w:val="20"/>
        </w:rPr>
        <w:t xml:space="preserve"> (per resubmission)</w:t>
      </w:r>
    </w:p>
    <w:tbl>
      <w:tblPr>
        <w:tblStyle w:val="TableGrid"/>
        <w:tblW w:w="0" w:type="auto"/>
        <w:tblCellMar>
          <w:left w:w="57" w:type="dxa"/>
          <w:right w:w="57" w:type="dxa"/>
        </w:tblCellMar>
        <w:tblLook w:val="04A0" w:firstRow="1" w:lastRow="0" w:firstColumn="1" w:lastColumn="0" w:noHBand="0" w:noVBand="1"/>
      </w:tblPr>
      <w:tblGrid>
        <w:gridCol w:w="1980"/>
        <w:gridCol w:w="1701"/>
        <w:gridCol w:w="1843"/>
        <w:gridCol w:w="1842"/>
        <w:gridCol w:w="1651"/>
      </w:tblGrid>
      <w:tr w:rsidR="00B51F31" w:rsidRPr="002F6665" w14:paraId="6D08A2A4" w14:textId="77777777" w:rsidTr="00B74E0E">
        <w:tc>
          <w:tcPr>
            <w:tcW w:w="1980" w:type="dxa"/>
          </w:tcPr>
          <w:p w14:paraId="561D4002" w14:textId="77777777" w:rsidR="00B51F31" w:rsidRPr="002F6665" w:rsidRDefault="00B51F31" w:rsidP="00B51F31">
            <w:pPr>
              <w:pStyle w:val="COMTableheadingrow"/>
              <w:rPr>
                <w:b w:val="0"/>
                <w:bCs/>
                <w:lang w:val="en-AU"/>
              </w:rPr>
            </w:pPr>
          </w:p>
        </w:tc>
        <w:tc>
          <w:tcPr>
            <w:tcW w:w="1701" w:type="dxa"/>
            <w:vAlign w:val="center"/>
          </w:tcPr>
          <w:p w14:paraId="3B2D5DF3" w14:textId="381ED4D2" w:rsidR="00B51F31" w:rsidRPr="002F6665" w:rsidRDefault="00B51F31" w:rsidP="00C87A82">
            <w:pPr>
              <w:pStyle w:val="COMTableheadingrow"/>
              <w:jc w:val="center"/>
              <w:rPr>
                <w:lang w:val="en-AU"/>
              </w:rPr>
            </w:pPr>
            <w:r w:rsidRPr="002F6665">
              <w:rPr>
                <w:szCs w:val="20"/>
                <w:lang w:val="en-AU"/>
              </w:rPr>
              <w:t>OPAL-HK Part B</w:t>
            </w:r>
          </w:p>
        </w:tc>
        <w:tc>
          <w:tcPr>
            <w:tcW w:w="1843" w:type="dxa"/>
            <w:vAlign w:val="center"/>
          </w:tcPr>
          <w:p w14:paraId="567A0938" w14:textId="11D7414D" w:rsidR="00B51F31" w:rsidRPr="002F6665" w:rsidRDefault="00B51F31" w:rsidP="00C87A82">
            <w:pPr>
              <w:pStyle w:val="COMTableheadingrow"/>
              <w:jc w:val="center"/>
              <w:rPr>
                <w:lang w:val="en-AU"/>
              </w:rPr>
            </w:pPr>
            <w:r w:rsidRPr="002F6665">
              <w:rPr>
                <w:szCs w:val="20"/>
                <w:lang w:val="en-AU"/>
              </w:rPr>
              <w:t>Cost effectiveness analysis</w:t>
            </w:r>
          </w:p>
        </w:tc>
        <w:tc>
          <w:tcPr>
            <w:tcW w:w="1842" w:type="dxa"/>
            <w:vAlign w:val="center"/>
          </w:tcPr>
          <w:p w14:paraId="22C0904C" w14:textId="09F0E59E" w:rsidR="00B51F31" w:rsidRPr="002F6665" w:rsidRDefault="00B51F31" w:rsidP="00C87A82">
            <w:pPr>
              <w:pStyle w:val="COMTableheadingrow"/>
              <w:jc w:val="center"/>
              <w:rPr>
                <w:lang w:val="en-AU"/>
              </w:rPr>
            </w:pPr>
            <w:r w:rsidRPr="002F6665">
              <w:rPr>
                <w:szCs w:val="20"/>
                <w:lang w:val="en-AU"/>
              </w:rPr>
              <w:t>Cost-minimisation analysis</w:t>
            </w:r>
          </w:p>
        </w:tc>
        <w:tc>
          <w:tcPr>
            <w:tcW w:w="1651" w:type="dxa"/>
            <w:vAlign w:val="center"/>
          </w:tcPr>
          <w:p w14:paraId="506C7D1D" w14:textId="79A58C2D" w:rsidR="00B51F31" w:rsidRPr="002F6665" w:rsidRDefault="00B51F31" w:rsidP="00C87A82">
            <w:pPr>
              <w:pStyle w:val="COMTableheadingrow"/>
              <w:jc w:val="center"/>
              <w:rPr>
                <w:lang w:val="en-AU"/>
              </w:rPr>
            </w:pPr>
            <w:r w:rsidRPr="002F6665">
              <w:rPr>
                <w:szCs w:val="20"/>
                <w:lang w:val="en-AU"/>
              </w:rPr>
              <w:t>Financial estimates</w:t>
            </w:r>
          </w:p>
        </w:tc>
      </w:tr>
      <w:tr w:rsidR="00B51F31" w:rsidRPr="002F6665" w14:paraId="359236AD" w14:textId="77777777" w:rsidTr="00B74E0E">
        <w:tc>
          <w:tcPr>
            <w:tcW w:w="1980" w:type="dxa"/>
            <w:vAlign w:val="center"/>
          </w:tcPr>
          <w:p w14:paraId="7F545700" w14:textId="28F40C16" w:rsidR="00B51F31" w:rsidRPr="002F6665" w:rsidRDefault="00B51F31" w:rsidP="00B51F31">
            <w:pPr>
              <w:pStyle w:val="COMTableheadingrow"/>
              <w:rPr>
                <w:b w:val="0"/>
                <w:bCs/>
                <w:lang w:val="en-AU"/>
              </w:rPr>
            </w:pPr>
            <w:r w:rsidRPr="002F6665">
              <w:rPr>
                <w:b w:val="0"/>
                <w:bCs/>
                <w:szCs w:val="20"/>
                <w:lang w:val="en-AU"/>
              </w:rPr>
              <w:t>Treatment regimen</w:t>
            </w:r>
          </w:p>
        </w:tc>
        <w:tc>
          <w:tcPr>
            <w:tcW w:w="1701" w:type="dxa"/>
            <w:vAlign w:val="center"/>
          </w:tcPr>
          <w:p w14:paraId="15E9A513" w14:textId="77777777" w:rsidR="00B51F31" w:rsidRPr="002F6665" w:rsidRDefault="00B51F31" w:rsidP="003A3A4A">
            <w:pPr>
              <w:keepNext/>
              <w:jc w:val="center"/>
              <w:rPr>
                <w:rFonts w:ascii="Arial Narrow" w:hAnsi="Arial Narrow"/>
                <w:bCs/>
                <w:sz w:val="20"/>
                <w:szCs w:val="20"/>
              </w:rPr>
            </w:pPr>
            <w:r w:rsidRPr="002F6665">
              <w:rPr>
                <w:rFonts w:ascii="Arial Narrow" w:hAnsi="Arial Narrow"/>
                <w:bCs/>
                <w:sz w:val="20"/>
                <w:szCs w:val="20"/>
              </w:rPr>
              <w:t>Median daily dose: 21.0 g/day</w:t>
            </w:r>
          </w:p>
          <w:p w14:paraId="3F6E7F2D" w14:textId="77777777" w:rsidR="00B51F31" w:rsidRPr="002F6665" w:rsidRDefault="00B51F31" w:rsidP="003A3A4A">
            <w:pPr>
              <w:keepNext/>
              <w:jc w:val="center"/>
              <w:rPr>
                <w:rFonts w:ascii="Arial Narrow" w:hAnsi="Arial Narrow"/>
                <w:bCs/>
                <w:sz w:val="20"/>
                <w:szCs w:val="20"/>
              </w:rPr>
            </w:pPr>
          </w:p>
          <w:p w14:paraId="619A8AB7" w14:textId="28C25071" w:rsidR="00B51F31" w:rsidRPr="002F6665" w:rsidRDefault="00B51F31" w:rsidP="00C87A82">
            <w:pPr>
              <w:pStyle w:val="COMTableheadingrow"/>
              <w:jc w:val="center"/>
              <w:rPr>
                <w:b w:val="0"/>
                <w:bCs/>
                <w:lang w:val="en-AU"/>
              </w:rPr>
            </w:pPr>
            <w:r w:rsidRPr="002F6665">
              <w:rPr>
                <w:b w:val="0"/>
                <w:bCs/>
                <w:szCs w:val="20"/>
                <w:lang w:val="en-AU"/>
              </w:rPr>
              <w:t>Patients with dose ≥ 25.2 g/day: 54.55%</w:t>
            </w:r>
          </w:p>
        </w:tc>
        <w:tc>
          <w:tcPr>
            <w:tcW w:w="1843" w:type="dxa"/>
            <w:vAlign w:val="center"/>
          </w:tcPr>
          <w:p w14:paraId="7D1E8868" w14:textId="7854D18F" w:rsidR="00B51F31" w:rsidRPr="002F6665" w:rsidRDefault="00B51F31" w:rsidP="003A3A4A">
            <w:pPr>
              <w:keepNext/>
              <w:jc w:val="center"/>
              <w:rPr>
                <w:rFonts w:ascii="Arial Narrow" w:hAnsi="Arial Narrow"/>
                <w:bCs/>
                <w:sz w:val="20"/>
                <w:szCs w:val="20"/>
              </w:rPr>
            </w:pPr>
            <w:r w:rsidRPr="002F6665">
              <w:rPr>
                <w:rFonts w:ascii="Arial Narrow" w:hAnsi="Arial Narrow"/>
                <w:bCs/>
                <w:sz w:val="20"/>
                <w:szCs w:val="20"/>
              </w:rPr>
              <w:t>Median daily dose: 8.4</w:t>
            </w:r>
            <w:r w:rsidR="00BE5C8B" w:rsidRPr="002F6665">
              <w:rPr>
                <w:rFonts w:ascii="Arial Narrow" w:hAnsi="Arial Narrow"/>
                <w:bCs/>
                <w:sz w:val="20"/>
                <w:szCs w:val="20"/>
              </w:rPr>
              <w:t> </w:t>
            </w:r>
            <w:r w:rsidRPr="002F6665">
              <w:rPr>
                <w:rFonts w:ascii="Arial Narrow" w:hAnsi="Arial Narrow"/>
                <w:bCs/>
                <w:sz w:val="20"/>
                <w:szCs w:val="20"/>
              </w:rPr>
              <w:t>g/day</w:t>
            </w:r>
          </w:p>
          <w:p w14:paraId="1763FB5D" w14:textId="77777777" w:rsidR="00B51F31" w:rsidRPr="002F6665" w:rsidRDefault="00B51F31" w:rsidP="003A3A4A">
            <w:pPr>
              <w:keepNext/>
              <w:jc w:val="center"/>
              <w:rPr>
                <w:rFonts w:ascii="Arial Narrow" w:hAnsi="Arial Narrow"/>
                <w:bCs/>
                <w:sz w:val="20"/>
                <w:szCs w:val="20"/>
              </w:rPr>
            </w:pPr>
          </w:p>
          <w:p w14:paraId="00C88818" w14:textId="63C7ABBF" w:rsidR="00B51F31" w:rsidRPr="002F6665" w:rsidRDefault="00B51F31" w:rsidP="00C87A82">
            <w:pPr>
              <w:pStyle w:val="COMTableheadingrow"/>
              <w:jc w:val="center"/>
              <w:rPr>
                <w:b w:val="0"/>
                <w:bCs/>
                <w:lang w:val="en-AU"/>
              </w:rPr>
            </w:pPr>
            <w:r w:rsidRPr="002F6665">
              <w:rPr>
                <w:b w:val="0"/>
                <w:bCs/>
                <w:szCs w:val="20"/>
                <w:lang w:val="en-AU"/>
              </w:rPr>
              <w:t>Patients with dose ≥ 25.2 g/day: 3.5%</w:t>
            </w:r>
          </w:p>
        </w:tc>
        <w:tc>
          <w:tcPr>
            <w:tcW w:w="1842" w:type="dxa"/>
            <w:vAlign w:val="center"/>
          </w:tcPr>
          <w:p w14:paraId="5D3D898F" w14:textId="01437885" w:rsidR="00B51F31" w:rsidRPr="002F6665" w:rsidRDefault="00B51F31" w:rsidP="003A3A4A">
            <w:pPr>
              <w:keepNext/>
              <w:jc w:val="center"/>
              <w:rPr>
                <w:rFonts w:ascii="Arial Narrow" w:hAnsi="Arial Narrow"/>
                <w:bCs/>
                <w:sz w:val="20"/>
                <w:szCs w:val="20"/>
              </w:rPr>
            </w:pPr>
            <w:r w:rsidRPr="002F6665">
              <w:rPr>
                <w:rFonts w:ascii="Arial Narrow" w:hAnsi="Arial Narrow"/>
                <w:bCs/>
                <w:sz w:val="20"/>
                <w:szCs w:val="20"/>
              </w:rPr>
              <w:t xml:space="preserve">Median daily dose: </w:t>
            </w:r>
            <w:r w:rsidR="009B4910" w:rsidRPr="002F6665">
              <w:rPr>
                <w:rFonts w:ascii="Arial Narrow" w:hAnsi="Arial Narrow"/>
                <w:bCs/>
                <w:sz w:val="20"/>
                <w:szCs w:val="20"/>
              </w:rPr>
              <w:t>6.0</w:t>
            </w:r>
            <w:r w:rsidRPr="002F6665">
              <w:rPr>
                <w:rFonts w:ascii="Arial Narrow" w:hAnsi="Arial Narrow"/>
                <w:bCs/>
                <w:sz w:val="20"/>
                <w:szCs w:val="20"/>
              </w:rPr>
              <w:t> g/day</w:t>
            </w:r>
            <w:r w:rsidRPr="002F6665">
              <w:rPr>
                <w:rFonts w:ascii="Arial Narrow" w:hAnsi="Arial Narrow"/>
                <w:bCs/>
                <w:sz w:val="20"/>
                <w:szCs w:val="20"/>
                <w:vertAlign w:val="superscript"/>
              </w:rPr>
              <w:t>a</w:t>
            </w:r>
          </w:p>
          <w:p w14:paraId="1CD31A94" w14:textId="77777777" w:rsidR="00B51F31" w:rsidRPr="002F6665" w:rsidRDefault="00B51F31" w:rsidP="003A3A4A">
            <w:pPr>
              <w:keepNext/>
              <w:jc w:val="center"/>
              <w:rPr>
                <w:rFonts w:ascii="Arial Narrow" w:hAnsi="Arial Narrow"/>
                <w:bCs/>
                <w:sz w:val="20"/>
                <w:szCs w:val="20"/>
              </w:rPr>
            </w:pPr>
          </w:p>
          <w:p w14:paraId="2819ACA1" w14:textId="2164CAA5" w:rsidR="00B51F31" w:rsidRPr="002F6665" w:rsidRDefault="00B51F31" w:rsidP="00C87A82">
            <w:pPr>
              <w:pStyle w:val="COMTableheadingrow"/>
              <w:jc w:val="center"/>
              <w:rPr>
                <w:b w:val="0"/>
                <w:bCs/>
                <w:lang w:val="en-AU"/>
              </w:rPr>
            </w:pPr>
            <w:r w:rsidRPr="002F6665">
              <w:rPr>
                <w:b w:val="0"/>
                <w:bCs/>
                <w:szCs w:val="20"/>
                <w:lang w:val="en-AU"/>
              </w:rPr>
              <w:t>Patients with dose</w:t>
            </w:r>
            <w:r w:rsidR="00C76951" w:rsidRPr="002F6665">
              <w:rPr>
                <w:b w:val="0"/>
                <w:bCs/>
                <w:szCs w:val="20"/>
                <w:lang w:val="en-AU"/>
              </w:rPr>
              <w:t xml:space="preserve"> ≥ </w:t>
            </w:r>
            <w:r w:rsidRPr="002F6665">
              <w:rPr>
                <w:b w:val="0"/>
                <w:bCs/>
                <w:szCs w:val="20"/>
                <w:lang w:val="en-AU"/>
              </w:rPr>
              <w:t>25.2 g/day: 3.5%</w:t>
            </w:r>
          </w:p>
        </w:tc>
        <w:tc>
          <w:tcPr>
            <w:tcW w:w="1651" w:type="dxa"/>
            <w:vAlign w:val="center"/>
          </w:tcPr>
          <w:p w14:paraId="074CD55C" w14:textId="77777777" w:rsidR="00B51F31" w:rsidRPr="002F6665" w:rsidRDefault="00B51F31" w:rsidP="003A3A4A">
            <w:pPr>
              <w:keepNext/>
              <w:jc w:val="center"/>
              <w:rPr>
                <w:rFonts w:ascii="Arial Narrow" w:hAnsi="Arial Narrow"/>
                <w:bCs/>
                <w:sz w:val="20"/>
                <w:szCs w:val="20"/>
              </w:rPr>
            </w:pPr>
            <w:r w:rsidRPr="002F6665">
              <w:rPr>
                <w:rFonts w:ascii="Arial Narrow" w:hAnsi="Arial Narrow"/>
                <w:bCs/>
                <w:sz w:val="20"/>
                <w:szCs w:val="20"/>
              </w:rPr>
              <w:t>Median daily dose: 8.4 g/day</w:t>
            </w:r>
          </w:p>
          <w:p w14:paraId="29A1F0DB" w14:textId="77777777" w:rsidR="00B51F31" w:rsidRPr="002F6665" w:rsidRDefault="00B51F31" w:rsidP="003A3A4A">
            <w:pPr>
              <w:keepNext/>
              <w:jc w:val="center"/>
              <w:rPr>
                <w:rFonts w:ascii="Arial Narrow" w:hAnsi="Arial Narrow"/>
                <w:bCs/>
                <w:sz w:val="20"/>
                <w:szCs w:val="20"/>
              </w:rPr>
            </w:pPr>
          </w:p>
          <w:p w14:paraId="7C0060E5" w14:textId="343C56CD" w:rsidR="00B51F31" w:rsidRPr="002F6665" w:rsidRDefault="00B51F31" w:rsidP="00C87A82">
            <w:pPr>
              <w:pStyle w:val="COMTableheadingrow"/>
              <w:jc w:val="center"/>
              <w:rPr>
                <w:b w:val="0"/>
                <w:bCs/>
                <w:lang w:val="en-AU"/>
              </w:rPr>
            </w:pPr>
            <w:r w:rsidRPr="002F6665">
              <w:rPr>
                <w:b w:val="0"/>
                <w:bCs/>
                <w:szCs w:val="20"/>
                <w:lang w:val="en-AU"/>
              </w:rPr>
              <w:t xml:space="preserve">Patients with dose </w:t>
            </w:r>
            <w:r w:rsidR="00C76951" w:rsidRPr="002F6665">
              <w:rPr>
                <w:b w:val="0"/>
                <w:bCs/>
                <w:szCs w:val="20"/>
                <w:lang w:val="en-AU"/>
              </w:rPr>
              <w:t>≥ </w:t>
            </w:r>
            <w:r w:rsidRPr="002F6665">
              <w:rPr>
                <w:b w:val="0"/>
                <w:bCs/>
                <w:szCs w:val="20"/>
                <w:lang w:val="en-AU"/>
              </w:rPr>
              <w:t>25.2 g/day: 3.5%</w:t>
            </w:r>
          </w:p>
        </w:tc>
      </w:tr>
      <w:tr w:rsidR="00B51F31" w:rsidRPr="002F6665" w14:paraId="5E1EF773" w14:textId="77777777" w:rsidTr="00B74E0E">
        <w:tc>
          <w:tcPr>
            <w:tcW w:w="1980" w:type="dxa"/>
            <w:vAlign w:val="center"/>
          </w:tcPr>
          <w:p w14:paraId="45486849" w14:textId="35807A6A" w:rsidR="00B51F31" w:rsidRPr="002F6665" w:rsidRDefault="00B51F31" w:rsidP="00B51F31">
            <w:pPr>
              <w:pStyle w:val="COMTableheadingrow"/>
              <w:rPr>
                <w:b w:val="0"/>
                <w:bCs/>
                <w:lang w:val="en-AU"/>
              </w:rPr>
            </w:pPr>
            <w:r w:rsidRPr="002F6665">
              <w:rPr>
                <w:b w:val="0"/>
                <w:bCs/>
                <w:szCs w:val="20"/>
                <w:lang w:val="en-AU"/>
              </w:rPr>
              <w:t>Adherence rate</w:t>
            </w:r>
          </w:p>
        </w:tc>
        <w:tc>
          <w:tcPr>
            <w:tcW w:w="1701" w:type="dxa"/>
            <w:vAlign w:val="center"/>
          </w:tcPr>
          <w:p w14:paraId="05D57F68" w14:textId="0EEF3ACD" w:rsidR="00B51F31" w:rsidRPr="002F6665" w:rsidRDefault="00B51F31" w:rsidP="00C87A82">
            <w:pPr>
              <w:pStyle w:val="COMTableheadingrow"/>
              <w:jc w:val="center"/>
              <w:rPr>
                <w:b w:val="0"/>
                <w:bCs/>
                <w:lang w:val="en-AU"/>
              </w:rPr>
            </w:pPr>
            <w:r w:rsidRPr="002F6665">
              <w:rPr>
                <w:b w:val="0"/>
                <w:bCs/>
                <w:szCs w:val="20"/>
                <w:lang w:val="en-AU"/>
              </w:rPr>
              <w:t>101%</w:t>
            </w:r>
          </w:p>
        </w:tc>
        <w:tc>
          <w:tcPr>
            <w:tcW w:w="1843" w:type="dxa"/>
            <w:vAlign w:val="center"/>
          </w:tcPr>
          <w:p w14:paraId="6A8565D0" w14:textId="0AAF8465" w:rsidR="00B51F31" w:rsidRPr="002F6665" w:rsidRDefault="00B51F31" w:rsidP="00C87A82">
            <w:pPr>
              <w:pStyle w:val="COMTableheadingrow"/>
              <w:jc w:val="center"/>
              <w:rPr>
                <w:b w:val="0"/>
                <w:bCs/>
                <w:lang w:val="en-AU"/>
              </w:rPr>
            </w:pPr>
            <w:r w:rsidRPr="002F6665">
              <w:rPr>
                <w:b w:val="0"/>
                <w:bCs/>
                <w:szCs w:val="20"/>
                <w:lang w:val="en-AU"/>
              </w:rPr>
              <w:t>100%</w:t>
            </w:r>
          </w:p>
        </w:tc>
        <w:tc>
          <w:tcPr>
            <w:tcW w:w="1842" w:type="dxa"/>
            <w:vAlign w:val="center"/>
          </w:tcPr>
          <w:p w14:paraId="1A9FBCC6" w14:textId="0A76D9D5" w:rsidR="00B51F31" w:rsidRPr="002F6665" w:rsidRDefault="00B51F31" w:rsidP="00C87A82">
            <w:pPr>
              <w:pStyle w:val="COMTableheadingrow"/>
              <w:jc w:val="center"/>
              <w:rPr>
                <w:b w:val="0"/>
                <w:bCs/>
                <w:lang w:val="en-AU"/>
              </w:rPr>
            </w:pPr>
            <w:r w:rsidRPr="002F6665">
              <w:rPr>
                <w:b w:val="0"/>
                <w:bCs/>
                <w:szCs w:val="20"/>
                <w:lang w:val="en-AU"/>
              </w:rPr>
              <w:t>70%</w:t>
            </w:r>
          </w:p>
        </w:tc>
        <w:tc>
          <w:tcPr>
            <w:tcW w:w="1651" w:type="dxa"/>
            <w:vAlign w:val="center"/>
          </w:tcPr>
          <w:p w14:paraId="7D19B418" w14:textId="0C8F6A44" w:rsidR="00B51F31" w:rsidRPr="002F6665" w:rsidRDefault="00B51F31" w:rsidP="00C87A82">
            <w:pPr>
              <w:pStyle w:val="COMTableheadingrow"/>
              <w:jc w:val="center"/>
              <w:rPr>
                <w:b w:val="0"/>
                <w:bCs/>
                <w:lang w:val="en-AU"/>
              </w:rPr>
            </w:pPr>
            <w:r w:rsidRPr="002F6665">
              <w:rPr>
                <w:b w:val="0"/>
                <w:bCs/>
                <w:szCs w:val="20"/>
                <w:lang w:val="en-AU"/>
              </w:rPr>
              <w:t>96.4%</w:t>
            </w:r>
          </w:p>
        </w:tc>
      </w:tr>
      <w:tr w:rsidR="00B51F31" w:rsidRPr="002F6665" w14:paraId="671D9FB8" w14:textId="77777777" w:rsidTr="00B74E0E">
        <w:tc>
          <w:tcPr>
            <w:tcW w:w="1980" w:type="dxa"/>
            <w:vAlign w:val="center"/>
          </w:tcPr>
          <w:p w14:paraId="6507E4FF" w14:textId="1CE506DB" w:rsidR="00B51F31" w:rsidRPr="002F6665" w:rsidRDefault="00B51F31" w:rsidP="00B51F31">
            <w:pPr>
              <w:pStyle w:val="COMTableheadingrow"/>
              <w:rPr>
                <w:b w:val="0"/>
                <w:bCs/>
                <w:lang w:val="en-AU"/>
              </w:rPr>
            </w:pPr>
            <w:r w:rsidRPr="002F6665">
              <w:rPr>
                <w:b w:val="0"/>
                <w:bCs/>
                <w:szCs w:val="20"/>
                <w:lang w:val="en-AU"/>
              </w:rPr>
              <w:t>Duration of therapy</w:t>
            </w:r>
          </w:p>
        </w:tc>
        <w:tc>
          <w:tcPr>
            <w:tcW w:w="1701" w:type="dxa"/>
            <w:vAlign w:val="center"/>
          </w:tcPr>
          <w:p w14:paraId="7AE8EBE4" w14:textId="0368EA68" w:rsidR="00B51F31" w:rsidRPr="002F6665" w:rsidRDefault="00B51F31" w:rsidP="00C87A82">
            <w:pPr>
              <w:pStyle w:val="COMTableheadingrow"/>
              <w:jc w:val="center"/>
              <w:rPr>
                <w:b w:val="0"/>
                <w:bCs/>
                <w:lang w:val="en-AU"/>
              </w:rPr>
            </w:pPr>
            <w:r w:rsidRPr="002F6665">
              <w:rPr>
                <w:b w:val="0"/>
                <w:bCs/>
                <w:szCs w:val="20"/>
                <w:lang w:val="en-AU"/>
              </w:rPr>
              <w:t>8 weeks</w:t>
            </w:r>
          </w:p>
        </w:tc>
        <w:tc>
          <w:tcPr>
            <w:tcW w:w="1843" w:type="dxa"/>
            <w:vAlign w:val="center"/>
          </w:tcPr>
          <w:p w14:paraId="54AE8130" w14:textId="39863221" w:rsidR="00B51F31" w:rsidRPr="002F6665" w:rsidRDefault="00B51F31" w:rsidP="00C87A82">
            <w:pPr>
              <w:pStyle w:val="COMTableheadingrow"/>
              <w:jc w:val="center"/>
              <w:rPr>
                <w:b w:val="0"/>
                <w:bCs/>
                <w:lang w:val="en-AU"/>
              </w:rPr>
            </w:pPr>
            <w:r w:rsidRPr="002F6665">
              <w:rPr>
                <w:b w:val="0"/>
                <w:bCs/>
                <w:szCs w:val="20"/>
                <w:lang w:val="en-AU"/>
              </w:rPr>
              <w:t>11.33 months</w:t>
            </w:r>
          </w:p>
        </w:tc>
        <w:tc>
          <w:tcPr>
            <w:tcW w:w="1842" w:type="dxa"/>
            <w:vAlign w:val="center"/>
          </w:tcPr>
          <w:p w14:paraId="459EF5EA" w14:textId="6C3E009D" w:rsidR="00B51F31" w:rsidRPr="002F6665" w:rsidRDefault="00B51F31" w:rsidP="00C87A82">
            <w:pPr>
              <w:pStyle w:val="COMTableheadingrow"/>
              <w:jc w:val="center"/>
              <w:rPr>
                <w:b w:val="0"/>
                <w:bCs/>
                <w:lang w:val="en-AU"/>
              </w:rPr>
            </w:pPr>
            <w:r w:rsidRPr="002F6665">
              <w:rPr>
                <w:b w:val="0"/>
                <w:bCs/>
                <w:szCs w:val="20"/>
                <w:lang w:val="en-AU"/>
              </w:rPr>
              <w:t>16 weeks</w:t>
            </w:r>
          </w:p>
        </w:tc>
        <w:tc>
          <w:tcPr>
            <w:tcW w:w="1651" w:type="dxa"/>
            <w:vAlign w:val="center"/>
          </w:tcPr>
          <w:p w14:paraId="7E4CE5ED" w14:textId="52A507F3" w:rsidR="00B51F31" w:rsidRPr="002F6665" w:rsidRDefault="008E38E1" w:rsidP="00C87A82">
            <w:pPr>
              <w:pStyle w:val="COMTableheadingrow"/>
              <w:jc w:val="center"/>
              <w:rPr>
                <w:b w:val="0"/>
                <w:bCs/>
                <w:lang w:val="en-AU"/>
              </w:rPr>
            </w:pPr>
            <w:r w:rsidRPr="002F6665">
              <w:rPr>
                <w:b w:val="0"/>
                <w:bCs/>
                <w:szCs w:val="20"/>
                <w:lang w:val="en-AU"/>
              </w:rPr>
              <w:t>11.9 months</w:t>
            </w:r>
          </w:p>
        </w:tc>
      </w:tr>
      <w:tr w:rsidR="00B51F31" w:rsidRPr="002F6665" w14:paraId="33F66D7C" w14:textId="77777777" w:rsidTr="00B74E0E">
        <w:tc>
          <w:tcPr>
            <w:tcW w:w="1980" w:type="dxa"/>
            <w:vAlign w:val="center"/>
          </w:tcPr>
          <w:p w14:paraId="768541F6" w14:textId="1944CAF0" w:rsidR="00B51F31" w:rsidRPr="002F6665" w:rsidRDefault="00B51F31" w:rsidP="00B51F31">
            <w:pPr>
              <w:pStyle w:val="COMTableheadingrow"/>
              <w:rPr>
                <w:b w:val="0"/>
                <w:bCs/>
                <w:lang w:val="en-AU"/>
              </w:rPr>
            </w:pPr>
            <w:r w:rsidRPr="002F6665">
              <w:rPr>
                <w:b w:val="0"/>
                <w:bCs/>
                <w:szCs w:val="20"/>
                <w:lang w:val="en-AU"/>
              </w:rPr>
              <w:t>Cost per script</w:t>
            </w:r>
          </w:p>
        </w:tc>
        <w:tc>
          <w:tcPr>
            <w:tcW w:w="1701" w:type="dxa"/>
            <w:vAlign w:val="center"/>
          </w:tcPr>
          <w:p w14:paraId="71407EB0" w14:textId="7725507B" w:rsidR="00B51F31" w:rsidRPr="002F6665" w:rsidRDefault="00B51F31" w:rsidP="00C87A82">
            <w:pPr>
              <w:pStyle w:val="COMTableheadingrow"/>
              <w:jc w:val="center"/>
              <w:rPr>
                <w:b w:val="0"/>
                <w:bCs/>
                <w:lang w:val="en-AU"/>
              </w:rPr>
            </w:pPr>
            <w:r w:rsidRPr="002F6665">
              <w:rPr>
                <w:b w:val="0"/>
                <w:bCs/>
                <w:szCs w:val="20"/>
                <w:lang w:val="en-AU"/>
              </w:rPr>
              <w:t>-</w:t>
            </w:r>
          </w:p>
        </w:tc>
        <w:tc>
          <w:tcPr>
            <w:tcW w:w="1843" w:type="dxa"/>
            <w:vAlign w:val="center"/>
          </w:tcPr>
          <w:p w14:paraId="52491DBF" w14:textId="1BEAA68E" w:rsidR="00B51F31" w:rsidRPr="002F6665" w:rsidRDefault="00B51F31" w:rsidP="00C87A82">
            <w:pPr>
              <w:pStyle w:val="COMTableheadingrow"/>
              <w:jc w:val="center"/>
              <w:rPr>
                <w:b w:val="0"/>
                <w:bCs/>
                <w:lang w:val="en-AU"/>
              </w:rPr>
            </w:pPr>
            <w:r w:rsidRPr="002F6665">
              <w:rPr>
                <w:b w:val="0"/>
                <w:bCs/>
                <w:szCs w:val="20"/>
                <w:lang w:val="en-AU"/>
              </w:rPr>
              <w:t>$</w:t>
            </w:r>
            <w:r w:rsidR="003E2BEF" w:rsidRPr="003E2BEF">
              <w:rPr>
                <w:b w:val="0"/>
                <w:bCs/>
                <w:color w:val="000000"/>
                <w:szCs w:val="20"/>
                <w:shd w:val="solid" w:color="000000" w:fill="000000"/>
                <w:lang w:val="en-AU"/>
                <w14:textFill>
                  <w14:solidFill>
                    <w14:srgbClr w14:val="000000">
                      <w14:alpha w14:val="100000"/>
                    </w14:srgbClr>
                  </w14:solidFill>
                </w14:textFill>
              </w:rPr>
              <w:t>|</w:t>
            </w:r>
            <w:r w:rsidR="00356857" w:rsidRPr="002F6665">
              <w:rPr>
                <w:b w:val="0"/>
                <w:bCs/>
                <w:szCs w:val="20"/>
                <w:vertAlign w:val="superscript"/>
                <w:lang w:val="en-AU"/>
              </w:rPr>
              <w:t>b</w:t>
            </w:r>
          </w:p>
        </w:tc>
        <w:tc>
          <w:tcPr>
            <w:tcW w:w="1842" w:type="dxa"/>
            <w:vAlign w:val="center"/>
          </w:tcPr>
          <w:p w14:paraId="5A07134F" w14:textId="1361ACD1" w:rsidR="00B51F31" w:rsidRPr="002F6665" w:rsidRDefault="00914B4D" w:rsidP="00C87A82">
            <w:pPr>
              <w:pStyle w:val="COMTableheadingrow"/>
              <w:jc w:val="center"/>
              <w:rPr>
                <w:b w:val="0"/>
                <w:bCs/>
                <w:lang w:val="en-AU"/>
              </w:rPr>
            </w:pPr>
            <w:r w:rsidRPr="002F6665">
              <w:rPr>
                <w:b w:val="0"/>
                <w:bCs/>
                <w:lang w:val="en-AU"/>
              </w:rPr>
              <w:t>$</w:t>
            </w:r>
            <w:r w:rsidR="003E2BEF" w:rsidRPr="003E2BEF">
              <w:rPr>
                <w:b w:val="0"/>
                <w:bCs/>
                <w:color w:val="000000"/>
                <w:shd w:val="solid" w:color="000000" w:fill="000000"/>
                <w:lang w:val="en-AU"/>
                <w14:textFill>
                  <w14:solidFill>
                    <w14:srgbClr w14:val="000000">
                      <w14:alpha w14:val="100000"/>
                    </w14:srgbClr>
                  </w14:solidFill>
                </w14:textFill>
              </w:rPr>
              <w:t>|</w:t>
            </w:r>
            <w:r w:rsidRPr="002F6665">
              <w:rPr>
                <w:b w:val="0"/>
                <w:bCs/>
                <w:vertAlign w:val="superscript"/>
                <w:lang w:val="en-AU"/>
              </w:rPr>
              <w:t>b</w:t>
            </w:r>
            <w:r w:rsidR="0066259E" w:rsidRPr="002F6665">
              <w:rPr>
                <w:b w:val="0"/>
                <w:bCs/>
                <w:vertAlign w:val="superscript"/>
                <w:lang w:val="en-AU"/>
              </w:rPr>
              <w:t xml:space="preserve"> c</w:t>
            </w:r>
          </w:p>
        </w:tc>
        <w:tc>
          <w:tcPr>
            <w:tcW w:w="1651" w:type="dxa"/>
            <w:vAlign w:val="center"/>
          </w:tcPr>
          <w:p w14:paraId="5C7C9F41" w14:textId="52C8BCBE" w:rsidR="00B51F31" w:rsidRPr="002F6665" w:rsidRDefault="00785548" w:rsidP="00C87A82">
            <w:pPr>
              <w:pStyle w:val="COMTableheadingrow"/>
              <w:jc w:val="center"/>
              <w:rPr>
                <w:b w:val="0"/>
                <w:bCs/>
                <w:lang w:val="en-AU"/>
              </w:rPr>
            </w:pPr>
            <w:r w:rsidRPr="002F6665">
              <w:rPr>
                <w:b w:val="0"/>
                <w:bCs/>
                <w:lang w:val="en-AU"/>
              </w:rPr>
              <w:t>$</w:t>
            </w:r>
            <w:r w:rsidR="003E2BEF" w:rsidRPr="003E2BEF">
              <w:rPr>
                <w:b w:val="0"/>
                <w:bCs/>
                <w:color w:val="000000"/>
                <w:shd w:val="solid" w:color="000000" w:fill="000000"/>
                <w:lang w:val="en-AU"/>
                <w14:textFill>
                  <w14:solidFill>
                    <w14:srgbClr w14:val="000000">
                      <w14:alpha w14:val="100000"/>
                    </w14:srgbClr>
                  </w14:solidFill>
                </w14:textFill>
              </w:rPr>
              <w:t>|</w:t>
            </w:r>
          </w:p>
        </w:tc>
      </w:tr>
      <w:tr w:rsidR="00645691" w:rsidRPr="002F6665" w14:paraId="753AC4CE" w14:textId="77777777" w:rsidTr="00B74E0E">
        <w:tc>
          <w:tcPr>
            <w:tcW w:w="1980" w:type="dxa"/>
            <w:vAlign w:val="center"/>
          </w:tcPr>
          <w:p w14:paraId="0FD304F8" w14:textId="7F2A28AF" w:rsidR="00645691" w:rsidRPr="002F6665" w:rsidRDefault="00645691" w:rsidP="00645691">
            <w:pPr>
              <w:pStyle w:val="COMTableheadingrow"/>
              <w:rPr>
                <w:b w:val="0"/>
                <w:bCs/>
                <w:lang w:val="en-AU"/>
              </w:rPr>
            </w:pPr>
            <w:r w:rsidRPr="002F6665">
              <w:rPr>
                <w:b w:val="0"/>
                <w:bCs/>
                <w:szCs w:val="20"/>
                <w:lang w:val="en-AU"/>
              </w:rPr>
              <w:t>Average cost per patient</w:t>
            </w:r>
          </w:p>
        </w:tc>
        <w:tc>
          <w:tcPr>
            <w:tcW w:w="1701" w:type="dxa"/>
            <w:vAlign w:val="center"/>
          </w:tcPr>
          <w:p w14:paraId="2D72462F" w14:textId="3D767D34" w:rsidR="00645691" w:rsidRPr="002F6665" w:rsidRDefault="00645691" w:rsidP="00645691">
            <w:pPr>
              <w:pStyle w:val="COMTableheadingrow"/>
              <w:jc w:val="center"/>
              <w:rPr>
                <w:b w:val="0"/>
                <w:bCs/>
                <w:lang w:val="en-AU"/>
              </w:rPr>
            </w:pPr>
            <w:r w:rsidRPr="002F6665">
              <w:rPr>
                <w:b w:val="0"/>
                <w:bCs/>
                <w:szCs w:val="20"/>
                <w:lang w:val="en-AU"/>
              </w:rPr>
              <w:t>-</w:t>
            </w:r>
          </w:p>
        </w:tc>
        <w:tc>
          <w:tcPr>
            <w:tcW w:w="1843" w:type="dxa"/>
            <w:vAlign w:val="center"/>
          </w:tcPr>
          <w:p w14:paraId="13FB335F" w14:textId="5BBDDA27" w:rsidR="00645691" w:rsidRPr="002F6665" w:rsidRDefault="00645691" w:rsidP="00645691">
            <w:pPr>
              <w:pStyle w:val="COMTableheadingrow"/>
              <w:jc w:val="center"/>
              <w:rPr>
                <w:b w:val="0"/>
                <w:bCs/>
                <w:lang w:val="en-AU"/>
              </w:rPr>
            </w:pPr>
            <w:r w:rsidRPr="002F6665">
              <w:rPr>
                <w:b w:val="0"/>
                <w:bCs/>
                <w:szCs w:val="20"/>
                <w:lang w:val="en-AU"/>
              </w:rPr>
              <w:t>$</w:t>
            </w:r>
            <w:r w:rsidR="003E2BEF" w:rsidRPr="003E2BEF">
              <w:rPr>
                <w:b w:val="0"/>
                <w:bCs/>
                <w:color w:val="000000"/>
                <w:szCs w:val="20"/>
                <w:shd w:val="solid" w:color="000000" w:fill="000000"/>
                <w:lang w:val="en-AU"/>
                <w14:textFill>
                  <w14:solidFill>
                    <w14:srgbClr w14:val="000000">
                      <w14:alpha w14:val="100000"/>
                    </w14:srgbClr>
                  </w14:solidFill>
                </w14:textFill>
              </w:rPr>
              <w:t>|</w:t>
            </w:r>
          </w:p>
        </w:tc>
        <w:tc>
          <w:tcPr>
            <w:tcW w:w="1842" w:type="dxa"/>
            <w:vAlign w:val="center"/>
          </w:tcPr>
          <w:p w14:paraId="26EE8321" w14:textId="5B94487E" w:rsidR="00645691" w:rsidRPr="002F6665" w:rsidRDefault="00645691" w:rsidP="00645691">
            <w:pPr>
              <w:pStyle w:val="COMTableheadingrow"/>
              <w:jc w:val="center"/>
              <w:rPr>
                <w:b w:val="0"/>
                <w:bCs/>
                <w:lang w:val="en-AU"/>
              </w:rPr>
            </w:pPr>
            <w:r w:rsidRPr="002F6665">
              <w:rPr>
                <w:b w:val="0"/>
                <w:bCs/>
                <w:szCs w:val="20"/>
                <w:lang w:val="en-AU"/>
              </w:rPr>
              <w:t>$</w:t>
            </w:r>
            <w:r w:rsidR="003E2BEF" w:rsidRPr="003E2BEF">
              <w:rPr>
                <w:b w:val="0"/>
                <w:bCs/>
                <w:color w:val="000000"/>
                <w:szCs w:val="20"/>
                <w:shd w:val="solid" w:color="000000" w:fill="000000"/>
                <w:lang w:val="en-AU"/>
                <w14:textFill>
                  <w14:solidFill>
                    <w14:srgbClr w14:val="000000">
                      <w14:alpha w14:val="100000"/>
                    </w14:srgbClr>
                  </w14:solidFill>
                </w14:textFill>
              </w:rPr>
              <w:t>|</w:t>
            </w:r>
            <w:r w:rsidR="00F37852" w:rsidRPr="002F6665">
              <w:rPr>
                <w:b w:val="0"/>
                <w:bCs/>
                <w:szCs w:val="20"/>
                <w:vertAlign w:val="superscript"/>
                <w:lang w:val="en-AU"/>
              </w:rPr>
              <w:t>b</w:t>
            </w:r>
          </w:p>
        </w:tc>
        <w:tc>
          <w:tcPr>
            <w:tcW w:w="1651" w:type="dxa"/>
            <w:vAlign w:val="center"/>
          </w:tcPr>
          <w:p w14:paraId="272944A2" w14:textId="0510ED1B" w:rsidR="00645691" w:rsidRPr="002F6665" w:rsidRDefault="00CE3304" w:rsidP="00645691">
            <w:pPr>
              <w:pStyle w:val="COMTableheadingrow"/>
              <w:jc w:val="center"/>
              <w:rPr>
                <w:b w:val="0"/>
                <w:bCs/>
                <w:lang w:val="en-AU"/>
              </w:rPr>
            </w:pPr>
            <w:r w:rsidRPr="002F6665">
              <w:rPr>
                <w:b w:val="0"/>
                <w:bCs/>
                <w:szCs w:val="20"/>
                <w:lang w:val="en-AU"/>
              </w:rPr>
              <w:t>$</w:t>
            </w:r>
            <w:r w:rsidR="003E2BEF" w:rsidRPr="003E2BEF">
              <w:rPr>
                <w:b w:val="0"/>
                <w:bCs/>
                <w:color w:val="000000"/>
                <w:szCs w:val="20"/>
                <w:shd w:val="solid" w:color="000000" w:fill="000000"/>
                <w:lang w:val="en-AU"/>
                <w14:textFill>
                  <w14:solidFill>
                    <w14:srgbClr w14:val="000000">
                      <w14:alpha w14:val="100000"/>
                    </w14:srgbClr>
                  </w14:solidFill>
                </w14:textFill>
              </w:rPr>
              <w:t>|</w:t>
            </w:r>
          </w:p>
        </w:tc>
      </w:tr>
    </w:tbl>
    <w:p w14:paraId="517D3277" w14:textId="7FE58CA2" w:rsidR="00733389" w:rsidRPr="001159D0" w:rsidRDefault="00733389" w:rsidP="00645691">
      <w:pPr>
        <w:pStyle w:val="COMTablefooter"/>
      </w:pPr>
      <w:r w:rsidRPr="001159D0">
        <w:t>Source: constructed during the evaluation.</w:t>
      </w:r>
    </w:p>
    <w:p w14:paraId="24511A37" w14:textId="6674EE2D" w:rsidR="00400E87" w:rsidRPr="001159D0" w:rsidRDefault="005C02B5" w:rsidP="00400E87">
      <w:pPr>
        <w:pStyle w:val="COMTablefooter"/>
      </w:pPr>
      <w:r w:rsidRPr="001159D0">
        <w:rPr>
          <w:vertAlign w:val="superscript"/>
        </w:rPr>
        <w:t>a</w:t>
      </w:r>
      <w:r w:rsidR="00400E87" w:rsidRPr="001159D0">
        <w:t xml:space="preserve"> Median dose of </w:t>
      </w:r>
      <w:r w:rsidR="0007130A" w:rsidRPr="001159D0">
        <w:t>8.4</w:t>
      </w:r>
      <w:r w:rsidR="00400E87" w:rsidRPr="001159D0">
        <w:t xml:space="preserve"> g</w:t>
      </w:r>
      <w:r w:rsidRPr="001159D0">
        <w:t xml:space="preserve"> 5 days per week converted to equivalent daily dose (</w:t>
      </w:r>
      <w:r w:rsidR="009B4910" w:rsidRPr="001159D0">
        <w:t>8.4</w:t>
      </w:r>
      <w:r w:rsidR="00317D8D" w:rsidRPr="001159D0">
        <w:t>×5/</w:t>
      </w:r>
      <w:r w:rsidR="00CC6EDA" w:rsidRPr="001159D0">
        <w:t>7</w:t>
      </w:r>
      <w:r w:rsidRPr="001159D0">
        <w:t>)</w:t>
      </w:r>
      <w:r w:rsidR="002A202A">
        <w:t>.</w:t>
      </w:r>
    </w:p>
    <w:p w14:paraId="5C39FA85" w14:textId="350288BC" w:rsidR="0066259E" w:rsidRPr="00FF512C" w:rsidRDefault="00914B4D" w:rsidP="00645691">
      <w:pPr>
        <w:pStyle w:val="COMTablefooter"/>
      </w:pPr>
      <w:r w:rsidRPr="001159D0">
        <w:rPr>
          <w:vertAlign w:val="superscript"/>
        </w:rPr>
        <w:t>b</w:t>
      </w:r>
      <w:r w:rsidRPr="0066259E">
        <w:t xml:space="preserve"> </w:t>
      </w:r>
      <w:r w:rsidR="00356857" w:rsidRPr="0066259E">
        <w:t>The submission estimated</w:t>
      </w:r>
      <w:r w:rsidR="00356857">
        <w:t xml:space="preserve"> an overall weighted price of $</w:t>
      </w:r>
      <w:r w:rsidR="003E2BEF" w:rsidRPr="003E2BEF">
        <w:rPr>
          <w:color w:val="000000"/>
          <w:spacing w:val="13"/>
          <w:shd w:val="solid" w:color="000000" w:fill="000000"/>
          <w:fitText w:val="302" w:id="-1304706558"/>
          <w14:textFill>
            <w14:solidFill>
              <w14:srgbClr w14:val="000000">
                <w14:alpha w14:val="100000"/>
              </w14:srgbClr>
            </w14:solidFill>
          </w14:textFill>
        </w:rPr>
        <w:t>||  |</w:t>
      </w:r>
      <w:r w:rsidR="003E2BEF" w:rsidRPr="003E2BEF">
        <w:rPr>
          <w:color w:val="000000"/>
          <w:spacing w:val="2"/>
          <w:shd w:val="solid" w:color="000000" w:fill="000000"/>
          <w:fitText w:val="302" w:id="-1304706558"/>
          <w14:textFill>
            <w14:solidFill>
              <w14:srgbClr w14:val="000000">
                <w14:alpha w14:val="100000"/>
              </w14:srgbClr>
            </w14:solidFill>
          </w14:textFill>
        </w:rPr>
        <w:t>|</w:t>
      </w:r>
      <w:r w:rsidR="00356857">
        <w:t xml:space="preserve">, assuming </w:t>
      </w:r>
      <w:r w:rsidR="003E2BEF" w:rsidRPr="003E2BEF">
        <w:rPr>
          <w:color w:val="000000"/>
          <w:spacing w:val="13"/>
          <w:shd w:val="solid" w:color="000000" w:fill="000000"/>
          <w:fitText w:val="303" w:id="-1304706557"/>
          <w14:textFill>
            <w14:solidFill>
              <w14:srgbClr w14:val="000000">
                <w14:alpha w14:val="100000"/>
              </w14:srgbClr>
            </w14:solidFill>
          </w14:textFill>
        </w:rPr>
        <w:t>||  |</w:t>
      </w:r>
      <w:r w:rsidR="003E2BEF" w:rsidRPr="003E2BEF">
        <w:rPr>
          <w:color w:val="000000"/>
          <w:spacing w:val="3"/>
          <w:shd w:val="solid" w:color="000000" w:fill="000000"/>
          <w:fitText w:val="303" w:id="-1304706557"/>
          <w14:textFill>
            <w14:solidFill>
              <w14:srgbClr w14:val="000000">
                <w14:alpha w14:val="100000"/>
              </w14:srgbClr>
            </w14:solidFill>
          </w14:textFill>
        </w:rPr>
        <w:t>|</w:t>
      </w:r>
      <w:r w:rsidR="00356857" w:rsidRPr="00A50FEB">
        <w:t xml:space="preserve">% of use at the cost-effective price and </w:t>
      </w:r>
      <w:r w:rsidR="003E2BEF" w:rsidRPr="003E2BEF">
        <w:rPr>
          <w:color w:val="000000"/>
          <w:spacing w:val="13"/>
          <w:shd w:val="solid" w:color="000000" w:fill="000000"/>
          <w:fitText w:val="303" w:id="-1304706556"/>
          <w14:textFill>
            <w14:solidFill>
              <w14:srgbClr w14:val="000000">
                <w14:alpha w14:val="100000"/>
              </w14:srgbClr>
            </w14:solidFill>
          </w14:textFill>
        </w:rPr>
        <w:t>||  |</w:t>
      </w:r>
      <w:r w:rsidR="003E2BEF" w:rsidRPr="003E2BEF">
        <w:rPr>
          <w:color w:val="000000"/>
          <w:spacing w:val="3"/>
          <w:shd w:val="solid" w:color="000000" w:fill="000000"/>
          <w:fitText w:val="303" w:id="-1304706556"/>
          <w14:textFill>
            <w14:solidFill>
              <w14:srgbClr w14:val="000000">
                <w14:alpha w14:val="100000"/>
              </w14:srgbClr>
            </w14:solidFill>
          </w14:textFill>
        </w:rPr>
        <w:t>|</w:t>
      </w:r>
      <w:r w:rsidR="00356857" w:rsidRPr="00A50FEB">
        <w:t>%</w:t>
      </w:r>
      <w:r w:rsidR="00356857">
        <w:t xml:space="preserve"> at the cost-minimised price. This weighted cost per script was consistent with the estimate used in the financial</w:t>
      </w:r>
      <w:r w:rsidR="0066259E">
        <w:t xml:space="preserve"> estimates, but was inappropriately applied to unweighted estimates of treatment duration</w:t>
      </w:r>
      <w:r w:rsidR="0066259E" w:rsidRPr="00FF512C">
        <w:t>.</w:t>
      </w:r>
      <w:r w:rsidR="00C41BB6" w:rsidRPr="00FF512C">
        <w:t xml:space="preserve"> In the PSCR, </w:t>
      </w:r>
      <w:r w:rsidR="00C41BB6" w:rsidRPr="00FF512C">
        <w:rPr>
          <w:lang w:eastAsia="zh-CN"/>
        </w:rPr>
        <w:t xml:space="preserve">serious gastrointestinal adverse event costs were removed from the CMA with marginally reduced the cost per script. The table was not updated for this change. </w:t>
      </w:r>
    </w:p>
    <w:p w14:paraId="45FBD596" w14:textId="47C730EC" w:rsidR="00885CB0" w:rsidRPr="002F6665" w:rsidRDefault="0066259E" w:rsidP="00645691">
      <w:pPr>
        <w:pStyle w:val="COMTablefooter"/>
        <w:rPr>
          <w:vertAlign w:val="superscript"/>
        </w:rPr>
      </w:pPr>
      <w:r w:rsidRPr="002F6665">
        <w:rPr>
          <w:vertAlign w:val="superscript"/>
        </w:rPr>
        <w:t>c</w:t>
      </w:r>
      <w:r w:rsidRPr="002F6665">
        <w:t xml:space="preserve"> </w:t>
      </w:r>
      <w:r w:rsidR="00914B4D" w:rsidRPr="002F6665">
        <w:t xml:space="preserve">The resubmission derived a </w:t>
      </w:r>
      <w:r w:rsidR="00914B4D" w:rsidRPr="003E2BEF">
        <w:t xml:space="preserve">weighted cost-minimised price of patiromer based on the assumption that </w:t>
      </w:r>
      <w:r w:rsidR="00C87A82" w:rsidRPr="003E2BEF">
        <w:t>70% of use would be in patients with chronic hyperkalaemia and 30% in acute hyperkalaemia patients</w:t>
      </w:r>
      <w:r w:rsidR="001A170B" w:rsidRPr="003E2BEF">
        <w:t xml:space="preserve">. </w:t>
      </w:r>
      <w:r w:rsidR="00645691" w:rsidRPr="003E2BEF">
        <w:t>As t</w:t>
      </w:r>
      <w:r w:rsidR="00885CB0" w:rsidRPr="003E2BEF">
        <w:t>he inclusion of patients with acute hyperkalaemia</w:t>
      </w:r>
      <w:r w:rsidR="00885CB0" w:rsidRPr="002F6665">
        <w:t xml:space="preserve"> is inconsistent with the proposed restriction</w:t>
      </w:r>
      <w:r w:rsidR="00645691" w:rsidRPr="002F6665">
        <w:t>,</w:t>
      </w:r>
      <w:r w:rsidR="00885CB0" w:rsidRPr="002F6665">
        <w:t xml:space="preserve"> the cost-minimisation approach was limited to the chronic hyperkalaemia population only</w:t>
      </w:r>
      <w:r w:rsidR="00645691" w:rsidRPr="002F6665">
        <w:t xml:space="preserve"> during the evaluation</w:t>
      </w:r>
      <w:r w:rsidR="00885CB0" w:rsidRPr="002F6665">
        <w:t>.</w:t>
      </w:r>
      <w:r w:rsidRPr="002F6665">
        <w:t xml:space="preserve"> The revised overall weighted price calculated during the evaluation was $</w:t>
      </w:r>
      <w:r w:rsidR="003E2BEF" w:rsidRPr="003E2BEF">
        <w:rPr>
          <w:color w:val="000000"/>
          <w:spacing w:val="15"/>
          <w:shd w:val="solid" w:color="000000" w:fill="000000"/>
          <w:fitText w:val="315" w:id="-1304706555"/>
          <w14:textFill>
            <w14:solidFill>
              <w14:srgbClr w14:val="000000">
                <w14:alpha w14:val="100000"/>
              </w14:srgbClr>
            </w14:solidFill>
          </w14:textFill>
        </w:rPr>
        <w:t>||  |</w:t>
      </w:r>
      <w:r w:rsidR="003E2BEF" w:rsidRPr="003E2BEF">
        <w:rPr>
          <w:color w:val="000000"/>
          <w:spacing w:val="5"/>
          <w:shd w:val="solid" w:color="000000" w:fill="000000"/>
          <w:fitText w:val="315" w:id="-1304706555"/>
          <w14:textFill>
            <w14:solidFill>
              <w14:srgbClr w14:val="000000">
                <w14:alpha w14:val="100000"/>
              </w14:srgbClr>
            </w14:solidFill>
          </w14:textFill>
        </w:rPr>
        <w:t>|</w:t>
      </w:r>
      <w:r w:rsidRPr="002F6665">
        <w:t>.</w:t>
      </w:r>
    </w:p>
    <w:p w14:paraId="268768EF" w14:textId="38AD4F37" w:rsidR="00B60939" w:rsidRPr="001159D0" w:rsidRDefault="00B60939" w:rsidP="002B05A1">
      <w:pPr>
        <w:pStyle w:val="COMH2-non-numbered"/>
      </w:pPr>
      <w:bookmarkStart w:id="64" w:name="_Toc22897647"/>
      <w:bookmarkStart w:id="65" w:name="_Toc111818937"/>
      <w:r w:rsidRPr="001159D0">
        <w:t>Estimated PBS usage &amp; financial implications</w:t>
      </w:r>
      <w:bookmarkEnd w:id="64"/>
      <w:bookmarkEnd w:id="65"/>
    </w:p>
    <w:p w14:paraId="74DFABE7" w14:textId="693CC061" w:rsidR="002A7F4F" w:rsidRPr="001159D0" w:rsidRDefault="002A7F4F" w:rsidP="002A7F4F">
      <w:pPr>
        <w:pStyle w:val="COMexecsumnumberedpara"/>
        <w:numPr>
          <w:ilvl w:val="1"/>
          <w:numId w:val="1"/>
        </w:numPr>
      </w:pPr>
      <w:r w:rsidRPr="001159D0">
        <w:t xml:space="preserve">This submission </w:t>
      </w:r>
      <w:r w:rsidR="002F6665">
        <w:t>was not</w:t>
      </w:r>
      <w:r w:rsidRPr="001159D0">
        <w:t xml:space="preserve"> considered by DUSC</w:t>
      </w:r>
      <w:r w:rsidRPr="00072D56">
        <w:t>.</w:t>
      </w:r>
      <w:r w:rsidRPr="001159D0">
        <w:rPr>
          <w:color w:val="0070C0"/>
        </w:rPr>
        <w:t xml:space="preserve"> </w:t>
      </w:r>
      <w:r w:rsidRPr="001159D0">
        <w:t>The resubmission used an epidemiological approach to estimate the utilisation and financial impact of patiromer.</w:t>
      </w:r>
    </w:p>
    <w:p w14:paraId="43D2AAD6" w14:textId="75698FE1" w:rsidR="002A7F4F" w:rsidRDefault="002A7F4F" w:rsidP="00DC6F63">
      <w:pPr>
        <w:pStyle w:val="COMtablefigcaption"/>
      </w:pPr>
      <w:bookmarkStart w:id="66" w:name="_Ref109816607"/>
      <w:r w:rsidRPr="001159D0">
        <w:t xml:space="preserve">Table </w:t>
      </w:r>
      <w:r w:rsidR="005F4857">
        <w:fldChar w:fldCharType="begin"/>
      </w:r>
      <w:r w:rsidR="005F4857">
        <w:instrText xml:space="preserve"> SEQ Table \* ARABIC </w:instrText>
      </w:r>
      <w:r w:rsidR="005F4857">
        <w:fldChar w:fldCharType="separate"/>
      </w:r>
      <w:r w:rsidR="00565456">
        <w:rPr>
          <w:noProof/>
        </w:rPr>
        <w:t>19</w:t>
      </w:r>
      <w:r w:rsidR="005F4857">
        <w:rPr>
          <w:noProof/>
        </w:rPr>
        <w:fldChar w:fldCharType="end"/>
      </w:r>
      <w:bookmarkEnd w:id="66"/>
      <w:r w:rsidRPr="001159D0">
        <w:t>: Key inputs used to estimate the utilisation and financial impact of patiromer</w:t>
      </w:r>
    </w:p>
    <w:tbl>
      <w:tblPr>
        <w:tblStyle w:val="TableGrid"/>
        <w:tblW w:w="0" w:type="auto"/>
        <w:tblCellMar>
          <w:left w:w="28" w:type="dxa"/>
          <w:right w:w="28" w:type="dxa"/>
        </w:tblCellMar>
        <w:tblLook w:val="04A0" w:firstRow="1" w:lastRow="0" w:firstColumn="1" w:lastColumn="0" w:noHBand="0" w:noVBand="1"/>
      </w:tblPr>
      <w:tblGrid>
        <w:gridCol w:w="1413"/>
        <w:gridCol w:w="3802"/>
        <w:gridCol w:w="3802"/>
      </w:tblGrid>
      <w:tr w:rsidR="002A7F4F" w:rsidRPr="00FF512C" w14:paraId="16D7382D" w14:textId="77777777" w:rsidTr="00140D86">
        <w:trPr>
          <w:cantSplit/>
          <w:tblHeader/>
        </w:trPr>
        <w:tc>
          <w:tcPr>
            <w:tcW w:w="1413" w:type="dxa"/>
            <w:vAlign w:val="center"/>
          </w:tcPr>
          <w:p w14:paraId="03F0BF91" w14:textId="77777777" w:rsidR="002A7F4F" w:rsidRPr="00FF512C" w:rsidRDefault="002A7F4F" w:rsidP="00DC6F63">
            <w:pPr>
              <w:pStyle w:val="COMTableheadingrow"/>
              <w:widowControl w:val="0"/>
              <w:rPr>
                <w:lang w:val="en-AU"/>
              </w:rPr>
            </w:pPr>
            <w:r w:rsidRPr="00FF512C">
              <w:rPr>
                <w:lang w:val="en-AU"/>
              </w:rPr>
              <w:t>Parameter</w:t>
            </w:r>
          </w:p>
        </w:tc>
        <w:tc>
          <w:tcPr>
            <w:tcW w:w="3802" w:type="dxa"/>
            <w:vAlign w:val="center"/>
          </w:tcPr>
          <w:p w14:paraId="45F1DFC3" w14:textId="77777777" w:rsidR="002A7F4F" w:rsidRPr="00FF512C" w:rsidRDefault="002A7F4F" w:rsidP="00DC6F63">
            <w:pPr>
              <w:pStyle w:val="COMTableheadingrow"/>
              <w:widowControl w:val="0"/>
              <w:rPr>
                <w:lang w:val="en-AU"/>
              </w:rPr>
            </w:pPr>
            <w:r w:rsidRPr="00FF512C">
              <w:rPr>
                <w:lang w:val="en-AU"/>
              </w:rPr>
              <w:t>Value applied and source</w:t>
            </w:r>
          </w:p>
        </w:tc>
        <w:tc>
          <w:tcPr>
            <w:tcW w:w="3802" w:type="dxa"/>
            <w:vAlign w:val="center"/>
          </w:tcPr>
          <w:p w14:paraId="6B221D9E" w14:textId="77777777" w:rsidR="002A7F4F" w:rsidRPr="00FF512C" w:rsidRDefault="002A7F4F" w:rsidP="00DC6F63">
            <w:pPr>
              <w:pStyle w:val="COMTableheadingrow"/>
              <w:widowControl w:val="0"/>
              <w:rPr>
                <w:lang w:val="en-AU"/>
              </w:rPr>
            </w:pPr>
            <w:r w:rsidRPr="00FF512C">
              <w:rPr>
                <w:lang w:val="en-AU"/>
              </w:rPr>
              <w:t>Comment</w:t>
            </w:r>
          </w:p>
        </w:tc>
      </w:tr>
      <w:tr w:rsidR="002A7F4F" w:rsidRPr="00FF512C" w14:paraId="72CACD7D" w14:textId="77777777" w:rsidTr="00140D86">
        <w:trPr>
          <w:cantSplit/>
        </w:trPr>
        <w:tc>
          <w:tcPr>
            <w:tcW w:w="9017" w:type="dxa"/>
            <w:gridSpan w:val="3"/>
            <w:vAlign w:val="center"/>
          </w:tcPr>
          <w:p w14:paraId="5992E0E6" w14:textId="77777777" w:rsidR="002A7F4F" w:rsidRPr="00FF512C" w:rsidRDefault="002A7F4F" w:rsidP="00DC6F63">
            <w:pPr>
              <w:pStyle w:val="COMTableheadingrow"/>
              <w:rPr>
                <w:lang w:val="en-AU"/>
              </w:rPr>
            </w:pPr>
            <w:r w:rsidRPr="00FF512C">
              <w:rPr>
                <w:lang w:val="en-AU"/>
              </w:rPr>
              <w:t>Eligible population</w:t>
            </w:r>
          </w:p>
        </w:tc>
      </w:tr>
      <w:tr w:rsidR="002A7F4F" w:rsidRPr="00FF512C" w14:paraId="6030AA6B" w14:textId="77777777" w:rsidTr="00140D86">
        <w:trPr>
          <w:cantSplit/>
        </w:trPr>
        <w:tc>
          <w:tcPr>
            <w:tcW w:w="1413" w:type="dxa"/>
            <w:vAlign w:val="center"/>
          </w:tcPr>
          <w:p w14:paraId="693A30DD" w14:textId="77777777" w:rsidR="002A7F4F" w:rsidRPr="00FF512C" w:rsidRDefault="002A7F4F" w:rsidP="00DC6F63">
            <w:pPr>
              <w:pStyle w:val="COMTabletext"/>
              <w:widowControl w:val="0"/>
            </w:pPr>
            <w:r w:rsidRPr="00FF512C">
              <w:t>Prevalence of CKD Stage 3+</w:t>
            </w:r>
          </w:p>
        </w:tc>
        <w:tc>
          <w:tcPr>
            <w:tcW w:w="3802" w:type="dxa"/>
            <w:vAlign w:val="center"/>
          </w:tcPr>
          <w:p w14:paraId="7871833F" w14:textId="77777777" w:rsidR="002A7F4F" w:rsidRPr="00FF512C" w:rsidRDefault="002A7F4F" w:rsidP="00DC6F63">
            <w:pPr>
              <w:pStyle w:val="TableText0"/>
            </w:pPr>
            <w:r w:rsidRPr="00FF512C">
              <w:t>5.61% in Year 1, increasing to 6.16% in Year 6. Based on the prevalence of CKD 3-5 reported in the 2011-2012 National Health Measures Survey for all ages (4.4%, AIHW 2018). Estimates were inflated based on an annual increase of 0.11% per year.</w:t>
            </w:r>
          </w:p>
        </w:tc>
        <w:tc>
          <w:tcPr>
            <w:tcW w:w="3802" w:type="dxa"/>
            <w:vAlign w:val="center"/>
          </w:tcPr>
          <w:p w14:paraId="35C4F67B" w14:textId="5B9DC512" w:rsidR="002A7F4F" w:rsidRPr="00FF512C" w:rsidRDefault="002A7F4F" w:rsidP="00DC6F63">
            <w:pPr>
              <w:pStyle w:val="COMTabletext"/>
              <w:widowControl w:val="0"/>
            </w:pPr>
            <w:r w:rsidRPr="00FF512C">
              <w:t xml:space="preserve">The </w:t>
            </w:r>
            <w:r w:rsidR="00DF512C">
              <w:t xml:space="preserve">evaluation considered the </w:t>
            </w:r>
            <w:r w:rsidRPr="00FF512C">
              <w:t>prevalence of CKD may be underestimated given the reported estimate was for all ages, which was applied to the adult population only. CKD prevalence in the adult population is likely to be higher, with increasing rates over time due to an ageing population.</w:t>
            </w:r>
            <w:r w:rsidR="00DF512C">
              <w:t xml:space="preserve"> </w:t>
            </w:r>
          </w:p>
        </w:tc>
      </w:tr>
      <w:tr w:rsidR="002A7F4F" w:rsidRPr="00FF512C" w14:paraId="3777EB49" w14:textId="77777777" w:rsidTr="00140D86">
        <w:trPr>
          <w:cantSplit/>
        </w:trPr>
        <w:tc>
          <w:tcPr>
            <w:tcW w:w="1413" w:type="dxa"/>
            <w:vAlign w:val="center"/>
          </w:tcPr>
          <w:p w14:paraId="4606ADA0" w14:textId="77777777" w:rsidR="002A7F4F" w:rsidRPr="00FF512C" w:rsidRDefault="002A7F4F" w:rsidP="00DC6F63">
            <w:pPr>
              <w:pStyle w:val="COMTabletext"/>
              <w:keepNext w:val="0"/>
              <w:widowControl w:val="0"/>
            </w:pPr>
            <w:r w:rsidRPr="00FF512C">
              <w:t>CKD diagnosis rate</w:t>
            </w:r>
          </w:p>
        </w:tc>
        <w:tc>
          <w:tcPr>
            <w:tcW w:w="3802" w:type="dxa"/>
            <w:vAlign w:val="center"/>
          </w:tcPr>
          <w:p w14:paraId="093FBC67" w14:textId="77777777" w:rsidR="002A7F4F" w:rsidRPr="00FF512C" w:rsidRDefault="002A7F4F" w:rsidP="00DC6F63">
            <w:pPr>
              <w:pStyle w:val="COMTabletext"/>
              <w:keepNext w:val="0"/>
              <w:widowControl w:val="0"/>
            </w:pPr>
            <w:r w:rsidRPr="00FF512C">
              <w:t>10% in Year 1, increasing to 35% in Year 6. Based on CKD diagnosis rates used in the dapagliflozin submission for CKD (cited in Table 19, dapagliflozin PSD, July 2021 PBAC meeting with September 2021 Addendum and November 2021 Addendum).</w:t>
            </w:r>
          </w:p>
        </w:tc>
        <w:tc>
          <w:tcPr>
            <w:tcW w:w="3802" w:type="dxa"/>
            <w:vAlign w:val="center"/>
          </w:tcPr>
          <w:p w14:paraId="6D2B76C2" w14:textId="64873D7A" w:rsidR="002A7F4F" w:rsidRPr="00FF512C" w:rsidRDefault="002A7F4F" w:rsidP="00DC6F63">
            <w:pPr>
              <w:pStyle w:val="COMTabletext"/>
              <w:keepNext w:val="0"/>
              <w:widowControl w:val="0"/>
            </w:pPr>
            <w:r w:rsidRPr="00FF512C">
              <w:t xml:space="preserve">The resubmission cited estimates from the September 2021 consideration of dapagliflozin for CKD. At the November 2021 meeting, the PBAC suggested a rate of 50% for Year 1, increasing by 5% per year over the forward estimates (cited in Table 23, dapagliflozin PSD, July 2021 PBAC meeting with September 2021 Addendum and November 2021 Addendum). Moreover, the PBAC was considering a broader CKD population for the dapagliflozin submission. </w:t>
            </w:r>
            <w:r w:rsidR="00F56AA1">
              <w:t>The evaluation considered that d</w:t>
            </w:r>
            <w:r w:rsidRPr="00FF512C">
              <w:t>iagnosis rates in patients with biomedical markers of CKD stage 3+ are likely to be higher.</w:t>
            </w:r>
            <w:r w:rsidR="00DF512C">
              <w:t xml:space="preserve"> </w:t>
            </w:r>
          </w:p>
        </w:tc>
      </w:tr>
      <w:tr w:rsidR="002A7F4F" w:rsidRPr="00FF512C" w14:paraId="0DE58C64" w14:textId="77777777" w:rsidTr="00140D86">
        <w:trPr>
          <w:cantSplit/>
        </w:trPr>
        <w:tc>
          <w:tcPr>
            <w:tcW w:w="1413" w:type="dxa"/>
            <w:vAlign w:val="center"/>
          </w:tcPr>
          <w:p w14:paraId="0E8A1E46" w14:textId="77777777" w:rsidR="002A7F4F" w:rsidRPr="00FF512C" w:rsidRDefault="002A7F4F" w:rsidP="00DC6F63">
            <w:pPr>
              <w:pStyle w:val="COMTabletext"/>
              <w:keepNext w:val="0"/>
              <w:widowControl w:val="0"/>
            </w:pPr>
            <w:r w:rsidRPr="00FF512C">
              <w:t>Proportion with CKD Stage 3-4</w:t>
            </w:r>
          </w:p>
        </w:tc>
        <w:tc>
          <w:tcPr>
            <w:tcW w:w="3802" w:type="dxa"/>
            <w:vAlign w:val="center"/>
          </w:tcPr>
          <w:p w14:paraId="63B8133B" w14:textId="3336E238" w:rsidR="002A7F4F" w:rsidRPr="00FF512C" w:rsidRDefault="002A7F4F" w:rsidP="00DC6F63">
            <w:pPr>
              <w:pStyle w:val="COMTabletext"/>
              <w:keepNext w:val="0"/>
              <w:widowControl w:val="0"/>
            </w:pPr>
            <w:r w:rsidRPr="00FF512C">
              <w:t>98.2%. Based on a retrospective review of Australian general practice data (January 2013 to June 2017) to assess the incidence of hyperkalaemia in CKD patients using RAASi therapy as well as any changes in RAASi therapy (Jun 2019). Patients were excluded if they had a prior diagnosis of hyperkalaemia, were not on a RAASi at baseline or had end stage kidney disease. The submission used the baseline proportion of patients with recorded eGFR &lt;15</w:t>
            </w:r>
            <w:r w:rsidR="00126C75" w:rsidRPr="00FF512C">
              <w:t> mL</w:t>
            </w:r>
            <w:r w:rsidRPr="00FF512C">
              <w:t>/min/1.73m</w:t>
            </w:r>
            <w:r w:rsidRPr="00FF512C">
              <w:rPr>
                <w:vertAlign w:val="superscript"/>
              </w:rPr>
              <w:t>2</w:t>
            </w:r>
            <w:r w:rsidRPr="00FF512C">
              <w:t xml:space="preserve"> (1.8%).</w:t>
            </w:r>
          </w:p>
        </w:tc>
        <w:tc>
          <w:tcPr>
            <w:tcW w:w="3802" w:type="dxa"/>
            <w:vAlign w:val="center"/>
          </w:tcPr>
          <w:p w14:paraId="27C6BA4B" w14:textId="61B1494D" w:rsidR="002A7F4F" w:rsidRPr="00FF512C" w:rsidRDefault="002A7F4F" w:rsidP="00DC6F63">
            <w:pPr>
              <w:pStyle w:val="COMTabletext"/>
              <w:keepNext w:val="0"/>
              <w:widowControl w:val="0"/>
            </w:pPr>
            <w:r w:rsidRPr="00FF512C">
              <w:t>Th</w:t>
            </w:r>
            <w:r w:rsidR="00F56AA1">
              <w:t>e evaluation considered th</w:t>
            </w:r>
            <w:r w:rsidRPr="00FF512C">
              <w:t xml:space="preserve">is estimate may not be applicable to the broader CKD stage 3-5 population as it was based on a narrower CKD population that had recorded use of RAASi therapy at baseline and excluded those with a prior diagnosis of hyperkalaemia. The proportion of patients with CKD 5 in the Australian population is uncertain.  </w:t>
            </w:r>
          </w:p>
        </w:tc>
      </w:tr>
      <w:tr w:rsidR="002A7F4F" w:rsidRPr="00FF512C" w14:paraId="1AE76F8D" w14:textId="77777777" w:rsidTr="00140D86">
        <w:trPr>
          <w:cantSplit/>
          <w:trHeight w:val="4138"/>
        </w:trPr>
        <w:tc>
          <w:tcPr>
            <w:tcW w:w="1413" w:type="dxa"/>
            <w:vAlign w:val="center"/>
          </w:tcPr>
          <w:p w14:paraId="3A479432" w14:textId="77777777" w:rsidR="002A7F4F" w:rsidRPr="00FF512C" w:rsidRDefault="002A7F4F" w:rsidP="00DC6F63">
            <w:pPr>
              <w:pStyle w:val="COMTabletext"/>
              <w:keepNext w:val="0"/>
              <w:widowControl w:val="0"/>
            </w:pPr>
            <w:r w:rsidRPr="00FF512C">
              <w:t>Patients with &gt;1 hyperkalaemia episode in 12 months</w:t>
            </w:r>
          </w:p>
        </w:tc>
        <w:tc>
          <w:tcPr>
            <w:tcW w:w="3802" w:type="dxa"/>
            <w:vAlign w:val="center"/>
          </w:tcPr>
          <w:p w14:paraId="670D2105" w14:textId="77777777" w:rsidR="002A7F4F" w:rsidRPr="00FF512C" w:rsidRDefault="002A7F4F" w:rsidP="00DC6F63">
            <w:pPr>
              <w:pStyle w:val="COMTabletext"/>
              <w:keepNext w:val="0"/>
              <w:widowControl w:val="0"/>
            </w:pPr>
            <w:r w:rsidRPr="00FF512C">
              <w:t>1.29%. Calculated as a weighted estimate (87% x 0.9% + 13% x 3.8%) using data from two studies described below.</w:t>
            </w:r>
          </w:p>
          <w:p w14:paraId="7DB8BB5E" w14:textId="77777777" w:rsidR="002A7F4F" w:rsidRPr="00FF512C" w:rsidRDefault="002A7F4F" w:rsidP="00DC6F63">
            <w:pPr>
              <w:pStyle w:val="COMTabletext"/>
              <w:keepNext w:val="0"/>
              <w:widowControl w:val="0"/>
            </w:pPr>
          </w:p>
          <w:p w14:paraId="32F8FD56" w14:textId="703068EB" w:rsidR="002A7F4F" w:rsidRPr="00FF512C" w:rsidRDefault="002A7F4F" w:rsidP="00DC6F63">
            <w:pPr>
              <w:pStyle w:val="COMTabletext"/>
              <w:keepNext w:val="0"/>
              <w:widowControl w:val="0"/>
            </w:pPr>
            <w:r w:rsidRPr="00FF512C">
              <w:t>Sriperumbuduri 2021. A Canadian retrospective cohort study of the initial and 1-year recurrent risk of hyperkalaemia (K</w:t>
            </w:r>
            <w:r w:rsidRPr="00FF512C">
              <w:rPr>
                <w:vertAlign w:val="superscript"/>
              </w:rPr>
              <w:t>+</w:t>
            </w:r>
            <w:r w:rsidRPr="00FF512C">
              <w:t xml:space="preserve"> ≥ 5.5 mEq/L) in older adults (≥66 years old) without a recent episode of hyperkalaemia (conducted between 2008 and 2015). Patients with kidney failure (with or without renal replacement therapy) were excluded. The study reported the risk of 1 or more recurrent hyperkalaemia events of 0.9% and 3.8% in those with an eGFR of 30 to 59 and &lt;30</w:t>
            </w:r>
            <w:r w:rsidR="00126C75" w:rsidRPr="00FF512C">
              <w:t> mL</w:t>
            </w:r>
            <w:r w:rsidRPr="00FF512C">
              <w:t>/min/1.73m</w:t>
            </w:r>
            <w:r w:rsidRPr="00FF512C">
              <w:rPr>
                <w:vertAlign w:val="superscript"/>
              </w:rPr>
              <w:t>2</w:t>
            </w:r>
            <w:r w:rsidRPr="00FF512C">
              <w:t xml:space="preserve">, respectively. </w:t>
            </w:r>
          </w:p>
          <w:p w14:paraId="151B8D35" w14:textId="77777777" w:rsidR="002A7F4F" w:rsidRPr="00FF512C" w:rsidRDefault="002A7F4F" w:rsidP="00DC6F63">
            <w:pPr>
              <w:pStyle w:val="COMTabletext"/>
              <w:keepNext w:val="0"/>
              <w:widowControl w:val="0"/>
            </w:pPr>
          </w:p>
          <w:p w14:paraId="5D04F03C" w14:textId="77777777" w:rsidR="002A7F4F" w:rsidRPr="00FF512C" w:rsidRDefault="002A7F4F" w:rsidP="00DC6F63">
            <w:pPr>
              <w:pStyle w:val="COMTabletext"/>
              <w:keepNext w:val="0"/>
              <w:widowControl w:val="0"/>
            </w:pPr>
            <w:r w:rsidRPr="00FF512C">
              <w:t xml:space="preserve">Jun 2019 (as above). The distribution of CKD stage 3 and 4 patients was estimated as 87% and 13%, respectively. </w:t>
            </w:r>
          </w:p>
        </w:tc>
        <w:tc>
          <w:tcPr>
            <w:tcW w:w="3802" w:type="dxa"/>
            <w:vAlign w:val="center"/>
          </w:tcPr>
          <w:p w14:paraId="218120AA" w14:textId="334E4DDC" w:rsidR="002A7F4F" w:rsidRPr="00FF512C" w:rsidRDefault="00F56AA1" w:rsidP="00DC6F63">
            <w:pPr>
              <w:pStyle w:val="COMTabletext"/>
              <w:keepNext w:val="0"/>
              <w:widowControl w:val="0"/>
            </w:pPr>
            <w:r>
              <w:t>The evaluation considered that e</w:t>
            </w:r>
            <w:r w:rsidR="002A7F4F" w:rsidRPr="00FF512C">
              <w:t>stimates from the Sriperumbuduri study may not be applicable to the PBS population as it was based on a lower threshold of hyperkalaemia than defined in the restriction. The authors noted that the generalisability of the study may be limited due to the age restriction, the requirement for patients to have a recorded urine albumin-to-creatinine ratio (ACR), and that frequency of monitoring (potentially higher in more severe disease) may influence the detection of hyperkalaemia events.</w:t>
            </w:r>
          </w:p>
          <w:p w14:paraId="71CEDEB0" w14:textId="77777777" w:rsidR="002A7F4F" w:rsidRPr="00FF512C" w:rsidRDefault="002A7F4F" w:rsidP="00DC6F63">
            <w:pPr>
              <w:pStyle w:val="COMTabletext"/>
              <w:keepNext w:val="0"/>
              <w:widowControl w:val="0"/>
            </w:pPr>
          </w:p>
          <w:p w14:paraId="28420A56" w14:textId="77777777" w:rsidR="002A7F4F" w:rsidRPr="00FF512C" w:rsidRDefault="002A7F4F" w:rsidP="00DC6F63">
            <w:pPr>
              <w:pStyle w:val="COMTabletext"/>
              <w:keepNext w:val="0"/>
              <w:widowControl w:val="0"/>
            </w:pPr>
            <w:r w:rsidRPr="00FF512C">
              <w:t>The applicability of the Jun 2019 study may be limited as the study was based on a narrower population (see above).</w:t>
            </w:r>
          </w:p>
          <w:p w14:paraId="08935D96" w14:textId="77777777" w:rsidR="002A7F4F" w:rsidRPr="00FF512C" w:rsidRDefault="002A7F4F" w:rsidP="00DC6F63">
            <w:pPr>
              <w:pStyle w:val="COMTabletext"/>
              <w:keepNext w:val="0"/>
              <w:widowControl w:val="0"/>
            </w:pPr>
          </w:p>
          <w:p w14:paraId="1879FCE4" w14:textId="303178A9" w:rsidR="002A7F4F" w:rsidRPr="00FF512C" w:rsidRDefault="002A7F4F" w:rsidP="00DC6F63">
            <w:pPr>
              <w:pStyle w:val="COMTabletext"/>
              <w:keepNext w:val="0"/>
              <w:widowControl w:val="0"/>
            </w:pPr>
            <w:r w:rsidRPr="00FF512C">
              <w:t>The ESC previously considered the proportion of patients with incident and recurrent hyperkalaemia events is highly dependent on monitoring frequency and patient follow-up (para</w:t>
            </w:r>
            <w:r w:rsidR="0095738D" w:rsidRPr="00FF512C">
              <w:t>graph</w:t>
            </w:r>
            <w:r w:rsidRPr="00FF512C">
              <w:t xml:space="preserve"> 6.78, patiromer PSD, November 2020).</w:t>
            </w:r>
          </w:p>
        </w:tc>
      </w:tr>
      <w:tr w:rsidR="002A7F4F" w:rsidRPr="00FF512C" w14:paraId="43C25E35" w14:textId="77777777" w:rsidTr="00140D86">
        <w:trPr>
          <w:cantSplit/>
          <w:trHeight w:val="715"/>
        </w:trPr>
        <w:tc>
          <w:tcPr>
            <w:tcW w:w="1413" w:type="dxa"/>
            <w:vAlign w:val="center"/>
          </w:tcPr>
          <w:p w14:paraId="3BAF3AF5" w14:textId="77777777" w:rsidR="002A7F4F" w:rsidRPr="00FF512C" w:rsidRDefault="002A7F4F" w:rsidP="00DC6F63">
            <w:pPr>
              <w:pStyle w:val="COMTabletext"/>
              <w:keepNext w:val="0"/>
              <w:widowControl w:val="0"/>
            </w:pPr>
            <w:r w:rsidRPr="00FF512C">
              <w:t>Patients receiving ≥1 RAASi or intolerant to RAASi</w:t>
            </w:r>
          </w:p>
        </w:tc>
        <w:tc>
          <w:tcPr>
            <w:tcW w:w="3802" w:type="dxa"/>
            <w:vAlign w:val="center"/>
          </w:tcPr>
          <w:p w14:paraId="4C758E76" w14:textId="77777777" w:rsidR="002A7F4F" w:rsidRPr="00FF512C" w:rsidRDefault="002A7F4F" w:rsidP="00DC6F63">
            <w:pPr>
              <w:pStyle w:val="COMTabletext"/>
              <w:keepNext w:val="0"/>
              <w:widowControl w:val="0"/>
            </w:pPr>
            <w:r w:rsidRPr="00FF512C">
              <w:t>100%. Assumption.</w:t>
            </w:r>
          </w:p>
        </w:tc>
        <w:tc>
          <w:tcPr>
            <w:tcW w:w="3802" w:type="dxa"/>
            <w:vAlign w:val="center"/>
          </w:tcPr>
          <w:p w14:paraId="54E72D51" w14:textId="77777777" w:rsidR="002A7F4F" w:rsidRPr="00FF512C" w:rsidRDefault="002A7F4F" w:rsidP="00DC6F63">
            <w:pPr>
              <w:pStyle w:val="COMTabletext"/>
              <w:keepNext w:val="0"/>
              <w:widowControl w:val="0"/>
            </w:pPr>
            <w:r w:rsidRPr="00FF512C">
              <w:t>The basis of this assumption was unclear due to poor documentation.</w:t>
            </w:r>
          </w:p>
        </w:tc>
      </w:tr>
      <w:tr w:rsidR="002A7F4F" w:rsidRPr="00FF512C" w14:paraId="5CFE54AC" w14:textId="77777777" w:rsidTr="00140D86">
        <w:trPr>
          <w:cantSplit/>
          <w:trHeight w:val="105"/>
        </w:trPr>
        <w:tc>
          <w:tcPr>
            <w:tcW w:w="9017" w:type="dxa"/>
            <w:gridSpan w:val="3"/>
            <w:vAlign w:val="center"/>
          </w:tcPr>
          <w:p w14:paraId="12A4F2AB" w14:textId="77777777" w:rsidR="002A7F4F" w:rsidRPr="00FF512C" w:rsidRDefault="002A7F4F" w:rsidP="00DC6F63">
            <w:pPr>
              <w:pStyle w:val="COMTableheadingrow"/>
              <w:keepNext w:val="0"/>
              <w:rPr>
                <w:lang w:val="en-AU"/>
              </w:rPr>
            </w:pPr>
            <w:r w:rsidRPr="00FF512C">
              <w:rPr>
                <w:lang w:val="en-AU"/>
              </w:rPr>
              <w:t>Treatment utilisation</w:t>
            </w:r>
          </w:p>
        </w:tc>
      </w:tr>
      <w:tr w:rsidR="002A7F4F" w:rsidRPr="00FF512C" w14:paraId="27D04543" w14:textId="77777777" w:rsidTr="00140D86">
        <w:trPr>
          <w:cantSplit/>
          <w:trHeight w:val="105"/>
        </w:trPr>
        <w:tc>
          <w:tcPr>
            <w:tcW w:w="1413" w:type="dxa"/>
            <w:vAlign w:val="center"/>
          </w:tcPr>
          <w:p w14:paraId="2403406C" w14:textId="77777777" w:rsidR="002A7F4F" w:rsidRPr="00FF512C" w:rsidRDefault="002A7F4F" w:rsidP="00DC6F63">
            <w:pPr>
              <w:pStyle w:val="COMTabletext"/>
              <w:keepNext w:val="0"/>
              <w:widowControl w:val="0"/>
            </w:pPr>
            <w:r w:rsidRPr="00FF512C">
              <w:t>Uptake rate</w:t>
            </w:r>
          </w:p>
        </w:tc>
        <w:tc>
          <w:tcPr>
            <w:tcW w:w="3802" w:type="dxa"/>
            <w:vAlign w:val="center"/>
          </w:tcPr>
          <w:p w14:paraId="2BCB4554" w14:textId="17C98CC9" w:rsidR="002A7F4F" w:rsidRPr="00FF512C" w:rsidRDefault="002A7F4F" w:rsidP="00DC6F63">
            <w:pPr>
              <w:pStyle w:val="COMTabletext"/>
              <w:keepNext w:val="0"/>
              <w:widowControl w:val="0"/>
            </w:pPr>
            <w:r w:rsidRPr="00FF512C">
              <w:t>10% in Year 1, increasing to 50% in Year 6. Based on sponsor-commissioned survey of 11 Australian specialists. The responses suggest approximately 45-50% uptake.</w:t>
            </w:r>
          </w:p>
        </w:tc>
        <w:tc>
          <w:tcPr>
            <w:tcW w:w="3802" w:type="dxa"/>
            <w:vAlign w:val="center"/>
          </w:tcPr>
          <w:p w14:paraId="302F760B" w14:textId="77777777" w:rsidR="002A7F4F" w:rsidRPr="00FF512C" w:rsidRDefault="002A7F4F" w:rsidP="00DC6F63">
            <w:pPr>
              <w:pStyle w:val="COMTabletext"/>
              <w:keepNext w:val="0"/>
              <w:widowControl w:val="0"/>
            </w:pPr>
            <w:r w:rsidRPr="00FF512C">
              <w:t>The assumed rates were lower than estimated in the previous submission (60% in Year 1 increasing to 100% in Year 6).</w:t>
            </w:r>
          </w:p>
        </w:tc>
      </w:tr>
      <w:tr w:rsidR="002A7F4F" w:rsidRPr="00FF512C" w14:paraId="2EE0F340" w14:textId="77777777" w:rsidTr="00140D86">
        <w:trPr>
          <w:cantSplit/>
          <w:trHeight w:val="105"/>
        </w:trPr>
        <w:tc>
          <w:tcPr>
            <w:tcW w:w="1413" w:type="dxa"/>
            <w:vAlign w:val="center"/>
          </w:tcPr>
          <w:p w14:paraId="7BFDD6D4" w14:textId="77777777" w:rsidR="002A7F4F" w:rsidRPr="00FF512C" w:rsidRDefault="002A7F4F" w:rsidP="00DC6F63">
            <w:pPr>
              <w:pStyle w:val="COMTabletext"/>
              <w:keepNext w:val="0"/>
              <w:widowControl w:val="0"/>
            </w:pPr>
            <w:r w:rsidRPr="00FF512C">
              <w:t>Patiromer dose distribution</w:t>
            </w:r>
          </w:p>
        </w:tc>
        <w:tc>
          <w:tcPr>
            <w:tcW w:w="3802" w:type="dxa"/>
            <w:vAlign w:val="center"/>
          </w:tcPr>
          <w:p w14:paraId="70A112AB" w14:textId="5E0DB0E9" w:rsidR="00F56AA1" w:rsidRDefault="002A7F4F" w:rsidP="00DC6F63">
            <w:pPr>
              <w:pStyle w:val="COMTabletext"/>
              <w:keepNext w:val="0"/>
              <w:widowControl w:val="0"/>
            </w:pPr>
            <w:r w:rsidRPr="00FF512C">
              <w:t>8.4</w:t>
            </w:r>
            <w:r w:rsidR="00126C75" w:rsidRPr="00FF512C">
              <w:t> g</w:t>
            </w:r>
            <w:r w:rsidRPr="00FF512C">
              <w:t>: 85.71%</w:t>
            </w:r>
            <w:r w:rsidR="00F56AA1">
              <w:t>;</w:t>
            </w:r>
            <w:r w:rsidRPr="00FF512C">
              <w:t xml:space="preserve"> </w:t>
            </w:r>
          </w:p>
          <w:p w14:paraId="7742223A" w14:textId="7E95CA8D" w:rsidR="00F56AA1" w:rsidRDefault="002A7F4F" w:rsidP="00DC6F63">
            <w:pPr>
              <w:pStyle w:val="COMTabletext"/>
              <w:keepNext w:val="0"/>
              <w:widowControl w:val="0"/>
            </w:pPr>
            <w:r w:rsidRPr="00FF512C">
              <w:t>16.8</w:t>
            </w:r>
            <w:r w:rsidR="00126C75" w:rsidRPr="00FF512C">
              <w:t> g</w:t>
            </w:r>
            <w:r w:rsidRPr="00FF512C">
              <w:t>: 10.71%</w:t>
            </w:r>
            <w:r w:rsidR="00F56AA1">
              <w:t>;</w:t>
            </w:r>
            <w:r w:rsidRPr="00FF512C">
              <w:t xml:space="preserve"> and </w:t>
            </w:r>
          </w:p>
          <w:p w14:paraId="381553B0" w14:textId="3C857279" w:rsidR="00F56AA1" w:rsidRDefault="002A7F4F" w:rsidP="00DC6F63">
            <w:pPr>
              <w:pStyle w:val="COMTabletext"/>
              <w:keepNext w:val="0"/>
              <w:widowControl w:val="0"/>
            </w:pPr>
            <w:r w:rsidRPr="00FF512C">
              <w:t>25.2</w:t>
            </w:r>
            <w:r w:rsidR="00126C75" w:rsidRPr="00FF512C">
              <w:t> g</w:t>
            </w:r>
            <w:r w:rsidRPr="00FF512C">
              <w:t>: 3.57%</w:t>
            </w:r>
            <w:r w:rsidR="00F56AA1">
              <w:t xml:space="preserve"> (i.e. require two sachets per day)</w:t>
            </w:r>
            <w:r w:rsidRPr="00FF512C">
              <w:t xml:space="preserve">. </w:t>
            </w:r>
          </w:p>
          <w:p w14:paraId="54278BC2" w14:textId="538889A5" w:rsidR="002A7F4F" w:rsidRPr="00FF512C" w:rsidRDefault="002A7F4F" w:rsidP="00DC6F63">
            <w:pPr>
              <w:pStyle w:val="COMTabletext"/>
              <w:keepNext w:val="0"/>
              <w:widowControl w:val="0"/>
            </w:pPr>
            <w:r w:rsidRPr="00FF512C">
              <w:t xml:space="preserve">Based on an analysis of the sponsor’s compassionate access program (VCAP). </w:t>
            </w:r>
          </w:p>
        </w:tc>
        <w:tc>
          <w:tcPr>
            <w:tcW w:w="3802" w:type="dxa"/>
            <w:vAlign w:val="center"/>
          </w:tcPr>
          <w:p w14:paraId="0C297E5A" w14:textId="45B47264" w:rsidR="002A7F4F" w:rsidRPr="00FF512C" w:rsidRDefault="002A7F4F" w:rsidP="00DC6F63">
            <w:pPr>
              <w:pStyle w:val="COMTabletext"/>
              <w:keepNext w:val="0"/>
              <w:widowControl w:val="0"/>
            </w:pPr>
            <w:r w:rsidRPr="00FF512C">
              <w:t xml:space="preserve">The </w:t>
            </w:r>
            <w:r w:rsidR="00F56AA1">
              <w:t xml:space="preserve">evaluation considered that the </w:t>
            </w:r>
            <w:r w:rsidRPr="00FF512C">
              <w:t xml:space="preserve">applicability of these estimates was limited by the relatively small sample size (n=56), with the majority of patients (≥90%) unable to tolerate treatment with SPS/CPS. An analysis of proportion of days covered based on total number of packs of patiromer supplied was conducted during the evaluation, suggesting approximately one third of patients were potentially using higher doses of patiromer than documented. </w:t>
            </w:r>
            <w:r w:rsidR="00C41BB6" w:rsidRPr="00FF512C">
              <w:t xml:space="preserve">The PSCR argued that the resubmission’s analysis of the VCAP data was appropriate as it “relies on patient dosing as reported by treating clinicians”, and that </w:t>
            </w:r>
            <w:r w:rsidR="00AC1D6E" w:rsidRPr="00FF512C">
              <w:t xml:space="preserve">the evaluation’s analysis may have been affected by patients receiving an </w:t>
            </w:r>
            <w:r w:rsidR="00C41BB6" w:rsidRPr="00FF512C">
              <w:t>order of product at the end of the data collection period that is intended for use in the following month</w:t>
            </w:r>
            <w:r w:rsidR="00AC1D6E" w:rsidRPr="00FF512C">
              <w:t>.</w:t>
            </w:r>
            <w:r w:rsidR="005134A5" w:rsidRPr="00FF512C">
              <w:t xml:space="preserve"> However, the analysis conducted during the evaluation included an adjustment for the 3-monthly frequency of supply.</w:t>
            </w:r>
            <w:r w:rsidR="005134A5" w:rsidRPr="00FF512C">
              <w:rPr>
                <w:vertAlign w:val="superscript"/>
              </w:rPr>
              <w:t>b</w:t>
            </w:r>
            <w:r w:rsidR="005134A5" w:rsidRPr="00FF512C">
              <w:t xml:space="preserve"> </w:t>
            </w:r>
          </w:p>
        </w:tc>
      </w:tr>
      <w:tr w:rsidR="002A7F4F" w:rsidRPr="00FF512C" w14:paraId="62082D4D" w14:textId="77777777" w:rsidTr="00140D86">
        <w:trPr>
          <w:cantSplit/>
          <w:trHeight w:val="105"/>
        </w:trPr>
        <w:tc>
          <w:tcPr>
            <w:tcW w:w="1413" w:type="dxa"/>
            <w:vAlign w:val="center"/>
          </w:tcPr>
          <w:p w14:paraId="06E0ACB4" w14:textId="77777777" w:rsidR="002A7F4F" w:rsidRPr="00FF512C" w:rsidRDefault="002A7F4F" w:rsidP="00140D86">
            <w:pPr>
              <w:pStyle w:val="COMTabletext"/>
              <w:keepNext w:val="0"/>
              <w:widowControl w:val="0"/>
            </w:pPr>
            <w:r w:rsidRPr="00FF512C">
              <w:t>Patiromer treatment duration</w:t>
            </w:r>
          </w:p>
        </w:tc>
        <w:tc>
          <w:tcPr>
            <w:tcW w:w="3802" w:type="dxa"/>
            <w:vAlign w:val="center"/>
          </w:tcPr>
          <w:p w14:paraId="744E2FAF" w14:textId="77777777" w:rsidR="002A7F4F" w:rsidRPr="00FF512C" w:rsidRDefault="002A7F4F" w:rsidP="00140D86">
            <w:pPr>
              <w:pStyle w:val="COMTabletext"/>
              <w:keepNext w:val="0"/>
              <w:widowControl w:val="0"/>
            </w:pPr>
            <w:r w:rsidRPr="00FF512C">
              <w:t>11.9 months. Based on an analysis of treatment persistence from the sponsor’s patiromer compassionate access program (VCAP) (n=56, maximum follow-up 1.4 years). Assuming a constant rate of discontinuation up to 500 days (maximum follow-up), the median duration of treatment was estimated as 11.9 months.</w:t>
            </w:r>
          </w:p>
        </w:tc>
        <w:tc>
          <w:tcPr>
            <w:tcW w:w="3802" w:type="dxa"/>
            <w:vAlign w:val="center"/>
          </w:tcPr>
          <w:p w14:paraId="7688328C" w14:textId="4E48B921" w:rsidR="002A7F4F" w:rsidRPr="00FF512C" w:rsidRDefault="002A7F4F" w:rsidP="00140D86">
            <w:pPr>
              <w:pStyle w:val="COMTabletext"/>
              <w:widowControl w:val="0"/>
            </w:pPr>
            <w:r w:rsidRPr="00FF512C">
              <w:t xml:space="preserve">The </w:t>
            </w:r>
            <w:r w:rsidR="00F56AA1">
              <w:t xml:space="preserve">evaluation considered that the </w:t>
            </w:r>
            <w:r w:rsidRPr="00FF512C">
              <w:t xml:space="preserve">reliability of this estimate </w:t>
            </w:r>
            <w:r w:rsidR="00F56AA1">
              <w:t>wa</w:t>
            </w:r>
            <w:r w:rsidRPr="00FF512C">
              <w:t>s uncertain as it was based on a relatively small sample size, with few patients informing the later time points of the analysis. Treatment duration was estimated based on 3-monthly frequencies of supply that are not applicable to monthly dispensing on the PBS. This definition of ‘on treatment’ based on the VCAP program is likely to overestimate treatment duration in practice as patients can discontinue at any time.</w:t>
            </w:r>
          </w:p>
        </w:tc>
      </w:tr>
      <w:tr w:rsidR="002A7F4F" w:rsidRPr="00FF512C" w14:paraId="764CDB8D" w14:textId="77777777" w:rsidTr="00140D86">
        <w:trPr>
          <w:cantSplit/>
          <w:trHeight w:val="105"/>
        </w:trPr>
        <w:tc>
          <w:tcPr>
            <w:tcW w:w="1413" w:type="dxa"/>
            <w:vAlign w:val="center"/>
          </w:tcPr>
          <w:p w14:paraId="6EBEDA55" w14:textId="77777777" w:rsidR="002A7F4F" w:rsidRPr="00FF512C" w:rsidRDefault="002A7F4F" w:rsidP="00140D86">
            <w:pPr>
              <w:pStyle w:val="COMTabletext"/>
              <w:keepNext w:val="0"/>
              <w:widowControl w:val="0"/>
            </w:pPr>
            <w:r w:rsidRPr="00FF512C">
              <w:t>Patiromer adherence</w:t>
            </w:r>
          </w:p>
        </w:tc>
        <w:tc>
          <w:tcPr>
            <w:tcW w:w="3802" w:type="dxa"/>
            <w:vAlign w:val="center"/>
          </w:tcPr>
          <w:p w14:paraId="2ACAD648" w14:textId="77777777" w:rsidR="002A7F4F" w:rsidRPr="00FF512C" w:rsidRDefault="002A7F4F" w:rsidP="00140D86">
            <w:pPr>
              <w:pStyle w:val="COMTabletext"/>
              <w:keepNext w:val="0"/>
              <w:widowControl w:val="0"/>
            </w:pPr>
            <w:r w:rsidRPr="00FF512C">
              <w:t xml:space="preserve">96.4%. Based on adherence reported in the AMETHYST-DN trial. </w:t>
            </w:r>
          </w:p>
        </w:tc>
        <w:tc>
          <w:tcPr>
            <w:tcW w:w="3802" w:type="dxa"/>
            <w:vAlign w:val="center"/>
          </w:tcPr>
          <w:p w14:paraId="428B551C" w14:textId="77777777" w:rsidR="002A7F4F" w:rsidRPr="00FF512C" w:rsidRDefault="002A7F4F" w:rsidP="00140D86">
            <w:pPr>
              <w:pStyle w:val="COMTabletext"/>
              <w:widowControl w:val="0"/>
            </w:pPr>
            <w:r w:rsidRPr="00FF512C">
              <w:t>Trial-based adherence estimates are unlikely to represent real-world adherence. This was also inconsistent with assumed perfect adherence in the economic analysis.</w:t>
            </w:r>
          </w:p>
        </w:tc>
      </w:tr>
      <w:tr w:rsidR="002A7F4F" w:rsidRPr="00FF512C" w14:paraId="784347EE" w14:textId="77777777" w:rsidTr="00140D86">
        <w:trPr>
          <w:cantSplit/>
          <w:trHeight w:val="105"/>
        </w:trPr>
        <w:tc>
          <w:tcPr>
            <w:tcW w:w="1413" w:type="dxa"/>
            <w:vAlign w:val="center"/>
          </w:tcPr>
          <w:p w14:paraId="7D8F9BE4" w14:textId="77777777" w:rsidR="002A7F4F" w:rsidRPr="00FF512C" w:rsidRDefault="002A7F4F" w:rsidP="00140D86">
            <w:pPr>
              <w:pStyle w:val="COMTabletext"/>
              <w:keepNext w:val="0"/>
              <w:widowControl w:val="0"/>
            </w:pPr>
            <w:r w:rsidRPr="00FF512C">
              <w:t>Additional proportion using reduced/maximal dose RAASi</w:t>
            </w:r>
          </w:p>
        </w:tc>
        <w:tc>
          <w:tcPr>
            <w:tcW w:w="3802" w:type="dxa"/>
            <w:vAlign w:val="center"/>
          </w:tcPr>
          <w:p w14:paraId="095C7AC9" w14:textId="261EA352" w:rsidR="002A7F4F" w:rsidRPr="00FF512C" w:rsidRDefault="002A7F4F" w:rsidP="00140D86">
            <w:pPr>
              <w:pStyle w:val="COMTabletext"/>
              <w:keepNext w:val="0"/>
              <w:widowControl w:val="0"/>
            </w:pPr>
            <w:r w:rsidRPr="00FF512C">
              <w:t>Reduced dose: 28%, maximal dose: 13%. Based on the incremental difference in RAASi use between the patiromer and placebo treatment arms at 8 weeks in the O</w:t>
            </w:r>
            <w:r w:rsidR="000F1262" w:rsidRPr="00FF512C">
              <w:t>PAL</w:t>
            </w:r>
            <w:r w:rsidRPr="00FF512C">
              <w:t>-HK Part B trial.</w:t>
            </w:r>
          </w:p>
        </w:tc>
        <w:tc>
          <w:tcPr>
            <w:tcW w:w="3802" w:type="dxa"/>
            <w:vAlign w:val="center"/>
          </w:tcPr>
          <w:p w14:paraId="3BDF155C" w14:textId="77777777" w:rsidR="002A7F4F" w:rsidRPr="00FF512C" w:rsidRDefault="002A7F4F" w:rsidP="00140D86">
            <w:pPr>
              <w:pStyle w:val="COMTabletext"/>
              <w:widowControl w:val="0"/>
            </w:pPr>
            <w:r w:rsidRPr="00FF512C">
              <w:t xml:space="preserve">Results from the OPAL-HK study may not be applicable to the eligible Australian population given differences in terms of population characteristics (demographics, disease severity, comorbidities), circumstances of use of patiromer and RAASi dose titration, and intensity of patient monitoring.  </w:t>
            </w:r>
          </w:p>
        </w:tc>
      </w:tr>
      <w:tr w:rsidR="002A7F4F" w:rsidRPr="00FF512C" w14:paraId="04A5A15F" w14:textId="77777777" w:rsidTr="00140D86">
        <w:trPr>
          <w:cantSplit/>
          <w:trHeight w:val="105"/>
        </w:trPr>
        <w:tc>
          <w:tcPr>
            <w:tcW w:w="1413" w:type="dxa"/>
            <w:vAlign w:val="center"/>
          </w:tcPr>
          <w:p w14:paraId="482B69AD" w14:textId="77777777" w:rsidR="002A7F4F" w:rsidRPr="00FF512C" w:rsidRDefault="002A7F4F" w:rsidP="00140D86">
            <w:pPr>
              <w:pStyle w:val="COMTabletext"/>
              <w:keepNext w:val="0"/>
              <w:widowControl w:val="0"/>
            </w:pPr>
            <w:r w:rsidRPr="00FF512C">
              <w:t>Distribution of RAASi use</w:t>
            </w:r>
          </w:p>
        </w:tc>
        <w:tc>
          <w:tcPr>
            <w:tcW w:w="3802" w:type="dxa"/>
            <w:vAlign w:val="center"/>
          </w:tcPr>
          <w:p w14:paraId="4481E132" w14:textId="77777777" w:rsidR="002A7F4F" w:rsidRPr="00FF512C" w:rsidRDefault="002A7F4F" w:rsidP="00140D86">
            <w:pPr>
              <w:pStyle w:val="COMTabletext"/>
              <w:widowControl w:val="0"/>
            </w:pPr>
            <w:r w:rsidRPr="00FF512C">
              <w:t xml:space="preserve">ACEi: 30.3%, ARB: 49.5%, ACEi combo: 4.5%, ARB combo: 15.8%. Based on Jun 2019 publication. </w:t>
            </w:r>
          </w:p>
        </w:tc>
        <w:tc>
          <w:tcPr>
            <w:tcW w:w="3802" w:type="dxa"/>
            <w:vAlign w:val="center"/>
          </w:tcPr>
          <w:p w14:paraId="45A922B7" w14:textId="77777777" w:rsidR="002A7F4F" w:rsidRPr="00FF512C" w:rsidRDefault="002A7F4F" w:rsidP="00140D86">
            <w:pPr>
              <w:pStyle w:val="COMTabletext"/>
              <w:widowControl w:val="0"/>
            </w:pPr>
            <w:r w:rsidRPr="00FF512C">
              <w:t>The handling of ongoing spironolactone use in CKD patients with recurrent episodes of hyperkalaemia was inconsistent between the economic analysis (assumed maximal and sub-maximal RAASi therapy included spironolactone) and the budget impact analysis (assumed that all spironolactone use would be replaced with angiotensin receptor blockers).</w:t>
            </w:r>
          </w:p>
        </w:tc>
      </w:tr>
      <w:tr w:rsidR="002A7F4F" w:rsidRPr="00FF512C" w14:paraId="4F18F6D0" w14:textId="77777777" w:rsidTr="00140D86">
        <w:trPr>
          <w:cantSplit/>
          <w:trHeight w:val="105"/>
        </w:trPr>
        <w:tc>
          <w:tcPr>
            <w:tcW w:w="1413" w:type="dxa"/>
            <w:vAlign w:val="center"/>
          </w:tcPr>
          <w:p w14:paraId="612C79A6" w14:textId="77777777" w:rsidR="002A7F4F" w:rsidRPr="00FF512C" w:rsidRDefault="002A7F4F" w:rsidP="00140D86">
            <w:pPr>
              <w:pStyle w:val="COMTabletext"/>
              <w:keepNext w:val="0"/>
              <w:widowControl w:val="0"/>
            </w:pPr>
            <w:r w:rsidRPr="00FF512C">
              <w:t>RAASi scripts per patient</w:t>
            </w:r>
          </w:p>
        </w:tc>
        <w:tc>
          <w:tcPr>
            <w:tcW w:w="3802" w:type="dxa"/>
            <w:vAlign w:val="center"/>
          </w:tcPr>
          <w:p w14:paraId="0243C1BB" w14:textId="1DAA442A" w:rsidR="002A7F4F" w:rsidRPr="00FF512C" w:rsidRDefault="002A7F4F" w:rsidP="00140D86">
            <w:pPr>
              <w:pStyle w:val="COMTabletext"/>
              <w:widowControl w:val="0"/>
            </w:pPr>
            <w:r w:rsidRPr="00FF512C">
              <w:t>5.67 per patient. Calculated as 12 scripts per year x 6 months treatment duration x 96.4% adherence. No documentation provided. RAASi treatment duration was linked to the initial 6-month treatment period of patiromer.</w:t>
            </w:r>
          </w:p>
        </w:tc>
        <w:tc>
          <w:tcPr>
            <w:tcW w:w="3802" w:type="dxa"/>
            <w:vAlign w:val="center"/>
          </w:tcPr>
          <w:p w14:paraId="7C6BD009" w14:textId="77777777" w:rsidR="002A7F4F" w:rsidRPr="00FF512C" w:rsidRDefault="002A7F4F" w:rsidP="00140D86">
            <w:pPr>
              <w:pStyle w:val="COMTabletext"/>
              <w:widowControl w:val="0"/>
            </w:pPr>
            <w:r w:rsidRPr="00FF512C">
              <w:t>These estimates could not be validated due to poor documentation.</w:t>
            </w:r>
          </w:p>
        </w:tc>
      </w:tr>
      <w:tr w:rsidR="002A7F4F" w:rsidRPr="00FF512C" w14:paraId="41E0FCD5" w14:textId="77777777" w:rsidTr="00140D86">
        <w:trPr>
          <w:cantSplit/>
          <w:trHeight w:val="105"/>
        </w:trPr>
        <w:tc>
          <w:tcPr>
            <w:tcW w:w="1413" w:type="dxa"/>
            <w:vAlign w:val="center"/>
          </w:tcPr>
          <w:p w14:paraId="0BC1589E" w14:textId="77777777" w:rsidR="002A7F4F" w:rsidRPr="00FF512C" w:rsidRDefault="002A7F4F" w:rsidP="00140D86">
            <w:pPr>
              <w:pStyle w:val="COMTabletext"/>
              <w:keepNext w:val="0"/>
              <w:widowControl w:val="0"/>
              <w:rPr>
                <w:vertAlign w:val="superscript"/>
              </w:rPr>
            </w:pPr>
            <w:r w:rsidRPr="00FF512C">
              <w:t xml:space="preserve">Patient co-payment for patiromer and RAASi therapies </w:t>
            </w:r>
            <w:r w:rsidRPr="00FF512C">
              <w:rPr>
                <w:vertAlign w:val="superscript"/>
              </w:rPr>
              <w:t>a</w:t>
            </w:r>
          </w:p>
        </w:tc>
        <w:tc>
          <w:tcPr>
            <w:tcW w:w="3802" w:type="dxa"/>
            <w:vAlign w:val="center"/>
          </w:tcPr>
          <w:p w14:paraId="13714AB7" w14:textId="77777777" w:rsidR="002A7F4F" w:rsidRPr="00FF512C" w:rsidRDefault="002A7F4F" w:rsidP="00140D86">
            <w:pPr>
              <w:pStyle w:val="COMTabletext"/>
              <w:keepNext w:val="0"/>
              <w:widowControl w:val="0"/>
            </w:pPr>
            <w:r w:rsidRPr="00FF512C">
              <w:t>PBS: $19.07, RPBS: $4.96. Based on PBS/RPBS use for financial year 2020-2021 for RAASi (perindopril, perindopril + amlodipine, irbesartan, irbesartan + hydrochlorothiazide), split by patient category. General benefit patient numbers adjusted using Under Copayment Report for financial year 2020-2021.</w:t>
            </w:r>
          </w:p>
        </w:tc>
        <w:tc>
          <w:tcPr>
            <w:tcW w:w="3802" w:type="dxa"/>
            <w:vAlign w:val="center"/>
          </w:tcPr>
          <w:p w14:paraId="7C4C137C" w14:textId="77777777" w:rsidR="002A7F4F" w:rsidRPr="00FF512C" w:rsidRDefault="002A7F4F" w:rsidP="00140D86">
            <w:pPr>
              <w:pStyle w:val="COMTabletext"/>
              <w:keepNext w:val="0"/>
              <w:widowControl w:val="0"/>
            </w:pPr>
            <w:r w:rsidRPr="00FF512C">
              <w:t>The distribution of patients across beneficiary categories for the broader RAASi market may not be representative of the target population (CKD patients with recurrent episodes of hyperkalaemia).</w:t>
            </w:r>
          </w:p>
          <w:p w14:paraId="0D94876B" w14:textId="77777777" w:rsidR="002A7F4F" w:rsidRPr="00FF512C" w:rsidRDefault="002A7F4F" w:rsidP="00140D86">
            <w:pPr>
              <w:pStyle w:val="COMTabletext"/>
              <w:keepNext w:val="0"/>
              <w:widowControl w:val="0"/>
            </w:pPr>
          </w:p>
          <w:p w14:paraId="161BC1A8" w14:textId="77777777" w:rsidR="002A7F4F" w:rsidRPr="00FF512C" w:rsidRDefault="002A7F4F" w:rsidP="00140D86">
            <w:pPr>
              <w:pStyle w:val="COMTabletext"/>
              <w:widowControl w:val="0"/>
            </w:pPr>
            <w:r w:rsidRPr="00FF512C">
              <w:t>The resubmission inappropriately assumed that PBS scripts that were priced less than the estimated average co-payment would have a net cost of zero to the PBS. The majority of scripts were either concessional or safety net (61.6% based on 2020-21 PBS utilisation) and would therefore be of additional cost to the PBS.</w:t>
            </w:r>
          </w:p>
        </w:tc>
      </w:tr>
    </w:tbl>
    <w:p w14:paraId="6F50570F" w14:textId="072A7EA4" w:rsidR="002A7F4F" w:rsidRPr="001159D0" w:rsidRDefault="002A7F4F" w:rsidP="002A7F4F">
      <w:pPr>
        <w:pStyle w:val="COMTablefooter"/>
      </w:pPr>
      <w:r w:rsidRPr="001159D0">
        <w:t>Source: Sections 4.1 to 4.3, pp230-245 of the resubmission.</w:t>
      </w:r>
    </w:p>
    <w:p w14:paraId="7828D8ED" w14:textId="44839651" w:rsidR="002A7F4F" w:rsidRPr="001159D0" w:rsidRDefault="002A7F4F" w:rsidP="002A7F4F">
      <w:pPr>
        <w:pStyle w:val="COMTablefooter"/>
      </w:pPr>
      <w:r w:rsidRPr="001159D0">
        <w:t>Abbreviations: ACEi, angiotensin-converting enzyme inhibitor; ARB, angiotensin receptor blocker; CKD, chronic kidney disease; RAASi, renin-angiotensin-aldosterone system inhibitor.</w:t>
      </w:r>
    </w:p>
    <w:p w14:paraId="5216ED50" w14:textId="77AA072A" w:rsidR="002A7F4F" w:rsidRPr="00FF512C" w:rsidRDefault="002A7F4F" w:rsidP="005134A5">
      <w:pPr>
        <w:pStyle w:val="COMTablefooter"/>
        <w:spacing w:after="0"/>
      </w:pPr>
      <w:r w:rsidRPr="001159D0">
        <w:rPr>
          <w:vertAlign w:val="superscript"/>
        </w:rPr>
        <w:t>a</w:t>
      </w:r>
      <w:r w:rsidRPr="001159D0">
        <w:t xml:space="preserve"> Estimated costs in the resubmission were based on published PBS/RPBS prices in May 2022. The costs would be slightly higher due to </w:t>
      </w:r>
      <w:r w:rsidRPr="00FF512C">
        <w:t>changes in fees and mark-ups from July 2022. These costs were not adjusted during the evaluation as the impact to the financial estimates would be minimal.</w:t>
      </w:r>
    </w:p>
    <w:p w14:paraId="43BBD2DC" w14:textId="3D629A8F" w:rsidR="005134A5" w:rsidRPr="00320A2B" w:rsidRDefault="005134A5" w:rsidP="00320A2B">
      <w:pPr>
        <w:spacing w:after="120"/>
        <w:rPr>
          <w:rFonts w:ascii="Arial Narrow" w:hAnsi="Arial Narrow"/>
          <w:snapToGrid w:val="0"/>
          <w:sz w:val="18"/>
          <w:szCs w:val="22"/>
        </w:rPr>
      </w:pPr>
      <w:r w:rsidRPr="00FF512C">
        <w:rPr>
          <w:rFonts w:ascii="Arial Narrow" w:hAnsi="Arial Narrow"/>
          <w:snapToGrid w:val="0"/>
          <w:sz w:val="18"/>
          <w:szCs w:val="22"/>
          <w:vertAlign w:val="superscript"/>
        </w:rPr>
        <w:t>b</w:t>
      </w:r>
      <w:r w:rsidRPr="00FF512C">
        <w:rPr>
          <w:rFonts w:ascii="Arial Narrow" w:hAnsi="Arial Narrow"/>
          <w:snapToGrid w:val="0"/>
          <w:sz w:val="18"/>
          <w:szCs w:val="22"/>
        </w:rPr>
        <w:t xml:space="preserve"> The evaluation analysis adjusted for the 3-monthly frequency of supply with the calculated days of therapy assumed equivalent to the days of therapy by the ‘on-treatment’ date range if the difference was less than 90 days. The evaluation considered this approach should account for the additional coverage based on boxes supplied in February 2022.</w:t>
      </w:r>
    </w:p>
    <w:p w14:paraId="549B0195" w14:textId="2E573C51" w:rsidR="002A7F4F" w:rsidRPr="00FF512C" w:rsidRDefault="002A7F4F" w:rsidP="002A7F4F">
      <w:pPr>
        <w:pStyle w:val="COMexecsumnumberedpara"/>
        <w:numPr>
          <w:ilvl w:val="1"/>
          <w:numId w:val="1"/>
        </w:numPr>
      </w:pPr>
      <w:r w:rsidRPr="002F6665">
        <w:t xml:space="preserve">The resubmission made multiple changes to previous inputs that were of concern to the PBAC including the proportion with CKD stage 3-4, proportion of patients with an incident/recurrent hyperkalaemia event, uptake rates, patiromer dose distribution and persistence estimates. However, there were additional changes to other inputs including the introduction of a CKD diagnosis rate, estimated RAASi scripts and patient co-payment. </w:t>
      </w:r>
      <w:r w:rsidRPr="00FF512C">
        <w:t xml:space="preserve">Consequently, the estimated utilisation and financial impact of patiromer is substantially different compared to estimates presented in the previous submission </w:t>
      </w:r>
      <w:r w:rsidR="00DC62DB" w:rsidRPr="00FF512C">
        <w:t xml:space="preserve">despite the similar requested restriction </w:t>
      </w:r>
      <w:r w:rsidRPr="00FF512C">
        <w:t xml:space="preserve">(see </w:t>
      </w:r>
      <w:r w:rsidRPr="00FF512C">
        <w:fldChar w:fldCharType="begin"/>
      </w:r>
      <w:r w:rsidRPr="00FF512C">
        <w:instrText xml:space="preserve"> REF _Ref109816533 \h  \* MERGEFORMAT </w:instrText>
      </w:r>
      <w:r w:rsidRPr="00FF512C">
        <w:fldChar w:fldCharType="separate"/>
      </w:r>
      <w:r w:rsidR="00565456" w:rsidRPr="001159D0">
        <w:t xml:space="preserve">Table </w:t>
      </w:r>
      <w:r w:rsidR="00565456">
        <w:rPr>
          <w:noProof/>
        </w:rPr>
        <w:t>20</w:t>
      </w:r>
      <w:r w:rsidRPr="00FF512C">
        <w:fldChar w:fldCharType="end"/>
      </w:r>
      <w:r w:rsidRPr="00FF512C">
        <w:t xml:space="preserve"> below).</w:t>
      </w:r>
    </w:p>
    <w:p w14:paraId="5998A411" w14:textId="6B7A851B" w:rsidR="002A7F4F" w:rsidRPr="001159D0" w:rsidRDefault="002A7F4F" w:rsidP="002A7F4F">
      <w:pPr>
        <w:pStyle w:val="COMexecsumnumberedpara"/>
        <w:numPr>
          <w:ilvl w:val="1"/>
          <w:numId w:val="1"/>
        </w:numPr>
        <w:rPr>
          <w:i/>
          <w:iCs/>
        </w:rPr>
      </w:pPr>
      <w:r w:rsidRPr="001159D0">
        <w:t xml:space="preserve">The estimated use and financial implications of patiromer is summarised in </w:t>
      </w:r>
      <w:r w:rsidR="009C69BA">
        <w:fldChar w:fldCharType="begin"/>
      </w:r>
      <w:r w:rsidR="009C69BA">
        <w:instrText xml:space="preserve"> REF _Ref109816533 \h </w:instrText>
      </w:r>
      <w:r w:rsidR="009C69BA">
        <w:fldChar w:fldCharType="separate"/>
      </w:r>
      <w:r w:rsidR="00565456" w:rsidRPr="001159D0">
        <w:t xml:space="preserve">Table </w:t>
      </w:r>
      <w:r w:rsidR="00565456">
        <w:rPr>
          <w:noProof/>
        </w:rPr>
        <w:t>20</w:t>
      </w:r>
      <w:r w:rsidR="009C69BA">
        <w:fldChar w:fldCharType="end"/>
      </w:r>
      <w:r w:rsidRPr="001159D0">
        <w:t>.</w:t>
      </w:r>
      <w:r w:rsidRPr="001159D0">
        <w:rPr>
          <w:i/>
          <w:iCs/>
        </w:rPr>
        <w:t xml:space="preserve">  </w:t>
      </w:r>
    </w:p>
    <w:p w14:paraId="4FDB1271" w14:textId="2A5CCF8F" w:rsidR="002A7F4F" w:rsidRPr="001159D0" w:rsidRDefault="002A7F4F" w:rsidP="002A7F4F">
      <w:pPr>
        <w:pStyle w:val="COMtablefigcaption"/>
      </w:pPr>
      <w:bookmarkStart w:id="67" w:name="_Ref109816533"/>
      <w:r w:rsidRPr="001159D0">
        <w:t xml:space="preserve">Table </w:t>
      </w:r>
      <w:r w:rsidR="005F4857">
        <w:fldChar w:fldCharType="begin"/>
      </w:r>
      <w:r w:rsidR="005F4857">
        <w:instrText xml:space="preserve"> SEQ Table \* ARABIC </w:instrText>
      </w:r>
      <w:r w:rsidR="005F4857">
        <w:fldChar w:fldCharType="separate"/>
      </w:r>
      <w:r w:rsidR="00565456">
        <w:rPr>
          <w:noProof/>
        </w:rPr>
        <w:t>20</w:t>
      </w:r>
      <w:r w:rsidR="005F4857">
        <w:rPr>
          <w:noProof/>
        </w:rPr>
        <w:fldChar w:fldCharType="end"/>
      </w:r>
      <w:bookmarkEnd w:id="67"/>
      <w:r w:rsidRPr="001159D0">
        <w:t>: Estimated use and financial implications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405"/>
        <w:gridCol w:w="1102"/>
        <w:gridCol w:w="1102"/>
        <w:gridCol w:w="1102"/>
        <w:gridCol w:w="1102"/>
        <w:gridCol w:w="1102"/>
        <w:gridCol w:w="1102"/>
      </w:tblGrid>
      <w:tr w:rsidR="002A7F4F" w:rsidRPr="001159D0" w14:paraId="5CC61B4F" w14:textId="77777777" w:rsidTr="00140D86">
        <w:trPr>
          <w:tblHeader/>
        </w:trPr>
        <w:tc>
          <w:tcPr>
            <w:tcW w:w="1334" w:type="pct"/>
            <w:shd w:val="clear" w:color="auto" w:fill="auto"/>
            <w:vAlign w:val="center"/>
          </w:tcPr>
          <w:p w14:paraId="225F52F8" w14:textId="77777777" w:rsidR="002A7F4F" w:rsidRPr="001159D0" w:rsidRDefault="002A7F4F" w:rsidP="00140D86">
            <w:pPr>
              <w:pStyle w:val="COMTableheadingrow"/>
              <w:jc w:val="center"/>
              <w:rPr>
                <w:lang w:val="en-AU"/>
              </w:rPr>
            </w:pPr>
          </w:p>
        </w:tc>
        <w:tc>
          <w:tcPr>
            <w:tcW w:w="611" w:type="pct"/>
            <w:shd w:val="clear" w:color="auto" w:fill="auto"/>
            <w:vAlign w:val="center"/>
          </w:tcPr>
          <w:p w14:paraId="3DFEA65F" w14:textId="77777777" w:rsidR="002A7F4F" w:rsidRPr="001159D0" w:rsidRDefault="002A7F4F" w:rsidP="00140D86">
            <w:pPr>
              <w:pStyle w:val="COMTableheadingrow"/>
              <w:jc w:val="center"/>
              <w:rPr>
                <w:lang w:val="en-AU"/>
              </w:rPr>
            </w:pPr>
            <w:r w:rsidRPr="001159D0">
              <w:rPr>
                <w:lang w:val="en-AU"/>
              </w:rPr>
              <w:t>Year 1</w:t>
            </w:r>
          </w:p>
        </w:tc>
        <w:tc>
          <w:tcPr>
            <w:tcW w:w="611" w:type="pct"/>
            <w:shd w:val="clear" w:color="auto" w:fill="auto"/>
            <w:vAlign w:val="center"/>
          </w:tcPr>
          <w:p w14:paraId="6D415FC7" w14:textId="77777777" w:rsidR="002A7F4F" w:rsidRPr="001159D0" w:rsidRDefault="002A7F4F" w:rsidP="00140D86">
            <w:pPr>
              <w:pStyle w:val="COMTableheadingrow"/>
              <w:jc w:val="center"/>
              <w:rPr>
                <w:lang w:val="en-AU"/>
              </w:rPr>
            </w:pPr>
            <w:r w:rsidRPr="001159D0">
              <w:rPr>
                <w:lang w:val="en-AU"/>
              </w:rPr>
              <w:t>Year 2</w:t>
            </w:r>
          </w:p>
        </w:tc>
        <w:tc>
          <w:tcPr>
            <w:tcW w:w="611" w:type="pct"/>
            <w:shd w:val="clear" w:color="auto" w:fill="auto"/>
            <w:vAlign w:val="center"/>
          </w:tcPr>
          <w:p w14:paraId="00044A43" w14:textId="77777777" w:rsidR="002A7F4F" w:rsidRPr="001159D0" w:rsidRDefault="002A7F4F" w:rsidP="00140D86">
            <w:pPr>
              <w:pStyle w:val="COMTableheadingrow"/>
              <w:jc w:val="center"/>
              <w:rPr>
                <w:lang w:val="en-AU"/>
              </w:rPr>
            </w:pPr>
            <w:r w:rsidRPr="001159D0">
              <w:rPr>
                <w:lang w:val="en-AU"/>
              </w:rPr>
              <w:t>Year 3</w:t>
            </w:r>
          </w:p>
        </w:tc>
        <w:tc>
          <w:tcPr>
            <w:tcW w:w="611" w:type="pct"/>
            <w:shd w:val="clear" w:color="auto" w:fill="auto"/>
            <w:vAlign w:val="center"/>
          </w:tcPr>
          <w:p w14:paraId="3FA18E48" w14:textId="77777777" w:rsidR="002A7F4F" w:rsidRPr="001159D0" w:rsidRDefault="002A7F4F" w:rsidP="00140D86">
            <w:pPr>
              <w:pStyle w:val="COMTableheadingrow"/>
              <w:jc w:val="center"/>
              <w:rPr>
                <w:lang w:val="en-AU"/>
              </w:rPr>
            </w:pPr>
            <w:r w:rsidRPr="001159D0">
              <w:rPr>
                <w:lang w:val="en-AU"/>
              </w:rPr>
              <w:t>Year 4</w:t>
            </w:r>
          </w:p>
        </w:tc>
        <w:tc>
          <w:tcPr>
            <w:tcW w:w="611" w:type="pct"/>
            <w:shd w:val="clear" w:color="auto" w:fill="auto"/>
            <w:vAlign w:val="center"/>
          </w:tcPr>
          <w:p w14:paraId="33DC44DD" w14:textId="77777777" w:rsidR="002A7F4F" w:rsidRPr="001159D0" w:rsidRDefault="002A7F4F" w:rsidP="00140D86">
            <w:pPr>
              <w:pStyle w:val="COMTableheadingrow"/>
              <w:jc w:val="center"/>
              <w:rPr>
                <w:lang w:val="en-AU"/>
              </w:rPr>
            </w:pPr>
            <w:r w:rsidRPr="001159D0">
              <w:rPr>
                <w:lang w:val="en-AU"/>
              </w:rPr>
              <w:t>Year 5</w:t>
            </w:r>
          </w:p>
        </w:tc>
        <w:tc>
          <w:tcPr>
            <w:tcW w:w="611" w:type="pct"/>
          </w:tcPr>
          <w:p w14:paraId="244A986C" w14:textId="77777777" w:rsidR="002A7F4F" w:rsidRPr="001159D0" w:rsidRDefault="002A7F4F" w:rsidP="00140D86">
            <w:pPr>
              <w:pStyle w:val="COMTableheadingrow"/>
              <w:jc w:val="center"/>
              <w:rPr>
                <w:lang w:val="en-AU"/>
              </w:rPr>
            </w:pPr>
            <w:r w:rsidRPr="001159D0">
              <w:rPr>
                <w:lang w:val="en-AU"/>
              </w:rPr>
              <w:t>Year 6</w:t>
            </w:r>
          </w:p>
        </w:tc>
      </w:tr>
      <w:tr w:rsidR="002A7F4F" w:rsidRPr="001159D0" w14:paraId="5D1532E5" w14:textId="77777777" w:rsidTr="00140D86">
        <w:tc>
          <w:tcPr>
            <w:tcW w:w="5000" w:type="pct"/>
            <w:gridSpan w:val="7"/>
            <w:shd w:val="clear" w:color="auto" w:fill="auto"/>
            <w:vAlign w:val="center"/>
          </w:tcPr>
          <w:p w14:paraId="371288C1" w14:textId="77777777" w:rsidR="002A7F4F" w:rsidRPr="001159D0" w:rsidRDefault="002A7F4F" w:rsidP="00140D86">
            <w:pPr>
              <w:pStyle w:val="COMTableheadingrow"/>
              <w:rPr>
                <w:bCs/>
                <w:color w:val="000000"/>
                <w:lang w:val="en-AU"/>
              </w:rPr>
            </w:pPr>
            <w:r w:rsidRPr="001159D0">
              <w:rPr>
                <w:lang w:val="en-AU"/>
              </w:rPr>
              <w:t>Estimated eligible population</w:t>
            </w:r>
          </w:p>
        </w:tc>
      </w:tr>
      <w:tr w:rsidR="002A7F4F" w:rsidRPr="001159D0" w14:paraId="24ECA968" w14:textId="77777777" w:rsidTr="00140D86">
        <w:tc>
          <w:tcPr>
            <w:tcW w:w="1334" w:type="pct"/>
            <w:shd w:val="clear" w:color="auto" w:fill="auto"/>
            <w:vAlign w:val="center"/>
          </w:tcPr>
          <w:p w14:paraId="114E72C8" w14:textId="77777777" w:rsidR="002A7F4F" w:rsidRPr="001159D0" w:rsidRDefault="002A7F4F" w:rsidP="00140D86">
            <w:pPr>
              <w:pStyle w:val="COMTabletext"/>
              <w:rPr>
                <w:rFonts w:ascii="Times" w:hAnsi="Times"/>
              </w:rPr>
            </w:pPr>
            <w:r w:rsidRPr="001159D0">
              <w:t xml:space="preserve">Number of patients </w:t>
            </w:r>
          </w:p>
        </w:tc>
        <w:tc>
          <w:tcPr>
            <w:tcW w:w="611" w:type="pct"/>
            <w:shd w:val="clear" w:color="auto" w:fill="auto"/>
          </w:tcPr>
          <w:p w14:paraId="0996123D" w14:textId="2AA8C0D9" w:rsidR="002A7F4F" w:rsidRPr="00241B02" w:rsidRDefault="003E2BEF" w:rsidP="00140D86">
            <w:pPr>
              <w:pStyle w:val="COMTabletext"/>
              <w:jc w:val="center"/>
              <w:rPr>
                <w:color w:val="000000"/>
                <w:highlight w:val="darkGray"/>
              </w:rPr>
            </w:pPr>
            <w:r w:rsidRPr="003E2BEF">
              <w:rPr>
                <w:rFonts w:hint="eastAsia"/>
                <w:color w:val="000000"/>
                <w:w w:val="23"/>
                <w:shd w:val="solid" w:color="000000" w:fill="000000"/>
                <w:fitText w:val="104" w:id="-1304706554"/>
                <w14:textFill>
                  <w14:solidFill>
                    <w14:srgbClr w14:val="000000">
                      <w14:alpha w14:val="100000"/>
                    </w14:srgbClr>
                  </w14:solidFill>
                </w14:textFill>
              </w:rPr>
              <w:t xml:space="preserve">　</w:t>
            </w:r>
            <w:r w:rsidRPr="003E2BEF">
              <w:rPr>
                <w:color w:val="000000"/>
                <w:w w:val="23"/>
                <w:shd w:val="solid" w:color="000000" w:fill="000000"/>
                <w:fitText w:val="104" w:id="-1304706554"/>
                <w14:textFill>
                  <w14:solidFill>
                    <w14:srgbClr w14:val="000000">
                      <w14:alpha w14:val="100000"/>
                    </w14:srgbClr>
                  </w14:solidFill>
                </w14:textFill>
              </w:rPr>
              <w:t>|</w:t>
            </w:r>
            <w:r w:rsidRPr="003E2BEF">
              <w:rPr>
                <w:rFonts w:hint="eastAsia"/>
                <w:color w:val="000000"/>
                <w:spacing w:val="3"/>
                <w:w w:val="23"/>
                <w:shd w:val="solid" w:color="000000" w:fill="000000"/>
                <w:fitText w:val="104" w:id="-1304706554"/>
                <w14:textFill>
                  <w14:solidFill>
                    <w14:srgbClr w14:val="000000">
                      <w14:alpha w14:val="100000"/>
                    </w14:srgbClr>
                  </w14:solidFill>
                </w14:textFill>
              </w:rPr>
              <w:t xml:space="preserve">　</w:t>
            </w:r>
            <w:r w:rsidR="00241B02" w:rsidRPr="00241B02">
              <w:rPr>
                <w:vertAlign w:val="superscript"/>
              </w:rPr>
              <w:t>1</w:t>
            </w:r>
          </w:p>
        </w:tc>
        <w:tc>
          <w:tcPr>
            <w:tcW w:w="611" w:type="pct"/>
            <w:shd w:val="clear" w:color="auto" w:fill="auto"/>
          </w:tcPr>
          <w:p w14:paraId="5D466EBF" w14:textId="3129B7F8" w:rsidR="002A7F4F" w:rsidRPr="00241B02" w:rsidRDefault="003E2BEF" w:rsidP="00140D86">
            <w:pPr>
              <w:pStyle w:val="COMTabletext"/>
              <w:jc w:val="center"/>
              <w:rPr>
                <w:color w:val="000000"/>
                <w:highlight w:val="darkGray"/>
              </w:rPr>
            </w:pPr>
            <w:r w:rsidRPr="003E2BEF">
              <w:rPr>
                <w:rFonts w:hint="eastAsia"/>
                <w:color w:val="000000"/>
                <w:w w:val="23"/>
                <w:shd w:val="solid" w:color="000000" w:fill="000000"/>
                <w:fitText w:val="103" w:id="-1304706553"/>
                <w14:textFill>
                  <w14:solidFill>
                    <w14:srgbClr w14:val="000000">
                      <w14:alpha w14:val="100000"/>
                    </w14:srgbClr>
                  </w14:solidFill>
                </w14:textFill>
              </w:rPr>
              <w:t xml:space="preserve">　</w:t>
            </w:r>
            <w:r w:rsidRPr="003E2BEF">
              <w:rPr>
                <w:color w:val="000000"/>
                <w:w w:val="23"/>
                <w:shd w:val="solid" w:color="000000" w:fill="000000"/>
                <w:fitText w:val="103" w:id="-1304706553"/>
                <w14:textFill>
                  <w14:solidFill>
                    <w14:srgbClr w14:val="000000">
                      <w14:alpha w14:val="100000"/>
                    </w14:srgbClr>
                  </w14:solidFill>
                </w14:textFill>
              </w:rPr>
              <w:t>|</w:t>
            </w:r>
            <w:r w:rsidRPr="003E2BEF">
              <w:rPr>
                <w:rFonts w:hint="eastAsia"/>
                <w:color w:val="000000"/>
                <w:spacing w:val="2"/>
                <w:w w:val="23"/>
                <w:shd w:val="solid" w:color="000000" w:fill="000000"/>
                <w:fitText w:val="103" w:id="-1304706553"/>
                <w14:textFill>
                  <w14:solidFill>
                    <w14:srgbClr w14:val="000000">
                      <w14:alpha w14:val="100000"/>
                    </w14:srgbClr>
                  </w14:solidFill>
                </w14:textFill>
              </w:rPr>
              <w:t xml:space="preserve">　</w:t>
            </w:r>
            <w:r w:rsidR="00241B02" w:rsidRPr="00241B02">
              <w:rPr>
                <w:vertAlign w:val="superscript"/>
              </w:rPr>
              <w:t>1</w:t>
            </w:r>
          </w:p>
        </w:tc>
        <w:tc>
          <w:tcPr>
            <w:tcW w:w="611" w:type="pct"/>
            <w:shd w:val="clear" w:color="auto" w:fill="auto"/>
          </w:tcPr>
          <w:p w14:paraId="72138540" w14:textId="1C0BB1D9" w:rsidR="002A7F4F" w:rsidRPr="00241B02" w:rsidRDefault="003E2BEF" w:rsidP="00140D86">
            <w:pPr>
              <w:pStyle w:val="COMTabletext"/>
              <w:jc w:val="center"/>
              <w:rPr>
                <w:color w:val="000000"/>
                <w:highlight w:val="darkGray"/>
              </w:rPr>
            </w:pPr>
            <w:r w:rsidRPr="003E2BEF">
              <w:rPr>
                <w:rFonts w:hint="eastAsia"/>
                <w:color w:val="000000"/>
                <w:w w:val="23"/>
                <w:shd w:val="solid" w:color="000000" w:fill="000000"/>
                <w:fitText w:val="103" w:id="-1304706552"/>
                <w14:textFill>
                  <w14:solidFill>
                    <w14:srgbClr w14:val="000000">
                      <w14:alpha w14:val="100000"/>
                    </w14:srgbClr>
                  </w14:solidFill>
                </w14:textFill>
              </w:rPr>
              <w:t xml:space="preserve">　</w:t>
            </w:r>
            <w:r w:rsidRPr="003E2BEF">
              <w:rPr>
                <w:color w:val="000000"/>
                <w:w w:val="23"/>
                <w:shd w:val="solid" w:color="000000" w:fill="000000"/>
                <w:fitText w:val="103" w:id="-1304706552"/>
                <w14:textFill>
                  <w14:solidFill>
                    <w14:srgbClr w14:val="000000">
                      <w14:alpha w14:val="100000"/>
                    </w14:srgbClr>
                  </w14:solidFill>
                </w14:textFill>
              </w:rPr>
              <w:t>|</w:t>
            </w:r>
            <w:r w:rsidRPr="003E2BEF">
              <w:rPr>
                <w:rFonts w:hint="eastAsia"/>
                <w:color w:val="000000"/>
                <w:spacing w:val="2"/>
                <w:w w:val="23"/>
                <w:shd w:val="solid" w:color="000000" w:fill="000000"/>
                <w:fitText w:val="103" w:id="-1304706552"/>
                <w14:textFill>
                  <w14:solidFill>
                    <w14:srgbClr w14:val="000000">
                      <w14:alpha w14:val="100000"/>
                    </w14:srgbClr>
                  </w14:solidFill>
                </w14:textFill>
              </w:rPr>
              <w:t xml:space="preserve">　</w:t>
            </w:r>
            <w:r w:rsidR="00241B02" w:rsidRPr="00241B02">
              <w:rPr>
                <w:vertAlign w:val="superscript"/>
              </w:rPr>
              <w:t>1</w:t>
            </w:r>
          </w:p>
        </w:tc>
        <w:tc>
          <w:tcPr>
            <w:tcW w:w="611" w:type="pct"/>
            <w:shd w:val="clear" w:color="auto" w:fill="auto"/>
          </w:tcPr>
          <w:p w14:paraId="71EBEFB8" w14:textId="0563040E" w:rsidR="002A7F4F" w:rsidRPr="00241B02" w:rsidRDefault="003E2BEF" w:rsidP="00140D86">
            <w:pPr>
              <w:pStyle w:val="COMTabletext"/>
              <w:jc w:val="center"/>
              <w:rPr>
                <w:color w:val="000000"/>
                <w:highlight w:val="darkGray"/>
              </w:rPr>
            </w:pPr>
            <w:r w:rsidRPr="003E2BEF">
              <w:rPr>
                <w:rFonts w:hint="eastAsia"/>
                <w:color w:val="000000"/>
                <w:w w:val="23"/>
                <w:shd w:val="solid" w:color="000000" w:fill="000000"/>
                <w:fitText w:val="103" w:id="-1304706551"/>
                <w14:textFill>
                  <w14:solidFill>
                    <w14:srgbClr w14:val="000000">
                      <w14:alpha w14:val="100000"/>
                    </w14:srgbClr>
                  </w14:solidFill>
                </w14:textFill>
              </w:rPr>
              <w:t xml:space="preserve">　</w:t>
            </w:r>
            <w:r w:rsidRPr="003E2BEF">
              <w:rPr>
                <w:color w:val="000000"/>
                <w:w w:val="23"/>
                <w:shd w:val="solid" w:color="000000" w:fill="000000"/>
                <w:fitText w:val="103" w:id="-1304706551"/>
                <w14:textFill>
                  <w14:solidFill>
                    <w14:srgbClr w14:val="000000">
                      <w14:alpha w14:val="100000"/>
                    </w14:srgbClr>
                  </w14:solidFill>
                </w14:textFill>
              </w:rPr>
              <w:t>|</w:t>
            </w:r>
            <w:r w:rsidRPr="003E2BEF">
              <w:rPr>
                <w:rFonts w:hint="eastAsia"/>
                <w:color w:val="000000"/>
                <w:spacing w:val="2"/>
                <w:w w:val="23"/>
                <w:shd w:val="solid" w:color="000000" w:fill="000000"/>
                <w:fitText w:val="103" w:id="-1304706551"/>
                <w14:textFill>
                  <w14:solidFill>
                    <w14:srgbClr w14:val="000000">
                      <w14:alpha w14:val="100000"/>
                    </w14:srgbClr>
                  </w14:solidFill>
                </w14:textFill>
              </w:rPr>
              <w:t xml:space="preserve">　</w:t>
            </w:r>
            <w:r w:rsidR="00241B02" w:rsidRPr="00241B02">
              <w:rPr>
                <w:vertAlign w:val="superscript"/>
              </w:rPr>
              <w:t>1</w:t>
            </w:r>
          </w:p>
        </w:tc>
        <w:tc>
          <w:tcPr>
            <w:tcW w:w="611" w:type="pct"/>
            <w:shd w:val="clear" w:color="auto" w:fill="auto"/>
          </w:tcPr>
          <w:p w14:paraId="03584F46" w14:textId="31DBD582" w:rsidR="002A7F4F" w:rsidRPr="00241B02" w:rsidRDefault="003E2BEF" w:rsidP="00140D86">
            <w:pPr>
              <w:pStyle w:val="COMTabletext"/>
              <w:jc w:val="center"/>
              <w:rPr>
                <w:color w:val="000000"/>
                <w:highlight w:val="darkGray"/>
              </w:rPr>
            </w:pPr>
            <w:r w:rsidRPr="003E2BEF">
              <w:rPr>
                <w:rFonts w:hint="eastAsia"/>
                <w:color w:val="000000"/>
                <w:w w:val="23"/>
                <w:shd w:val="solid" w:color="000000" w:fill="000000"/>
                <w:fitText w:val="104" w:id="-1304706550"/>
                <w14:textFill>
                  <w14:solidFill>
                    <w14:srgbClr w14:val="000000">
                      <w14:alpha w14:val="100000"/>
                    </w14:srgbClr>
                  </w14:solidFill>
                </w14:textFill>
              </w:rPr>
              <w:t xml:space="preserve">　</w:t>
            </w:r>
            <w:r w:rsidRPr="003E2BEF">
              <w:rPr>
                <w:color w:val="000000"/>
                <w:w w:val="23"/>
                <w:shd w:val="solid" w:color="000000" w:fill="000000"/>
                <w:fitText w:val="104" w:id="-1304706550"/>
                <w14:textFill>
                  <w14:solidFill>
                    <w14:srgbClr w14:val="000000">
                      <w14:alpha w14:val="100000"/>
                    </w14:srgbClr>
                  </w14:solidFill>
                </w14:textFill>
              </w:rPr>
              <w:t>|</w:t>
            </w:r>
            <w:r w:rsidRPr="003E2BEF">
              <w:rPr>
                <w:rFonts w:hint="eastAsia"/>
                <w:color w:val="000000"/>
                <w:spacing w:val="3"/>
                <w:w w:val="23"/>
                <w:shd w:val="solid" w:color="000000" w:fill="000000"/>
                <w:fitText w:val="104" w:id="-1304706550"/>
                <w14:textFill>
                  <w14:solidFill>
                    <w14:srgbClr w14:val="000000">
                      <w14:alpha w14:val="100000"/>
                    </w14:srgbClr>
                  </w14:solidFill>
                </w14:textFill>
              </w:rPr>
              <w:t xml:space="preserve">　</w:t>
            </w:r>
            <w:r w:rsidR="00241B02">
              <w:rPr>
                <w:vertAlign w:val="superscript"/>
              </w:rPr>
              <w:t>6</w:t>
            </w:r>
          </w:p>
        </w:tc>
        <w:tc>
          <w:tcPr>
            <w:tcW w:w="611" w:type="pct"/>
          </w:tcPr>
          <w:p w14:paraId="6DE5D36B" w14:textId="56F4E26F" w:rsidR="002A7F4F" w:rsidRPr="00241B02" w:rsidRDefault="003E2BEF" w:rsidP="00140D86">
            <w:pPr>
              <w:pStyle w:val="COMTabletext"/>
              <w:jc w:val="center"/>
              <w:rPr>
                <w:color w:val="000000"/>
                <w:highlight w:val="darkGray"/>
              </w:rPr>
            </w:pPr>
            <w:r w:rsidRPr="003E2BEF">
              <w:rPr>
                <w:rFonts w:hint="eastAsia"/>
                <w:color w:val="000000"/>
                <w:w w:val="23"/>
                <w:shd w:val="solid" w:color="000000" w:fill="000000"/>
                <w:fitText w:val="104" w:id="-1304706549"/>
                <w14:textFill>
                  <w14:solidFill>
                    <w14:srgbClr w14:val="000000">
                      <w14:alpha w14:val="100000"/>
                    </w14:srgbClr>
                  </w14:solidFill>
                </w14:textFill>
              </w:rPr>
              <w:t xml:space="preserve">　</w:t>
            </w:r>
            <w:r w:rsidRPr="003E2BEF">
              <w:rPr>
                <w:color w:val="000000"/>
                <w:w w:val="23"/>
                <w:shd w:val="solid" w:color="000000" w:fill="000000"/>
                <w:fitText w:val="104" w:id="-1304706549"/>
                <w14:textFill>
                  <w14:solidFill>
                    <w14:srgbClr w14:val="000000">
                      <w14:alpha w14:val="100000"/>
                    </w14:srgbClr>
                  </w14:solidFill>
                </w14:textFill>
              </w:rPr>
              <w:t>|</w:t>
            </w:r>
            <w:r w:rsidRPr="003E2BEF">
              <w:rPr>
                <w:rFonts w:hint="eastAsia"/>
                <w:color w:val="000000"/>
                <w:spacing w:val="3"/>
                <w:w w:val="23"/>
                <w:shd w:val="solid" w:color="000000" w:fill="000000"/>
                <w:fitText w:val="104" w:id="-1304706549"/>
                <w14:textFill>
                  <w14:solidFill>
                    <w14:srgbClr w14:val="000000">
                      <w14:alpha w14:val="100000"/>
                    </w14:srgbClr>
                  </w14:solidFill>
                </w14:textFill>
              </w:rPr>
              <w:t xml:space="preserve">　</w:t>
            </w:r>
            <w:r w:rsidR="00241B02">
              <w:rPr>
                <w:vertAlign w:val="superscript"/>
              </w:rPr>
              <w:t>6</w:t>
            </w:r>
          </w:p>
        </w:tc>
      </w:tr>
      <w:tr w:rsidR="002A7F4F" w:rsidRPr="001159D0" w14:paraId="0384D596" w14:textId="77777777" w:rsidTr="00140D86">
        <w:tc>
          <w:tcPr>
            <w:tcW w:w="1334" w:type="pct"/>
            <w:shd w:val="clear" w:color="auto" w:fill="B8CCE4" w:themeFill="accent1" w:themeFillTint="66"/>
            <w:vAlign w:val="center"/>
          </w:tcPr>
          <w:p w14:paraId="262BC63C" w14:textId="77777777" w:rsidR="002A7F4F" w:rsidRPr="001159D0" w:rsidRDefault="002A7F4F" w:rsidP="00140D86">
            <w:pPr>
              <w:pStyle w:val="COMTabletext"/>
            </w:pPr>
            <w:r w:rsidRPr="001159D0">
              <w:rPr>
                <w:b/>
                <w:bCs w:val="0"/>
              </w:rPr>
              <w:t>November 2020 submission, eligible population (incident)</w:t>
            </w:r>
          </w:p>
        </w:tc>
        <w:tc>
          <w:tcPr>
            <w:tcW w:w="611" w:type="pct"/>
            <w:shd w:val="clear" w:color="auto" w:fill="B8CCE4" w:themeFill="accent1" w:themeFillTint="66"/>
            <w:vAlign w:val="center"/>
          </w:tcPr>
          <w:p w14:paraId="7860C243" w14:textId="396ED266" w:rsidR="002A7F4F" w:rsidRPr="00241B02" w:rsidRDefault="003E2BEF" w:rsidP="00140D86">
            <w:pPr>
              <w:pStyle w:val="COMTabletext"/>
              <w:jc w:val="center"/>
              <w:rPr>
                <w:color w:val="000000"/>
                <w:highlight w:val="darkGray"/>
              </w:rPr>
            </w:pPr>
            <w:r w:rsidRPr="003E2BEF">
              <w:rPr>
                <w:rFonts w:hint="eastAsia"/>
                <w:color w:val="000000"/>
                <w:w w:val="23"/>
                <w:shd w:val="solid" w:color="000000" w:fill="000000"/>
                <w:fitText w:val="104" w:id="-1304706548"/>
                <w14:textFill>
                  <w14:solidFill>
                    <w14:srgbClr w14:val="000000">
                      <w14:alpha w14:val="100000"/>
                    </w14:srgbClr>
                  </w14:solidFill>
                </w14:textFill>
              </w:rPr>
              <w:t xml:space="preserve">　</w:t>
            </w:r>
            <w:r w:rsidRPr="003E2BEF">
              <w:rPr>
                <w:color w:val="000000"/>
                <w:w w:val="23"/>
                <w:shd w:val="solid" w:color="000000" w:fill="000000"/>
                <w:fitText w:val="104" w:id="-1304706548"/>
                <w14:textFill>
                  <w14:solidFill>
                    <w14:srgbClr w14:val="000000">
                      <w14:alpha w14:val="100000"/>
                    </w14:srgbClr>
                  </w14:solidFill>
                </w14:textFill>
              </w:rPr>
              <w:t>|</w:t>
            </w:r>
            <w:r w:rsidRPr="003E2BEF">
              <w:rPr>
                <w:rFonts w:hint="eastAsia"/>
                <w:color w:val="000000"/>
                <w:spacing w:val="3"/>
                <w:w w:val="23"/>
                <w:shd w:val="solid" w:color="000000" w:fill="000000"/>
                <w:fitText w:val="104" w:id="-1304706548"/>
                <w14:textFill>
                  <w14:solidFill>
                    <w14:srgbClr w14:val="000000">
                      <w14:alpha w14:val="100000"/>
                    </w14:srgbClr>
                  </w14:solidFill>
                </w14:textFill>
              </w:rPr>
              <w:t xml:space="preserve">　</w:t>
            </w:r>
            <w:r w:rsidR="00241B02">
              <w:rPr>
                <w:vertAlign w:val="superscript"/>
              </w:rPr>
              <w:t>2</w:t>
            </w:r>
          </w:p>
        </w:tc>
        <w:tc>
          <w:tcPr>
            <w:tcW w:w="611" w:type="pct"/>
            <w:shd w:val="clear" w:color="auto" w:fill="B8CCE4" w:themeFill="accent1" w:themeFillTint="66"/>
            <w:vAlign w:val="center"/>
          </w:tcPr>
          <w:p w14:paraId="330975B5" w14:textId="6B06F4D6" w:rsidR="002A7F4F" w:rsidRPr="00241B02" w:rsidRDefault="003E2BEF" w:rsidP="00140D86">
            <w:pPr>
              <w:pStyle w:val="COMTabletext"/>
              <w:jc w:val="center"/>
              <w:rPr>
                <w:color w:val="000000"/>
                <w:highlight w:val="darkGray"/>
              </w:rPr>
            </w:pPr>
            <w:r w:rsidRPr="003E2BEF">
              <w:rPr>
                <w:rFonts w:hint="eastAsia"/>
                <w:color w:val="000000"/>
                <w:w w:val="23"/>
                <w:shd w:val="solid" w:color="000000" w:fill="000000"/>
                <w:fitText w:val="103" w:id="-1304706547"/>
                <w14:textFill>
                  <w14:solidFill>
                    <w14:srgbClr w14:val="000000">
                      <w14:alpha w14:val="100000"/>
                    </w14:srgbClr>
                  </w14:solidFill>
                </w14:textFill>
              </w:rPr>
              <w:t xml:space="preserve">　</w:t>
            </w:r>
            <w:r w:rsidRPr="003E2BEF">
              <w:rPr>
                <w:color w:val="000000"/>
                <w:w w:val="23"/>
                <w:shd w:val="solid" w:color="000000" w:fill="000000"/>
                <w:fitText w:val="103" w:id="-1304706547"/>
                <w14:textFill>
                  <w14:solidFill>
                    <w14:srgbClr w14:val="000000">
                      <w14:alpha w14:val="100000"/>
                    </w14:srgbClr>
                  </w14:solidFill>
                </w14:textFill>
              </w:rPr>
              <w:t>|</w:t>
            </w:r>
            <w:r w:rsidRPr="003E2BEF">
              <w:rPr>
                <w:rFonts w:hint="eastAsia"/>
                <w:color w:val="000000"/>
                <w:spacing w:val="2"/>
                <w:w w:val="23"/>
                <w:shd w:val="solid" w:color="000000" w:fill="000000"/>
                <w:fitText w:val="103" w:id="-1304706547"/>
                <w14:textFill>
                  <w14:solidFill>
                    <w14:srgbClr w14:val="000000">
                      <w14:alpha w14:val="100000"/>
                    </w14:srgbClr>
                  </w14:solidFill>
                </w14:textFill>
              </w:rPr>
              <w:t xml:space="preserve">　</w:t>
            </w:r>
            <w:r w:rsidR="00241B02">
              <w:rPr>
                <w:vertAlign w:val="superscript"/>
              </w:rPr>
              <w:t>2</w:t>
            </w:r>
          </w:p>
        </w:tc>
        <w:tc>
          <w:tcPr>
            <w:tcW w:w="611" w:type="pct"/>
            <w:shd w:val="clear" w:color="auto" w:fill="B8CCE4" w:themeFill="accent1" w:themeFillTint="66"/>
            <w:vAlign w:val="center"/>
          </w:tcPr>
          <w:p w14:paraId="0CF573DA" w14:textId="102057C3" w:rsidR="002A7F4F" w:rsidRPr="00241B02" w:rsidRDefault="003E2BEF" w:rsidP="00140D86">
            <w:pPr>
              <w:pStyle w:val="COMTabletext"/>
              <w:jc w:val="center"/>
              <w:rPr>
                <w:color w:val="000000"/>
                <w:highlight w:val="darkGray"/>
              </w:rPr>
            </w:pPr>
            <w:r w:rsidRPr="003E2BEF">
              <w:rPr>
                <w:rFonts w:hint="eastAsia"/>
                <w:color w:val="000000"/>
                <w:w w:val="23"/>
                <w:shd w:val="solid" w:color="000000" w:fill="000000"/>
                <w:fitText w:val="103" w:id="-1304706546"/>
                <w14:textFill>
                  <w14:solidFill>
                    <w14:srgbClr w14:val="000000">
                      <w14:alpha w14:val="100000"/>
                    </w14:srgbClr>
                  </w14:solidFill>
                </w14:textFill>
              </w:rPr>
              <w:t xml:space="preserve">　</w:t>
            </w:r>
            <w:r w:rsidRPr="003E2BEF">
              <w:rPr>
                <w:color w:val="000000"/>
                <w:w w:val="23"/>
                <w:shd w:val="solid" w:color="000000" w:fill="000000"/>
                <w:fitText w:val="103" w:id="-1304706546"/>
                <w14:textFill>
                  <w14:solidFill>
                    <w14:srgbClr w14:val="000000">
                      <w14:alpha w14:val="100000"/>
                    </w14:srgbClr>
                  </w14:solidFill>
                </w14:textFill>
              </w:rPr>
              <w:t>|</w:t>
            </w:r>
            <w:r w:rsidRPr="003E2BEF">
              <w:rPr>
                <w:rFonts w:hint="eastAsia"/>
                <w:color w:val="000000"/>
                <w:spacing w:val="2"/>
                <w:w w:val="23"/>
                <w:shd w:val="solid" w:color="000000" w:fill="000000"/>
                <w:fitText w:val="103" w:id="-1304706546"/>
                <w14:textFill>
                  <w14:solidFill>
                    <w14:srgbClr w14:val="000000">
                      <w14:alpha w14:val="100000"/>
                    </w14:srgbClr>
                  </w14:solidFill>
                </w14:textFill>
              </w:rPr>
              <w:t xml:space="preserve">　</w:t>
            </w:r>
            <w:r w:rsidR="00241B02">
              <w:rPr>
                <w:vertAlign w:val="superscript"/>
              </w:rPr>
              <w:t>2</w:t>
            </w:r>
          </w:p>
        </w:tc>
        <w:tc>
          <w:tcPr>
            <w:tcW w:w="611" w:type="pct"/>
            <w:shd w:val="clear" w:color="auto" w:fill="B8CCE4" w:themeFill="accent1" w:themeFillTint="66"/>
            <w:vAlign w:val="center"/>
          </w:tcPr>
          <w:p w14:paraId="3F6A3688" w14:textId="1423BCD2" w:rsidR="002A7F4F" w:rsidRPr="00241B02" w:rsidRDefault="003E2BEF" w:rsidP="00140D86">
            <w:pPr>
              <w:pStyle w:val="COMTabletext"/>
              <w:jc w:val="center"/>
              <w:rPr>
                <w:color w:val="000000"/>
                <w:highlight w:val="darkGray"/>
              </w:rPr>
            </w:pPr>
            <w:r w:rsidRPr="003E2BEF">
              <w:rPr>
                <w:rFonts w:hint="eastAsia"/>
                <w:color w:val="000000"/>
                <w:w w:val="23"/>
                <w:shd w:val="solid" w:color="000000" w:fill="000000"/>
                <w:fitText w:val="103" w:id="-1304706545"/>
                <w14:textFill>
                  <w14:solidFill>
                    <w14:srgbClr w14:val="000000">
                      <w14:alpha w14:val="100000"/>
                    </w14:srgbClr>
                  </w14:solidFill>
                </w14:textFill>
              </w:rPr>
              <w:t xml:space="preserve">　</w:t>
            </w:r>
            <w:r w:rsidRPr="003E2BEF">
              <w:rPr>
                <w:color w:val="000000"/>
                <w:w w:val="23"/>
                <w:shd w:val="solid" w:color="000000" w:fill="000000"/>
                <w:fitText w:val="103" w:id="-1304706545"/>
                <w14:textFill>
                  <w14:solidFill>
                    <w14:srgbClr w14:val="000000">
                      <w14:alpha w14:val="100000"/>
                    </w14:srgbClr>
                  </w14:solidFill>
                </w14:textFill>
              </w:rPr>
              <w:t>|</w:t>
            </w:r>
            <w:r w:rsidRPr="003E2BEF">
              <w:rPr>
                <w:rFonts w:hint="eastAsia"/>
                <w:color w:val="000000"/>
                <w:spacing w:val="2"/>
                <w:w w:val="23"/>
                <w:shd w:val="solid" w:color="000000" w:fill="000000"/>
                <w:fitText w:val="103" w:id="-1304706545"/>
                <w14:textFill>
                  <w14:solidFill>
                    <w14:srgbClr w14:val="000000">
                      <w14:alpha w14:val="100000"/>
                    </w14:srgbClr>
                  </w14:solidFill>
                </w14:textFill>
              </w:rPr>
              <w:t xml:space="preserve">　</w:t>
            </w:r>
            <w:r w:rsidR="00241B02">
              <w:rPr>
                <w:vertAlign w:val="superscript"/>
              </w:rPr>
              <w:t>2</w:t>
            </w:r>
          </w:p>
        </w:tc>
        <w:tc>
          <w:tcPr>
            <w:tcW w:w="611" w:type="pct"/>
            <w:shd w:val="clear" w:color="auto" w:fill="B8CCE4" w:themeFill="accent1" w:themeFillTint="66"/>
            <w:vAlign w:val="center"/>
          </w:tcPr>
          <w:p w14:paraId="68BACC0E" w14:textId="3860FABE" w:rsidR="002A7F4F" w:rsidRPr="00241B02" w:rsidRDefault="003E2BEF" w:rsidP="00140D86">
            <w:pPr>
              <w:pStyle w:val="COMTabletext"/>
              <w:jc w:val="center"/>
              <w:rPr>
                <w:color w:val="000000"/>
                <w:highlight w:val="darkGray"/>
              </w:rPr>
            </w:pPr>
            <w:r w:rsidRPr="003E2BEF">
              <w:rPr>
                <w:rFonts w:hint="eastAsia"/>
                <w:color w:val="000000"/>
                <w:w w:val="23"/>
                <w:shd w:val="solid" w:color="000000" w:fill="000000"/>
                <w:fitText w:val="104" w:id="-1304706544"/>
                <w14:textFill>
                  <w14:solidFill>
                    <w14:srgbClr w14:val="000000">
                      <w14:alpha w14:val="100000"/>
                    </w14:srgbClr>
                  </w14:solidFill>
                </w14:textFill>
              </w:rPr>
              <w:t xml:space="preserve">　</w:t>
            </w:r>
            <w:r w:rsidRPr="003E2BEF">
              <w:rPr>
                <w:color w:val="000000"/>
                <w:w w:val="23"/>
                <w:shd w:val="solid" w:color="000000" w:fill="000000"/>
                <w:fitText w:val="104" w:id="-1304706544"/>
                <w14:textFill>
                  <w14:solidFill>
                    <w14:srgbClr w14:val="000000">
                      <w14:alpha w14:val="100000"/>
                    </w14:srgbClr>
                  </w14:solidFill>
                </w14:textFill>
              </w:rPr>
              <w:t>|</w:t>
            </w:r>
            <w:r w:rsidRPr="003E2BEF">
              <w:rPr>
                <w:rFonts w:hint="eastAsia"/>
                <w:color w:val="000000"/>
                <w:spacing w:val="3"/>
                <w:w w:val="23"/>
                <w:shd w:val="solid" w:color="000000" w:fill="000000"/>
                <w:fitText w:val="104" w:id="-1304706544"/>
                <w14:textFill>
                  <w14:solidFill>
                    <w14:srgbClr w14:val="000000">
                      <w14:alpha w14:val="100000"/>
                    </w14:srgbClr>
                  </w14:solidFill>
                </w14:textFill>
              </w:rPr>
              <w:t xml:space="preserve">　</w:t>
            </w:r>
            <w:r w:rsidR="00241B02">
              <w:rPr>
                <w:vertAlign w:val="superscript"/>
              </w:rPr>
              <w:t>2</w:t>
            </w:r>
          </w:p>
        </w:tc>
        <w:tc>
          <w:tcPr>
            <w:tcW w:w="611" w:type="pct"/>
            <w:shd w:val="clear" w:color="auto" w:fill="B8CCE4" w:themeFill="accent1" w:themeFillTint="66"/>
            <w:vAlign w:val="center"/>
          </w:tcPr>
          <w:p w14:paraId="61332E51" w14:textId="4B77CA3E" w:rsidR="002A7F4F" w:rsidRPr="00241B02" w:rsidRDefault="003E2BEF" w:rsidP="00140D86">
            <w:pPr>
              <w:pStyle w:val="COMTabletext"/>
              <w:jc w:val="center"/>
              <w:rPr>
                <w:color w:val="000000"/>
                <w:highlight w:val="darkGray"/>
              </w:rPr>
            </w:pPr>
            <w:r w:rsidRPr="003E2BEF">
              <w:rPr>
                <w:rFonts w:hint="eastAsia"/>
                <w:color w:val="000000"/>
                <w:w w:val="23"/>
                <w:shd w:val="solid" w:color="000000" w:fill="000000"/>
                <w:fitText w:val="104" w:id="-1304706560"/>
                <w14:textFill>
                  <w14:solidFill>
                    <w14:srgbClr w14:val="000000">
                      <w14:alpha w14:val="100000"/>
                    </w14:srgbClr>
                  </w14:solidFill>
                </w14:textFill>
              </w:rPr>
              <w:t xml:space="preserve">　</w:t>
            </w:r>
            <w:r w:rsidRPr="003E2BEF">
              <w:rPr>
                <w:color w:val="000000"/>
                <w:w w:val="23"/>
                <w:shd w:val="solid" w:color="000000" w:fill="000000"/>
                <w:fitText w:val="104" w:id="-1304706560"/>
                <w14:textFill>
                  <w14:solidFill>
                    <w14:srgbClr w14:val="000000">
                      <w14:alpha w14:val="100000"/>
                    </w14:srgbClr>
                  </w14:solidFill>
                </w14:textFill>
              </w:rPr>
              <w:t>|</w:t>
            </w:r>
            <w:r w:rsidRPr="003E2BEF">
              <w:rPr>
                <w:rFonts w:hint="eastAsia"/>
                <w:color w:val="000000"/>
                <w:spacing w:val="3"/>
                <w:w w:val="23"/>
                <w:shd w:val="solid" w:color="000000" w:fill="000000"/>
                <w:fitText w:val="104" w:id="-1304706560"/>
                <w14:textFill>
                  <w14:solidFill>
                    <w14:srgbClr w14:val="000000">
                      <w14:alpha w14:val="100000"/>
                    </w14:srgbClr>
                  </w14:solidFill>
                </w14:textFill>
              </w:rPr>
              <w:t xml:space="preserve">　</w:t>
            </w:r>
            <w:r w:rsidR="00241B02">
              <w:rPr>
                <w:vertAlign w:val="superscript"/>
              </w:rPr>
              <w:t>2</w:t>
            </w:r>
          </w:p>
        </w:tc>
      </w:tr>
      <w:tr w:rsidR="002A7F4F" w:rsidRPr="001159D0" w14:paraId="6F13F330" w14:textId="77777777" w:rsidTr="00140D86">
        <w:tc>
          <w:tcPr>
            <w:tcW w:w="5000" w:type="pct"/>
            <w:gridSpan w:val="7"/>
            <w:shd w:val="clear" w:color="auto" w:fill="auto"/>
            <w:vAlign w:val="center"/>
          </w:tcPr>
          <w:p w14:paraId="1A028E25" w14:textId="77777777" w:rsidR="002A7F4F" w:rsidRPr="001159D0" w:rsidRDefault="002A7F4F" w:rsidP="00140D86">
            <w:pPr>
              <w:pStyle w:val="COMTableheadingrow"/>
              <w:rPr>
                <w:lang w:val="en-AU"/>
              </w:rPr>
            </w:pPr>
            <w:r w:rsidRPr="001159D0">
              <w:rPr>
                <w:lang w:val="en-AU"/>
              </w:rPr>
              <w:t>Estimated extent of use</w:t>
            </w:r>
          </w:p>
        </w:tc>
      </w:tr>
      <w:tr w:rsidR="002A7F4F" w:rsidRPr="001159D0" w14:paraId="31075DC2" w14:textId="77777777" w:rsidTr="00140D86">
        <w:tc>
          <w:tcPr>
            <w:tcW w:w="1334" w:type="pct"/>
            <w:shd w:val="clear" w:color="auto" w:fill="auto"/>
            <w:vAlign w:val="center"/>
          </w:tcPr>
          <w:p w14:paraId="6B6558CB" w14:textId="77777777" w:rsidR="002A7F4F" w:rsidRPr="001159D0" w:rsidRDefault="002A7F4F" w:rsidP="00140D86">
            <w:pPr>
              <w:pStyle w:val="COMTabletext"/>
            </w:pPr>
            <w:r w:rsidRPr="001159D0">
              <w:t>Number of treated patients</w:t>
            </w:r>
          </w:p>
        </w:tc>
        <w:tc>
          <w:tcPr>
            <w:tcW w:w="611" w:type="pct"/>
            <w:shd w:val="clear" w:color="auto" w:fill="auto"/>
          </w:tcPr>
          <w:p w14:paraId="2A0C545D" w14:textId="4C094D78" w:rsidR="002A7F4F" w:rsidRPr="00241B02" w:rsidRDefault="003E2BEF" w:rsidP="00140D86">
            <w:pPr>
              <w:pStyle w:val="COMTabletext"/>
              <w:jc w:val="center"/>
              <w:rPr>
                <w:color w:val="000000"/>
                <w:highlight w:val="darkGray"/>
              </w:rPr>
            </w:pPr>
            <w:r w:rsidRPr="003E2BEF">
              <w:rPr>
                <w:rFonts w:hint="eastAsia"/>
                <w:color w:val="000000"/>
                <w:w w:val="23"/>
                <w:shd w:val="solid" w:color="000000" w:fill="000000"/>
                <w:fitText w:val="104" w:id="-1304706559"/>
                <w14:textFill>
                  <w14:solidFill>
                    <w14:srgbClr w14:val="000000">
                      <w14:alpha w14:val="100000"/>
                    </w14:srgbClr>
                  </w14:solidFill>
                </w14:textFill>
              </w:rPr>
              <w:t xml:space="preserve">　</w:t>
            </w:r>
            <w:r w:rsidRPr="003E2BEF">
              <w:rPr>
                <w:color w:val="000000"/>
                <w:w w:val="23"/>
                <w:shd w:val="solid" w:color="000000" w:fill="000000"/>
                <w:fitText w:val="104" w:id="-1304706559"/>
                <w14:textFill>
                  <w14:solidFill>
                    <w14:srgbClr w14:val="000000">
                      <w14:alpha w14:val="100000"/>
                    </w14:srgbClr>
                  </w14:solidFill>
                </w14:textFill>
              </w:rPr>
              <w:t>|</w:t>
            </w:r>
            <w:r w:rsidRPr="003E2BEF">
              <w:rPr>
                <w:rFonts w:hint="eastAsia"/>
                <w:color w:val="000000"/>
                <w:spacing w:val="3"/>
                <w:w w:val="23"/>
                <w:shd w:val="solid" w:color="000000" w:fill="000000"/>
                <w:fitText w:val="104" w:id="-1304706559"/>
                <w14:textFill>
                  <w14:solidFill>
                    <w14:srgbClr w14:val="000000">
                      <w14:alpha w14:val="100000"/>
                    </w14:srgbClr>
                  </w14:solidFill>
                </w14:textFill>
              </w:rPr>
              <w:t xml:space="preserve">　</w:t>
            </w:r>
            <w:r w:rsidR="00241B02">
              <w:rPr>
                <w:vertAlign w:val="superscript"/>
              </w:rPr>
              <w:t>3</w:t>
            </w:r>
          </w:p>
        </w:tc>
        <w:tc>
          <w:tcPr>
            <w:tcW w:w="611" w:type="pct"/>
            <w:shd w:val="clear" w:color="auto" w:fill="auto"/>
          </w:tcPr>
          <w:p w14:paraId="360D4DED" w14:textId="293371D2" w:rsidR="002A7F4F" w:rsidRPr="00241B02" w:rsidRDefault="003E2BEF" w:rsidP="00140D86">
            <w:pPr>
              <w:pStyle w:val="COMTabletext"/>
              <w:jc w:val="center"/>
              <w:rPr>
                <w:color w:val="000000"/>
                <w:highlight w:val="darkGray"/>
              </w:rPr>
            </w:pPr>
            <w:r w:rsidRPr="003E2BEF">
              <w:rPr>
                <w:rFonts w:hint="eastAsia"/>
                <w:color w:val="000000"/>
                <w:w w:val="23"/>
                <w:shd w:val="solid" w:color="000000" w:fill="000000"/>
                <w:fitText w:val="103" w:id="-1304706558"/>
                <w14:textFill>
                  <w14:solidFill>
                    <w14:srgbClr w14:val="000000">
                      <w14:alpha w14:val="100000"/>
                    </w14:srgbClr>
                  </w14:solidFill>
                </w14:textFill>
              </w:rPr>
              <w:t xml:space="preserve">　</w:t>
            </w:r>
            <w:r w:rsidRPr="003E2BEF">
              <w:rPr>
                <w:color w:val="000000"/>
                <w:w w:val="23"/>
                <w:shd w:val="solid" w:color="000000" w:fill="000000"/>
                <w:fitText w:val="103" w:id="-1304706558"/>
                <w14:textFill>
                  <w14:solidFill>
                    <w14:srgbClr w14:val="000000">
                      <w14:alpha w14:val="100000"/>
                    </w14:srgbClr>
                  </w14:solidFill>
                </w14:textFill>
              </w:rPr>
              <w:t>|</w:t>
            </w:r>
            <w:r w:rsidRPr="003E2BEF">
              <w:rPr>
                <w:rFonts w:hint="eastAsia"/>
                <w:color w:val="000000"/>
                <w:spacing w:val="2"/>
                <w:w w:val="23"/>
                <w:shd w:val="solid" w:color="000000" w:fill="000000"/>
                <w:fitText w:val="103" w:id="-1304706558"/>
                <w14:textFill>
                  <w14:solidFill>
                    <w14:srgbClr w14:val="000000">
                      <w14:alpha w14:val="100000"/>
                    </w14:srgbClr>
                  </w14:solidFill>
                </w14:textFill>
              </w:rPr>
              <w:t xml:space="preserve">　</w:t>
            </w:r>
            <w:r w:rsidR="00241B02">
              <w:rPr>
                <w:vertAlign w:val="superscript"/>
              </w:rPr>
              <w:t>3</w:t>
            </w:r>
          </w:p>
        </w:tc>
        <w:tc>
          <w:tcPr>
            <w:tcW w:w="611" w:type="pct"/>
            <w:shd w:val="clear" w:color="auto" w:fill="auto"/>
          </w:tcPr>
          <w:p w14:paraId="37734448" w14:textId="475B921C" w:rsidR="002A7F4F" w:rsidRPr="00241B02" w:rsidRDefault="003E2BEF" w:rsidP="00140D86">
            <w:pPr>
              <w:pStyle w:val="COMTabletext"/>
              <w:jc w:val="center"/>
              <w:rPr>
                <w:color w:val="000000"/>
                <w:highlight w:val="darkGray"/>
              </w:rPr>
            </w:pPr>
            <w:r w:rsidRPr="003E2BEF">
              <w:rPr>
                <w:rFonts w:hint="eastAsia"/>
                <w:color w:val="000000"/>
                <w:w w:val="23"/>
                <w:shd w:val="solid" w:color="000000" w:fill="000000"/>
                <w:fitText w:val="103" w:id="-1304706557"/>
                <w14:textFill>
                  <w14:solidFill>
                    <w14:srgbClr w14:val="000000">
                      <w14:alpha w14:val="100000"/>
                    </w14:srgbClr>
                  </w14:solidFill>
                </w14:textFill>
              </w:rPr>
              <w:t xml:space="preserve">　</w:t>
            </w:r>
            <w:r w:rsidRPr="003E2BEF">
              <w:rPr>
                <w:color w:val="000000"/>
                <w:w w:val="23"/>
                <w:shd w:val="solid" w:color="000000" w:fill="000000"/>
                <w:fitText w:val="103" w:id="-1304706557"/>
                <w14:textFill>
                  <w14:solidFill>
                    <w14:srgbClr w14:val="000000">
                      <w14:alpha w14:val="100000"/>
                    </w14:srgbClr>
                  </w14:solidFill>
                </w14:textFill>
              </w:rPr>
              <w:t>|</w:t>
            </w:r>
            <w:r w:rsidRPr="003E2BEF">
              <w:rPr>
                <w:rFonts w:hint="eastAsia"/>
                <w:color w:val="000000"/>
                <w:spacing w:val="2"/>
                <w:w w:val="23"/>
                <w:shd w:val="solid" w:color="000000" w:fill="000000"/>
                <w:fitText w:val="103" w:id="-1304706557"/>
                <w14:textFill>
                  <w14:solidFill>
                    <w14:srgbClr w14:val="000000">
                      <w14:alpha w14:val="100000"/>
                    </w14:srgbClr>
                  </w14:solidFill>
                </w14:textFill>
              </w:rPr>
              <w:t xml:space="preserve">　</w:t>
            </w:r>
            <w:r w:rsidR="00241B02" w:rsidRPr="00241B02">
              <w:rPr>
                <w:vertAlign w:val="superscript"/>
              </w:rPr>
              <w:t>1</w:t>
            </w:r>
          </w:p>
        </w:tc>
        <w:tc>
          <w:tcPr>
            <w:tcW w:w="611" w:type="pct"/>
            <w:shd w:val="clear" w:color="auto" w:fill="auto"/>
          </w:tcPr>
          <w:p w14:paraId="5C0F470F" w14:textId="47EE90A7" w:rsidR="002A7F4F" w:rsidRPr="00241B02" w:rsidRDefault="003E2BEF" w:rsidP="00140D86">
            <w:pPr>
              <w:pStyle w:val="COMTabletext"/>
              <w:jc w:val="center"/>
              <w:rPr>
                <w:color w:val="000000"/>
                <w:highlight w:val="darkGray"/>
              </w:rPr>
            </w:pPr>
            <w:r w:rsidRPr="003E2BEF">
              <w:rPr>
                <w:rFonts w:hint="eastAsia"/>
                <w:color w:val="000000"/>
                <w:w w:val="23"/>
                <w:shd w:val="solid" w:color="000000" w:fill="000000"/>
                <w:fitText w:val="103" w:id="-1304706556"/>
                <w14:textFill>
                  <w14:solidFill>
                    <w14:srgbClr w14:val="000000">
                      <w14:alpha w14:val="100000"/>
                    </w14:srgbClr>
                  </w14:solidFill>
                </w14:textFill>
              </w:rPr>
              <w:t xml:space="preserve">　</w:t>
            </w:r>
            <w:r w:rsidRPr="003E2BEF">
              <w:rPr>
                <w:color w:val="000000"/>
                <w:w w:val="23"/>
                <w:shd w:val="solid" w:color="000000" w:fill="000000"/>
                <w:fitText w:val="103" w:id="-1304706556"/>
                <w14:textFill>
                  <w14:solidFill>
                    <w14:srgbClr w14:val="000000">
                      <w14:alpha w14:val="100000"/>
                    </w14:srgbClr>
                  </w14:solidFill>
                </w14:textFill>
              </w:rPr>
              <w:t>|</w:t>
            </w:r>
            <w:r w:rsidRPr="003E2BEF">
              <w:rPr>
                <w:rFonts w:hint="eastAsia"/>
                <w:color w:val="000000"/>
                <w:spacing w:val="2"/>
                <w:w w:val="23"/>
                <w:shd w:val="solid" w:color="000000" w:fill="000000"/>
                <w:fitText w:val="103" w:id="-1304706556"/>
                <w14:textFill>
                  <w14:solidFill>
                    <w14:srgbClr w14:val="000000">
                      <w14:alpha w14:val="100000"/>
                    </w14:srgbClr>
                  </w14:solidFill>
                </w14:textFill>
              </w:rPr>
              <w:t xml:space="preserve">　</w:t>
            </w:r>
            <w:r w:rsidR="00241B02" w:rsidRPr="00241B02">
              <w:rPr>
                <w:vertAlign w:val="superscript"/>
              </w:rPr>
              <w:t>1</w:t>
            </w:r>
          </w:p>
        </w:tc>
        <w:tc>
          <w:tcPr>
            <w:tcW w:w="611" w:type="pct"/>
            <w:shd w:val="clear" w:color="auto" w:fill="auto"/>
          </w:tcPr>
          <w:p w14:paraId="51260089" w14:textId="6D2A41C1" w:rsidR="002A7F4F" w:rsidRPr="00241B02" w:rsidRDefault="003E2BEF" w:rsidP="00140D86">
            <w:pPr>
              <w:pStyle w:val="COMTabletext"/>
              <w:jc w:val="center"/>
              <w:rPr>
                <w:color w:val="000000"/>
                <w:highlight w:val="darkGray"/>
              </w:rPr>
            </w:pPr>
            <w:r w:rsidRPr="003E2BEF">
              <w:rPr>
                <w:rFonts w:hint="eastAsia"/>
                <w:color w:val="000000"/>
                <w:w w:val="23"/>
                <w:shd w:val="solid" w:color="000000" w:fill="000000"/>
                <w:fitText w:val="104" w:id="-1304706555"/>
                <w14:textFill>
                  <w14:solidFill>
                    <w14:srgbClr w14:val="000000">
                      <w14:alpha w14:val="100000"/>
                    </w14:srgbClr>
                  </w14:solidFill>
                </w14:textFill>
              </w:rPr>
              <w:t xml:space="preserve">　</w:t>
            </w:r>
            <w:r w:rsidRPr="003E2BEF">
              <w:rPr>
                <w:color w:val="000000"/>
                <w:w w:val="23"/>
                <w:shd w:val="solid" w:color="000000" w:fill="000000"/>
                <w:fitText w:val="104" w:id="-1304706555"/>
                <w14:textFill>
                  <w14:solidFill>
                    <w14:srgbClr w14:val="000000">
                      <w14:alpha w14:val="100000"/>
                    </w14:srgbClr>
                  </w14:solidFill>
                </w14:textFill>
              </w:rPr>
              <w:t>|</w:t>
            </w:r>
            <w:r w:rsidRPr="003E2BEF">
              <w:rPr>
                <w:rFonts w:hint="eastAsia"/>
                <w:color w:val="000000"/>
                <w:spacing w:val="3"/>
                <w:w w:val="23"/>
                <w:shd w:val="solid" w:color="000000" w:fill="000000"/>
                <w:fitText w:val="104" w:id="-1304706555"/>
                <w14:textFill>
                  <w14:solidFill>
                    <w14:srgbClr w14:val="000000">
                      <w14:alpha w14:val="100000"/>
                    </w14:srgbClr>
                  </w14:solidFill>
                </w14:textFill>
              </w:rPr>
              <w:t xml:space="preserve">　</w:t>
            </w:r>
            <w:r w:rsidR="00241B02" w:rsidRPr="00241B02">
              <w:rPr>
                <w:vertAlign w:val="superscript"/>
              </w:rPr>
              <w:t>1</w:t>
            </w:r>
          </w:p>
        </w:tc>
        <w:tc>
          <w:tcPr>
            <w:tcW w:w="611" w:type="pct"/>
          </w:tcPr>
          <w:p w14:paraId="39EF6BCD" w14:textId="0AE78B9D" w:rsidR="002A7F4F" w:rsidRPr="00241B02" w:rsidRDefault="003E2BEF" w:rsidP="00140D86">
            <w:pPr>
              <w:pStyle w:val="COMTabletext"/>
              <w:jc w:val="center"/>
              <w:rPr>
                <w:color w:val="000000"/>
                <w:highlight w:val="darkGray"/>
              </w:rPr>
            </w:pPr>
            <w:r w:rsidRPr="003E2BEF">
              <w:rPr>
                <w:rFonts w:hint="eastAsia"/>
                <w:color w:val="000000"/>
                <w:w w:val="23"/>
                <w:shd w:val="solid" w:color="000000" w:fill="000000"/>
                <w:fitText w:val="104" w:id="-1304706554"/>
                <w14:textFill>
                  <w14:solidFill>
                    <w14:srgbClr w14:val="000000">
                      <w14:alpha w14:val="100000"/>
                    </w14:srgbClr>
                  </w14:solidFill>
                </w14:textFill>
              </w:rPr>
              <w:t xml:space="preserve">　</w:t>
            </w:r>
            <w:r w:rsidRPr="003E2BEF">
              <w:rPr>
                <w:color w:val="000000"/>
                <w:w w:val="23"/>
                <w:shd w:val="solid" w:color="000000" w:fill="000000"/>
                <w:fitText w:val="104" w:id="-1304706554"/>
                <w14:textFill>
                  <w14:solidFill>
                    <w14:srgbClr w14:val="000000">
                      <w14:alpha w14:val="100000"/>
                    </w14:srgbClr>
                  </w14:solidFill>
                </w14:textFill>
              </w:rPr>
              <w:t>|</w:t>
            </w:r>
            <w:r w:rsidRPr="003E2BEF">
              <w:rPr>
                <w:rFonts w:hint="eastAsia"/>
                <w:color w:val="000000"/>
                <w:spacing w:val="3"/>
                <w:w w:val="23"/>
                <w:shd w:val="solid" w:color="000000" w:fill="000000"/>
                <w:fitText w:val="104" w:id="-1304706554"/>
                <w14:textFill>
                  <w14:solidFill>
                    <w14:srgbClr w14:val="000000">
                      <w14:alpha w14:val="100000"/>
                    </w14:srgbClr>
                  </w14:solidFill>
                </w14:textFill>
              </w:rPr>
              <w:t xml:space="preserve">　</w:t>
            </w:r>
            <w:r w:rsidR="00241B02" w:rsidRPr="00241B02">
              <w:rPr>
                <w:vertAlign w:val="superscript"/>
              </w:rPr>
              <w:t>1</w:t>
            </w:r>
          </w:p>
        </w:tc>
      </w:tr>
      <w:tr w:rsidR="002A7F4F" w:rsidRPr="001159D0" w14:paraId="580020F8" w14:textId="77777777" w:rsidTr="00140D86">
        <w:tc>
          <w:tcPr>
            <w:tcW w:w="1334" w:type="pct"/>
            <w:shd w:val="clear" w:color="auto" w:fill="B8CCE4" w:themeFill="accent1" w:themeFillTint="66"/>
          </w:tcPr>
          <w:p w14:paraId="02A49D7E" w14:textId="77777777" w:rsidR="002A7F4F" w:rsidRPr="001159D0" w:rsidRDefault="002A7F4F" w:rsidP="00140D86">
            <w:pPr>
              <w:pStyle w:val="COMTabletext"/>
              <w:rPr>
                <w:b/>
                <w:bCs w:val="0"/>
              </w:rPr>
            </w:pPr>
            <w:r w:rsidRPr="001159D0">
              <w:rPr>
                <w:b/>
                <w:bCs w:val="0"/>
              </w:rPr>
              <w:t>November 2020 submission, total treated patients (incident + prevalent)</w:t>
            </w:r>
          </w:p>
        </w:tc>
        <w:tc>
          <w:tcPr>
            <w:tcW w:w="611" w:type="pct"/>
            <w:shd w:val="clear" w:color="auto" w:fill="B8CCE4" w:themeFill="accent1" w:themeFillTint="66"/>
            <w:vAlign w:val="center"/>
          </w:tcPr>
          <w:p w14:paraId="003A9F3A" w14:textId="75B71363" w:rsidR="002A7F4F" w:rsidRPr="00241B02" w:rsidRDefault="003E2BEF" w:rsidP="00140D86">
            <w:pPr>
              <w:pStyle w:val="COMTabletext"/>
              <w:jc w:val="center"/>
              <w:rPr>
                <w:color w:val="000000"/>
                <w:highlight w:val="darkGray"/>
              </w:rPr>
            </w:pPr>
            <w:r w:rsidRPr="003E2BEF">
              <w:rPr>
                <w:rFonts w:hint="eastAsia"/>
                <w:color w:val="000000"/>
                <w:w w:val="23"/>
                <w:shd w:val="solid" w:color="000000" w:fill="000000"/>
                <w:fitText w:val="104" w:id="-1304706553"/>
                <w14:textFill>
                  <w14:solidFill>
                    <w14:srgbClr w14:val="000000">
                      <w14:alpha w14:val="100000"/>
                    </w14:srgbClr>
                  </w14:solidFill>
                </w14:textFill>
              </w:rPr>
              <w:t xml:space="preserve">　</w:t>
            </w:r>
            <w:r w:rsidRPr="003E2BEF">
              <w:rPr>
                <w:color w:val="000000"/>
                <w:w w:val="23"/>
                <w:shd w:val="solid" w:color="000000" w:fill="000000"/>
                <w:fitText w:val="104" w:id="-1304706553"/>
                <w14:textFill>
                  <w14:solidFill>
                    <w14:srgbClr w14:val="000000">
                      <w14:alpha w14:val="100000"/>
                    </w14:srgbClr>
                  </w14:solidFill>
                </w14:textFill>
              </w:rPr>
              <w:t>|</w:t>
            </w:r>
            <w:r w:rsidRPr="003E2BEF">
              <w:rPr>
                <w:rFonts w:hint="eastAsia"/>
                <w:color w:val="000000"/>
                <w:spacing w:val="3"/>
                <w:w w:val="23"/>
                <w:shd w:val="solid" w:color="000000" w:fill="000000"/>
                <w:fitText w:val="104" w:id="-1304706553"/>
                <w14:textFill>
                  <w14:solidFill>
                    <w14:srgbClr w14:val="000000">
                      <w14:alpha w14:val="100000"/>
                    </w14:srgbClr>
                  </w14:solidFill>
                </w14:textFill>
              </w:rPr>
              <w:t xml:space="preserve">　</w:t>
            </w:r>
            <w:r w:rsidR="00241B02">
              <w:rPr>
                <w:vertAlign w:val="superscript"/>
              </w:rPr>
              <w:t>2</w:t>
            </w:r>
          </w:p>
        </w:tc>
        <w:tc>
          <w:tcPr>
            <w:tcW w:w="611" w:type="pct"/>
            <w:shd w:val="clear" w:color="auto" w:fill="B8CCE4" w:themeFill="accent1" w:themeFillTint="66"/>
            <w:vAlign w:val="center"/>
          </w:tcPr>
          <w:p w14:paraId="63FB2D3E" w14:textId="5D8C8714" w:rsidR="002A7F4F" w:rsidRPr="00241B02" w:rsidRDefault="003E2BEF" w:rsidP="00140D86">
            <w:pPr>
              <w:pStyle w:val="COMTabletext"/>
              <w:jc w:val="center"/>
              <w:rPr>
                <w:color w:val="000000"/>
                <w:highlight w:val="darkGray"/>
              </w:rPr>
            </w:pPr>
            <w:r w:rsidRPr="003E2BEF">
              <w:rPr>
                <w:rFonts w:hint="eastAsia"/>
                <w:color w:val="000000"/>
                <w:w w:val="23"/>
                <w:shd w:val="solid" w:color="000000" w:fill="000000"/>
                <w:fitText w:val="103" w:id="-1304706552"/>
                <w14:textFill>
                  <w14:solidFill>
                    <w14:srgbClr w14:val="000000">
                      <w14:alpha w14:val="100000"/>
                    </w14:srgbClr>
                  </w14:solidFill>
                </w14:textFill>
              </w:rPr>
              <w:t xml:space="preserve">　</w:t>
            </w:r>
            <w:r w:rsidRPr="003E2BEF">
              <w:rPr>
                <w:color w:val="000000"/>
                <w:w w:val="23"/>
                <w:shd w:val="solid" w:color="000000" w:fill="000000"/>
                <w:fitText w:val="103" w:id="-1304706552"/>
                <w14:textFill>
                  <w14:solidFill>
                    <w14:srgbClr w14:val="000000">
                      <w14:alpha w14:val="100000"/>
                    </w14:srgbClr>
                  </w14:solidFill>
                </w14:textFill>
              </w:rPr>
              <w:t>|</w:t>
            </w:r>
            <w:r w:rsidRPr="003E2BEF">
              <w:rPr>
                <w:rFonts w:hint="eastAsia"/>
                <w:color w:val="000000"/>
                <w:spacing w:val="2"/>
                <w:w w:val="23"/>
                <w:shd w:val="solid" w:color="000000" w:fill="000000"/>
                <w:fitText w:val="103" w:id="-1304706552"/>
                <w14:textFill>
                  <w14:solidFill>
                    <w14:srgbClr w14:val="000000">
                      <w14:alpha w14:val="100000"/>
                    </w14:srgbClr>
                  </w14:solidFill>
                </w14:textFill>
              </w:rPr>
              <w:t xml:space="preserve">　</w:t>
            </w:r>
            <w:r w:rsidR="00241B02">
              <w:rPr>
                <w:vertAlign w:val="superscript"/>
              </w:rPr>
              <w:t>6</w:t>
            </w:r>
          </w:p>
        </w:tc>
        <w:tc>
          <w:tcPr>
            <w:tcW w:w="611" w:type="pct"/>
            <w:shd w:val="clear" w:color="auto" w:fill="B8CCE4" w:themeFill="accent1" w:themeFillTint="66"/>
            <w:vAlign w:val="center"/>
          </w:tcPr>
          <w:p w14:paraId="360384B3" w14:textId="3A08BAEB" w:rsidR="002A7F4F" w:rsidRPr="00241B02" w:rsidRDefault="003E2BEF" w:rsidP="00140D86">
            <w:pPr>
              <w:pStyle w:val="COMTabletext"/>
              <w:jc w:val="center"/>
              <w:rPr>
                <w:color w:val="000000"/>
                <w:highlight w:val="darkGray"/>
              </w:rPr>
            </w:pPr>
            <w:r w:rsidRPr="003E2BEF">
              <w:rPr>
                <w:rFonts w:hint="eastAsia"/>
                <w:color w:val="000000"/>
                <w:w w:val="23"/>
                <w:shd w:val="solid" w:color="000000" w:fill="000000"/>
                <w:fitText w:val="103" w:id="-1304706551"/>
                <w14:textFill>
                  <w14:solidFill>
                    <w14:srgbClr w14:val="000000">
                      <w14:alpha w14:val="100000"/>
                    </w14:srgbClr>
                  </w14:solidFill>
                </w14:textFill>
              </w:rPr>
              <w:t xml:space="preserve">　</w:t>
            </w:r>
            <w:r w:rsidRPr="003E2BEF">
              <w:rPr>
                <w:color w:val="000000"/>
                <w:w w:val="23"/>
                <w:shd w:val="solid" w:color="000000" w:fill="000000"/>
                <w:fitText w:val="103" w:id="-1304706551"/>
                <w14:textFill>
                  <w14:solidFill>
                    <w14:srgbClr w14:val="000000">
                      <w14:alpha w14:val="100000"/>
                    </w14:srgbClr>
                  </w14:solidFill>
                </w14:textFill>
              </w:rPr>
              <w:t>|</w:t>
            </w:r>
            <w:r w:rsidRPr="003E2BEF">
              <w:rPr>
                <w:rFonts w:hint="eastAsia"/>
                <w:color w:val="000000"/>
                <w:spacing w:val="2"/>
                <w:w w:val="23"/>
                <w:shd w:val="solid" w:color="000000" w:fill="000000"/>
                <w:fitText w:val="103" w:id="-1304706551"/>
                <w14:textFill>
                  <w14:solidFill>
                    <w14:srgbClr w14:val="000000">
                      <w14:alpha w14:val="100000"/>
                    </w14:srgbClr>
                  </w14:solidFill>
                </w14:textFill>
              </w:rPr>
              <w:t xml:space="preserve">　</w:t>
            </w:r>
            <w:r w:rsidR="00241B02">
              <w:rPr>
                <w:vertAlign w:val="superscript"/>
              </w:rPr>
              <w:t>2</w:t>
            </w:r>
          </w:p>
        </w:tc>
        <w:tc>
          <w:tcPr>
            <w:tcW w:w="611" w:type="pct"/>
            <w:shd w:val="clear" w:color="auto" w:fill="B8CCE4" w:themeFill="accent1" w:themeFillTint="66"/>
            <w:vAlign w:val="center"/>
          </w:tcPr>
          <w:p w14:paraId="4006A729" w14:textId="0655FBBB" w:rsidR="002A7F4F" w:rsidRPr="00241B02" w:rsidRDefault="003E2BEF" w:rsidP="00140D86">
            <w:pPr>
              <w:pStyle w:val="COMTabletext"/>
              <w:jc w:val="center"/>
              <w:rPr>
                <w:color w:val="000000"/>
                <w:highlight w:val="darkGray"/>
              </w:rPr>
            </w:pPr>
            <w:r w:rsidRPr="003E2BEF">
              <w:rPr>
                <w:rFonts w:hint="eastAsia"/>
                <w:color w:val="000000"/>
                <w:w w:val="23"/>
                <w:shd w:val="solid" w:color="000000" w:fill="000000"/>
                <w:fitText w:val="103" w:id="-1304706550"/>
                <w14:textFill>
                  <w14:solidFill>
                    <w14:srgbClr w14:val="000000">
                      <w14:alpha w14:val="100000"/>
                    </w14:srgbClr>
                  </w14:solidFill>
                </w14:textFill>
              </w:rPr>
              <w:t xml:space="preserve">　</w:t>
            </w:r>
            <w:r w:rsidRPr="003E2BEF">
              <w:rPr>
                <w:color w:val="000000"/>
                <w:w w:val="23"/>
                <w:shd w:val="solid" w:color="000000" w:fill="000000"/>
                <w:fitText w:val="103" w:id="-1304706550"/>
                <w14:textFill>
                  <w14:solidFill>
                    <w14:srgbClr w14:val="000000">
                      <w14:alpha w14:val="100000"/>
                    </w14:srgbClr>
                  </w14:solidFill>
                </w14:textFill>
              </w:rPr>
              <w:t>|</w:t>
            </w:r>
            <w:r w:rsidRPr="003E2BEF">
              <w:rPr>
                <w:rFonts w:hint="eastAsia"/>
                <w:color w:val="000000"/>
                <w:spacing w:val="2"/>
                <w:w w:val="23"/>
                <w:shd w:val="solid" w:color="000000" w:fill="000000"/>
                <w:fitText w:val="103" w:id="-1304706550"/>
                <w14:textFill>
                  <w14:solidFill>
                    <w14:srgbClr w14:val="000000">
                      <w14:alpha w14:val="100000"/>
                    </w14:srgbClr>
                  </w14:solidFill>
                </w14:textFill>
              </w:rPr>
              <w:t xml:space="preserve">　</w:t>
            </w:r>
            <w:r w:rsidR="00241B02">
              <w:rPr>
                <w:vertAlign w:val="superscript"/>
              </w:rPr>
              <w:t>2</w:t>
            </w:r>
          </w:p>
        </w:tc>
        <w:tc>
          <w:tcPr>
            <w:tcW w:w="611" w:type="pct"/>
            <w:shd w:val="clear" w:color="auto" w:fill="B8CCE4" w:themeFill="accent1" w:themeFillTint="66"/>
            <w:vAlign w:val="center"/>
          </w:tcPr>
          <w:p w14:paraId="5A47AB75" w14:textId="7766D28E" w:rsidR="002A7F4F" w:rsidRPr="00241B02" w:rsidRDefault="003E2BEF" w:rsidP="00140D86">
            <w:pPr>
              <w:pStyle w:val="COMTabletext"/>
              <w:jc w:val="center"/>
              <w:rPr>
                <w:color w:val="000000"/>
                <w:highlight w:val="darkGray"/>
              </w:rPr>
            </w:pPr>
            <w:r w:rsidRPr="003E2BEF">
              <w:rPr>
                <w:rFonts w:hint="eastAsia"/>
                <w:color w:val="000000"/>
                <w:w w:val="23"/>
                <w:shd w:val="solid" w:color="000000" w:fill="000000"/>
                <w:fitText w:val="104" w:id="-1304706549"/>
                <w14:textFill>
                  <w14:solidFill>
                    <w14:srgbClr w14:val="000000">
                      <w14:alpha w14:val="100000"/>
                    </w14:srgbClr>
                  </w14:solidFill>
                </w14:textFill>
              </w:rPr>
              <w:t xml:space="preserve">　</w:t>
            </w:r>
            <w:r w:rsidRPr="003E2BEF">
              <w:rPr>
                <w:color w:val="000000"/>
                <w:w w:val="23"/>
                <w:shd w:val="solid" w:color="000000" w:fill="000000"/>
                <w:fitText w:val="104" w:id="-1304706549"/>
                <w14:textFill>
                  <w14:solidFill>
                    <w14:srgbClr w14:val="000000">
                      <w14:alpha w14:val="100000"/>
                    </w14:srgbClr>
                  </w14:solidFill>
                </w14:textFill>
              </w:rPr>
              <w:t>|</w:t>
            </w:r>
            <w:r w:rsidRPr="003E2BEF">
              <w:rPr>
                <w:rFonts w:hint="eastAsia"/>
                <w:color w:val="000000"/>
                <w:spacing w:val="3"/>
                <w:w w:val="23"/>
                <w:shd w:val="solid" w:color="000000" w:fill="000000"/>
                <w:fitText w:val="104" w:id="-1304706549"/>
                <w14:textFill>
                  <w14:solidFill>
                    <w14:srgbClr w14:val="000000">
                      <w14:alpha w14:val="100000"/>
                    </w14:srgbClr>
                  </w14:solidFill>
                </w14:textFill>
              </w:rPr>
              <w:t xml:space="preserve">　</w:t>
            </w:r>
            <w:r w:rsidR="00241B02">
              <w:rPr>
                <w:vertAlign w:val="superscript"/>
              </w:rPr>
              <w:t>2</w:t>
            </w:r>
          </w:p>
        </w:tc>
        <w:tc>
          <w:tcPr>
            <w:tcW w:w="611" w:type="pct"/>
            <w:shd w:val="clear" w:color="auto" w:fill="B8CCE4" w:themeFill="accent1" w:themeFillTint="66"/>
            <w:vAlign w:val="center"/>
          </w:tcPr>
          <w:p w14:paraId="0A897FFF" w14:textId="16E0CE0F" w:rsidR="002A7F4F" w:rsidRPr="00241B02" w:rsidRDefault="003E2BEF" w:rsidP="00140D86">
            <w:pPr>
              <w:pStyle w:val="COMTabletext"/>
              <w:jc w:val="center"/>
              <w:rPr>
                <w:color w:val="000000"/>
                <w:highlight w:val="darkGray"/>
              </w:rPr>
            </w:pPr>
            <w:r w:rsidRPr="003E2BEF">
              <w:rPr>
                <w:rFonts w:hint="eastAsia"/>
                <w:color w:val="000000"/>
                <w:w w:val="23"/>
                <w:shd w:val="solid" w:color="000000" w:fill="000000"/>
                <w:fitText w:val="104" w:id="-1304706548"/>
                <w14:textFill>
                  <w14:solidFill>
                    <w14:srgbClr w14:val="000000">
                      <w14:alpha w14:val="100000"/>
                    </w14:srgbClr>
                  </w14:solidFill>
                </w14:textFill>
              </w:rPr>
              <w:t xml:space="preserve">　</w:t>
            </w:r>
            <w:r w:rsidRPr="003E2BEF">
              <w:rPr>
                <w:color w:val="000000"/>
                <w:w w:val="23"/>
                <w:shd w:val="solid" w:color="000000" w:fill="000000"/>
                <w:fitText w:val="104" w:id="-1304706548"/>
                <w14:textFill>
                  <w14:solidFill>
                    <w14:srgbClr w14:val="000000">
                      <w14:alpha w14:val="100000"/>
                    </w14:srgbClr>
                  </w14:solidFill>
                </w14:textFill>
              </w:rPr>
              <w:t>|</w:t>
            </w:r>
            <w:r w:rsidRPr="003E2BEF">
              <w:rPr>
                <w:rFonts w:hint="eastAsia"/>
                <w:color w:val="000000"/>
                <w:spacing w:val="3"/>
                <w:w w:val="23"/>
                <w:shd w:val="solid" w:color="000000" w:fill="000000"/>
                <w:fitText w:val="104" w:id="-1304706548"/>
                <w14:textFill>
                  <w14:solidFill>
                    <w14:srgbClr w14:val="000000">
                      <w14:alpha w14:val="100000"/>
                    </w14:srgbClr>
                  </w14:solidFill>
                </w14:textFill>
              </w:rPr>
              <w:t xml:space="preserve">　</w:t>
            </w:r>
            <w:r w:rsidR="00241B02">
              <w:rPr>
                <w:vertAlign w:val="superscript"/>
              </w:rPr>
              <w:t>2</w:t>
            </w:r>
          </w:p>
        </w:tc>
      </w:tr>
      <w:tr w:rsidR="002A7F4F" w:rsidRPr="001159D0" w14:paraId="22033375" w14:textId="77777777" w:rsidTr="00140D86">
        <w:tc>
          <w:tcPr>
            <w:tcW w:w="1334" w:type="pct"/>
            <w:shd w:val="clear" w:color="auto" w:fill="auto"/>
            <w:vAlign w:val="center"/>
          </w:tcPr>
          <w:p w14:paraId="17FDA0F0" w14:textId="77777777" w:rsidR="002A7F4F" w:rsidRPr="001159D0" w:rsidRDefault="002A7F4F" w:rsidP="00140D86">
            <w:pPr>
              <w:pStyle w:val="COMTabletext"/>
              <w:rPr>
                <w:rFonts w:ascii="Times" w:hAnsi="Times"/>
              </w:rPr>
            </w:pPr>
            <w:r w:rsidRPr="001159D0">
              <w:t>Number of scripts dispensed</w:t>
            </w:r>
          </w:p>
        </w:tc>
        <w:tc>
          <w:tcPr>
            <w:tcW w:w="611" w:type="pct"/>
            <w:shd w:val="clear" w:color="auto" w:fill="auto"/>
          </w:tcPr>
          <w:p w14:paraId="7813DEAA" w14:textId="5DFA0E5B" w:rsidR="002A7F4F" w:rsidRPr="00241B02" w:rsidRDefault="003E2BEF" w:rsidP="00140D86">
            <w:pPr>
              <w:pStyle w:val="COMTabletext"/>
              <w:jc w:val="center"/>
              <w:rPr>
                <w:color w:val="000000"/>
                <w:highlight w:val="darkGray"/>
              </w:rPr>
            </w:pPr>
            <w:r w:rsidRPr="003E2BEF">
              <w:rPr>
                <w:rFonts w:hint="eastAsia"/>
                <w:color w:val="000000"/>
                <w:w w:val="23"/>
                <w:shd w:val="solid" w:color="000000" w:fill="000000"/>
                <w:fitText w:val="104" w:id="-1304706547"/>
                <w14:textFill>
                  <w14:solidFill>
                    <w14:srgbClr w14:val="000000">
                      <w14:alpha w14:val="100000"/>
                    </w14:srgbClr>
                  </w14:solidFill>
                </w14:textFill>
              </w:rPr>
              <w:t xml:space="preserve">　</w:t>
            </w:r>
            <w:r w:rsidRPr="003E2BEF">
              <w:rPr>
                <w:color w:val="000000"/>
                <w:w w:val="23"/>
                <w:shd w:val="solid" w:color="000000" w:fill="000000"/>
                <w:fitText w:val="104" w:id="-1304706547"/>
                <w14:textFill>
                  <w14:solidFill>
                    <w14:srgbClr w14:val="000000">
                      <w14:alpha w14:val="100000"/>
                    </w14:srgbClr>
                  </w14:solidFill>
                </w14:textFill>
              </w:rPr>
              <w:t>|</w:t>
            </w:r>
            <w:r w:rsidRPr="003E2BEF">
              <w:rPr>
                <w:rFonts w:hint="eastAsia"/>
                <w:color w:val="000000"/>
                <w:spacing w:val="3"/>
                <w:w w:val="23"/>
                <w:shd w:val="solid" w:color="000000" w:fill="000000"/>
                <w:fitText w:val="104" w:id="-1304706547"/>
                <w14:textFill>
                  <w14:solidFill>
                    <w14:srgbClr w14:val="000000">
                      <w14:alpha w14:val="100000"/>
                    </w14:srgbClr>
                  </w14:solidFill>
                </w14:textFill>
              </w:rPr>
              <w:t xml:space="preserve">　</w:t>
            </w:r>
            <w:r w:rsidR="00241B02" w:rsidRPr="00241B02">
              <w:rPr>
                <w:vertAlign w:val="superscript"/>
              </w:rPr>
              <w:t>1</w:t>
            </w:r>
          </w:p>
        </w:tc>
        <w:tc>
          <w:tcPr>
            <w:tcW w:w="611" w:type="pct"/>
            <w:shd w:val="clear" w:color="auto" w:fill="auto"/>
          </w:tcPr>
          <w:p w14:paraId="2D522AE7" w14:textId="67D1B0A0" w:rsidR="002A7F4F" w:rsidRPr="00241B02" w:rsidRDefault="003E2BEF" w:rsidP="00140D86">
            <w:pPr>
              <w:pStyle w:val="COMTabletext"/>
              <w:jc w:val="center"/>
              <w:rPr>
                <w:color w:val="000000"/>
                <w:highlight w:val="darkGray"/>
              </w:rPr>
            </w:pPr>
            <w:r w:rsidRPr="003E2BEF">
              <w:rPr>
                <w:rFonts w:hint="eastAsia"/>
                <w:color w:val="000000"/>
                <w:w w:val="23"/>
                <w:shd w:val="solid" w:color="000000" w:fill="000000"/>
                <w:fitText w:val="103" w:id="-1304706546"/>
                <w14:textFill>
                  <w14:solidFill>
                    <w14:srgbClr w14:val="000000">
                      <w14:alpha w14:val="100000"/>
                    </w14:srgbClr>
                  </w14:solidFill>
                </w14:textFill>
              </w:rPr>
              <w:t xml:space="preserve">　</w:t>
            </w:r>
            <w:r w:rsidRPr="003E2BEF">
              <w:rPr>
                <w:color w:val="000000"/>
                <w:w w:val="23"/>
                <w:shd w:val="solid" w:color="000000" w:fill="000000"/>
                <w:fitText w:val="103" w:id="-1304706546"/>
                <w14:textFill>
                  <w14:solidFill>
                    <w14:srgbClr w14:val="000000">
                      <w14:alpha w14:val="100000"/>
                    </w14:srgbClr>
                  </w14:solidFill>
                </w14:textFill>
              </w:rPr>
              <w:t>|</w:t>
            </w:r>
            <w:r w:rsidRPr="003E2BEF">
              <w:rPr>
                <w:rFonts w:hint="eastAsia"/>
                <w:color w:val="000000"/>
                <w:spacing w:val="2"/>
                <w:w w:val="23"/>
                <w:shd w:val="solid" w:color="000000" w:fill="000000"/>
                <w:fitText w:val="103" w:id="-1304706546"/>
                <w14:textFill>
                  <w14:solidFill>
                    <w14:srgbClr w14:val="000000">
                      <w14:alpha w14:val="100000"/>
                    </w14:srgbClr>
                  </w14:solidFill>
                </w14:textFill>
              </w:rPr>
              <w:t xml:space="preserve">　</w:t>
            </w:r>
            <w:r w:rsidR="00241B02">
              <w:rPr>
                <w:vertAlign w:val="superscript"/>
              </w:rPr>
              <w:t>6</w:t>
            </w:r>
          </w:p>
        </w:tc>
        <w:tc>
          <w:tcPr>
            <w:tcW w:w="611" w:type="pct"/>
            <w:shd w:val="clear" w:color="auto" w:fill="auto"/>
          </w:tcPr>
          <w:p w14:paraId="44449F3C" w14:textId="01D466EB" w:rsidR="002A7F4F" w:rsidRPr="00241B02" w:rsidRDefault="003E2BEF" w:rsidP="00140D86">
            <w:pPr>
              <w:pStyle w:val="COMTabletext"/>
              <w:jc w:val="center"/>
              <w:rPr>
                <w:color w:val="000000"/>
                <w:highlight w:val="darkGray"/>
              </w:rPr>
            </w:pPr>
            <w:r w:rsidRPr="003E2BEF">
              <w:rPr>
                <w:rFonts w:hint="eastAsia"/>
                <w:color w:val="000000"/>
                <w:w w:val="23"/>
                <w:shd w:val="solid" w:color="000000" w:fill="000000"/>
                <w:fitText w:val="103" w:id="-1304706545"/>
                <w14:textFill>
                  <w14:solidFill>
                    <w14:srgbClr w14:val="000000">
                      <w14:alpha w14:val="100000"/>
                    </w14:srgbClr>
                  </w14:solidFill>
                </w14:textFill>
              </w:rPr>
              <w:t xml:space="preserve">　</w:t>
            </w:r>
            <w:r w:rsidRPr="003E2BEF">
              <w:rPr>
                <w:color w:val="000000"/>
                <w:w w:val="23"/>
                <w:shd w:val="solid" w:color="000000" w:fill="000000"/>
                <w:fitText w:val="103" w:id="-1304706545"/>
                <w14:textFill>
                  <w14:solidFill>
                    <w14:srgbClr w14:val="000000">
                      <w14:alpha w14:val="100000"/>
                    </w14:srgbClr>
                  </w14:solidFill>
                </w14:textFill>
              </w:rPr>
              <w:t>|</w:t>
            </w:r>
            <w:r w:rsidRPr="003E2BEF">
              <w:rPr>
                <w:rFonts w:hint="eastAsia"/>
                <w:color w:val="000000"/>
                <w:spacing w:val="2"/>
                <w:w w:val="23"/>
                <w:shd w:val="solid" w:color="000000" w:fill="000000"/>
                <w:fitText w:val="103" w:id="-1304706545"/>
                <w14:textFill>
                  <w14:solidFill>
                    <w14:srgbClr w14:val="000000">
                      <w14:alpha w14:val="100000"/>
                    </w14:srgbClr>
                  </w14:solidFill>
                </w14:textFill>
              </w:rPr>
              <w:t xml:space="preserve">　</w:t>
            </w:r>
            <w:r w:rsidR="00241B02">
              <w:rPr>
                <w:vertAlign w:val="superscript"/>
              </w:rPr>
              <w:t>2</w:t>
            </w:r>
          </w:p>
        </w:tc>
        <w:tc>
          <w:tcPr>
            <w:tcW w:w="611" w:type="pct"/>
            <w:shd w:val="clear" w:color="auto" w:fill="auto"/>
          </w:tcPr>
          <w:p w14:paraId="179D86EF" w14:textId="07AD8C44" w:rsidR="002A7F4F" w:rsidRPr="00241B02" w:rsidRDefault="003E2BEF" w:rsidP="00140D86">
            <w:pPr>
              <w:pStyle w:val="COMTabletext"/>
              <w:jc w:val="center"/>
              <w:rPr>
                <w:color w:val="000000"/>
                <w:highlight w:val="darkGray"/>
              </w:rPr>
            </w:pPr>
            <w:r w:rsidRPr="003E2BEF">
              <w:rPr>
                <w:rFonts w:hint="eastAsia"/>
                <w:color w:val="000000"/>
                <w:w w:val="23"/>
                <w:shd w:val="solid" w:color="000000" w:fill="000000"/>
                <w:fitText w:val="103" w:id="-1304706544"/>
                <w14:textFill>
                  <w14:solidFill>
                    <w14:srgbClr w14:val="000000">
                      <w14:alpha w14:val="100000"/>
                    </w14:srgbClr>
                  </w14:solidFill>
                </w14:textFill>
              </w:rPr>
              <w:t xml:space="preserve">　</w:t>
            </w:r>
            <w:r w:rsidRPr="003E2BEF">
              <w:rPr>
                <w:color w:val="000000"/>
                <w:w w:val="23"/>
                <w:shd w:val="solid" w:color="000000" w:fill="000000"/>
                <w:fitText w:val="103" w:id="-1304706544"/>
                <w14:textFill>
                  <w14:solidFill>
                    <w14:srgbClr w14:val="000000">
                      <w14:alpha w14:val="100000"/>
                    </w14:srgbClr>
                  </w14:solidFill>
                </w14:textFill>
              </w:rPr>
              <w:t>|</w:t>
            </w:r>
            <w:r w:rsidRPr="003E2BEF">
              <w:rPr>
                <w:rFonts w:hint="eastAsia"/>
                <w:color w:val="000000"/>
                <w:spacing w:val="2"/>
                <w:w w:val="23"/>
                <w:shd w:val="solid" w:color="000000" w:fill="000000"/>
                <w:fitText w:val="103" w:id="-1304706544"/>
                <w14:textFill>
                  <w14:solidFill>
                    <w14:srgbClr w14:val="000000">
                      <w14:alpha w14:val="100000"/>
                    </w14:srgbClr>
                  </w14:solidFill>
                </w14:textFill>
              </w:rPr>
              <w:t xml:space="preserve">　</w:t>
            </w:r>
            <w:r w:rsidR="00241B02">
              <w:rPr>
                <w:vertAlign w:val="superscript"/>
              </w:rPr>
              <w:t>2</w:t>
            </w:r>
          </w:p>
        </w:tc>
        <w:tc>
          <w:tcPr>
            <w:tcW w:w="611" w:type="pct"/>
            <w:shd w:val="clear" w:color="auto" w:fill="auto"/>
          </w:tcPr>
          <w:p w14:paraId="114E32E7" w14:textId="7A4520B1" w:rsidR="002A7F4F" w:rsidRPr="00241B02" w:rsidRDefault="003E2BEF" w:rsidP="00140D86">
            <w:pPr>
              <w:pStyle w:val="COMTabletext"/>
              <w:jc w:val="center"/>
              <w:rPr>
                <w:color w:val="000000"/>
                <w:highlight w:val="darkGray"/>
              </w:rPr>
            </w:pPr>
            <w:r w:rsidRPr="003E2BEF">
              <w:rPr>
                <w:rFonts w:hint="eastAsia"/>
                <w:color w:val="000000"/>
                <w:w w:val="23"/>
                <w:shd w:val="solid" w:color="000000" w:fill="000000"/>
                <w:fitText w:val="104" w:id="-1304706560"/>
                <w14:textFill>
                  <w14:solidFill>
                    <w14:srgbClr w14:val="000000">
                      <w14:alpha w14:val="100000"/>
                    </w14:srgbClr>
                  </w14:solidFill>
                </w14:textFill>
              </w:rPr>
              <w:t xml:space="preserve">　</w:t>
            </w:r>
            <w:r w:rsidRPr="003E2BEF">
              <w:rPr>
                <w:color w:val="000000"/>
                <w:w w:val="23"/>
                <w:shd w:val="solid" w:color="000000" w:fill="000000"/>
                <w:fitText w:val="104" w:id="-1304706560"/>
                <w14:textFill>
                  <w14:solidFill>
                    <w14:srgbClr w14:val="000000">
                      <w14:alpha w14:val="100000"/>
                    </w14:srgbClr>
                  </w14:solidFill>
                </w14:textFill>
              </w:rPr>
              <w:t>|</w:t>
            </w:r>
            <w:r w:rsidRPr="003E2BEF">
              <w:rPr>
                <w:rFonts w:hint="eastAsia"/>
                <w:color w:val="000000"/>
                <w:spacing w:val="3"/>
                <w:w w:val="23"/>
                <w:shd w:val="solid" w:color="000000" w:fill="000000"/>
                <w:fitText w:val="104" w:id="-1304706560"/>
                <w14:textFill>
                  <w14:solidFill>
                    <w14:srgbClr w14:val="000000">
                      <w14:alpha w14:val="100000"/>
                    </w14:srgbClr>
                  </w14:solidFill>
                </w14:textFill>
              </w:rPr>
              <w:t xml:space="preserve">　</w:t>
            </w:r>
            <w:r w:rsidR="00241B02">
              <w:rPr>
                <w:vertAlign w:val="superscript"/>
              </w:rPr>
              <w:t>8</w:t>
            </w:r>
          </w:p>
        </w:tc>
        <w:tc>
          <w:tcPr>
            <w:tcW w:w="611" w:type="pct"/>
          </w:tcPr>
          <w:p w14:paraId="0003849D" w14:textId="49CDBFC3" w:rsidR="002A7F4F" w:rsidRPr="00241B02" w:rsidRDefault="003E2BEF" w:rsidP="00140D86">
            <w:pPr>
              <w:pStyle w:val="COMTabletext"/>
              <w:jc w:val="center"/>
              <w:rPr>
                <w:color w:val="000000"/>
                <w:highlight w:val="darkGray"/>
              </w:rPr>
            </w:pPr>
            <w:r w:rsidRPr="003E2BEF">
              <w:rPr>
                <w:rFonts w:hint="eastAsia"/>
                <w:color w:val="000000"/>
                <w:w w:val="31"/>
                <w:shd w:val="solid" w:color="000000" w:fill="000000"/>
                <w:fitText w:val="139" w:id="-1304706559"/>
                <w14:textFill>
                  <w14:solidFill>
                    <w14:srgbClr w14:val="000000">
                      <w14:alpha w14:val="100000"/>
                    </w14:srgbClr>
                  </w14:solidFill>
                </w14:textFill>
              </w:rPr>
              <w:t xml:space="preserve">　</w:t>
            </w:r>
            <w:r w:rsidRPr="003E2BEF">
              <w:rPr>
                <w:color w:val="000000"/>
                <w:w w:val="31"/>
                <w:shd w:val="solid" w:color="000000" w:fill="000000"/>
                <w:fitText w:val="139" w:id="-1304706559"/>
                <w14:textFill>
                  <w14:solidFill>
                    <w14:srgbClr w14:val="000000">
                      <w14:alpha w14:val="100000"/>
                    </w14:srgbClr>
                  </w14:solidFill>
                </w14:textFill>
              </w:rPr>
              <w:t>|</w:t>
            </w:r>
            <w:r w:rsidRPr="003E2BEF">
              <w:rPr>
                <w:rFonts w:hint="eastAsia"/>
                <w:color w:val="000000"/>
                <w:spacing w:val="3"/>
                <w:w w:val="31"/>
                <w:shd w:val="solid" w:color="000000" w:fill="000000"/>
                <w:fitText w:val="139" w:id="-1304706559"/>
                <w14:textFill>
                  <w14:solidFill>
                    <w14:srgbClr w14:val="000000">
                      <w14:alpha w14:val="100000"/>
                    </w14:srgbClr>
                  </w14:solidFill>
                </w14:textFill>
              </w:rPr>
              <w:t xml:space="preserve">　</w:t>
            </w:r>
            <w:r w:rsidR="00241B02" w:rsidRPr="00241B02">
              <w:rPr>
                <w:vertAlign w:val="superscript"/>
              </w:rPr>
              <w:t>1</w:t>
            </w:r>
            <w:r w:rsidR="00241B02">
              <w:rPr>
                <w:vertAlign w:val="superscript"/>
              </w:rPr>
              <w:t>0</w:t>
            </w:r>
          </w:p>
        </w:tc>
      </w:tr>
      <w:tr w:rsidR="002A7F4F" w:rsidRPr="001159D0" w14:paraId="148F2357" w14:textId="77777777" w:rsidTr="00140D86">
        <w:tc>
          <w:tcPr>
            <w:tcW w:w="5000" w:type="pct"/>
            <w:gridSpan w:val="7"/>
            <w:shd w:val="clear" w:color="auto" w:fill="auto"/>
            <w:vAlign w:val="center"/>
          </w:tcPr>
          <w:p w14:paraId="6FD9E0BA" w14:textId="77777777" w:rsidR="002A7F4F" w:rsidRPr="001159D0" w:rsidRDefault="002A7F4F" w:rsidP="00140D86">
            <w:pPr>
              <w:pStyle w:val="COMTableheadingrow"/>
              <w:rPr>
                <w:lang w:val="en-AU"/>
              </w:rPr>
            </w:pPr>
            <w:r w:rsidRPr="001159D0">
              <w:rPr>
                <w:lang w:val="en-AU"/>
              </w:rPr>
              <w:t>Estimated financial implications of patiromer</w:t>
            </w:r>
          </w:p>
        </w:tc>
      </w:tr>
      <w:tr w:rsidR="002A7F4F" w:rsidRPr="001159D0" w14:paraId="27981E23" w14:textId="77777777" w:rsidTr="00140D86">
        <w:tc>
          <w:tcPr>
            <w:tcW w:w="1334" w:type="pct"/>
            <w:shd w:val="clear" w:color="auto" w:fill="auto"/>
            <w:vAlign w:val="center"/>
          </w:tcPr>
          <w:p w14:paraId="524B81B8" w14:textId="24EB80F5" w:rsidR="002A7F4F" w:rsidRPr="001159D0" w:rsidRDefault="002A7F4F" w:rsidP="00140D86">
            <w:pPr>
              <w:pStyle w:val="COMTabletext"/>
              <w:rPr>
                <w:sz w:val="19"/>
                <w:szCs w:val="19"/>
              </w:rPr>
            </w:pPr>
            <w:r w:rsidRPr="001159D0">
              <w:t>Cost to PBS/RPBS less copay</w:t>
            </w:r>
            <w:r w:rsidR="00241B02">
              <w:t xml:space="preserve"> ($)</w:t>
            </w:r>
          </w:p>
        </w:tc>
        <w:tc>
          <w:tcPr>
            <w:tcW w:w="611" w:type="pct"/>
            <w:shd w:val="clear" w:color="auto" w:fill="auto"/>
          </w:tcPr>
          <w:p w14:paraId="35BC43C4" w14:textId="4644D1AA" w:rsidR="002A7F4F" w:rsidRPr="00241B02" w:rsidRDefault="003E2BEF" w:rsidP="00140D86">
            <w:pPr>
              <w:pStyle w:val="COMTabletext"/>
              <w:jc w:val="center"/>
              <w:rPr>
                <w:highlight w:val="darkGray"/>
              </w:rPr>
            </w:pPr>
            <w:r w:rsidRPr="003E2BEF">
              <w:rPr>
                <w:rFonts w:hint="eastAsia"/>
                <w:color w:val="000000"/>
                <w:w w:val="23"/>
                <w:shd w:val="solid" w:color="000000" w:fill="000000"/>
                <w:fitText w:val="104" w:id="-1304706558"/>
                <w14:textFill>
                  <w14:solidFill>
                    <w14:srgbClr w14:val="000000">
                      <w14:alpha w14:val="100000"/>
                    </w14:srgbClr>
                  </w14:solidFill>
                </w14:textFill>
              </w:rPr>
              <w:t xml:space="preserve">　</w:t>
            </w:r>
            <w:r w:rsidRPr="003E2BEF">
              <w:rPr>
                <w:color w:val="000000"/>
                <w:w w:val="23"/>
                <w:shd w:val="solid" w:color="000000" w:fill="000000"/>
                <w:fitText w:val="104" w:id="-1304706558"/>
                <w14:textFill>
                  <w14:solidFill>
                    <w14:srgbClr w14:val="000000">
                      <w14:alpha w14:val="100000"/>
                    </w14:srgbClr>
                  </w14:solidFill>
                </w14:textFill>
              </w:rPr>
              <w:t>|</w:t>
            </w:r>
            <w:r w:rsidRPr="003E2BEF">
              <w:rPr>
                <w:rFonts w:hint="eastAsia"/>
                <w:color w:val="000000"/>
                <w:spacing w:val="3"/>
                <w:w w:val="23"/>
                <w:shd w:val="solid" w:color="000000" w:fill="000000"/>
                <w:fitText w:val="104" w:id="-1304706558"/>
                <w14:textFill>
                  <w14:solidFill>
                    <w14:srgbClr w14:val="000000">
                      <w14:alpha w14:val="100000"/>
                    </w14:srgbClr>
                  </w14:solidFill>
                </w14:textFill>
              </w:rPr>
              <w:t xml:space="preserve">　</w:t>
            </w:r>
            <w:r w:rsidR="00241B02">
              <w:rPr>
                <w:vertAlign w:val="superscript"/>
              </w:rPr>
              <w:t>4</w:t>
            </w:r>
          </w:p>
        </w:tc>
        <w:tc>
          <w:tcPr>
            <w:tcW w:w="611" w:type="pct"/>
            <w:shd w:val="clear" w:color="auto" w:fill="auto"/>
          </w:tcPr>
          <w:p w14:paraId="12807A77" w14:textId="4ACC1F59" w:rsidR="002A7F4F" w:rsidRPr="00241B02" w:rsidRDefault="003E2BEF" w:rsidP="00140D86">
            <w:pPr>
              <w:pStyle w:val="COMTabletext"/>
              <w:jc w:val="center"/>
              <w:rPr>
                <w:highlight w:val="darkGray"/>
              </w:rPr>
            </w:pPr>
            <w:r w:rsidRPr="003E2BEF">
              <w:rPr>
                <w:rFonts w:hint="eastAsia"/>
                <w:color w:val="000000"/>
                <w:w w:val="23"/>
                <w:shd w:val="solid" w:color="000000" w:fill="000000"/>
                <w:fitText w:val="103" w:id="-1304706557"/>
                <w14:textFill>
                  <w14:solidFill>
                    <w14:srgbClr w14:val="000000">
                      <w14:alpha w14:val="100000"/>
                    </w14:srgbClr>
                  </w14:solidFill>
                </w14:textFill>
              </w:rPr>
              <w:t xml:space="preserve">　</w:t>
            </w:r>
            <w:r w:rsidRPr="003E2BEF">
              <w:rPr>
                <w:color w:val="000000"/>
                <w:w w:val="23"/>
                <w:shd w:val="solid" w:color="000000" w:fill="000000"/>
                <w:fitText w:val="103" w:id="-1304706557"/>
                <w14:textFill>
                  <w14:solidFill>
                    <w14:srgbClr w14:val="000000">
                      <w14:alpha w14:val="100000"/>
                    </w14:srgbClr>
                  </w14:solidFill>
                </w14:textFill>
              </w:rPr>
              <w:t>|</w:t>
            </w:r>
            <w:r w:rsidRPr="003E2BEF">
              <w:rPr>
                <w:rFonts w:hint="eastAsia"/>
                <w:color w:val="000000"/>
                <w:spacing w:val="2"/>
                <w:w w:val="23"/>
                <w:shd w:val="solid" w:color="000000" w:fill="000000"/>
                <w:fitText w:val="103" w:id="-1304706557"/>
                <w14:textFill>
                  <w14:solidFill>
                    <w14:srgbClr w14:val="000000">
                      <w14:alpha w14:val="100000"/>
                    </w14:srgbClr>
                  </w14:solidFill>
                </w14:textFill>
              </w:rPr>
              <w:t xml:space="preserve">　</w:t>
            </w:r>
            <w:r w:rsidR="00241B02">
              <w:rPr>
                <w:vertAlign w:val="superscript"/>
              </w:rPr>
              <w:t>4</w:t>
            </w:r>
          </w:p>
        </w:tc>
        <w:tc>
          <w:tcPr>
            <w:tcW w:w="611" w:type="pct"/>
            <w:shd w:val="clear" w:color="auto" w:fill="auto"/>
          </w:tcPr>
          <w:p w14:paraId="65E6ECE9" w14:textId="2AE395F4" w:rsidR="002A7F4F" w:rsidRPr="00241B02" w:rsidRDefault="003E2BEF" w:rsidP="00140D86">
            <w:pPr>
              <w:pStyle w:val="COMTabletext"/>
              <w:jc w:val="center"/>
              <w:rPr>
                <w:highlight w:val="darkGray"/>
              </w:rPr>
            </w:pPr>
            <w:r w:rsidRPr="003E2BEF">
              <w:rPr>
                <w:rFonts w:hint="eastAsia"/>
                <w:color w:val="000000"/>
                <w:w w:val="23"/>
                <w:shd w:val="solid" w:color="000000" w:fill="000000"/>
                <w:fitText w:val="103" w:id="-1304706556"/>
                <w14:textFill>
                  <w14:solidFill>
                    <w14:srgbClr w14:val="000000">
                      <w14:alpha w14:val="100000"/>
                    </w14:srgbClr>
                  </w14:solidFill>
                </w14:textFill>
              </w:rPr>
              <w:t xml:space="preserve">　</w:t>
            </w:r>
            <w:r w:rsidRPr="003E2BEF">
              <w:rPr>
                <w:color w:val="000000"/>
                <w:w w:val="23"/>
                <w:shd w:val="solid" w:color="000000" w:fill="000000"/>
                <w:fitText w:val="103" w:id="-1304706556"/>
                <w14:textFill>
                  <w14:solidFill>
                    <w14:srgbClr w14:val="000000">
                      <w14:alpha w14:val="100000"/>
                    </w14:srgbClr>
                  </w14:solidFill>
                </w14:textFill>
              </w:rPr>
              <w:t>|</w:t>
            </w:r>
            <w:r w:rsidRPr="003E2BEF">
              <w:rPr>
                <w:rFonts w:hint="eastAsia"/>
                <w:color w:val="000000"/>
                <w:spacing w:val="2"/>
                <w:w w:val="23"/>
                <w:shd w:val="solid" w:color="000000" w:fill="000000"/>
                <w:fitText w:val="103" w:id="-1304706556"/>
                <w14:textFill>
                  <w14:solidFill>
                    <w14:srgbClr w14:val="000000">
                      <w14:alpha w14:val="100000"/>
                    </w14:srgbClr>
                  </w14:solidFill>
                </w14:textFill>
              </w:rPr>
              <w:t xml:space="preserve">　</w:t>
            </w:r>
            <w:r w:rsidR="00241B02">
              <w:rPr>
                <w:vertAlign w:val="superscript"/>
              </w:rPr>
              <w:t>4</w:t>
            </w:r>
          </w:p>
        </w:tc>
        <w:tc>
          <w:tcPr>
            <w:tcW w:w="611" w:type="pct"/>
            <w:shd w:val="clear" w:color="auto" w:fill="auto"/>
          </w:tcPr>
          <w:p w14:paraId="671BA3FF" w14:textId="6BD73E65" w:rsidR="002A7F4F" w:rsidRPr="00241B02" w:rsidRDefault="003E2BEF" w:rsidP="00140D86">
            <w:pPr>
              <w:pStyle w:val="COMTabletext"/>
              <w:jc w:val="center"/>
              <w:rPr>
                <w:highlight w:val="darkGray"/>
              </w:rPr>
            </w:pPr>
            <w:r w:rsidRPr="003E2BEF">
              <w:rPr>
                <w:rFonts w:hint="eastAsia"/>
                <w:color w:val="000000"/>
                <w:w w:val="23"/>
                <w:shd w:val="solid" w:color="000000" w:fill="000000"/>
                <w:fitText w:val="103" w:id="-1304706555"/>
                <w14:textFill>
                  <w14:solidFill>
                    <w14:srgbClr w14:val="000000">
                      <w14:alpha w14:val="100000"/>
                    </w14:srgbClr>
                  </w14:solidFill>
                </w14:textFill>
              </w:rPr>
              <w:t xml:space="preserve">　</w:t>
            </w:r>
            <w:r w:rsidRPr="003E2BEF">
              <w:rPr>
                <w:color w:val="000000"/>
                <w:w w:val="23"/>
                <w:shd w:val="solid" w:color="000000" w:fill="000000"/>
                <w:fitText w:val="103" w:id="-1304706555"/>
                <w14:textFill>
                  <w14:solidFill>
                    <w14:srgbClr w14:val="000000">
                      <w14:alpha w14:val="100000"/>
                    </w14:srgbClr>
                  </w14:solidFill>
                </w14:textFill>
              </w:rPr>
              <w:t>|</w:t>
            </w:r>
            <w:r w:rsidRPr="003E2BEF">
              <w:rPr>
                <w:rFonts w:hint="eastAsia"/>
                <w:color w:val="000000"/>
                <w:spacing w:val="2"/>
                <w:w w:val="23"/>
                <w:shd w:val="solid" w:color="000000" w:fill="000000"/>
                <w:fitText w:val="103" w:id="-1304706555"/>
                <w14:textFill>
                  <w14:solidFill>
                    <w14:srgbClr w14:val="000000">
                      <w14:alpha w14:val="100000"/>
                    </w14:srgbClr>
                  </w14:solidFill>
                </w14:textFill>
              </w:rPr>
              <w:t xml:space="preserve">　</w:t>
            </w:r>
            <w:r w:rsidR="00241B02">
              <w:rPr>
                <w:vertAlign w:val="superscript"/>
              </w:rPr>
              <w:t>4</w:t>
            </w:r>
          </w:p>
        </w:tc>
        <w:tc>
          <w:tcPr>
            <w:tcW w:w="611" w:type="pct"/>
            <w:shd w:val="clear" w:color="auto" w:fill="auto"/>
          </w:tcPr>
          <w:p w14:paraId="2A6F696B" w14:textId="1AF7D235" w:rsidR="002A7F4F" w:rsidRPr="00241B02" w:rsidRDefault="003E2BEF" w:rsidP="00140D86">
            <w:pPr>
              <w:pStyle w:val="COMTabletext"/>
              <w:jc w:val="center"/>
              <w:rPr>
                <w:highlight w:val="darkGray"/>
              </w:rPr>
            </w:pPr>
            <w:r w:rsidRPr="003E2BEF">
              <w:rPr>
                <w:rFonts w:hint="eastAsia"/>
                <w:color w:val="000000"/>
                <w:w w:val="23"/>
                <w:shd w:val="solid" w:color="000000" w:fill="000000"/>
                <w:fitText w:val="104" w:id="-1304706554"/>
                <w14:textFill>
                  <w14:solidFill>
                    <w14:srgbClr w14:val="000000">
                      <w14:alpha w14:val="100000"/>
                    </w14:srgbClr>
                  </w14:solidFill>
                </w14:textFill>
              </w:rPr>
              <w:t xml:space="preserve">　</w:t>
            </w:r>
            <w:r w:rsidRPr="003E2BEF">
              <w:rPr>
                <w:color w:val="000000"/>
                <w:w w:val="23"/>
                <w:shd w:val="solid" w:color="000000" w:fill="000000"/>
                <w:fitText w:val="104" w:id="-1304706554"/>
                <w14:textFill>
                  <w14:solidFill>
                    <w14:srgbClr w14:val="000000">
                      <w14:alpha w14:val="100000"/>
                    </w14:srgbClr>
                  </w14:solidFill>
                </w14:textFill>
              </w:rPr>
              <w:t>|</w:t>
            </w:r>
            <w:r w:rsidRPr="003E2BEF">
              <w:rPr>
                <w:rFonts w:hint="eastAsia"/>
                <w:color w:val="000000"/>
                <w:spacing w:val="3"/>
                <w:w w:val="23"/>
                <w:shd w:val="solid" w:color="000000" w:fill="000000"/>
                <w:fitText w:val="104" w:id="-1304706554"/>
                <w14:textFill>
                  <w14:solidFill>
                    <w14:srgbClr w14:val="000000">
                      <w14:alpha w14:val="100000"/>
                    </w14:srgbClr>
                  </w14:solidFill>
                </w14:textFill>
              </w:rPr>
              <w:t xml:space="preserve">　</w:t>
            </w:r>
            <w:r w:rsidR="00241B02">
              <w:rPr>
                <w:vertAlign w:val="superscript"/>
              </w:rPr>
              <w:t>4</w:t>
            </w:r>
          </w:p>
        </w:tc>
        <w:tc>
          <w:tcPr>
            <w:tcW w:w="611" w:type="pct"/>
          </w:tcPr>
          <w:p w14:paraId="0F2C0A69" w14:textId="278A5AD3" w:rsidR="002A7F4F" w:rsidRPr="00241B02" w:rsidRDefault="003E2BEF" w:rsidP="00140D86">
            <w:pPr>
              <w:pStyle w:val="COMTabletext"/>
              <w:jc w:val="center"/>
              <w:rPr>
                <w:highlight w:val="darkGray"/>
              </w:rPr>
            </w:pPr>
            <w:r w:rsidRPr="003E2BEF">
              <w:rPr>
                <w:rFonts w:hint="eastAsia"/>
                <w:color w:val="000000"/>
                <w:w w:val="31"/>
                <w:shd w:val="solid" w:color="000000" w:fill="000000"/>
                <w:fitText w:val="139" w:id="-1304706553"/>
                <w14:textFill>
                  <w14:solidFill>
                    <w14:srgbClr w14:val="000000">
                      <w14:alpha w14:val="100000"/>
                    </w14:srgbClr>
                  </w14:solidFill>
                </w14:textFill>
              </w:rPr>
              <w:t xml:space="preserve">　</w:t>
            </w:r>
            <w:r w:rsidRPr="003E2BEF">
              <w:rPr>
                <w:color w:val="000000"/>
                <w:w w:val="31"/>
                <w:shd w:val="solid" w:color="000000" w:fill="000000"/>
                <w:fitText w:val="139" w:id="-1304706553"/>
                <w14:textFill>
                  <w14:solidFill>
                    <w14:srgbClr w14:val="000000">
                      <w14:alpha w14:val="100000"/>
                    </w14:srgbClr>
                  </w14:solidFill>
                </w14:textFill>
              </w:rPr>
              <w:t>|</w:t>
            </w:r>
            <w:r w:rsidRPr="003E2BEF">
              <w:rPr>
                <w:rFonts w:hint="eastAsia"/>
                <w:color w:val="000000"/>
                <w:spacing w:val="3"/>
                <w:w w:val="31"/>
                <w:shd w:val="solid" w:color="000000" w:fill="000000"/>
                <w:fitText w:val="139" w:id="-1304706553"/>
                <w14:textFill>
                  <w14:solidFill>
                    <w14:srgbClr w14:val="000000">
                      <w14:alpha w14:val="100000"/>
                    </w14:srgbClr>
                  </w14:solidFill>
                </w14:textFill>
              </w:rPr>
              <w:t xml:space="preserve">　</w:t>
            </w:r>
            <w:r w:rsidR="00241B02" w:rsidRPr="00241B02">
              <w:rPr>
                <w:vertAlign w:val="superscript"/>
              </w:rPr>
              <w:t>1</w:t>
            </w:r>
            <w:r w:rsidR="00241B02">
              <w:rPr>
                <w:vertAlign w:val="superscript"/>
              </w:rPr>
              <w:t>1</w:t>
            </w:r>
          </w:p>
        </w:tc>
      </w:tr>
      <w:tr w:rsidR="002A7F4F" w:rsidRPr="001159D0" w14:paraId="61CCD974" w14:textId="77777777" w:rsidTr="00140D86">
        <w:tc>
          <w:tcPr>
            <w:tcW w:w="5000" w:type="pct"/>
            <w:gridSpan w:val="7"/>
            <w:shd w:val="clear" w:color="auto" w:fill="auto"/>
            <w:vAlign w:val="center"/>
          </w:tcPr>
          <w:p w14:paraId="11C8DCD7" w14:textId="77777777" w:rsidR="002A7F4F" w:rsidRPr="001159D0" w:rsidRDefault="002A7F4F" w:rsidP="00140D86">
            <w:pPr>
              <w:pStyle w:val="COMTabletext"/>
              <w:rPr>
                <w:b/>
                <w:bCs w:val="0"/>
              </w:rPr>
            </w:pPr>
            <w:r w:rsidRPr="001159D0">
              <w:rPr>
                <w:b/>
                <w:bCs w:val="0"/>
              </w:rPr>
              <w:t>Estimated financial implications of additional RAASi therapies</w:t>
            </w:r>
          </w:p>
        </w:tc>
      </w:tr>
      <w:tr w:rsidR="002A7F4F" w:rsidRPr="001159D0" w14:paraId="24A38214" w14:textId="77777777" w:rsidTr="00140D86">
        <w:tc>
          <w:tcPr>
            <w:tcW w:w="1334" w:type="pct"/>
            <w:shd w:val="clear" w:color="auto" w:fill="auto"/>
            <w:vAlign w:val="center"/>
          </w:tcPr>
          <w:p w14:paraId="0ABF1D92" w14:textId="64851EA3" w:rsidR="002A7F4F" w:rsidRPr="001159D0" w:rsidRDefault="002A7F4F" w:rsidP="00140D86">
            <w:pPr>
              <w:pStyle w:val="COMTabletext"/>
              <w:rPr>
                <w:sz w:val="19"/>
                <w:szCs w:val="19"/>
              </w:rPr>
            </w:pPr>
            <w:r w:rsidRPr="001159D0">
              <w:t>Cost to PBS/RPBS less copay</w:t>
            </w:r>
            <w:r w:rsidR="00241B02">
              <w:t xml:space="preserve"> ($)</w:t>
            </w:r>
          </w:p>
        </w:tc>
        <w:tc>
          <w:tcPr>
            <w:tcW w:w="611" w:type="pct"/>
            <w:shd w:val="clear" w:color="auto" w:fill="auto"/>
          </w:tcPr>
          <w:p w14:paraId="60DE2921" w14:textId="54D8C89B" w:rsidR="002A7F4F" w:rsidRPr="00241B02" w:rsidRDefault="003E2BEF" w:rsidP="00140D86">
            <w:pPr>
              <w:pStyle w:val="COMTabletext"/>
              <w:jc w:val="center"/>
              <w:rPr>
                <w:highlight w:val="darkGray"/>
              </w:rPr>
            </w:pPr>
            <w:r w:rsidRPr="003E2BEF">
              <w:rPr>
                <w:rFonts w:hint="eastAsia"/>
                <w:color w:val="000000"/>
                <w:w w:val="23"/>
                <w:shd w:val="solid" w:color="000000" w:fill="000000"/>
                <w:fitText w:val="104" w:id="-1304706552"/>
                <w14:textFill>
                  <w14:solidFill>
                    <w14:srgbClr w14:val="000000">
                      <w14:alpha w14:val="100000"/>
                    </w14:srgbClr>
                  </w14:solidFill>
                </w14:textFill>
              </w:rPr>
              <w:t xml:space="preserve">　</w:t>
            </w:r>
            <w:r w:rsidRPr="003E2BEF">
              <w:rPr>
                <w:color w:val="000000"/>
                <w:w w:val="23"/>
                <w:shd w:val="solid" w:color="000000" w:fill="000000"/>
                <w:fitText w:val="104" w:id="-1304706552"/>
                <w14:textFill>
                  <w14:solidFill>
                    <w14:srgbClr w14:val="000000">
                      <w14:alpha w14:val="100000"/>
                    </w14:srgbClr>
                  </w14:solidFill>
                </w14:textFill>
              </w:rPr>
              <w:t>|</w:t>
            </w:r>
            <w:r w:rsidRPr="003E2BEF">
              <w:rPr>
                <w:rFonts w:hint="eastAsia"/>
                <w:color w:val="000000"/>
                <w:spacing w:val="3"/>
                <w:w w:val="23"/>
                <w:shd w:val="solid" w:color="000000" w:fill="000000"/>
                <w:fitText w:val="104" w:id="-1304706552"/>
                <w14:textFill>
                  <w14:solidFill>
                    <w14:srgbClr w14:val="000000">
                      <w14:alpha w14:val="100000"/>
                    </w14:srgbClr>
                  </w14:solidFill>
                </w14:textFill>
              </w:rPr>
              <w:t xml:space="preserve">　</w:t>
            </w:r>
            <w:r w:rsidR="00241B02">
              <w:rPr>
                <w:vertAlign w:val="superscript"/>
              </w:rPr>
              <w:t>4</w:t>
            </w:r>
          </w:p>
        </w:tc>
        <w:tc>
          <w:tcPr>
            <w:tcW w:w="611" w:type="pct"/>
            <w:shd w:val="clear" w:color="auto" w:fill="auto"/>
          </w:tcPr>
          <w:p w14:paraId="45DCAE94" w14:textId="121E785F" w:rsidR="002A7F4F" w:rsidRPr="00241B02" w:rsidRDefault="003E2BEF" w:rsidP="00140D86">
            <w:pPr>
              <w:pStyle w:val="COMTabletext"/>
              <w:jc w:val="center"/>
              <w:rPr>
                <w:highlight w:val="darkGray"/>
              </w:rPr>
            </w:pPr>
            <w:r w:rsidRPr="003E2BEF">
              <w:rPr>
                <w:rFonts w:hint="eastAsia"/>
                <w:color w:val="000000"/>
                <w:w w:val="23"/>
                <w:shd w:val="solid" w:color="000000" w:fill="000000"/>
                <w:fitText w:val="103" w:id="-1304706551"/>
                <w14:textFill>
                  <w14:solidFill>
                    <w14:srgbClr w14:val="000000">
                      <w14:alpha w14:val="100000"/>
                    </w14:srgbClr>
                  </w14:solidFill>
                </w14:textFill>
              </w:rPr>
              <w:t xml:space="preserve">　</w:t>
            </w:r>
            <w:r w:rsidRPr="003E2BEF">
              <w:rPr>
                <w:color w:val="000000"/>
                <w:w w:val="23"/>
                <w:shd w:val="solid" w:color="000000" w:fill="000000"/>
                <w:fitText w:val="103" w:id="-1304706551"/>
                <w14:textFill>
                  <w14:solidFill>
                    <w14:srgbClr w14:val="000000">
                      <w14:alpha w14:val="100000"/>
                    </w14:srgbClr>
                  </w14:solidFill>
                </w14:textFill>
              </w:rPr>
              <w:t>|</w:t>
            </w:r>
            <w:r w:rsidRPr="003E2BEF">
              <w:rPr>
                <w:rFonts w:hint="eastAsia"/>
                <w:color w:val="000000"/>
                <w:spacing w:val="2"/>
                <w:w w:val="23"/>
                <w:shd w:val="solid" w:color="000000" w:fill="000000"/>
                <w:fitText w:val="103" w:id="-1304706551"/>
                <w14:textFill>
                  <w14:solidFill>
                    <w14:srgbClr w14:val="000000">
                      <w14:alpha w14:val="100000"/>
                    </w14:srgbClr>
                  </w14:solidFill>
                </w14:textFill>
              </w:rPr>
              <w:t xml:space="preserve">　</w:t>
            </w:r>
            <w:r w:rsidR="00241B02">
              <w:rPr>
                <w:vertAlign w:val="superscript"/>
              </w:rPr>
              <w:t>4</w:t>
            </w:r>
          </w:p>
        </w:tc>
        <w:tc>
          <w:tcPr>
            <w:tcW w:w="611" w:type="pct"/>
            <w:shd w:val="clear" w:color="auto" w:fill="auto"/>
          </w:tcPr>
          <w:p w14:paraId="3E224A91" w14:textId="3439282B" w:rsidR="002A7F4F" w:rsidRPr="00241B02" w:rsidRDefault="003E2BEF" w:rsidP="00140D86">
            <w:pPr>
              <w:pStyle w:val="COMTabletext"/>
              <w:jc w:val="center"/>
              <w:rPr>
                <w:highlight w:val="darkGray"/>
              </w:rPr>
            </w:pPr>
            <w:r w:rsidRPr="003E2BEF">
              <w:rPr>
                <w:rFonts w:hint="eastAsia"/>
                <w:color w:val="000000"/>
                <w:w w:val="23"/>
                <w:shd w:val="solid" w:color="000000" w:fill="000000"/>
                <w:fitText w:val="103" w:id="-1304706550"/>
                <w14:textFill>
                  <w14:solidFill>
                    <w14:srgbClr w14:val="000000">
                      <w14:alpha w14:val="100000"/>
                    </w14:srgbClr>
                  </w14:solidFill>
                </w14:textFill>
              </w:rPr>
              <w:t xml:space="preserve">　</w:t>
            </w:r>
            <w:r w:rsidRPr="003E2BEF">
              <w:rPr>
                <w:color w:val="000000"/>
                <w:w w:val="23"/>
                <w:shd w:val="solid" w:color="000000" w:fill="000000"/>
                <w:fitText w:val="103" w:id="-1304706550"/>
                <w14:textFill>
                  <w14:solidFill>
                    <w14:srgbClr w14:val="000000">
                      <w14:alpha w14:val="100000"/>
                    </w14:srgbClr>
                  </w14:solidFill>
                </w14:textFill>
              </w:rPr>
              <w:t>|</w:t>
            </w:r>
            <w:r w:rsidRPr="003E2BEF">
              <w:rPr>
                <w:rFonts w:hint="eastAsia"/>
                <w:color w:val="000000"/>
                <w:spacing w:val="2"/>
                <w:w w:val="23"/>
                <w:shd w:val="solid" w:color="000000" w:fill="000000"/>
                <w:fitText w:val="103" w:id="-1304706550"/>
                <w14:textFill>
                  <w14:solidFill>
                    <w14:srgbClr w14:val="000000">
                      <w14:alpha w14:val="100000"/>
                    </w14:srgbClr>
                  </w14:solidFill>
                </w14:textFill>
              </w:rPr>
              <w:t xml:space="preserve">　</w:t>
            </w:r>
            <w:r w:rsidR="00241B02">
              <w:rPr>
                <w:vertAlign w:val="superscript"/>
              </w:rPr>
              <w:t>4</w:t>
            </w:r>
          </w:p>
        </w:tc>
        <w:tc>
          <w:tcPr>
            <w:tcW w:w="611" w:type="pct"/>
            <w:shd w:val="clear" w:color="auto" w:fill="auto"/>
          </w:tcPr>
          <w:p w14:paraId="44937E9B" w14:textId="2180F016" w:rsidR="002A7F4F" w:rsidRPr="00241B02" w:rsidRDefault="003E2BEF" w:rsidP="00140D86">
            <w:pPr>
              <w:pStyle w:val="COMTabletext"/>
              <w:jc w:val="center"/>
              <w:rPr>
                <w:highlight w:val="darkGray"/>
              </w:rPr>
            </w:pPr>
            <w:r w:rsidRPr="003E2BEF">
              <w:rPr>
                <w:rFonts w:hint="eastAsia"/>
                <w:color w:val="000000"/>
                <w:w w:val="23"/>
                <w:shd w:val="solid" w:color="000000" w:fill="000000"/>
                <w:fitText w:val="103" w:id="-1304706549"/>
                <w14:textFill>
                  <w14:solidFill>
                    <w14:srgbClr w14:val="000000">
                      <w14:alpha w14:val="100000"/>
                    </w14:srgbClr>
                  </w14:solidFill>
                </w14:textFill>
              </w:rPr>
              <w:t xml:space="preserve">　</w:t>
            </w:r>
            <w:r w:rsidRPr="003E2BEF">
              <w:rPr>
                <w:color w:val="000000"/>
                <w:w w:val="23"/>
                <w:shd w:val="solid" w:color="000000" w:fill="000000"/>
                <w:fitText w:val="103" w:id="-1304706549"/>
                <w14:textFill>
                  <w14:solidFill>
                    <w14:srgbClr w14:val="000000">
                      <w14:alpha w14:val="100000"/>
                    </w14:srgbClr>
                  </w14:solidFill>
                </w14:textFill>
              </w:rPr>
              <w:t>|</w:t>
            </w:r>
            <w:r w:rsidRPr="003E2BEF">
              <w:rPr>
                <w:rFonts w:hint="eastAsia"/>
                <w:color w:val="000000"/>
                <w:spacing w:val="2"/>
                <w:w w:val="23"/>
                <w:shd w:val="solid" w:color="000000" w:fill="000000"/>
                <w:fitText w:val="103" w:id="-1304706549"/>
                <w14:textFill>
                  <w14:solidFill>
                    <w14:srgbClr w14:val="000000">
                      <w14:alpha w14:val="100000"/>
                    </w14:srgbClr>
                  </w14:solidFill>
                </w14:textFill>
              </w:rPr>
              <w:t xml:space="preserve">　</w:t>
            </w:r>
            <w:r w:rsidR="00241B02">
              <w:rPr>
                <w:vertAlign w:val="superscript"/>
              </w:rPr>
              <w:t>4</w:t>
            </w:r>
          </w:p>
        </w:tc>
        <w:tc>
          <w:tcPr>
            <w:tcW w:w="611" w:type="pct"/>
            <w:shd w:val="clear" w:color="auto" w:fill="auto"/>
          </w:tcPr>
          <w:p w14:paraId="696CE9A8" w14:textId="76991F42" w:rsidR="002A7F4F" w:rsidRPr="00241B02" w:rsidRDefault="003E2BEF" w:rsidP="00140D86">
            <w:pPr>
              <w:pStyle w:val="COMTabletext"/>
              <w:jc w:val="center"/>
              <w:rPr>
                <w:highlight w:val="darkGray"/>
              </w:rPr>
            </w:pPr>
            <w:r w:rsidRPr="003E2BEF">
              <w:rPr>
                <w:rFonts w:hint="eastAsia"/>
                <w:color w:val="000000"/>
                <w:w w:val="23"/>
                <w:shd w:val="solid" w:color="000000" w:fill="000000"/>
                <w:fitText w:val="104" w:id="-1304706548"/>
                <w14:textFill>
                  <w14:solidFill>
                    <w14:srgbClr w14:val="000000">
                      <w14:alpha w14:val="100000"/>
                    </w14:srgbClr>
                  </w14:solidFill>
                </w14:textFill>
              </w:rPr>
              <w:t xml:space="preserve">　</w:t>
            </w:r>
            <w:r w:rsidRPr="003E2BEF">
              <w:rPr>
                <w:color w:val="000000"/>
                <w:w w:val="23"/>
                <w:shd w:val="solid" w:color="000000" w:fill="000000"/>
                <w:fitText w:val="104" w:id="-1304706548"/>
                <w14:textFill>
                  <w14:solidFill>
                    <w14:srgbClr w14:val="000000">
                      <w14:alpha w14:val="100000"/>
                    </w14:srgbClr>
                  </w14:solidFill>
                </w14:textFill>
              </w:rPr>
              <w:t>|</w:t>
            </w:r>
            <w:r w:rsidRPr="003E2BEF">
              <w:rPr>
                <w:rFonts w:hint="eastAsia"/>
                <w:color w:val="000000"/>
                <w:spacing w:val="3"/>
                <w:w w:val="23"/>
                <w:shd w:val="solid" w:color="000000" w:fill="000000"/>
                <w:fitText w:val="104" w:id="-1304706548"/>
                <w14:textFill>
                  <w14:solidFill>
                    <w14:srgbClr w14:val="000000">
                      <w14:alpha w14:val="100000"/>
                    </w14:srgbClr>
                  </w14:solidFill>
                </w14:textFill>
              </w:rPr>
              <w:t xml:space="preserve">　</w:t>
            </w:r>
            <w:r w:rsidR="00241B02">
              <w:rPr>
                <w:vertAlign w:val="superscript"/>
              </w:rPr>
              <w:t>4</w:t>
            </w:r>
          </w:p>
        </w:tc>
        <w:tc>
          <w:tcPr>
            <w:tcW w:w="611" w:type="pct"/>
          </w:tcPr>
          <w:p w14:paraId="124CBAB6" w14:textId="14638450" w:rsidR="002A7F4F" w:rsidRPr="00241B02" w:rsidRDefault="003E2BEF" w:rsidP="00140D86">
            <w:pPr>
              <w:pStyle w:val="COMTabletext"/>
              <w:jc w:val="center"/>
              <w:rPr>
                <w:highlight w:val="darkGray"/>
              </w:rPr>
            </w:pPr>
            <w:r w:rsidRPr="003E2BEF">
              <w:rPr>
                <w:rFonts w:hint="eastAsia"/>
                <w:color w:val="000000"/>
                <w:w w:val="23"/>
                <w:shd w:val="solid" w:color="000000" w:fill="000000"/>
                <w:fitText w:val="104" w:id="-1304706547"/>
                <w14:textFill>
                  <w14:solidFill>
                    <w14:srgbClr w14:val="000000">
                      <w14:alpha w14:val="100000"/>
                    </w14:srgbClr>
                  </w14:solidFill>
                </w14:textFill>
              </w:rPr>
              <w:t xml:space="preserve">　</w:t>
            </w:r>
            <w:r w:rsidRPr="003E2BEF">
              <w:rPr>
                <w:color w:val="000000"/>
                <w:w w:val="23"/>
                <w:shd w:val="solid" w:color="000000" w:fill="000000"/>
                <w:fitText w:val="104" w:id="-1304706547"/>
                <w14:textFill>
                  <w14:solidFill>
                    <w14:srgbClr w14:val="000000">
                      <w14:alpha w14:val="100000"/>
                    </w14:srgbClr>
                  </w14:solidFill>
                </w14:textFill>
              </w:rPr>
              <w:t>|</w:t>
            </w:r>
            <w:r w:rsidRPr="003E2BEF">
              <w:rPr>
                <w:rFonts w:hint="eastAsia"/>
                <w:color w:val="000000"/>
                <w:spacing w:val="3"/>
                <w:w w:val="23"/>
                <w:shd w:val="solid" w:color="000000" w:fill="000000"/>
                <w:fitText w:val="104" w:id="-1304706547"/>
                <w14:textFill>
                  <w14:solidFill>
                    <w14:srgbClr w14:val="000000">
                      <w14:alpha w14:val="100000"/>
                    </w14:srgbClr>
                  </w14:solidFill>
                </w14:textFill>
              </w:rPr>
              <w:t xml:space="preserve">　</w:t>
            </w:r>
            <w:r w:rsidR="00241B02">
              <w:rPr>
                <w:vertAlign w:val="superscript"/>
              </w:rPr>
              <w:t>4</w:t>
            </w:r>
          </w:p>
        </w:tc>
      </w:tr>
      <w:tr w:rsidR="002A7F4F" w:rsidRPr="001159D0" w14:paraId="50758E6F" w14:textId="77777777" w:rsidTr="00140D86">
        <w:tc>
          <w:tcPr>
            <w:tcW w:w="1334" w:type="pct"/>
            <w:shd w:val="clear" w:color="auto" w:fill="B8CCE4" w:themeFill="accent1" w:themeFillTint="66"/>
          </w:tcPr>
          <w:p w14:paraId="2FC20851" w14:textId="4E3A5F91" w:rsidR="002A7F4F" w:rsidRPr="001159D0" w:rsidRDefault="002A7F4F" w:rsidP="00140D86">
            <w:pPr>
              <w:pStyle w:val="COMTabletext"/>
              <w:rPr>
                <w:b/>
                <w:bCs w:val="0"/>
              </w:rPr>
            </w:pPr>
            <w:r w:rsidRPr="001159D0">
              <w:rPr>
                <w:b/>
                <w:bCs w:val="0"/>
              </w:rPr>
              <w:t>November 2020 submission, PBS/RPBS cost less copay</w:t>
            </w:r>
            <w:r w:rsidR="00241B02">
              <w:rPr>
                <w:b/>
                <w:bCs w:val="0"/>
              </w:rPr>
              <w:t xml:space="preserve"> ($)</w:t>
            </w:r>
          </w:p>
        </w:tc>
        <w:tc>
          <w:tcPr>
            <w:tcW w:w="611" w:type="pct"/>
            <w:shd w:val="clear" w:color="auto" w:fill="B8CCE4" w:themeFill="accent1" w:themeFillTint="66"/>
            <w:vAlign w:val="center"/>
          </w:tcPr>
          <w:p w14:paraId="41C5D71B" w14:textId="42B87428" w:rsidR="002A7F4F" w:rsidRPr="00241B02" w:rsidRDefault="003E2BEF" w:rsidP="00140D86">
            <w:pPr>
              <w:pStyle w:val="COMTabletext"/>
              <w:jc w:val="center"/>
              <w:rPr>
                <w:highlight w:val="darkGray"/>
              </w:rPr>
            </w:pPr>
            <w:r w:rsidRPr="003E2BEF">
              <w:rPr>
                <w:rFonts w:hint="eastAsia"/>
                <w:color w:val="000000"/>
                <w:w w:val="23"/>
                <w:shd w:val="solid" w:color="000000" w:fill="000000"/>
                <w:fitText w:val="104" w:id="-1304706546"/>
                <w14:textFill>
                  <w14:solidFill>
                    <w14:srgbClr w14:val="000000">
                      <w14:alpha w14:val="100000"/>
                    </w14:srgbClr>
                  </w14:solidFill>
                </w14:textFill>
              </w:rPr>
              <w:t xml:space="preserve">　</w:t>
            </w:r>
            <w:r w:rsidRPr="003E2BEF">
              <w:rPr>
                <w:color w:val="000000"/>
                <w:w w:val="23"/>
                <w:shd w:val="solid" w:color="000000" w:fill="000000"/>
                <w:fitText w:val="104" w:id="-1304706546"/>
                <w14:textFill>
                  <w14:solidFill>
                    <w14:srgbClr w14:val="000000">
                      <w14:alpha w14:val="100000"/>
                    </w14:srgbClr>
                  </w14:solidFill>
                </w14:textFill>
              </w:rPr>
              <w:t>|</w:t>
            </w:r>
            <w:r w:rsidRPr="003E2BEF">
              <w:rPr>
                <w:rFonts w:hint="eastAsia"/>
                <w:color w:val="000000"/>
                <w:spacing w:val="3"/>
                <w:w w:val="23"/>
                <w:shd w:val="solid" w:color="000000" w:fill="000000"/>
                <w:fitText w:val="104" w:id="-1304706546"/>
                <w14:textFill>
                  <w14:solidFill>
                    <w14:srgbClr w14:val="000000">
                      <w14:alpha w14:val="100000"/>
                    </w14:srgbClr>
                  </w14:solidFill>
                </w14:textFill>
              </w:rPr>
              <w:t xml:space="preserve">　</w:t>
            </w:r>
            <w:r w:rsidR="00241B02">
              <w:rPr>
                <w:vertAlign w:val="superscript"/>
              </w:rPr>
              <w:t>4</w:t>
            </w:r>
          </w:p>
        </w:tc>
        <w:tc>
          <w:tcPr>
            <w:tcW w:w="611" w:type="pct"/>
            <w:shd w:val="clear" w:color="auto" w:fill="B8CCE4" w:themeFill="accent1" w:themeFillTint="66"/>
            <w:vAlign w:val="center"/>
          </w:tcPr>
          <w:p w14:paraId="5DD9EBD1" w14:textId="25FA9B85" w:rsidR="002A7F4F" w:rsidRPr="00241B02" w:rsidRDefault="003E2BEF" w:rsidP="00140D86">
            <w:pPr>
              <w:pStyle w:val="COMTabletext"/>
              <w:jc w:val="center"/>
              <w:rPr>
                <w:highlight w:val="darkGray"/>
              </w:rPr>
            </w:pPr>
            <w:r w:rsidRPr="003E2BEF">
              <w:rPr>
                <w:rFonts w:hint="eastAsia"/>
                <w:color w:val="000000"/>
                <w:w w:val="23"/>
                <w:shd w:val="solid" w:color="000000" w:fill="000000"/>
                <w:fitText w:val="103" w:id="-1304706545"/>
                <w14:textFill>
                  <w14:solidFill>
                    <w14:srgbClr w14:val="000000">
                      <w14:alpha w14:val="100000"/>
                    </w14:srgbClr>
                  </w14:solidFill>
                </w14:textFill>
              </w:rPr>
              <w:t xml:space="preserve">　</w:t>
            </w:r>
            <w:r w:rsidRPr="003E2BEF">
              <w:rPr>
                <w:color w:val="000000"/>
                <w:w w:val="23"/>
                <w:shd w:val="solid" w:color="000000" w:fill="000000"/>
                <w:fitText w:val="103" w:id="-1304706545"/>
                <w14:textFill>
                  <w14:solidFill>
                    <w14:srgbClr w14:val="000000">
                      <w14:alpha w14:val="100000"/>
                    </w14:srgbClr>
                  </w14:solidFill>
                </w14:textFill>
              </w:rPr>
              <w:t>|</w:t>
            </w:r>
            <w:r w:rsidRPr="003E2BEF">
              <w:rPr>
                <w:rFonts w:hint="eastAsia"/>
                <w:color w:val="000000"/>
                <w:spacing w:val="2"/>
                <w:w w:val="23"/>
                <w:shd w:val="solid" w:color="000000" w:fill="000000"/>
                <w:fitText w:val="103" w:id="-1304706545"/>
                <w14:textFill>
                  <w14:solidFill>
                    <w14:srgbClr w14:val="000000">
                      <w14:alpha w14:val="100000"/>
                    </w14:srgbClr>
                  </w14:solidFill>
                </w14:textFill>
              </w:rPr>
              <w:t xml:space="preserve">　</w:t>
            </w:r>
            <w:r w:rsidR="00241B02">
              <w:rPr>
                <w:vertAlign w:val="superscript"/>
              </w:rPr>
              <w:t>4</w:t>
            </w:r>
          </w:p>
        </w:tc>
        <w:tc>
          <w:tcPr>
            <w:tcW w:w="611" w:type="pct"/>
            <w:shd w:val="clear" w:color="auto" w:fill="B8CCE4" w:themeFill="accent1" w:themeFillTint="66"/>
            <w:vAlign w:val="center"/>
          </w:tcPr>
          <w:p w14:paraId="0C3895EF" w14:textId="0B207BEA" w:rsidR="002A7F4F" w:rsidRPr="00241B02" w:rsidRDefault="003E2BEF" w:rsidP="00140D86">
            <w:pPr>
              <w:pStyle w:val="COMTabletext"/>
              <w:jc w:val="center"/>
              <w:rPr>
                <w:highlight w:val="darkGray"/>
              </w:rPr>
            </w:pPr>
            <w:r w:rsidRPr="003E2BEF">
              <w:rPr>
                <w:rFonts w:hint="eastAsia"/>
                <w:color w:val="000000"/>
                <w:w w:val="23"/>
                <w:shd w:val="solid" w:color="000000" w:fill="000000"/>
                <w:fitText w:val="103" w:id="-1304706544"/>
                <w14:textFill>
                  <w14:solidFill>
                    <w14:srgbClr w14:val="000000">
                      <w14:alpha w14:val="100000"/>
                    </w14:srgbClr>
                  </w14:solidFill>
                </w14:textFill>
              </w:rPr>
              <w:t xml:space="preserve">　</w:t>
            </w:r>
            <w:r w:rsidRPr="003E2BEF">
              <w:rPr>
                <w:color w:val="000000"/>
                <w:w w:val="23"/>
                <w:shd w:val="solid" w:color="000000" w:fill="000000"/>
                <w:fitText w:val="103" w:id="-1304706544"/>
                <w14:textFill>
                  <w14:solidFill>
                    <w14:srgbClr w14:val="000000">
                      <w14:alpha w14:val="100000"/>
                    </w14:srgbClr>
                  </w14:solidFill>
                </w14:textFill>
              </w:rPr>
              <w:t>|</w:t>
            </w:r>
            <w:r w:rsidRPr="003E2BEF">
              <w:rPr>
                <w:rFonts w:hint="eastAsia"/>
                <w:color w:val="000000"/>
                <w:spacing w:val="2"/>
                <w:w w:val="23"/>
                <w:shd w:val="solid" w:color="000000" w:fill="000000"/>
                <w:fitText w:val="103" w:id="-1304706544"/>
                <w14:textFill>
                  <w14:solidFill>
                    <w14:srgbClr w14:val="000000">
                      <w14:alpha w14:val="100000"/>
                    </w14:srgbClr>
                  </w14:solidFill>
                </w14:textFill>
              </w:rPr>
              <w:t xml:space="preserve">　</w:t>
            </w:r>
            <w:r w:rsidR="00241B02">
              <w:rPr>
                <w:vertAlign w:val="superscript"/>
              </w:rPr>
              <w:t>4</w:t>
            </w:r>
          </w:p>
        </w:tc>
        <w:tc>
          <w:tcPr>
            <w:tcW w:w="611" w:type="pct"/>
            <w:shd w:val="clear" w:color="auto" w:fill="B8CCE4" w:themeFill="accent1" w:themeFillTint="66"/>
            <w:vAlign w:val="center"/>
          </w:tcPr>
          <w:p w14:paraId="71DC9F9A" w14:textId="68505063" w:rsidR="002A7F4F" w:rsidRPr="00241B02" w:rsidRDefault="003E2BEF" w:rsidP="00140D86">
            <w:pPr>
              <w:pStyle w:val="COMTabletext"/>
              <w:jc w:val="center"/>
              <w:rPr>
                <w:highlight w:val="darkGray"/>
              </w:rPr>
            </w:pPr>
            <w:r w:rsidRPr="003E2BEF">
              <w:rPr>
                <w:rFonts w:hint="eastAsia"/>
                <w:color w:val="000000"/>
                <w:w w:val="23"/>
                <w:shd w:val="solid" w:color="000000" w:fill="000000"/>
                <w:fitText w:val="103" w:id="-1304706560"/>
                <w14:textFill>
                  <w14:solidFill>
                    <w14:srgbClr w14:val="000000">
                      <w14:alpha w14:val="100000"/>
                    </w14:srgbClr>
                  </w14:solidFill>
                </w14:textFill>
              </w:rPr>
              <w:t xml:space="preserve">　</w:t>
            </w:r>
            <w:r w:rsidRPr="003E2BEF">
              <w:rPr>
                <w:color w:val="000000"/>
                <w:w w:val="23"/>
                <w:shd w:val="solid" w:color="000000" w:fill="000000"/>
                <w:fitText w:val="103" w:id="-1304706560"/>
                <w14:textFill>
                  <w14:solidFill>
                    <w14:srgbClr w14:val="000000">
                      <w14:alpha w14:val="100000"/>
                    </w14:srgbClr>
                  </w14:solidFill>
                </w14:textFill>
              </w:rPr>
              <w:t>|</w:t>
            </w:r>
            <w:r w:rsidRPr="003E2BEF">
              <w:rPr>
                <w:rFonts w:hint="eastAsia"/>
                <w:color w:val="000000"/>
                <w:spacing w:val="2"/>
                <w:w w:val="23"/>
                <w:shd w:val="solid" w:color="000000" w:fill="000000"/>
                <w:fitText w:val="103" w:id="-1304706560"/>
                <w14:textFill>
                  <w14:solidFill>
                    <w14:srgbClr w14:val="000000">
                      <w14:alpha w14:val="100000"/>
                    </w14:srgbClr>
                  </w14:solidFill>
                </w14:textFill>
              </w:rPr>
              <w:t xml:space="preserve">　</w:t>
            </w:r>
            <w:r w:rsidR="00241B02">
              <w:rPr>
                <w:vertAlign w:val="superscript"/>
              </w:rPr>
              <w:t>4</w:t>
            </w:r>
          </w:p>
        </w:tc>
        <w:tc>
          <w:tcPr>
            <w:tcW w:w="611" w:type="pct"/>
            <w:shd w:val="clear" w:color="auto" w:fill="B8CCE4" w:themeFill="accent1" w:themeFillTint="66"/>
            <w:vAlign w:val="center"/>
          </w:tcPr>
          <w:p w14:paraId="37E3D679" w14:textId="4E12677A" w:rsidR="002A7F4F" w:rsidRPr="00241B02" w:rsidRDefault="003E2BEF" w:rsidP="00140D86">
            <w:pPr>
              <w:pStyle w:val="COMTabletext"/>
              <w:jc w:val="center"/>
              <w:rPr>
                <w:highlight w:val="darkGray"/>
              </w:rPr>
            </w:pPr>
            <w:r w:rsidRPr="003E2BEF">
              <w:rPr>
                <w:rFonts w:hint="eastAsia"/>
                <w:color w:val="000000"/>
                <w:w w:val="23"/>
                <w:shd w:val="solid" w:color="000000" w:fill="000000"/>
                <w:fitText w:val="104" w:id="-1304706559"/>
                <w14:textFill>
                  <w14:solidFill>
                    <w14:srgbClr w14:val="000000">
                      <w14:alpha w14:val="100000"/>
                    </w14:srgbClr>
                  </w14:solidFill>
                </w14:textFill>
              </w:rPr>
              <w:t xml:space="preserve">　</w:t>
            </w:r>
            <w:r w:rsidRPr="003E2BEF">
              <w:rPr>
                <w:color w:val="000000"/>
                <w:w w:val="23"/>
                <w:shd w:val="solid" w:color="000000" w:fill="000000"/>
                <w:fitText w:val="104" w:id="-1304706559"/>
                <w14:textFill>
                  <w14:solidFill>
                    <w14:srgbClr w14:val="000000">
                      <w14:alpha w14:val="100000"/>
                    </w14:srgbClr>
                  </w14:solidFill>
                </w14:textFill>
              </w:rPr>
              <w:t>|</w:t>
            </w:r>
            <w:r w:rsidRPr="003E2BEF">
              <w:rPr>
                <w:rFonts w:hint="eastAsia"/>
                <w:color w:val="000000"/>
                <w:spacing w:val="3"/>
                <w:w w:val="23"/>
                <w:shd w:val="solid" w:color="000000" w:fill="000000"/>
                <w:fitText w:val="104" w:id="-1304706559"/>
                <w14:textFill>
                  <w14:solidFill>
                    <w14:srgbClr w14:val="000000">
                      <w14:alpha w14:val="100000"/>
                    </w14:srgbClr>
                  </w14:solidFill>
                </w14:textFill>
              </w:rPr>
              <w:t xml:space="preserve">　</w:t>
            </w:r>
            <w:r w:rsidR="00241B02">
              <w:rPr>
                <w:vertAlign w:val="superscript"/>
              </w:rPr>
              <w:t>4</w:t>
            </w:r>
          </w:p>
        </w:tc>
        <w:tc>
          <w:tcPr>
            <w:tcW w:w="611" w:type="pct"/>
            <w:shd w:val="clear" w:color="auto" w:fill="B8CCE4" w:themeFill="accent1" w:themeFillTint="66"/>
            <w:vAlign w:val="center"/>
          </w:tcPr>
          <w:p w14:paraId="3AA7BFCA" w14:textId="686BA661" w:rsidR="002A7F4F" w:rsidRPr="00241B02" w:rsidRDefault="003E2BEF" w:rsidP="00140D86">
            <w:pPr>
              <w:pStyle w:val="COMTabletext"/>
              <w:jc w:val="center"/>
              <w:rPr>
                <w:highlight w:val="darkGray"/>
              </w:rPr>
            </w:pPr>
            <w:r w:rsidRPr="003E2BEF">
              <w:rPr>
                <w:rFonts w:hint="eastAsia"/>
                <w:color w:val="000000"/>
                <w:w w:val="23"/>
                <w:shd w:val="solid" w:color="000000" w:fill="000000"/>
                <w:fitText w:val="104" w:id="-1304706558"/>
                <w14:textFill>
                  <w14:solidFill>
                    <w14:srgbClr w14:val="000000">
                      <w14:alpha w14:val="100000"/>
                    </w14:srgbClr>
                  </w14:solidFill>
                </w14:textFill>
              </w:rPr>
              <w:t xml:space="preserve">　</w:t>
            </w:r>
            <w:r w:rsidRPr="003E2BEF">
              <w:rPr>
                <w:color w:val="000000"/>
                <w:w w:val="23"/>
                <w:shd w:val="solid" w:color="000000" w:fill="000000"/>
                <w:fitText w:val="104" w:id="-1304706558"/>
                <w14:textFill>
                  <w14:solidFill>
                    <w14:srgbClr w14:val="000000">
                      <w14:alpha w14:val="100000"/>
                    </w14:srgbClr>
                  </w14:solidFill>
                </w14:textFill>
              </w:rPr>
              <w:t>|</w:t>
            </w:r>
            <w:r w:rsidRPr="003E2BEF">
              <w:rPr>
                <w:rFonts w:hint="eastAsia"/>
                <w:color w:val="000000"/>
                <w:spacing w:val="3"/>
                <w:w w:val="23"/>
                <w:shd w:val="solid" w:color="000000" w:fill="000000"/>
                <w:fitText w:val="104" w:id="-1304706558"/>
                <w14:textFill>
                  <w14:solidFill>
                    <w14:srgbClr w14:val="000000">
                      <w14:alpha w14:val="100000"/>
                    </w14:srgbClr>
                  </w14:solidFill>
                </w14:textFill>
              </w:rPr>
              <w:t xml:space="preserve">　</w:t>
            </w:r>
            <w:r w:rsidR="00241B02">
              <w:rPr>
                <w:vertAlign w:val="superscript"/>
              </w:rPr>
              <w:t>4</w:t>
            </w:r>
          </w:p>
        </w:tc>
      </w:tr>
      <w:tr w:rsidR="002A7F4F" w:rsidRPr="001159D0" w14:paraId="3F984CCE" w14:textId="77777777" w:rsidTr="00140D86">
        <w:tc>
          <w:tcPr>
            <w:tcW w:w="5000" w:type="pct"/>
            <w:gridSpan w:val="7"/>
            <w:shd w:val="clear" w:color="auto" w:fill="auto"/>
            <w:vAlign w:val="center"/>
          </w:tcPr>
          <w:p w14:paraId="48E6214C" w14:textId="77777777" w:rsidR="002A7F4F" w:rsidRPr="001159D0" w:rsidRDefault="002A7F4F" w:rsidP="00140D86">
            <w:pPr>
              <w:pStyle w:val="COMTabletext"/>
              <w:rPr>
                <w:b/>
                <w:bCs w:val="0"/>
              </w:rPr>
            </w:pPr>
            <w:r w:rsidRPr="001159D0">
              <w:rPr>
                <w:b/>
                <w:bCs w:val="0"/>
              </w:rPr>
              <w:t xml:space="preserve">Net financial implications </w:t>
            </w:r>
          </w:p>
        </w:tc>
      </w:tr>
      <w:tr w:rsidR="002A7F4F" w:rsidRPr="001159D0" w14:paraId="5C41E51B" w14:textId="77777777" w:rsidTr="00140D86">
        <w:tc>
          <w:tcPr>
            <w:tcW w:w="1334" w:type="pct"/>
            <w:shd w:val="clear" w:color="auto" w:fill="auto"/>
            <w:vAlign w:val="center"/>
          </w:tcPr>
          <w:p w14:paraId="50C75FC3" w14:textId="1E431068" w:rsidR="002A7F4F" w:rsidRPr="001159D0" w:rsidRDefault="002A7F4F" w:rsidP="00140D86">
            <w:pPr>
              <w:pStyle w:val="COMTabletext"/>
            </w:pPr>
            <w:r w:rsidRPr="001159D0">
              <w:t>Net cost to PBS/RPBS</w:t>
            </w:r>
            <w:r w:rsidR="00241B02">
              <w:t xml:space="preserve"> ($)</w:t>
            </w:r>
          </w:p>
        </w:tc>
        <w:tc>
          <w:tcPr>
            <w:tcW w:w="611" w:type="pct"/>
            <w:shd w:val="clear" w:color="auto" w:fill="auto"/>
          </w:tcPr>
          <w:p w14:paraId="0BB1AF62" w14:textId="4F98AFB3" w:rsidR="002A7F4F" w:rsidRPr="00241B02" w:rsidRDefault="003E2BEF" w:rsidP="00140D86">
            <w:pPr>
              <w:pStyle w:val="COMTabletext"/>
              <w:jc w:val="center"/>
              <w:rPr>
                <w:highlight w:val="darkGray"/>
              </w:rPr>
            </w:pPr>
            <w:r w:rsidRPr="003E2BEF">
              <w:rPr>
                <w:rFonts w:hint="eastAsia"/>
                <w:color w:val="000000"/>
                <w:w w:val="23"/>
                <w:shd w:val="solid" w:color="000000" w:fill="000000"/>
                <w:fitText w:val="104" w:id="-1304706557"/>
                <w14:textFill>
                  <w14:solidFill>
                    <w14:srgbClr w14:val="000000">
                      <w14:alpha w14:val="100000"/>
                    </w14:srgbClr>
                  </w14:solidFill>
                </w14:textFill>
              </w:rPr>
              <w:t xml:space="preserve">　</w:t>
            </w:r>
            <w:r w:rsidRPr="003E2BEF">
              <w:rPr>
                <w:color w:val="000000"/>
                <w:w w:val="23"/>
                <w:shd w:val="solid" w:color="000000" w:fill="000000"/>
                <w:fitText w:val="104" w:id="-1304706557"/>
                <w14:textFill>
                  <w14:solidFill>
                    <w14:srgbClr w14:val="000000">
                      <w14:alpha w14:val="100000"/>
                    </w14:srgbClr>
                  </w14:solidFill>
                </w14:textFill>
              </w:rPr>
              <w:t>|</w:t>
            </w:r>
            <w:r w:rsidRPr="003E2BEF">
              <w:rPr>
                <w:rFonts w:hint="eastAsia"/>
                <w:color w:val="000000"/>
                <w:spacing w:val="3"/>
                <w:w w:val="23"/>
                <w:shd w:val="solid" w:color="000000" w:fill="000000"/>
                <w:fitText w:val="104" w:id="-1304706557"/>
                <w14:textFill>
                  <w14:solidFill>
                    <w14:srgbClr w14:val="000000">
                      <w14:alpha w14:val="100000"/>
                    </w14:srgbClr>
                  </w14:solidFill>
                </w14:textFill>
              </w:rPr>
              <w:t xml:space="preserve">　</w:t>
            </w:r>
            <w:r w:rsidR="00241B02">
              <w:rPr>
                <w:vertAlign w:val="superscript"/>
              </w:rPr>
              <w:t>4</w:t>
            </w:r>
          </w:p>
        </w:tc>
        <w:tc>
          <w:tcPr>
            <w:tcW w:w="611" w:type="pct"/>
            <w:shd w:val="clear" w:color="auto" w:fill="auto"/>
          </w:tcPr>
          <w:p w14:paraId="3AA1F986" w14:textId="42E45AC5" w:rsidR="002A7F4F" w:rsidRPr="00241B02" w:rsidRDefault="003E2BEF" w:rsidP="00140D86">
            <w:pPr>
              <w:pStyle w:val="COMTabletext"/>
              <w:jc w:val="center"/>
              <w:rPr>
                <w:highlight w:val="darkGray"/>
              </w:rPr>
            </w:pPr>
            <w:r w:rsidRPr="003E2BEF">
              <w:rPr>
                <w:rFonts w:hint="eastAsia"/>
                <w:color w:val="000000"/>
                <w:w w:val="23"/>
                <w:shd w:val="solid" w:color="000000" w:fill="000000"/>
                <w:fitText w:val="103" w:id="-1304706556"/>
                <w14:textFill>
                  <w14:solidFill>
                    <w14:srgbClr w14:val="000000">
                      <w14:alpha w14:val="100000"/>
                    </w14:srgbClr>
                  </w14:solidFill>
                </w14:textFill>
              </w:rPr>
              <w:t xml:space="preserve">　</w:t>
            </w:r>
            <w:r w:rsidRPr="003E2BEF">
              <w:rPr>
                <w:color w:val="000000"/>
                <w:w w:val="23"/>
                <w:shd w:val="solid" w:color="000000" w:fill="000000"/>
                <w:fitText w:val="103" w:id="-1304706556"/>
                <w14:textFill>
                  <w14:solidFill>
                    <w14:srgbClr w14:val="000000">
                      <w14:alpha w14:val="100000"/>
                    </w14:srgbClr>
                  </w14:solidFill>
                </w14:textFill>
              </w:rPr>
              <w:t>|</w:t>
            </w:r>
            <w:r w:rsidRPr="003E2BEF">
              <w:rPr>
                <w:rFonts w:hint="eastAsia"/>
                <w:color w:val="000000"/>
                <w:spacing w:val="2"/>
                <w:w w:val="23"/>
                <w:shd w:val="solid" w:color="000000" w:fill="000000"/>
                <w:fitText w:val="103" w:id="-1304706556"/>
                <w14:textFill>
                  <w14:solidFill>
                    <w14:srgbClr w14:val="000000">
                      <w14:alpha w14:val="100000"/>
                    </w14:srgbClr>
                  </w14:solidFill>
                </w14:textFill>
              </w:rPr>
              <w:t xml:space="preserve">　</w:t>
            </w:r>
            <w:r w:rsidR="00241B02">
              <w:rPr>
                <w:vertAlign w:val="superscript"/>
              </w:rPr>
              <w:t>4</w:t>
            </w:r>
          </w:p>
        </w:tc>
        <w:tc>
          <w:tcPr>
            <w:tcW w:w="611" w:type="pct"/>
            <w:shd w:val="clear" w:color="auto" w:fill="auto"/>
          </w:tcPr>
          <w:p w14:paraId="72EE68FC" w14:textId="075D9C2D" w:rsidR="002A7F4F" w:rsidRPr="00241B02" w:rsidRDefault="003E2BEF" w:rsidP="00140D86">
            <w:pPr>
              <w:pStyle w:val="COMTabletext"/>
              <w:jc w:val="center"/>
              <w:rPr>
                <w:highlight w:val="darkGray"/>
              </w:rPr>
            </w:pPr>
            <w:r w:rsidRPr="003E2BEF">
              <w:rPr>
                <w:rFonts w:hint="eastAsia"/>
                <w:color w:val="000000"/>
                <w:w w:val="23"/>
                <w:shd w:val="solid" w:color="000000" w:fill="000000"/>
                <w:fitText w:val="103" w:id="-1304706555"/>
                <w14:textFill>
                  <w14:solidFill>
                    <w14:srgbClr w14:val="000000">
                      <w14:alpha w14:val="100000"/>
                    </w14:srgbClr>
                  </w14:solidFill>
                </w14:textFill>
              </w:rPr>
              <w:t xml:space="preserve">　</w:t>
            </w:r>
            <w:r w:rsidRPr="003E2BEF">
              <w:rPr>
                <w:color w:val="000000"/>
                <w:w w:val="23"/>
                <w:shd w:val="solid" w:color="000000" w:fill="000000"/>
                <w:fitText w:val="103" w:id="-1304706555"/>
                <w14:textFill>
                  <w14:solidFill>
                    <w14:srgbClr w14:val="000000">
                      <w14:alpha w14:val="100000"/>
                    </w14:srgbClr>
                  </w14:solidFill>
                </w14:textFill>
              </w:rPr>
              <w:t>|</w:t>
            </w:r>
            <w:r w:rsidRPr="003E2BEF">
              <w:rPr>
                <w:rFonts w:hint="eastAsia"/>
                <w:color w:val="000000"/>
                <w:spacing w:val="2"/>
                <w:w w:val="23"/>
                <w:shd w:val="solid" w:color="000000" w:fill="000000"/>
                <w:fitText w:val="103" w:id="-1304706555"/>
                <w14:textFill>
                  <w14:solidFill>
                    <w14:srgbClr w14:val="000000">
                      <w14:alpha w14:val="100000"/>
                    </w14:srgbClr>
                  </w14:solidFill>
                </w14:textFill>
              </w:rPr>
              <w:t xml:space="preserve">　</w:t>
            </w:r>
            <w:r w:rsidR="00241B02">
              <w:rPr>
                <w:vertAlign w:val="superscript"/>
              </w:rPr>
              <w:t>4</w:t>
            </w:r>
          </w:p>
        </w:tc>
        <w:tc>
          <w:tcPr>
            <w:tcW w:w="611" w:type="pct"/>
            <w:shd w:val="clear" w:color="auto" w:fill="auto"/>
          </w:tcPr>
          <w:p w14:paraId="3F3E8D8C" w14:textId="4F3D1496" w:rsidR="002A7F4F" w:rsidRPr="00241B02" w:rsidRDefault="003E2BEF" w:rsidP="00140D86">
            <w:pPr>
              <w:pStyle w:val="COMTabletext"/>
              <w:jc w:val="center"/>
              <w:rPr>
                <w:highlight w:val="darkGray"/>
              </w:rPr>
            </w:pPr>
            <w:r w:rsidRPr="003E2BEF">
              <w:rPr>
                <w:rFonts w:hint="eastAsia"/>
                <w:color w:val="000000"/>
                <w:w w:val="23"/>
                <w:shd w:val="solid" w:color="000000" w:fill="000000"/>
                <w:fitText w:val="103" w:id="-1304706554"/>
                <w14:textFill>
                  <w14:solidFill>
                    <w14:srgbClr w14:val="000000">
                      <w14:alpha w14:val="100000"/>
                    </w14:srgbClr>
                  </w14:solidFill>
                </w14:textFill>
              </w:rPr>
              <w:t xml:space="preserve">　</w:t>
            </w:r>
            <w:r w:rsidRPr="003E2BEF">
              <w:rPr>
                <w:color w:val="000000"/>
                <w:w w:val="23"/>
                <w:shd w:val="solid" w:color="000000" w:fill="000000"/>
                <w:fitText w:val="103" w:id="-1304706554"/>
                <w14:textFill>
                  <w14:solidFill>
                    <w14:srgbClr w14:val="000000">
                      <w14:alpha w14:val="100000"/>
                    </w14:srgbClr>
                  </w14:solidFill>
                </w14:textFill>
              </w:rPr>
              <w:t>|</w:t>
            </w:r>
            <w:r w:rsidRPr="003E2BEF">
              <w:rPr>
                <w:rFonts w:hint="eastAsia"/>
                <w:color w:val="000000"/>
                <w:spacing w:val="2"/>
                <w:w w:val="23"/>
                <w:shd w:val="solid" w:color="000000" w:fill="000000"/>
                <w:fitText w:val="103" w:id="-1304706554"/>
                <w14:textFill>
                  <w14:solidFill>
                    <w14:srgbClr w14:val="000000">
                      <w14:alpha w14:val="100000"/>
                    </w14:srgbClr>
                  </w14:solidFill>
                </w14:textFill>
              </w:rPr>
              <w:t xml:space="preserve">　</w:t>
            </w:r>
            <w:r w:rsidR="00241B02">
              <w:rPr>
                <w:vertAlign w:val="superscript"/>
              </w:rPr>
              <w:t>4</w:t>
            </w:r>
          </w:p>
        </w:tc>
        <w:tc>
          <w:tcPr>
            <w:tcW w:w="611" w:type="pct"/>
            <w:shd w:val="clear" w:color="auto" w:fill="auto"/>
          </w:tcPr>
          <w:p w14:paraId="5DC91364" w14:textId="7FDD6113" w:rsidR="002A7F4F" w:rsidRPr="00241B02" w:rsidRDefault="003E2BEF" w:rsidP="00140D86">
            <w:pPr>
              <w:pStyle w:val="COMTabletext"/>
              <w:jc w:val="center"/>
              <w:rPr>
                <w:highlight w:val="darkGray"/>
              </w:rPr>
            </w:pPr>
            <w:r w:rsidRPr="003E2BEF">
              <w:rPr>
                <w:rFonts w:hint="eastAsia"/>
                <w:color w:val="000000"/>
                <w:w w:val="23"/>
                <w:shd w:val="solid" w:color="000000" w:fill="000000"/>
                <w:fitText w:val="104" w:id="-1304706553"/>
                <w14:textFill>
                  <w14:solidFill>
                    <w14:srgbClr w14:val="000000">
                      <w14:alpha w14:val="100000"/>
                    </w14:srgbClr>
                  </w14:solidFill>
                </w14:textFill>
              </w:rPr>
              <w:t xml:space="preserve">　</w:t>
            </w:r>
            <w:r w:rsidRPr="003E2BEF">
              <w:rPr>
                <w:color w:val="000000"/>
                <w:w w:val="23"/>
                <w:shd w:val="solid" w:color="000000" w:fill="000000"/>
                <w:fitText w:val="104" w:id="-1304706553"/>
                <w14:textFill>
                  <w14:solidFill>
                    <w14:srgbClr w14:val="000000">
                      <w14:alpha w14:val="100000"/>
                    </w14:srgbClr>
                  </w14:solidFill>
                </w14:textFill>
              </w:rPr>
              <w:t>|</w:t>
            </w:r>
            <w:r w:rsidRPr="003E2BEF">
              <w:rPr>
                <w:rFonts w:hint="eastAsia"/>
                <w:color w:val="000000"/>
                <w:spacing w:val="3"/>
                <w:w w:val="23"/>
                <w:shd w:val="solid" w:color="000000" w:fill="000000"/>
                <w:fitText w:val="104" w:id="-1304706553"/>
                <w14:textFill>
                  <w14:solidFill>
                    <w14:srgbClr w14:val="000000">
                      <w14:alpha w14:val="100000"/>
                    </w14:srgbClr>
                  </w14:solidFill>
                </w14:textFill>
              </w:rPr>
              <w:t xml:space="preserve">　</w:t>
            </w:r>
            <w:r w:rsidR="00241B02">
              <w:rPr>
                <w:vertAlign w:val="superscript"/>
              </w:rPr>
              <w:t>4</w:t>
            </w:r>
          </w:p>
        </w:tc>
        <w:tc>
          <w:tcPr>
            <w:tcW w:w="611" w:type="pct"/>
          </w:tcPr>
          <w:p w14:paraId="05F9D3E0" w14:textId="2A7BF46E" w:rsidR="002A7F4F" w:rsidRPr="00241B02" w:rsidRDefault="003E2BEF" w:rsidP="00140D86">
            <w:pPr>
              <w:pStyle w:val="COMTabletext"/>
              <w:jc w:val="center"/>
              <w:rPr>
                <w:highlight w:val="darkGray"/>
              </w:rPr>
            </w:pPr>
            <w:r w:rsidRPr="003E2BEF">
              <w:rPr>
                <w:rFonts w:hint="eastAsia"/>
                <w:color w:val="000000"/>
                <w:w w:val="31"/>
                <w:shd w:val="solid" w:color="000000" w:fill="000000"/>
                <w:fitText w:val="139" w:id="-1304706552"/>
                <w14:textFill>
                  <w14:solidFill>
                    <w14:srgbClr w14:val="000000">
                      <w14:alpha w14:val="100000"/>
                    </w14:srgbClr>
                  </w14:solidFill>
                </w14:textFill>
              </w:rPr>
              <w:t xml:space="preserve">　</w:t>
            </w:r>
            <w:r w:rsidRPr="003E2BEF">
              <w:rPr>
                <w:color w:val="000000"/>
                <w:w w:val="31"/>
                <w:shd w:val="solid" w:color="000000" w:fill="000000"/>
                <w:fitText w:val="139" w:id="-1304706552"/>
                <w14:textFill>
                  <w14:solidFill>
                    <w14:srgbClr w14:val="000000">
                      <w14:alpha w14:val="100000"/>
                    </w14:srgbClr>
                  </w14:solidFill>
                </w14:textFill>
              </w:rPr>
              <w:t>|</w:t>
            </w:r>
            <w:r w:rsidRPr="003E2BEF">
              <w:rPr>
                <w:rFonts w:hint="eastAsia"/>
                <w:color w:val="000000"/>
                <w:spacing w:val="3"/>
                <w:w w:val="31"/>
                <w:shd w:val="solid" w:color="000000" w:fill="000000"/>
                <w:fitText w:val="139" w:id="-1304706552"/>
                <w14:textFill>
                  <w14:solidFill>
                    <w14:srgbClr w14:val="000000">
                      <w14:alpha w14:val="100000"/>
                    </w14:srgbClr>
                  </w14:solidFill>
                </w14:textFill>
              </w:rPr>
              <w:t xml:space="preserve">　</w:t>
            </w:r>
            <w:r w:rsidR="00241B02" w:rsidRPr="00241B02">
              <w:rPr>
                <w:vertAlign w:val="superscript"/>
              </w:rPr>
              <w:t>1</w:t>
            </w:r>
            <w:r w:rsidR="00241B02">
              <w:rPr>
                <w:vertAlign w:val="superscript"/>
              </w:rPr>
              <w:t>1</w:t>
            </w:r>
          </w:p>
        </w:tc>
      </w:tr>
      <w:tr w:rsidR="002A7F4F" w:rsidRPr="001159D0" w14:paraId="659B72E0" w14:textId="77777777" w:rsidTr="00140D86">
        <w:tc>
          <w:tcPr>
            <w:tcW w:w="5000" w:type="pct"/>
            <w:gridSpan w:val="7"/>
            <w:shd w:val="clear" w:color="auto" w:fill="B8CCE4" w:themeFill="accent1" w:themeFillTint="66"/>
            <w:vAlign w:val="center"/>
          </w:tcPr>
          <w:p w14:paraId="66FF2781" w14:textId="77777777" w:rsidR="002A7F4F" w:rsidRPr="001159D0" w:rsidRDefault="002A7F4F" w:rsidP="00140D86">
            <w:pPr>
              <w:pStyle w:val="COMTableheadingrow"/>
              <w:rPr>
                <w:lang w:val="en-AU"/>
              </w:rPr>
            </w:pPr>
            <w:r w:rsidRPr="001159D0">
              <w:rPr>
                <w:lang w:val="en-AU"/>
              </w:rPr>
              <w:t>Previous submission (November 2020)</w:t>
            </w:r>
          </w:p>
        </w:tc>
      </w:tr>
      <w:tr w:rsidR="002A7F4F" w:rsidRPr="001159D0" w14:paraId="5DEFAAB2" w14:textId="77777777" w:rsidTr="00140D86">
        <w:tc>
          <w:tcPr>
            <w:tcW w:w="1334" w:type="pct"/>
            <w:shd w:val="clear" w:color="auto" w:fill="B8CCE4" w:themeFill="accent1" w:themeFillTint="66"/>
            <w:vAlign w:val="center"/>
          </w:tcPr>
          <w:p w14:paraId="1792F49D" w14:textId="77777777" w:rsidR="002A7F4F" w:rsidRPr="001159D0" w:rsidRDefault="002A7F4F" w:rsidP="00140D86">
            <w:pPr>
              <w:pStyle w:val="COMTabletext"/>
            </w:pPr>
            <w:r w:rsidRPr="001159D0">
              <w:t>Net cost to PBS/RPBS</w:t>
            </w:r>
          </w:p>
        </w:tc>
        <w:tc>
          <w:tcPr>
            <w:tcW w:w="611" w:type="pct"/>
            <w:shd w:val="clear" w:color="auto" w:fill="B8CCE4" w:themeFill="accent1" w:themeFillTint="66"/>
          </w:tcPr>
          <w:p w14:paraId="7BBEDA76" w14:textId="7DA4C7B8" w:rsidR="002A7F4F" w:rsidRPr="00241B02" w:rsidRDefault="003E2BEF" w:rsidP="00140D86">
            <w:pPr>
              <w:pStyle w:val="COMTabletext"/>
              <w:jc w:val="center"/>
              <w:rPr>
                <w:highlight w:val="darkGray"/>
              </w:rPr>
            </w:pPr>
            <w:r w:rsidRPr="003E2BEF">
              <w:rPr>
                <w:rFonts w:hint="eastAsia"/>
                <w:color w:val="000000"/>
                <w:w w:val="23"/>
                <w:shd w:val="solid" w:color="000000" w:fill="000000"/>
                <w:fitText w:val="104" w:id="-1304706551"/>
                <w14:textFill>
                  <w14:solidFill>
                    <w14:srgbClr w14:val="000000">
                      <w14:alpha w14:val="100000"/>
                    </w14:srgbClr>
                  </w14:solidFill>
                </w14:textFill>
              </w:rPr>
              <w:t xml:space="preserve">　</w:t>
            </w:r>
            <w:r w:rsidRPr="003E2BEF">
              <w:rPr>
                <w:color w:val="000000"/>
                <w:w w:val="23"/>
                <w:shd w:val="solid" w:color="000000" w:fill="000000"/>
                <w:fitText w:val="104" w:id="-1304706551"/>
                <w14:textFill>
                  <w14:solidFill>
                    <w14:srgbClr w14:val="000000">
                      <w14:alpha w14:val="100000"/>
                    </w14:srgbClr>
                  </w14:solidFill>
                </w14:textFill>
              </w:rPr>
              <w:t>|</w:t>
            </w:r>
            <w:r w:rsidRPr="003E2BEF">
              <w:rPr>
                <w:rFonts w:hint="eastAsia"/>
                <w:color w:val="000000"/>
                <w:spacing w:val="3"/>
                <w:w w:val="23"/>
                <w:shd w:val="solid" w:color="000000" w:fill="000000"/>
                <w:fitText w:val="104" w:id="-1304706551"/>
                <w14:textFill>
                  <w14:solidFill>
                    <w14:srgbClr w14:val="000000">
                      <w14:alpha w14:val="100000"/>
                    </w14:srgbClr>
                  </w14:solidFill>
                </w14:textFill>
              </w:rPr>
              <w:t xml:space="preserve">　</w:t>
            </w:r>
            <w:r w:rsidR="00241B02">
              <w:rPr>
                <w:vertAlign w:val="superscript"/>
              </w:rPr>
              <w:t>5</w:t>
            </w:r>
          </w:p>
        </w:tc>
        <w:tc>
          <w:tcPr>
            <w:tcW w:w="611" w:type="pct"/>
            <w:shd w:val="clear" w:color="auto" w:fill="B8CCE4" w:themeFill="accent1" w:themeFillTint="66"/>
          </w:tcPr>
          <w:p w14:paraId="63CFE03E" w14:textId="018F5B37" w:rsidR="002A7F4F" w:rsidRPr="00241B02" w:rsidRDefault="003E2BEF" w:rsidP="00140D86">
            <w:pPr>
              <w:pStyle w:val="COMTabletext"/>
              <w:jc w:val="center"/>
              <w:rPr>
                <w:highlight w:val="darkGray"/>
              </w:rPr>
            </w:pPr>
            <w:r w:rsidRPr="003E2BEF">
              <w:rPr>
                <w:rFonts w:hint="eastAsia"/>
                <w:color w:val="000000"/>
                <w:w w:val="23"/>
                <w:shd w:val="solid" w:color="000000" w:fill="000000"/>
                <w:fitText w:val="103" w:id="-1304706550"/>
                <w14:textFill>
                  <w14:solidFill>
                    <w14:srgbClr w14:val="000000">
                      <w14:alpha w14:val="100000"/>
                    </w14:srgbClr>
                  </w14:solidFill>
                </w14:textFill>
              </w:rPr>
              <w:t xml:space="preserve">　</w:t>
            </w:r>
            <w:r w:rsidRPr="003E2BEF">
              <w:rPr>
                <w:color w:val="000000"/>
                <w:w w:val="23"/>
                <w:shd w:val="solid" w:color="000000" w:fill="000000"/>
                <w:fitText w:val="103" w:id="-1304706550"/>
                <w14:textFill>
                  <w14:solidFill>
                    <w14:srgbClr w14:val="000000">
                      <w14:alpha w14:val="100000"/>
                    </w14:srgbClr>
                  </w14:solidFill>
                </w14:textFill>
              </w:rPr>
              <w:t>|</w:t>
            </w:r>
            <w:r w:rsidRPr="003E2BEF">
              <w:rPr>
                <w:rFonts w:hint="eastAsia"/>
                <w:color w:val="000000"/>
                <w:spacing w:val="2"/>
                <w:w w:val="23"/>
                <w:shd w:val="solid" w:color="000000" w:fill="000000"/>
                <w:fitText w:val="103" w:id="-1304706550"/>
                <w14:textFill>
                  <w14:solidFill>
                    <w14:srgbClr w14:val="000000">
                      <w14:alpha w14:val="100000"/>
                    </w14:srgbClr>
                  </w14:solidFill>
                </w14:textFill>
              </w:rPr>
              <w:t xml:space="preserve">　</w:t>
            </w:r>
            <w:r w:rsidR="00241B02">
              <w:rPr>
                <w:vertAlign w:val="superscript"/>
              </w:rPr>
              <w:t>7</w:t>
            </w:r>
          </w:p>
        </w:tc>
        <w:tc>
          <w:tcPr>
            <w:tcW w:w="611" w:type="pct"/>
            <w:shd w:val="clear" w:color="auto" w:fill="B8CCE4" w:themeFill="accent1" w:themeFillTint="66"/>
          </w:tcPr>
          <w:p w14:paraId="38DAA2A2" w14:textId="0DD619E6" w:rsidR="002A7F4F" w:rsidRPr="00241B02" w:rsidRDefault="003E2BEF" w:rsidP="00140D86">
            <w:pPr>
              <w:pStyle w:val="COMTabletext"/>
              <w:jc w:val="center"/>
              <w:rPr>
                <w:highlight w:val="darkGray"/>
              </w:rPr>
            </w:pPr>
            <w:r w:rsidRPr="003E2BEF">
              <w:rPr>
                <w:rFonts w:hint="eastAsia"/>
                <w:color w:val="000000"/>
                <w:w w:val="23"/>
                <w:shd w:val="solid" w:color="000000" w:fill="000000"/>
                <w:fitText w:val="103" w:id="-1304706549"/>
                <w14:textFill>
                  <w14:solidFill>
                    <w14:srgbClr w14:val="000000">
                      <w14:alpha w14:val="100000"/>
                    </w14:srgbClr>
                  </w14:solidFill>
                </w14:textFill>
              </w:rPr>
              <w:t xml:space="preserve">　</w:t>
            </w:r>
            <w:r w:rsidRPr="003E2BEF">
              <w:rPr>
                <w:color w:val="000000"/>
                <w:w w:val="23"/>
                <w:shd w:val="solid" w:color="000000" w:fill="000000"/>
                <w:fitText w:val="103" w:id="-1304706549"/>
                <w14:textFill>
                  <w14:solidFill>
                    <w14:srgbClr w14:val="000000">
                      <w14:alpha w14:val="100000"/>
                    </w14:srgbClr>
                  </w14:solidFill>
                </w14:textFill>
              </w:rPr>
              <w:t>|</w:t>
            </w:r>
            <w:r w:rsidRPr="003E2BEF">
              <w:rPr>
                <w:rFonts w:hint="eastAsia"/>
                <w:color w:val="000000"/>
                <w:spacing w:val="2"/>
                <w:w w:val="23"/>
                <w:shd w:val="solid" w:color="000000" w:fill="000000"/>
                <w:fitText w:val="103" w:id="-1304706549"/>
                <w14:textFill>
                  <w14:solidFill>
                    <w14:srgbClr w14:val="000000">
                      <w14:alpha w14:val="100000"/>
                    </w14:srgbClr>
                  </w14:solidFill>
                </w14:textFill>
              </w:rPr>
              <w:t xml:space="preserve">　</w:t>
            </w:r>
            <w:r w:rsidR="00241B02">
              <w:rPr>
                <w:vertAlign w:val="superscript"/>
              </w:rPr>
              <w:t>5</w:t>
            </w:r>
          </w:p>
        </w:tc>
        <w:tc>
          <w:tcPr>
            <w:tcW w:w="611" w:type="pct"/>
            <w:shd w:val="clear" w:color="auto" w:fill="B8CCE4" w:themeFill="accent1" w:themeFillTint="66"/>
          </w:tcPr>
          <w:p w14:paraId="369E0136" w14:textId="1CC14EC9" w:rsidR="002A7F4F" w:rsidRPr="00241B02" w:rsidRDefault="003E2BEF" w:rsidP="00140D86">
            <w:pPr>
              <w:pStyle w:val="COMTabletext"/>
              <w:jc w:val="center"/>
              <w:rPr>
                <w:highlight w:val="darkGray"/>
              </w:rPr>
            </w:pPr>
            <w:r w:rsidRPr="003E2BEF">
              <w:rPr>
                <w:rFonts w:hint="eastAsia"/>
                <w:color w:val="000000"/>
                <w:w w:val="23"/>
                <w:shd w:val="solid" w:color="000000" w:fill="000000"/>
                <w:fitText w:val="103" w:id="-1304706548"/>
                <w14:textFill>
                  <w14:solidFill>
                    <w14:srgbClr w14:val="000000">
                      <w14:alpha w14:val="100000"/>
                    </w14:srgbClr>
                  </w14:solidFill>
                </w14:textFill>
              </w:rPr>
              <w:t xml:space="preserve">　</w:t>
            </w:r>
            <w:r w:rsidRPr="003E2BEF">
              <w:rPr>
                <w:color w:val="000000"/>
                <w:w w:val="23"/>
                <w:shd w:val="solid" w:color="000000" w:fill="000000"/>
                <w:fitText w:val="103" w:id="-1304706548"/>
                <w14:textFill>
                  <w14:solidFill>
                    <w14:srgbClr w14:val="000000">
                      <w14:alpha w14:val="100000"/>
                    </w14:srgbClr>
                  </w14:solidFill>
                </w14:textFill>
              </w:rPr>
              <w:t>|</w:t>
            </w:r>
            <w:r w:rsidRPr="003E2BEF">
              <w:rPr>
                <w:rFonts w:hint="eastAsia"/>
                <w:color w:val="000000"/>
                <w:spacing w:val="2"/>
                <w:w w:val="23"/>
                <w:shd w:val="solid" w:color="000000" w:fill="000000"/>
                <w:fitText w:val="103" w:id="-1304706548"/>
                <w14:textFill>
                  <w14:solidFill>
                    <w14:srgbClr w14:val="000000">
                      <w14:alpha w14:val="100000"/>
                    </w14:srgbClr>
                  </w14:solidFill>
                </w14:textFill>
              </w:rPr>
              <w:t xml:space="preserve">　</w:t>
            </w:r>
            <w:r w:rsidR="00241B02">
              <w:rPr>
                <w:vertAlign w:val="superscript"/>
              </w:rPr>
              <w:t>5</w:t>
            </w:r>
          </w:p>
        </w:tc>
        <w:tc>
          <w:tcPr>
            <w:tcW w:w="611" w:type="pct"/>
            <w:shd w:val="clear" w:color="auto" w:fill="B8CCE4" w:themeFill="accent1" w:themeFillTint="66"/>
          </w:tcPr>
          <w:p w14:paraId="66A13EB8" w14:textId="447A4EFC" w:rsidR="002A7F4F" w:rsidRPr="00241B02" w:rsidRDefault="003E2BEF" w:rsidP="00140D86">
            <w:pPr>
              <w:pStyle w:val="COMTabletext"/>
              <w:jc w:val="center"/>
              <w:rPr>
                <w:highlight w:val="darkGray"/>
              </w:rPr>
            </w:pPr>
            <w:r w:rsidRPr="003E2BEF">
              <w:rPr>
                <w:rFonts w:hint="eastAsia"/>
                <w:color w:val="000000"/>
                <w:w w:val="23"/>
                <w:shd w:val="solid" w:color="000000" w:fill="000000"/>
                <w:fitText w:val="104" w:id="-1304706547"/>
                <w14:textFill>
                  <w14:solidFill>
                    <w14:srgbClr w14:val="000000">
                      <w14:alpha w14:val="100000"/>
                    </w14:srgbClr>
                  </w14:solidFill>
                </w14:textFill>
              </w:rPr>
              <w:t xml:space="preserve">　</w:t>
            </w:r>
            <w:r w:rsidRPr="003E2BEF">
              <w:rPr>
                <w:color w:val="000000"/>
                <w:w w:val="23"/>
                <w:shd w:val="solid" w:color="000000" w:fill="000000"/>
                <w:fitText w:val="104" w:id="-1304706547"/>
                <w14:textFill>
                  <w14:solidFill>
                    <w14:srgbClr w14:val="000000">
                      <w14:alpha w14:val="100000"/>
                    </w14:srgbClr>
                  </w14:solidFill>
                </w14:textFill>
              </w:rPr>
              <w:t>|</w:t>
            </w:r>
            <w:r w:rsidRPr="003E2BEF">
              <w:rPr>
                <w:rFonts w:hint="eastAsia"/>
                <w:color w:val="000000"/>
                <w:spacing w:val="3"/>
                <w:w w:val="23"/>
                <w:shd w:val="solid" w:color="000000" w:fill="000000"/>
                <w:fitText w:val="104" w:id="-1304706547"/>
                <w14:textFill>
                  <w14:solidFill>
                    <w14:srgbClr w14:val="000000">
                      <w14:alpha w14:val="100000"/>
                    </w14:srgbClr>
                  </w14:solidFill>
                </w14:textFill>
              </w:rPr>
              <w:t xml:space="preserve">　</w:t>
            </w:r>
            <w:r w:rsidR="00241B02">
              <w:rPr>
                <w:vertAlign w:val="superscript"/>
              </w:rPr>
              <w:t>9</w:t>
            </w:r>
          </w:p>
        </w:tc>
        <w:tc>
          <w:tcPr>
            <w:tcW w:w="611" w:type="pct"/>
            <w:shd w:val="clear" w:color="auto" w:fill="B8CCE4" w:themeFill="accent1" w:themeFillTint="66"/>
          </w:tcPr>
          <w:p w14:paraId="52F00B55" w14:textId="766CF0B4" w:rsidR="002A7F4F" w:rsidRPr="00241B02" w:rsidRDefault="003E2BEF" w:rsidP="00140D86">
            <w:pPr>
              <w:pStyle w:val="COMTabletext"/>
              <w:jc w:val="center"/>
              <w:rPr>
                <w:highlight w:val="darkGray"/>
              </w:rPr>
            </w:pPr>
            <w:r w:rsidRPr="003E2BEF">
              <w:rPr>
                <w:rFonts w:hint="eastAsia"/>
                <w:color w:val="000000"/>
                <w:w w:val="31"/>
                <w:shd w:val="solid" w:color="000000" w:fill="000000"/>
                <w:fitText w:val="139" w:id="-1304706546"/>
                <w14:textFill>
                  <w14:solidFill>
                    <w14:srgbClr w14:val="000000">
                      <w14:alpha w14:val="100000"/>
                    </w14:srgbClr>
                  </w14:solidFill>
                </w14:textFill>
              </w:rPr>
              <w:t xml:space="preserve">　</w:t>
            </w:r>
            <w:r w:rsidRPr="003E2BEF">
              <w:rPr>
                <w:color w:val="000000"/>
                <w:w w:val="31"/>
                <w:shd w:val="solid" w:color="000000" w:fill="000000"/>
                <w:fitText w:val="139" w:id="-1304706546"/>
                <w14:textFill>
                  <w14:solidFill>
                    <w14:srgbClr w14:val="000000">
                      <w14:alpha w14:val="100000"/>
                    </w14:srgbClr>
                  </w14:solidFill>
                </w14:textFill>
              </w:rPr>
              <w:t>|</w:t>
            </w:r>
            <w:r w:rsidRPr="003E2BEF">
              <w:rPr>
                <w:rFonts w:hint="eastAsia"/>
                <w:color w:val="000000"/>
                <w:spacing w:val="3"/>
                <w:w w:val="31"/>
                <w:shd w:val="solid" w:color="000000" w:fill="000000"/>
                <w:fitText w:val="139" w:id="-1304706546"/>
                <w14:textFill>
                  <w14:solidFill>
                    <w14:srgbClr w14:val="000000">
                      <w14:alpha w14:val="100000"/>
                    </w14:srgbClr>
                  </w14:solidFill>
                </w14:textFill>
              </w:rPr>
              <w:t xml:space="preserve">　</w:t>
            </w:r>
            <w:r w:rsidR="00241B02" w:rsidRPr="00241B02">
              <w:rPr>
                <w:vertAlign w:val="superscript"/>
              </w:rPr>
              <w:t>1</w:t>
            </w:r>
            <w:r w:rsidR="00241B02">
              <w:rPr>
                <w:vertAlign w:val="superscript"/>
              </w:rPr>
              <w:t>2</w:t>
            </w:r>
          </w:p>
        </w:tc>
      </w:tr>
    </w:tbl>
    <w:p w14:paraId="4E74614E" w14:textId="43769407" w:rsidR="002A7F4F" w:rsidRDefault="002A7F4F" w:rsidP="00241B02">
      <w:pPr>
        <w:pStyle w:val="COMTablefooter"/>
        <w:spacing w:after="0"/>
      </w:pPr>
      <w:r w:rsidRPr="001159D0">
        <w:t>Source: Sections 4.2-4.4, pp239-246 of the resubmission</w:t>
      </w:r>
      <w:r w:rsidR="00377AE5" w:rsidRPr="001159D0">
        <w:t>.</w:t>
      </w:r>
    </w:p>
    <w:p w14:paraId="50E615E9" w14:textId="77777777" w:rsidR="00241B02" w:rsidRPr="009A6D58" w:rsidRDefault="00241B02" w:rsidP="00241B02">
      <w:pPr>
        <w:rPr>
          <w:rFonts w:ascii="Arial Narrow" w:hAnsi="Arial Narrow"/>
          <w:i/>
          <w:sz w:val="18"/>
          <w:szCs w:val="18"/>
        </w:rPr>
      </w:pPr>
      <w:r w:rsidRPr="009A6D58">
        <w:rPr>
          <w:rFonts w:ascii="Arial Narrow" w:hAnsi="Arial Narrow"/>
          <w:i/>
          <w:sz w:val="18"/>
          <w:szCs w:val="18"/>
        </w:rPr>
        <w:t xml:space="preserve">The redacted values correspond to the following ranges: </w:t>
      </w:r>
    </w:p>
    <w:p w14:paraId="25E37166" w14:textId="26DCCF04" w:rsidR="00241B02" w:rsidRPr="009A6D58" w:rsidRDefault="00241B02" w:rsidP="00241B02">
      <w:pPr>
        <w:rPr>
          <w:rFonts w:ascii="Arial Narrow" w:hAnsi="Arial Narrow"/>
          <w:i/>
          <w:sz w:val="18"/>
          <w:szCs w:val="18"/>
        </w:rPr>
      </w:pPr>
      <w:r w:rsidRPr="009A6D58">
        <w:rPr>
          <w:rFonts w:ascii="Arial Narrow" w:hAnsi="Arial Narrow"/>
          <w:i/>
          <w:sz w:val="18"/>
          <w:szCs w:val="18"/>
          <w:vertAlign w:val="superscript"/>
        </w:rPr>
        <w:t>1</w:t>
      </w:r>
      <w:r>
        <w:rPr>
          <w:rFonts w:ascii="Arial Narrow" w:hAnsi="Arial Narrow"/>
          <w:i/>
          <w:sz w:val="18"/>
          <w:szCs w:val="18"/>
        </w:rPr>
        <w:t xml:space="preserve"> </w:t>
      </w:r>
      <w:r w:rsidRPr="00241B02">
        <w:rPr>
          <w:rFonts w:ascii="Arial Narrow" w:hAnsi="Arial Narrow"/>
          <w:i/>
          <w:sz w:val="18"/>
          <w:szCs w:val="18"/>
        </w:rPr>
        <w:t>500 to &lt; 5,000</w:t>
      </w:r>
    </w:p>
    <w:p w14:paraId="21822328" w14:textId="6DD4B5BE" w:rsidR="00241B02" w:rsidRPr="009A6D58" w:rsidRDefault="00241B02" w:rsidP="00241B02">
      <w:pPr>
        <w:rPr>
          <w:rFonts w:ascii="Arial Narrow" w:hAnsi="Arial Narrow"/>
          <w:i/>
          <w:sz w:val="18"/>
          <w:szCs w:val="18"/>
        </w:rPr>
      </w:pPr>
      <w:r w:rsidRPr="009A6D58">
        <w:rPr>
          <w:rFonts w:ascii="Arial Narrow" w:hAnsi="Arial Narrow"/>
          <w:i/>
          <w:sz w:val="18"/>
          <w:szCs w:val="18"/>
          <w:vertAlign w:val="superscript"/>
        </w:rPr>
        <w:t>2</w:t>
      </w:r>
      <w:r>
        <w:rPr>
          <w:rFonts w:ascii="Arial Narrow" w:hAnsi="Arial Narrow"/>
          <w:i/>
          <w:sz w:val="18"/>
          <w:szCs w:val="18"/>
        </w:rPr>
        <w:t xml:space="preserve"> </w:t>
      </w:r>
      <w:r w:rsidRPr="00241B02">
        <w:rPr>
          <w:rFonts w:ascii="Arial Narrow" w:hAnsi="Arial Narrow"/>
          <w:i/>
          <w:sz w:val="18"/>
          <w:szCs w:val="18"/>
        </w:rPr>
        <w:t>10,000 to &lt; 20,000</w:t>
      </w:r>
    </w:p>
    <w:p w14:paraId="188B8BDA" w14:textId="72886902" w:rsidR="00241B02" w:rsidRDefault="00241B02" w:rsidP="00241B02">
      <w:pPr>
        <w:rPr>
          <w:rFonts w:ascii="Arial Narrow" w:hAnsi="Arial Narrow"/>
          <w:i/>
          <w:sz w:val="18"/>
          <w:szCs w:val="18"/>
        </w:rPr>
      </w:pPr>
      <w:r w:rsidRPr="009A6D58">
        <w:rPr>
          <w:rFonts w:ascii="Arial Narrow" w:hAnsi="Arial Narrow"/>
          <w:i/>
          <w:sz w:val="18"/>
          <w:szCs w:val="18"/>
          <w:vertAlign w:val="superscript"/>
        </w:rPr>
        <w:t>3</w:t>
      </w:r>
      <w:r>
        <w:rPr>
          <w:rFonts w:ascii="Arial Narrow" w:hAnsi="Arial Narrow"/>
          <w:i/>
          <w:sz w:val="18"/>
          <w:szCs w:val="18"/>
        </w:rPr>
        <w:t xml:space="preserve"> </w:t>
      </w:r>
      <w:r w:rsidRPr="00241B02">
        <w:rPr>
          <w:rFonts w:ascii="Arial Narrow" w:hAnsi="Arial Narrow"/>
          <w:i/>
          <w:sz w:val="18"/>
          <w:szCs w:val="18"/>
        </w:rPr>
        <w:t>&lt; 500</w:t>
      </w:r>
    </w:p>
    <w:p w14:paraId="3C80E743" w14:textId="45E43FB6" w:rsidR="00241B02" w:rsidRDefault="00241B02" w:rsidP="00241B02">
      <w:pPr>
        <w:rPr>
          <w:rFonts w:ascii="Arial Narrow" w:hAnsi="Arial Narrow"/>
          <w:i/>
          <w:sz w:val="18"/>
          <w:szCs w:val="18"/>
        </w:rPr>
      </w:pPr>
      <w:r>
        <w:rPr>
          <w:rFonts w:ascii="Arial Narrow" w:hAnsi="Arial Narrow"/>
          <w:i/>
          <w:sz w:val="18"/>
          <w:szCs w:val="18"/>
          <w:vertAlign w:val="superscript"/>
        </w:rPr>
        <w:t>4</w:t>
      </w:r>
      <w:r>
        <w:rPr>
          <w:rFonts w:ascii="Arial Narrow" w:hAnsi="Arial Narrow"/>
          <w:i/>
          <w:sz w:val="18"/>
          <w:szCs w:val="18"/>
        </w:rPr>
        <w:t xml:space="preserve"> </w:t>
      </w:r>
      <w:r w:rsidRPr="00241B02">
        <w:rPr>
          <w:rFonts w:ascii="Arial Narrow" w:hAnsi="Arial Narrow"/>
          <w:i/>
          <w:sz w:val="18"/>
          <w:szCs w:val="18"/>
        </w:rPr>
        <w:t>$0 to &lt; $10 million</w:t>
      </w:r>
    </w:p>
    <w:p w14:paraId="3834D09A" w14:textId="32FA02C4" w:rsidR="00241B02" w:rsidRDefault="00241B02" w:rsidP="00241B02">
      <w:pPr>
        <w:rPr>
          <w:rFonts w:ascii="Arial Narrow" w:hAnsi="Arial Narrow"/>
          <w:i/>
          <w:sz w:val="18"/>
          <w:szCs w:val="18"/>
        </w:rPr>
      </w:pPr>
      <w:r>
        <w:rPr>
          <w:rFonts w:ascii="Arial Narrow" w:hAnsi="Arial Narrow"/>
          <w:i/>
          <w:sz w:val="18"/>
          <w:szCs w:val="18"/>
          <w:vertAlign w:val="superscript"/>
        </w:rPr>
        <w:t>5</w:t>
      </w:r>
      <w:r>
        <w:rPr>
          <w:rFonts w:ascii="Arial Narrow" w:hAnsi="Arial Narrow"/>
          <w:i/>
          <w:sz w:val="18"/>
          <w:szCs w:val="18"/>
        </w:rPr>
        <w:t xml:space="preserve"> </w:t>
      </w:r>
      <w:r w:rsidRPr="00241B02">
        <w:rPr>
          <w:rFonts w:ascii="Arial Narrow" w:hAnsi="Arial Narrow"/>
          <w:i/>
          <w:sz w:val="18"/>
          <w:szCs w:val="18"/>
        </w:rPr>
        <w:t>$50 million to &lt; $60 million</w:t>
      </w:r>
    </w:p>
    <w:p w14:paraId="5D3386ED" w14:textId="0D72D097" w:rsidR="00241B02" w:rsidRDefault="00241B02" w:rsidP="00241B02">
      <w:pPr>
        <w:rPr>
          <w:rFonts w:ascii="Arial Narrow" w:hAnsi="Arial Narrow"/>
          <w:i/>
          <w:sz w:val="18"/>
          <w:szCs w:val="18"/>
        </w:rPr>
      </w:pPr>
      <w:r>
        <w:rPr>
          <w:rFonts w:ascii="Arial Narrow" w:hAnsi="Arial Narrow"/>
          <w:i/>
          <w:sz w:val="18"/>
          <w:szCs w:val="18"/>
          <w:vertAlign w:val="superscript"/>
        </w:rPr>
        <w:t>6</w:t>
      </w:r>
      <w:r>
        <w:rPr>
          <w:rFonts w:ascii="Arial Narrow" w:hAnsi="Arial Narrow"/>
          <w:i/>
          <w:sz w:val="18"/>
          <w:szCs w:val="18"/>
        </w:rPr>
        <w:t xml:space="preserve"> </w:t>
      </w:r>
      <w:r w:rsidRPr="00241B02">
        <w:rPr>
          <w:rFonts w:ascii="Arial Narrow" w:hAnsi="Arial Narrow"/>
          <w:i/>
          <w:sz w:val="18"/>
          <w:szCs w:val="18"/>
        </w:rPr>
        <w:t>5,000 to &lt; 10,000</w:t>
      </w:r>
    </w:p>
    <w:p w14:paraId="1CCC09EB" w14:textId="7DE4E8C8" w:rsidR="00241B02" w:rsidRPr="009A6D58" w:rsidRDefault="00241B02" w:rsidP="00241B02">
      <w:pPr>
        <w:rPr>
          <w:rFonts w:ascii="Arial Narrow" w:hAnsi="Arial Narrow"/>
          <w:i/>
          <w:sz w:val="18"/>
          <w:szCs w:val="18"/>
        </w:rPr>
      </w:pPr>
      <w:r>
        <w:rPr>
          <w:rFonts w:ascii="Arial Narrow" w:hAnsi="Arial Narrow"/>
          <w:i/>
          <w:sz w:val="18"/>
          <w:szCs w:val="18"/>
          <w:vertAlign w:val="superscript"/>
        </w:rPr>
        <w:t>7</w:t>
      </w:r>
      <w:r>
        <w:rPr>
          <w:rFonts w:ascii="Arial Narrow" w:hAnsi="Arial Narrow"/>
          <w:i/>
          <w:sz w:val="18"/>
          <w:szCs w:val="18"/>
        </w:rPr>
        <w:t xml:space="preserve"> </w:t>
      </w:r>
      <w:r w:rsidRPr="00241B02">
        <w:rPr>
          <w:rFonts w:ascii="Arial Narrow" w:hAnsi="Arial Narrow"/>
          <w:i/>
          <w:sz w:val="18"/>
          <w:szCs w:val="18"/>
        </w:rPr>
        <w:t>$40 million to &lt; $50 million</w:t>
      </w:r>
    </w:p>
    <w:p w14:paraId="780FBA31" w14:textId="27923724" w:rsidR="00241B02" w:rsidRPr="009A6D58" w:rsidRDefault="00241B02" w:rsidP="00241B02">
      <w:pPr>
        <w:rPr>
          <w:rFonts w:ascii="Arial Narrow" w:hAnsi="Arial Narrow"/>
          <w:i/>
          <w:sz w:val="18"/>
          <w:szCs w:val="18"/>
        </w:rPr>
      </w:pPr>
      <w:r>
        <w:rPr>
          <w:rFonts w:ascii="Arial Narrow" w:hAnsi="Arial Narrow"/>
          <w:i/>
          <w:sz w:val="18"/>
          <w:szCs w:val="18"/>
          <w:vertAlign w:val="superscript"/>
        </w:rPr>
        <w:t>8</w:t>
      </w:r>
      <w:r>
        <w:rPr>
          <w:rFonts w:ascii="Arial Narrow" w:hAnsi="Arial Narrow"/>
          <w:i/>
          <w:sz w:val="18"/>
          <w:szCs w:val="18"/>
        </w:rPr>
        <w:t xml:space="preserve"> </w:t>
      </w:r>
      <w:r w:rsidRPr="00241B02">
        <w:rPr>
          <w:rFonts w:ascii="Arial Narrow" w:hAnsi="Arial Narrow"/>
          <w:i/>
          <w:sz w:val="18"/>
          <w:szCs w:val="18"/>
        </w:rPr>
        <w:t>20,000 to &lt; 30,000</w:t>
      </w:r>
    </w:p>
    <w:p w14:paraId="0E66F159" w14:textId="5043B751" w:rsidR="00241B02" w:rsidRDefault="00241B02" w:rsidP="00241B02">
      <w:pPr>
        <w:rPr>
          <w:rFonts w:ascii="Arial Narrow" w:hAnsi="Arial Narrow"/>
          <w:i/>
          <w:sz w:val="18"/>
          <w:szCs w:val="18"/>
        </w:rPr>
      </w:pPr>
      <w:r>
        <w:rPr>
          <w:rFonts w:ascii="Arial Narrow" w:hAnsi="Arial Narrow"/>
          <w:i/>
          <w:sz w:val="18"/>
          <w:szCs w:val="18"/>
          <w:vertAlign w:val="superscript"/>
        </w:rPr>
        <w:t>9</w:t>
      </w:r>
      <w:r>
        <w:rPr>
          <w:rFonts w:ascii="Arial Narrow" w:hAnsi="Arial Narrow"/>
          <w:i/>
          <w:sz w:val="18"/>
          <w:szCs w:val="18"/>
        </w:rPr>
        <w:t xml:space="preserve"> </w:t>
      </w:r>
      <w:r w:rsidRPr="00241B02">
        <w:rPr>
          <w:rFonts w:ascii="Arial Narrow" w:hAnsi="Arial Narrow"/>
          <w:i/>
          <w:sz w:val="18"/>
          <w:szCs w:val="18"/>
        </w:rPr>
        <w:t>$60 million to &lt; $70 million</w:t>
      </w:r>
    </w:p>
    <w:p w14:paraId="1E45AD70" w14:textId="49049873" w:rsidR="00241B02" w:rsidRDefault="00241B02" w:rsidP="00241B02">
      <w:pPr>
        <w:rPr>
          <w:rFonts w:ascii="Arial Narrow" w:hAnsi="Arial Narrow"/>
          <w:i/>
          <w:sz w:val="18"/>
          <w:szCs w:val="18"/>
        </w:rPr>
      </w:pPr>
      <w:r>
        <w:rPr>
          <w:rFonts w:ascii="Arial Narrow" w:hAnsi="Arial Narrow"/>
          <w:i/>
          <w:sz w:val="18"/>
          <w:szCs w:val="18"/>
          <w:vertAlign w:val="superscript"/>
        </w:rPr>
        <w:t>10</w:t>
      </w:r>
      <w:r>
        <w:rPr>
          <w:rFonts w:ascii="Arial Narrow" w:hAnsi="Arial Narrow"/>
          <w:i/>
          <w:sz w:val="18"/>
          <w:szCs w:val="18"/>
        </w:rPr>
        <w:t xml:space="preserve"> </w:t>
      </w:r>
      <w:r w:rsidRPr="00241B02">
        <w:rPr>
          <w:rFonts w:ascii="Arial Narrow" w:hAnsi="Arial Narrow"/>
          <w:i/>
          <w:sz w:val="18"/>
          <w:szCs w:val="18"/>
        </w:rPr>
        <w:t>30,000 to &lt; 40,000</w:t>
      </w:r>
    </w:p>
    <w:p w14:paraId="721B6DD0" w14:textId="2B9CCB54" w:rsidR="00241B02" w:rsidRDefault="00241B02" w:rsidP="00241B02">
      <w:pPr>
        <w:rPr>
          <w:rFonts w:ascii="Arial Narrow" w:hAnsi="Arial Narrow"/>
          <w:i/>
          <w:sz w:val="18"/>
          <w:szCs w:val="18"/>
        </w:rPr>
      </w:pPr>
      <w:r>
        <w:rPr>
          <w:rFonts w:ascii="Arial Narrow" w:hAnsi="Arial Narrow"/>
          <w:i/>
          <w:sz w:val="18"/>
          <w:szCs w:val="18"/>
          <w:vertAlign w:val="superscript"/>
        </w:rPr>
        <w:t>11</w:t>
      </w:r>
      <w:r>
        <w:rPr>
          <w:rFonts w:ascii="Arial Narrow" w:hAnsi="Arial Narrow"/>
          <w:i/>
          <w:sz w:val="18"/>
          <w:szCs w:val="18"/>
        </w:rPr>
        <w:t xml:space="preserve"> </w:t>
      </w:r>
      <w:r w:rsidRPr="00241B02">
        <w:rPr>
          <w:rFonts w:ascii="Arial Narrow" w:hAnsi="Arial Narrow"/>
          <w:i/>
          <w:sz w:val="18"/>
          <w:szCs w:val="18"/>
        </w:rPr>
        <w:t>$10 million to &lt; $20 million</w:t>
      </w:r>
    </w:p>
    <w:p w14:paraId="2150B362" w14:textId="44A31F82" w:rsidR="00241B02" w:rsidRPr="000B581D" w:rsidRDefault="00241B02" w:rsidP="00241B02">
      <w:pPr>
        <w:spacing w:after="120"/>
        <w:rPr>
          <w:rFonts w:ascii="Arial Narrow" w:hAnsi="Arial Narrow"/>
          <w:i/>
          <w:sz w:val="18"/>
          <w:szCs w:val="18"/>
        </w:rPr>
      </w:pPr>
      <w:r>
        <w:rPr>
          <w:rFonts w:ascii="Arial Narrow" w:hAnsi="Arial Narrow"/>
          <w:i/>
          <w:sz w:val="18"/>
          <w:szCs w:val="18"/>
          <w:vertAlign w:val="superscript"/>
        </w:rPr>
        <w:t>12</w:t>
      </w:r>
      <w:r>
        <w:rPr>
          <w:rFonts w:ascii="Arial Narrow" w:hAnsi="Arial Narrow"/>
          <w:i/>
          <w:sz w:val="18"/>
          <w:szCs w:val="18"/>
        </w:rPr>
        <w:t xml:space="preserve"> </w:t>
      </w:r>
      <w:r w:rsidRPr="00241B02">
        <w:rPr>
          <w:rFonts w:ascii="Arial Narrow" w:hAnsi="Arial Narrow"/>
          <w:i/>
          <w:sz w:val="18"/>
          <w:szCs w:val="18"/>
        </w:rPr>
        <w:t>$70 million to &lt; $80 million</w:t>
      </w:r>
    </w:p>
    <w:p w14:paraId="61C5C3BA" w14:textId="664A6A49" w:rsidR="002A7F4F" w:rsidRPr="003E2BEF" w:rsidRDefault="002A7F4F" w:rsidP="00241B02">
      <w:pPr>
        <w:pStyle w:val="COMexecsumnumberedpara"/>
        <w:numPr>
          <w:ilvl w:val="1"/>
          <w:numId w:val="1"/>
        </w:numPr>
      </w:pPr>
      <w:r w:rsidRPr="00FF512C">
        <w:t>The estimated net cost to the PBS/RPBS for patiromer</w:t>
      </w:r>
      <w:r w:rsidR="00D3469D" w:rsidRPr="00FF512C">
        <w:t>, based on the price proposed in the resubmission,</w:t>
      </w:r>
      <w:r w:rsidRPr="00FF512C">
        <w:t xml:space="preserve"> was </w:t>
      </w:r>
      <w:bookmarkStart w:id="68" w:name="_Hlk113629090"/>
      <w:r w:rsidR="00241B02" w:rsidRPr="00241B02">
        <w:t>$0 to &lt; $10 million</w:t>
      </w:r>
      <w:bookmarkEnd w:id="68"/>
      <w:r w:rsidR="00241B02">
        <w:t xml:space="preserve"> </w:t>
      </w:r>
      <w:r w:rsidRPr="00FF512C">
        <w:t xml:space="preserve">in Year 1 increasing to </w:t>
      </w:r>
      <w:r w:rsidR="00241B02" w:rsidRPr="00241B02">
        <w:t>$10 million to &lt; $20 million</w:t>
      </w:r>
      <w:r w:rsidR="00241B02">
        <w:t xml:space="preserve"> </w:t>
      </w:r>
      <w:r w:rsidRPr="00FF512C">
        <w:t xml:space="preserve">in Year 6, a total of </w:t>
      </w:r>
      <w:r w:rsidR="00241B02" w:rsidRPr="00241B02">
        <w:t>$30 million to &lt; $40 million</w:t>
      </w:r>
      <w:r w:rsidR="00241B02">
        <w:t xml:space="preserve"> </w:t>
      </w:r>
      <w:r w:rsidRPr="00FF512C">
        <w:t xml:space="preserve">over 6 years. The PBAC noted previously that the estimated financial impact of patiromer on the PBS/RPBS was very high, at </w:t>
      </w:r>
      <w:r w:rsidR="00241B02" w:rsidRPr="00241B02">
        <w:t>$300 million to &lt; $400 million</w:t>
      </w:r>
      <w:r w:rsidR="00241B02">
        <w:t xml:space="preserve"> </w:t>
      </w:r>
      <w:r w:rsidRPr="00FF512C">
        <w:t xml:space="preserve"> over 6 years (para</w:t>
      </w:r>
      <w:r w:rsidR="00521527" w:rsidRPr="00FF512C">
        <w:t>graph</w:t>
      </w:r>
      <w:r w:rsidRPr="00FF512C">
        <w:t xml:space="preserve"> 7.9, patiromer </w:t>
      </w:r>
      <w:r w:rsidR="007C073A">
        <w:t>PSD</w:t>
      </w:r>
      <w:r w:rsidRPr="00FF512C">
        <w:t xml:space="preserve">, November 2020). </w:t>
      </w:r>
    </w:p>
    <w:p w14:paraId="7AF2A0F7" w14:textId="43BB7374" w:rsidR="002A7F4F" w:rsidRPr="00FF512C" w:rsidRDefault="002A7F4F" w:rsidP="002A7F4F">
      <w:pPr>
        <w:pStyle w:val="COMexecsumnumberedpara"/>
        <w:numPr>
          <w:ilvl w:val="1"/>
          <w:numId w:val="1"/>
        </w:numPr>
      </w:pPr>
      <w:r w:rsidRPr="00FF512C">
        <w:t xml:space="preserve">The size of the eligible population in the current resubmission was substantially lower than estimated previously, due to the introduction of the CKD diagnosis rate based on a previous PBAC consideration of dapagliflozin in a broader CKD population. </w:t>
      </w:r>
      <w:r w:rsidR="0028298E">
        <w:t>T</w:t>
      </w:r>
      <w:r w:rsidR="00F56AA1">
        <w:t>he evaluation considered that t</w:t>
      </w:r>
      <w:r w:rsidRPr="00FF512C">
        <w:t xml:space="preserve">he use of this input was inappropriately justified as it was applied to a more severe CKD population that is likely to have higher rates of diagnosis.   </w:t>
      </w:r>
    </w:p>
    <w:p w14:paraId="4916213C" w14:textId="5937521F" w:rsidR="002A7F4F" w:rsidRPr="00FF512C" w:rsidRDefault="002A7F4F" w:rsidP="002A7F4F">
      <w:pPr>
        <w:pStyle w:val="COMexecsumnumberedpara"/>
        <w:numPr>
          <w:ilvl w:val="1"/>
          <w:numId w:val="1"/>
        </w:numPr>
      </w:pPr>
      <w:bookmarkStart w:id="69" w:name="_Ref120542553"/>
      <w:r w:rsidRPr="00FF512C">
        <w:t>Treated population estimates were also lower than previously estimated, due to the use of lower uptake rates (10% in Year 1, increasing to 50% in Year 6) compared to the previous submission (60% in Year 1, increasing to 100% in Years 5 and 6). The PBAC previously considered the uptake rates were implausibly high (para</w:t>
      </w:r>
      <w:r w:rsidR="00521527" w:rsidRPr="00FF512C">
        <w:t>graph</w:t>
      </w:r>
      <w:r w:rsidRPr="00FF512C">
        <w:t xml:space="preserve"> 7.9, patiromer </w:t>
      </w:r>
      <w:r w:rsidR="007C073A">
        <w:t>PSD</w:t>
      </w:r>
      <w:r w:rsidRPr="00FF512C">
        <w:t>, November 2020).</w:t>
      </w:r>
      <w:r w:rsidR="00485C92" w:rsidRPr="00FF512C">
        <w:t xml:space="preserve"> The ESC considered that the revised uptake rates were also implausibly high, as it remained unclear how many patients would be willing to take additional therapy </w:t>
      </w:r>
      <w:r w:rsidR="008C0FEC" w:rsidRPr="00FF512C">
        <w:t>long-term</w:t>
      </w:r>
      <w:r w:rsidR="00485C92" w:rsidRPr="00FF512C">
        <w:t xml:space="preserve"> to reduce the potential adverse events from another therapy. The ESC considered that this was one plausible explanation for the relatively low use of SPS/CPS resins currently for this indication.</w:t>
      </w:r>
      <w:bookmarkEnd w:id="69"/>
    </w:p>
    <w:p w14:paraId="7105DE39" w14:textId="5EE17900" w:rsidR="002A7F4F" w:rsidRPr="00FF512C" w:rsidRDefault="002A7F4F" w:rsidP="002A7F4F">
      <w:pPr>
        <w:pStyle w:val="COMexecsumnumberedpara"/>
        <w:numPr>
          <w:ilvl w:val="1"/>
          <w:numId w:val="1"/>
        </w:numPr>
      </w:pPr>
      <w:bookmarkStart w:id="70" w:name="_Ref120542592"/>
      <w:r w:rsidRPr="00FF512C">
        <w:t xml:space="preserve">The estimated number of scripts of patiromer was also revised compared to the previous submission. The previous submission used treatment persistence estimates based on an unpublished analysis of US claims data, with the majority of patients discontinuing treatment within one year (85.7%) with a relatively small proportion of patients continuing in subsequent years. The current resubmission applied a fixed treatment duration of 11.9 months, based on the median time to treatment discontinuation estimated from the sponsor’s compassionate access program (VCAP). The reliability of these estimates was uncertain and unlikely to be applicable to the utilisation of patiromer on the PBS/RPBS (see </w:t>
      </w:r>
      <w:r w:rsidRPr="00FF512C">
        <w:fldChar w:fldCharType="begin"/>
      </w:r>
      <w:r w:rsidRPr="00FF512C">
        <w:instrText xml:space="preserve"> REF _Ref109816607 \h  \* MERGEFORMAT </w:instrText>
      </w:r>
      <w:r w:rsidRPr="00FF512C">
        <w:fldChar w:fldCharType="separate"/>
      </w:r>
      <w:r w:rsidR="00565456" w:rsidRPr="001159D0">
        <w:t xml:space="preserve">Table </w:t>
      </w:r>
      <w:r w:rsidR="00565456">
        <w:rPr>
          <w:noProof/>
        </w:rPr>
        <w:t>19</w:t>
      </w:r>
      <w:r w:rsidRPr="00FF512C">
        <w:fldChar w:fldCharType="end"/>
      </w:r>
      <w:r w:rsidRPr="00FF512C">
        <w:t xml:space="preserve"> above).</w:t>
      </w:r>
      <w:r w:rsidR="00F56AA1">
        <w:t xml:space="preserve"> The PBAC noted that with the prevalence approach applied in the resubmission, patients can receive 11.9 months of treatment in Year 1 then be re-treated in Year 2. With an uptake rate of 50%, half of all treated patients would be re-treated again the following year, which the PBAC considered was likely to be substantially overestimated.</w:t>
      </w:r>
      <w:bookmarkEnd w:id="70"/>
      <w:r w:rsidR="00F56AA1">
        <w:t xml:space="preserve"> </w:t>
      </w:r>
    </w:p>
    <w:p w14:paraId="092B3256" w14:textId="643524C8" w:rsidR="002A7F4F" w:rsidRPr="00FF512C" w:rsidRDefault="002A7F4F" w:rsidP="002A7F4F">
      <w:pPr>
        <w:pStyle w:val="COMexecsumnumberedpara"/>
        <w:numPr>
          <w:ilvl w:val="1"/>
          <w:numId w:val="1"/>
        </w:numPr>
        <w:rPr>
          <w:color w:val="0066FF"/>
        </w:rPr>
      </w:pPr>
      <w:r w:rsidRPr="00FF512C">
        <w:t>The estimated script volume was also dependent on patiromer dose distribution, in particular the proportion of patients on the 25.2</w:t>
      </w:r>
      <w:r w:rsidR="00126C75" w:rsidRPr="00FF512C">
        <w:t> g</w:t>
      </w:r>
      <w:r w:rsidRPr="00FF512C">
        <w:t xml:space="preserve"> dose (3.6%). The</w:t>
      </w:r>
      <w:r w:rsidR="00F56AA1">
        <w:t xml:space="preserve"> evaluation raised</w:t>
      </w:r>
      <w:r w:rsidRPr="00FF512C">
        <w:t xml:space="preserve"> concerns </w:t>
      </w:r>
      <w:r w:rsidR="00F56AA1">
        <w:t>regarding</w:t>
      </w:r>
      <w:r w:rsidRPr="00FF512C">
        <w:t xml:space="preserve"> the applicability and reliability of the estimated dose distribution, with an alternative analysis conducted during the evaluation suggesting a greater proportion of patients may have received higher doses of patiromer than documented in the VCAP program (see </w:t>
      </w:r>
      <w:r w:rsidRPr="00FF512C">
        <w:fldChar w:fldCharType="begin"/>
      </w:r>
      <w:r w:rsidRPr="00FF512C">
        <w:instrText xml:space="preserve"> REF _Ref109816607 \h  \* MERGEFORMAT </w:instrText>
      </w:r>
      <w:r w:rsidRPr="00FF512C">
        <w:fldChar w:fldCharType="separate"/>
      </w:r>
      <w:r w:rsidR="00565456" w:rsidRPr="001159D0">
        <w:t xml:space="preserve">Table </w:t>
      </w:r>
      <w:r w:rsidR="00565456">
        <w:rPr>
          <w:noProof/>
        </w:rPr>
        <w:t>19</w:t>
      </w:r>
      <w:r w:rsidRPr="00FF512C">
        <w:fldChar w:fldCharType="end"/>
      </w:r>
      <w:r w:rsidRPr="00FF512C">
        <w:t xml:space="preserve"> above).</w:t>
      </w:r>
    </w:p>
    <w:p w14:paraId="5936CA02" w14:textId="69D90163" w:rsidR="002A7F4F" w:rsidRPr="00FF512C" w:rsidRDefault="002A7F4F" w:rsidP="002A7F4F">
      <w:pPr>
        <w:pStyle w:val="COMexecsumnumberedpara"/>
        <w:numPr>
          <w:ilvl w:val="1"/>
          <w:numId w:val="1"/>
        </w:numPr>
      </w:pPr>
      <w:r w:rsidRPr="00FF512C">
        <w:t xml:space="preserve">The submission acknowledged that use of patiromer will replace use of SPS/CPS, which was included in the economic evaluation (cost-minimisation </w:t>
      </w:r>
      <w:r w:rsidR="001E705C" w:rsidRPr="00FF512C">
        <w:t>approach</w:t>
      </w:r>
      <w:r w:rsidRPr="00FF512C">
        <w:t xml:space="preserve">) and weighted price calculation. The submission stated that the impact on use of SPS/CPS was not estimated in the budget impact analysis as these items are not listed on the PBS. SPS is listed on the RPBS only. The submission claimed the number of patients switching from RPBS-subsidised SPS to patiromer is likely to be small and therefore have minimal impact on the financial estimates. This claim may not be reasonable given the weighted price was based on </w:t>
      </w:r>
      <w:r w:rsidR="003E2BEF" w:rsidRPr="005F4857">
        <w:rPr>
          <w:color w:val="000000"/>
          <w:w w:val="15"/>
          <w:shd w:val="solid" w:color="000000" w:fill="000000"/>
          <w:fitText w:val="-20" w:id="-1304706545"/>
          <w14:textFill>
            <w14:solidFill>
              <w14:srgbClr w14:val="000000">
                <w14:alpha w14:val="100000"/>
              </w14:srgbClr>
            </w14:solidFill>
          </w14:textFill>
        </w:rPr>
        <w:t xml:space="preserve">| </w:t>
      </w:r>
      <w:r w:rsidR="00BB7EE7" w:rsidRPr="005F4857">
        <w:rPr>
          <w:color w:val="000000"/>
          <w:w w:val="15"/>
          <w:shd w:val="solid" w:color="000000" w:fill="000000"/>
          <w:fitText w:val="-20" w:id="-1304706545"/>
          <w14:textFill>
            <w14:solidFill>
              <w14:srgbClr w14:val="000000">
                <w14:alpha w14:val="100000"/>
              </w14:srgbClr>
            </w14:solidFill>
          </w14:textFill>
        </w:rPr>
        <w:t>########</w:t>
      </w:r>
      <w:r w:rsidR="003E2BEF" w:rsidRPr="005F4857">
        <w:rPr>
          <w:color w:val="000000"/>
          <w:w w:val="15"/>
          <w:shd w:val="solid" w:color="000000" w:fill="000000"/>
          <w:fitText w:val="-20" w:id="-1304706545"/>
          <w14:textFill>
            <w14:solidFill>
              <w14:srgbClr w14:val="000000">
                <w14:alpha w14:val="100000"/>
              </w14:srgbClr>
            </w14:solidFill>
          </w14:textFill>
        </w:rPr>
        <w:t xml:space="preserve"> </w:t>
      </w:r>
      <w:r w:rsidR="003E2BEF" w:rsidRPr="005F4857">
        <w:rPr>
          <w:color w:val="000000"/>
          <w:spacing w:val="-212"/>
          <w:w w:val="15"/>
          <w:shd w:val="solid" w:color="000000" w:fill="000000"/>
          <w:fitText w:val="-20" w:id="-1304706545"/>
          <w14:textFill>
            <w14:solidFill>
              <w14:srgbClr w14:val="000000">
                <w14:alpha w14:val="100000"/>
              </w14:srgbClr>
            </w14:solidFill>
          </w14:textFill>
        </w:rPr>
        <w:t>|</w:t>
      </w:r>
      <w:r w:rsidRPr="00A50FEB">
        <w:t>%</w:t>
      </w:r>
      <w:r w:rsidRPr="00FF512C">
        <w:t xml:space="preserve"> substitution of SPS/CPS that includes use outside the RPBS. The proposed effective price of patiromer (DPMQ $</w:t>
      </w:r>
      <w:r w:rsidR="003E2BEF" w:rsidRPr="005F4857">
        <w:rPr>
          <w:color w:val="000000"/>
          <w:w w:val="15"/>
          <w:shd w:val="solid" w:color="000000" w:fill="000000"/>
          <w:fitText w:val="-20" w:id="-1304706544"/>
          <w14:textFill>
            <w14:solidFill>
              <w14:srgbClr w14:val="000000">
                <w14:alpha w14:val="100000"/>
              </w14:srgbClr>
            </w14:solidFill>
          </w14:textFill>
        </w:rPr>
        <w:t xml:space="preserve">| </w:t>
      </w:r>
      <w:r w:rsidR="00BB7EE7" w:rsidRPr="005F4857">
        <w:rPr>
          <w:color w:val="000000"/>
          <w:w w:val="15"/>
          <w:shd w:val="solid" w:color="000000" w:fill="000000"/>
          <w:fitText w:val="-20" w:id="-1304706544"/>
          <w14:textFill>
            <w14:solidFill>
              <w14:srgbClr w14:val="000000">
                <w14:alpha w14:val="100000"/>
              </w14:srgbClr>
            </w14:solidFill>
          </w14:textFill>
        </w:rPr>
        <w:t>#########</w:t>
      </w:r>
      <w:r w:rsidR="003E2BEF" w:rsidRPr="005F4857">
        <w:rPr>
          <w:color w:val="000000"/>
          <w:w w:val="15"/>
          <w:shd w:val="solid" w:color="000000" w:fill="000000"/>
          <w:fitText w:val="-20" w:id="-1304706544"/>
          <w14:textFill>
            <w14:solidFill>
              <w14:srgbClr w14:val="000000">
                <w14:alpha w14:val="100000"/>
              </w14:srgbClr>
            </w14:solidFill>
          </w14:textFill>
        </w:rPr>
        <w:t xml:space="preserve"> </w:t>
      </w:r>
      <w:r w:rsidR="003E2BEF" w:rsidRPr="005F4857">
        <w:rPr>
          <w:color w:val="000000"/>
          <w:spacing w:val="-230"/>
          <w:w w:val="15"/>
          <w:shd w:val="solid" w:color="000000" w:fill="000000"/>
          <w:fitText w:val="-20" w:id="-1304706544"/>
          <w14:textFill>
            <w14:solidFill>
              <w14:srgbClr w14:val="000000">
                <w14:alpha w14:val="100000"/>
              </w14:srgbClr>
            </w14:solidFill>
          </w14:textFill>
        </w:rPr>
        <w:t>|</w:t>
      </w:r>
      <w:r w:rsidRPr="00FF512C">
        <w:t>) is higher than the estimated prices of SPS (DPMQ $70.90) and CPS (retail price $288.46) on a per-pack basis.</w:t>
      </w:r>
    </w:p>
    <w:p w14:paraId="25F0947B" w14:textId="77777777" w:rsidR="002A7F4F" w:rsidRPr="00FF512C" w:rsidRDefault="002A7F4F" w:rsidP="002A7F4F">
      <w:pPr>
        <w:pStyle w:val="COMexecsumnumberedpara"/>
        <w:numPr>
          <w:ilvl w:val="1"/>
          <w:numId w:val="1"/>
        </w:numPr>
      </w:pPr>
      <w:r w:rsidRPr="00FF512C">
        <w:t xml:space="preserve">The sources used to determine the proportion of patients on maximal and sub-maximal RAASi doses, and the assumed basket of therapies and doses representing maximal and sub-maximal RAASi doses were unchanged compared to the November 2020 submission. Estimated RAASi use in the economic model, however, has been revised compared to the November 2020 submission. The difference in the approaches used resulted in multiple inconsistences between the budget impact analysis and economic model in terms of therapies and doses representing maximal and sub-maximal doses, proportion of patients on maximal and sub-maximal doses and circumstances of use (adherence and persistence).  </w:t>
      </w:r>
    </w:p>
    <w:p w14:paraId="3DE4D4C2" w14:textId="77777777" w:rsidR="00C41BB6" w:rsidRPr="00FF512C" w:rsidRDefault="002A7F4F" w:rsidP="002A7F4F">
      <w:pPr>
        <w:pStyle w:val="COMexecsumnumberedpara"/>
        <w:numPr>
          <w:ilvl w:val="1"/>
          <w:numId w:val="1"/>
        </w:numPr>
      </w:pPr>
      <w:r w:rsidRPr="00FF512C">
        <w:t xml:space="preserve">The estimated cost due to additional use of RAASi therapies in the resubmission were substantially lower than estimated in the previous submission. While lower estimates should be expected due to the reduced size of the treated population, there were additional changes to other inputs (scripts per patient, average patient co-payment) and the introduced assumption of no cost to the PBS when the price of the script was below the average co-payment, that inappropriately resulted in an almost negligible additional cost to the PBS/RPBS. </w:t>
      </w:r>
    </w:p>
    <w:p w14:paraId="197CFFCA" w14:textId="0FA00F96" w:rsidR="002A7F4F" w:rsidRPr="00FF512C" w:rsidRDefault="00DB7335" w:rsidP="003A611B">
      <w:pPr>
        <w:pStyle w:val="COMexecsumnumberedpara"/>
        <w:numPr>
          <w:ilvl w:val="1"/>
          <w:numId w:val="1"/>
        </w:numPr>
      </w:pPr>
      <w:r w:rsidRPr="00FF512C">
        <w:t xml:space="preserve">The PSCR proposed that </w:t>
      </w:r>
      <w:r w:rsidR="00C41BB6" w:rsidRPr="00FF512C">
        <w:t xml:space="preserve">the </w:t>
      </w:r>
      <w:r w:rsidRPr="00FF512C">
        <w:t xml:space="preserve">financial estimates </w:t>
      </w:r>
      <w:r w:rsidR="00C41BB6" w:rsidRPr="00FF512C">
        <w:t>should be</w:t>
      </w:r>
      <w:r w:rsidRPr="00FF512C">
        <w:t xml:space="preserve"> increased in Year 1 to assume that </w:t>
      </w:r>
      <w:bookmarkStart w:id="71" w:name="_Hlk113629054"/>
      <w:r w:rsidR="003A611B" w:rsidRPr="003A611B">
        <w:t>&lt; 500</w:t>
      </w:r>
      <w:bookmarkEnd w:id="71"/>
      <w:r w:rsidR="003A611B">
        <w:t xml:space="preserve"> </w:t>
      </w:r>
      <w:r w:rsidRPr="00FF512C">
        <w:t xml:space="preserve"> patients would grandfather </w:t>
      </w:r>
      <w:r w:rsidR="00C41BB6" w:rsidRPr="00FF512C">
        <w:t xml:space="preserve">to patiromer </w:t>
      </w:r>
      <w:r w:rsidRPr="00FF512C">
        <w:t xml:space="preserve">upon PBS listing; however, these patients </w:t>
      </w:r>
      <w:r w:rsidR="00C41BB6" w:rsidRPr="00FF512C">
        <w:t>may have</w:t>
      </w:r>
      <w:r w:rsidRPr="00FF512C">
        <w:t xml:space="preserve"> already been included in the epidemiological approach used.</w:t>
      </w:r>
    </w:p>
    <w:p w14:paraId="5F5ABF9C" w14:textId="2B64593C" w:rsidR="00DC62DB" w:rsidRPr="00FF512C" w:rsidRDefault="00DC62DB" w:rsidP="002A7F4F">
      <w:pPr>
        <w:pStyle w:val="COMexecsumnumberedpara"/>
        <w:numPr>
          <w:ilvl w:val="1"/>
          <w:numId w:val="1"/>
        </w:numPr>
      </w:pPr>
      <w:r w:rsidRPr="00FF512C">
        <w:t xml:space="preserve">Overall, the ESC considered that the revised financial estimates were </w:t>
      </w:r>
      <w:r w:rsidR="000D28E8" w:rsidRPr="00FF512C">
        <w:t xml:space="preserve">likely </w:t>
      </w:r>
      <w:r w:rsidRPr="00FF512C">
        <w:t>underestimated</w:t>
      </w:r>
      <w:r w:rsidR="000D28E8" w:rsidRPr="00FF512C">
        <w:t>, but highly uncertain</w:t>
      </w:r>
      <w:r w:rsidRPr="00FF512C">
        <w:t>.</w:t>
      </w:r>
    </w:p>
    <w:p w14:paraId="712BE7D2" w14:textId="1D7A620F" w:rsidR="002A7F4F" w:rsidRPr="001159D0" w:rsidRDefault="002A7F4F" w:rsidP="002A7F4F">
      <w:pPr>
        <w:pStyle w:val="COMH2-non-numbered"/>
      </w:pPr>
      <w:bookmarkStart w:id="72" w:name="_Toc111818939"/>
      <w:r w:rsidRPr="001159D0">
        <w:t>Financial Management – Risk Sharing Arrangements</w:t>
      </w:r>
      <w:bookmarkEnd w:id="72"/>
    </w:p>
    <w:p w14:paraId="3C694D3D" w14:textId="2851D23F" w:rsidR="002A7F4F" w:rsidRPr="00FF512C" w:rsidRDefault="002A7F4F" w:rsidP="002A7F4F">
      <w:pPr>
        <w:pStyle w:val="COMexecsumnumberedpara"/>
        <w:numPr>
          <w:ilvl w:val="1"/>
          <w:numId w:val="1"/>
        </w:numPr>
        <w:rPr>
          <w:color w:val="0066FF"/>
        </w:rPr>
      </w:pPr>
      <w:r w:rsidRPr="00FF512C">
        <w:t xml:space="preserve">The submission </w:t>
      </w:r>
      <w:r w:rsidR="00C7016F" w:rsidRPr="00FF512C">
        <w:t xml:space="preserve">considered </w:t>
      </w:r>
      <w:r w:rsidRPr="00FF512C">
        <w:t xml:space="preserve">that the key remaining uncertainty was the uptake rate of patiromer due to it being a novel oral compound listed on the PBS. To address this uncertainty, the sponsor proposed a risk-sharing arrangement (RSA) based on the total predicted script volume of patiromer exceeding a </w:t>
      </w:r>
      <w:r w:rsidR="003E2BEF" w:rsidRPr="005F4857">
        <w:rPr>
          <w:color w:val="000000"/>
          <w:w w:val="15"/>
          <w:shd w:val="solid" w:color="000000" w:fill="000000"/>
          <w:fitText w:val="-20" w:id="-1304706560"/>
          <w14:textFill>
            <w14:solidFill>
              <w14:srgbClr w14:val="000000">
                <w14:alpha w14:val="100000"/>
              </w14:srgbClr>
            </w14:solidFill>
          </w14:textFill>
        </w:rPr>
        <w:t>|</w:t>
      </w:r>
      <w:r w:rsidR="00BB7EE7" w:rsidRPr="005F4857">
        <w:rPr>
          <w:color w:val="000000"/>
          <w:w w:val="15"/>
          <w:shd w:val="solid" w:color="000000" w:fill="000000"/>
          <w:fitText w:val="-20" w:id="-1304706560"/>
          <w14:textFill>
            <w14:solidFill>
              <w14:srgbClr w14:val="000000">
                <w14:alpha w14:val="100000"/>
              </w14:srgbClr>
            </w14:solidFill>
          </w14:textFill>
        </w:rPr>
        <w:t>#######</w:t>
      </w:r>
      <w:r w:rsidR="003E2BEF" w:rsidRPr="005F4857">
        <w:rPr>
          <w:color w:val="000000"/>
          <w:w w:val="15"/>
          <w:shd w:val="solid" w:color="000000" w:fill="000000"/>
          <w:fitText w:val="-20" w:id="-1304706560"/>
          <w14:textFill>
            <w14:solidFill>
              <w14:srgbClr w14:val="000000">
                <w14:alpha w14:val="100000"/>
              </w14:srgbClr>
            </w14:solidFill>
          </w14:textFill>
        </w:rPr>
        <w:t xml:space="preserve">  </w:t>
      </w:r>
      <w:r w:rsidR="003E2BEF" w:rsidRPr="005F4857">
        <w:rPr>
          <w:color w:val="000000"/>
          <w:spacing w:val="-194"/>
          <w:w w:val="15"/>
          <w:shd w:val="solid" w:color="000000" w:fill="000000"/>
          <w:fitText w:val="-20" w:id="-1304706560"/>
          <w14:textFill>
            <w14:solidFill>
              <w14:srgbClr w14:val="000000">
                <w14:alpha w14:val="100000"/>
              </w14:srgbClr>
            </w14:solidFill>
          </w14:textFill>
        </w:rPr>
        <w:t>|</w:t>
      </w:r>
      <w:r w:rsidRPr="00FF512C">
        <w:t xml:space="preserve">% threshold, with a </w:t>
      </w:r>
      <w:r w:rsidR="003E2BEF" w:rsidRPr="005F4857">
        <w:rPr>
          <w:color w:val="000000"/>
          <w:w w:val="15"/>
          <w:shd w:val="solid" w:color="000000" w:fill="000000"/>
          <w:fitText w:val="-20" w:id="-1304706559"/>
          <w14:textFill>
            <w14:solidFill>
              <w14:srgbClr w14:val="000000">
                <w14:alpha w14:val="100000"/>
              </w14:srgbClr>
            </w14:solidFill>
          </w14:textFill>
        </w:rPr>
        <w:t xml:space="preserve">| </w:t>
      </w:r>
      <w:r w:rsidR="00BB7EE7" w:rsidRPr="005F4857">
        <w:rPr>
          <w:color w:val="000000"/>
          <w:w w:val="15"/>
          <w:shd w:val="solid" w:color="000000" w:fill="000000"/>
          <w:fitText w:val="-20" w:id="-1304706559"/>
          <w14:textFill>
            <w14:solidFill>
              <w14:srgbClr w14:val="000000">
                <w14:alpha w14:val="100000"/>
              </w14:srgbClr>
            </w14:solidFill>
          </w14:textFill>
        </w:rPr>
        <w:t>########</w:t>
      </w:r>
      <w:r w:rsidR="003E2BEF" w:rsidRPr="005F4857">
        <w:rPr>
          <w:color w:val="000000"/>
          <w:w w:val="15"/>
          <w:shd w:val="solid" w:color="000000" w:fill="000000"/>
          <w:fitText w:val="-20" w:id="-1304706559"/>
          <w14:textFill>
            <w14:solidFill>
              <w14:srgbClr w14:val="000000">
                <w14:alpha w14:val="100000"/>
              </w14:srgbClr>
            </w14:solidFill>
          </w14:textFill>
        </w:rPr>
        <w:t xml:space="preserve"> </w:t>
      </w:r>
      <w:r w:rsidR="003E2BEF" w:rsidRPr="005F4857">
        <w:rPr>
          <w:color w:val="000000"/>
          <w:spacing w:val="-212"/>
          <w:w w:val="15"/>
          <w:shd w:val="solid" w:color="000000" w:fill="000000"/>
          <w:fitText w:val="-20" w:id="-1304706559"/>
          <w14:textFill>
            <w14:solidFill>
              <w14:srgbClr w14:val="000000">
                <w14:alpha w14:val="100000"/>
              </w14:srgbClr>
            </w14:solidFill>
          </w14:textFill>
        </w:rPr>
        <w:t>|</w:t>
      </w:r>
      <w:r w:rsidRPr="00FF512C">
        <w:t>% rebate on the proposed effective DPMQ $</w:t>
      </w:r>
      <w:r w:rsidR="003E2BEF" w:rsidRPr="005F4857">
        <w:rPr>
          <w:color w:val="000000"/>
          <w:w w:val="15"/>
          <w:shd w:val="solid" w:color="000000" w:fill="000000"/>
          <w:fitText w:val="-20" w:id="-1304706558"/>
          <w14:textFill>
            <w14:solidFill>
              <w14:srgbClr w14:val="000000">
                <w14:alpha w14:val="100000"/>
              </w14:srgbClr>
            </w14:solidFill>
          </w14:textFill>
        </w:rPr>
        <w:t xml:space="preserve">|  </w:t>
      </w:r>
      <w:r w:rsidR="003E2BEF" w:rsidRPr="005F4857">
        <w:rPr>
          <w:color w:val="000000"/>
          <w:spacing w:val="-69"/>
          <w:w w:val="15"/>
          <w:shd w:val="solid" w:color="000000" w:fill="000000"/>
          <w:fitText w:val="-20" w:id="-1304706558"/>
          <w14:textFill>
            <w14:solidFill>
              <w14:srgbClr w14:val="000000">
                <w14:alpha w14:val="100000"/>
              </w14:srgbClr>
            </w14:solidFill>
          </w14:textFill>
        </w:rPr>
        <w:t>|</w:t>
      </w:r>
      <w:r w:rsidR="00BB7EE7">
        <w:rPr>
          <w:color w:val="000000"/>
          <w:shd w:val="solid" w:color="000000" w:fill="000000"/>
          <w14:textFill>
            <w14:solidFill>
              <w14:srgbClr w14:val="000000">
                <w14:alpha w14:val="100000"/>
              </w14:srgbClr>
            </w14:solidFill>
          </w14:textFill>
        </w:rPr>
        <w:t>###</w:t>
      </w:r>
      <w:r w:rsidRPr="00FF512C">
        <w:t xml:space="preserve"> for volumes above this amount in any given year.</w:t>
      </w:r>
    </w:p>
    <w:p w14:paraId="2EC4F102" w14:textId="56C4C3B7" w:rsidR="002A7F4F" w:rsidRDefault="002A7F4F" w:rsidP="002A7F4F">
      <w:pPr>
        <w:pStyle w:val="COMexecsumnumberedpara"/>
        <w:numPr>
          <w:ilvl w:val="1"/>
          <w:numId w:val="1"/>
        </w:numPr>
      </w:pPr>
      <w:r w:rsidRPr="00FF512C">
        <w:t xml:space="preserve">The </w:t>
      </w:r>
      <w:r w:rsidR="002D20AE" w:rsidRPr="00FF512C">
        <w:t xml:space="preserve">ESC noted that the </w:t>
      </w:r>
      <w:r w:rsidRPr="00FF512C">
        <w:t xml:space="preserve">PBAC previously considered that a resubmission would require a </w:t>
      </w:r>
      <w:r w:rsidR="0028298E">
        <w:t>RSA</w:t>
      </w:r>
      <w:r w:rsidRPr="00FF512C">
        <w:t xml:space="preserve">, with a realistic financial cap and a </w:t>
      </w:r>
      <w:r w:rsidR="003E2BEF" w:rsidRPr="005F4857">
        <w:rPr>
          <w:color w:val="000000"/>
          <w:w w:val="15"/>
          <w:shd w:val="solid" w:color="000000" w:fill="000000"/>
          <w:fitText w:val="-20" w:id="-1304706557"/>
          <w14:textFill>
            <w14:solidFill>
              <w14:srgbClr w14:val="000000">
                <w14:alpha w14:val="100000"/>
              </w14:srgbClr>
            </w14:solidFill>
          </w14:textFill>
        </w:rPr>
        <w:t>|</w:t>
      </w:r>
      <w:r w:rsidR="00BB7EE7" w:rsidRPr="005F4857">
        <w:rPr>
          <w:color w:val="000000"/>
          <w:w w:val="15"/>
          <w:shd w:val="solid" w:color="000000" w:fill="000000"/>
          <w:fitText w:val="-20" w:id="-1304706557"/>
          <w14:textFill>
            <w14:solidFill>
              <w14:srgbClr w14:val="000000">
                <w14:alpha w14:val="100000"/>
              </w14:srgbClr>
            </w14:solidFill>
          </w14:textFill>
        </w:rPr>
        <w:t>##########</w:t>
      </w:r>
      <w:r w:rsidR="003E2BEF" w:rsidRPr="005F4857">
        <w:rPr>
          <w:color w:val="000000"/>
          <w:w w:val="15"/>
          <w:shd w:val="solid" w:color="000000" w:fill="000000"/>
          <w:fitText w:val="-20" w:id="-1304706557"/>
          <w14:textFill>
            <w14:solidFill>
              <w14:srgbClr w14:val="000000">
                <w14:alpha w14:val="100000"/>
              </w14:srgbClr>
            </w14:solidFill>
          </w14:textFill>
        </w:rPr>
        <w:t xml:space="preserve">  </w:t>
      </w:r>
      <w:r w:rsidR="003E2BEF" w:rsidRPr="005F4857">
        <w:rPr>
          <w:color w:val="000000"/>
          <w:spacing w:val="-248"/>
          <w:w w:val="15"/>
          <w:shd w:val="solid" w:color="000000" w:fill="000000"/>
          <w:fitText w:val="-20" w:id="-1304706557"/>
          <w14:textFill>
            <w14:solidFill>
              <w14:srgbClr w14:val="000000">
                <w14:alpha w14:val="100000"/>
              </w14:srgbClr>
            </w14:solidFill>
          </w14:textFill>
        </w:rPr>
        <w:t>|</w:t>
      </w:r>
      <w:r w:rsidRPr="00FF512C">
        <w:t>% rebate for use over the cap, given the uncertainty surrounding utilisation (para</w:t>
      </w:r>
      <w:r w:rsidR="00521527" w:rsidRPr="00FF512C">
        <w:t>graph</w:t>
      </w:r>
      <w:r w:rsidRPr="00FF512C">
        <w:t xml:space="preserve"> 7.10, patiromer PSD, November 2020). </w:t>
      </w:r>
    </w:p>
    <w:p w14:paraId="3050E4E4" w14:textId="3C36540D" w:rsidR="00804745" w:rsidRPr="00804745" w:rsidRDefault="00804745" w:rsidP="00804745">
      <w:pPr>
        <w:pStyle w:val="COMexecsumnumberedpara"/>
        <w:numPr>
          <w:ilvl w:val="0"/>
          <w:numId w:val="0"/>
        </w:numPr>
        <w:ind w:left="720"/>
        <w:rPr>
          <w:i/>
          <w:iCs/>
        </w:rPr>
      </w:pPr>
      <w:r w:rsidRPr="00804745">
        <w:rPr>
          <w:i/>
          <w:iCs/>
        </w:rPr>
        <w:t>For more detail on PBAC’s view, see section 7 PBAC outcome.</w:t>
      </w:r>
    </w:p>
    <w:p w14:paraId="36FEC412" w14:textId="09E75A74" w:rsidR="00804745" w:rsidRPr="0090150D" w:rsidRDefault="00804745" w:rsidP="00804745">
      <w:pPr>
        <w:pStyle w:val="COMH1numbered"/>
      </w:pPr>
      <w:bookmarkStart w:id="73" w:name="_Hlk76381249"/>
      <w:bookmarkStart w:id="74" w:name="_Hlk76377955"/>
      <w:bookmarkStart w:id="75" w:name="_Hlk103934877"/>
      <w:r w:rsidRPr="0090150D">
        <w:t>PBAC Outcome</w:t>
      </w:r>
    </w:p>
    <w:p w14:paraId="53F924E6" w14:textId="2C6EBB2C" w:rsidR="00C60ABA" w:rsidRPr="00C60ABA" w:rsidRDefault="00C60ABA" w:rsidP="00804745">
      <w:pPr>
        <w:widowControl w:val="0"/>
        <w:numPr>
          <w:ilvl w:val="1"/>
          <w:numId w:val="1"/>
        </w:numPr>
        <w:spacing w:after="120"/>
        <w:ind w:left="720" w:hanging="720"/>
        <w:rPr>
          <w:rFonts w:asciiTheme="minorHAnsi" w:hAnsiTheme="minorHAnsi"/>
          <w:snapToGrid w:val="0"/>
          <w:lang w:val="en-GB"/>
        </w:rPr>
      </w:pPr>
      <w:bookmarkStart w:id="76" w:name="_Hlk111543188"/>
      <w:r>
        <w:rPr>
          <w:rFonts w:asciiTheme="minorHAnsi" w:hAnsiTheme="minorHAnsi"/>
          <w:snapToGrid w:val="0"/>
          <w:lang w:val="en-GB"/>
        </w:rPr>
        <w:t xml:space="preserve">The PBAC did not recommend the listing of patiromer for the treatment of </w:t>
      </w:r>
      <w:r w:rsidRPr="001159D0">
        <w:t>adult patients with chronic kidney disease (CKD) Stage 3-4, with chronic hyperkalaemia (at least 2 episodes of serum potassium (</w:t>
      </w:r>
      <w:r w:rsidR="00422ADF">
        <w:t xml:space="preserve">potassium </w:t>
      </w:r>
      <w:r w:rsidR="00422ADF">
        <w:rPr>
          <w:rFonts w:cs="Calibri"/>
        </w:rPr>
        <w:t>≥</w:t>
      </w:r>
      <w:r w:rsidR="00422ADF">
        <w:t xml:space="preserve"> </w:t>
      </w:r>
      <w:r w:rsidRPr="001159D0">
        <w:t xml:space="preserve">6.0 mmol/L in the previous 12 months), who are receiving at least one </w:t>
      </w:r>
      <w:r w:rsidRPr="001159D0">
        <w:rPr>
          <w:rFonts w:cs="Calibri"/>
          <w:szCs w:val="18"/>
        </w:rPr>
        <w:t>renin angiotensin aldosterone system inhibitor</w:t>
      </w:r>
      <w:r w:rsidRPr="001159D0">
        <w:t xml:space="preserve"> (RAASi) medicine or are indicated for a RAASi medicine but are unable to tolerate this due to prior occurrence of hyperkalaemia.</w:t>
      </w:r>
      <w:r>
        <w:t xml:space="preserve"> </w:t>
      </w:r>
      <w:r w:rsidR="00920547">
        <w:t xml:space="preserve">The PBAC </w:t>
      </w:r>
      <w:r w:rsidR="0072641B">
        <w:t xml:space="preserve">considered </w:t>
      </w:r>
      <w:r w:rsidR="00920547">
        <w:t xml:space="preserve">that the additional clinical evidence presented in the resubmission did not </w:t>
      </w:r>
      <w:r w:rsidR="0072641B">
        <w:t xml:space="preserve">adequately </w:t>
      </w:r>
      <w:r w:rsidR="00920547">
        <w:t xml:space="preserve">address the uncertainties surrounding the long-term benefits of patiromer. </w:t>
      </w:r>
      <w:r w:rsidRPr="00E04E16">
        <w:rPr>
          <w:bCs/>
        </w:rPr>
        <w:t xml:space="preserve">The PBAC considered that the </w:t>
      </w:r>
      <w:r w:rsidR="00DF453A">
        <w:rPr>
          <w:bCs/>
        </w:rPr>
        <w:t>cost utility analysis was unreliable for decision making</w:t>
      </w:r>
      <w:r w:rsidR="007E6C44">
        <w:rPr>
          <w:bCs/>
        </w:rPr>
        <w:t xml:space="preserve"> and relied on long-term outcomes that were not supported by the clinical data</w:t>
      </w:r>
      <w:r>
        <w:rPr>
          <w:bCs/>
        </w:rPr>
        <w:t>.</w:t>
      </w:r>
      <w:r w:rsidR="00DF453A">
        <w:rPr>
          <w:bCs/>
        </w:rPr>
        <w:t xml:space="preserve"> </w:t>
      </w:r>
      <w:r w:rsidR="007E6C44">
        <w:rPr>
          <w:bCs/>
        </w:rPr>
        <w:t xml:space="preserve">The PBAC advised that it would be more appropriate for the price of patiromer to be based on a cost-minimisation approach versus </w:t>
      </w:r>
      <w:r w:rsidR="009F2364" w:rsidRPr="009F2364">
        <w:rPr>
          <w:bCs/>
        </w:rPr>
        <w:t xml:space="preserve">sodium polystyrene sulfonate (SPS) and calcium polystyrene sulfonate (CPS) resins </w:t>
      </w:r>
      <w:r w:rsidR="007E6C44">
        <w:rPr>
          <w:bCs/>
        </w:rPr>
        <w:t xml:space="preserve">given </w:t>
      </w:r>
      <w:r w:rsidR="009F2364">
        <w:rPr>
          <w:bCs/>
        </w:rPr>
        <w:t>these</w:t>
      </w:r>
      <w:r w:rsidR="007E6C44">
        <w:rPr>
          <w:bCs/>
        </w:rPr>
        <w:t xml:space="preserve"> could be used to treat the overall target population. </w:t>
      </w:r>
    </w:p>
    <w:p w14:paraId="67782DC5" w14:textId="62A1FB68" w:rsidR="00C60ABA" w:rsidRDefault="00C60ABA" w:rsidP="00804745">
      <w:pPr>
        <w:widowControl w:val="0"/>
        <w:numPr>
          <w:ilvl w:val="1"/>
          <w:numId w:val="1"/>
        </w:numPr>
        <w:spacing w:after="120"/>
        <w:ind w:left="720" w:hanging="720"/>
        <w:rPr>
          <w:rFonts w:asciiTheme="minorHAnsi" w:hAnsiTheme="minorHAnsi"/>
          <w:snapToGrid w:val="0"/>
          <w:lang w:val="en-GB"/>
        </w:rPr>
      </w:pPr>
      <w:r>
        <w:rPr>
          <w:rFonts w:asciiTheme="minorHAnsi" w:hAnsiTheme="minorHAnsi"/>
          <w:snapToGrid w:val="0"/>
          <w:lang w:val="en-GB"/>
        </w:rPr>
        <w:t xml:space="preserve">The PBAC acknowledged the consumer comments relating to this resubmission which described the benefits of treatment with patiromer and highlighted the need for </w:t>
      </w:r>
      <w:r w:rsidR="00422ADF">
        <w:rPr>
          <w:rFonts w:asciiTheme="minorHAnsi" w:hAnsiTheme="minorHAnsi"/>
          <w:snapToGrid w:val="0"/>
          <w:lang w:val="en-GB"/>
        </w:rPr>
        <w:t xml:space="preserve">safe, </w:t>
      </w:r>
      <w:r w:rsidR="00DF3424">
        <w:rPr>
          <w:rFonts w:asciiTheme="minorHAnsi" w:hAnsiTheme="minorHAnsi"/>
          <w:snapToGrid w:val="0"/>
          <w:lang w:val="en-GB"/>
        </w:rPr>
        <w:t>effective,</w:t>
      </w:r>
      <w:r>
        <w:rPr>
          <w:rFonts w:asciiTheme="minorHAnsi" w:hAnsiTheme="minorHAnsi"/>
          <w:snapToGrid w:val="0"/>
          <w:lang w:val="en-GB"/>
        </w:rPr>
        <w:t xml:space="preserve"> </w:t>
      </w:r>
      <w:r w:rsidR="00422ADF">
        <w:rPr>
          <w:rFonts w:asciiTheme="minorHAnsi" w:hAnsiTheme="minorHAnsi"/>
          <w:snapToGrid w:val="0"/>
          <w:lang w:val="en-GB"/>
        </w:rPr>
        <w:t>and palatable therapies in this setting.</w:t>
      </w:r>
      <w:r w:rsidR="0072641B">
        <w:rPr>
          <w:rFonts w:asciiTheme="minorHAnsi" w:hAnsiTheme="minorHAnsi"/>
          <w:snapToGrid w:val="0"/>
          <w:lang w:val="en-GB"/>
        </w:rPr>
        <w:t xml:space="preserve"> The comments also highlighted the issues with the existing therapies such as gastrointestinal adverse events and </w:t>
      </w:r>
      <w:r w:rsidR="007E6C44">
        <w:rPr>
          <w:rFonts w:asciiTheme="minorHAnsi" w:hAnsiTheme="minorHAnsi"/>
          <w:snapToGrid w:val="0"/>
          <w:lang w:val="en-GB"/>
        </w:rPr>
        <w:t>lack of palatability</w:t>
      </w:r>
      <w:r w:rsidR="0072641B">
        <w:rPr>
          <w:rFonts w:asciiTheme="minorHAnsi" w:hAnsiTheme="minorHAnsi"/>
          <w:snapToGrid w:val="0"/>
          <w:lang w:val="en-GB"/>
        </w:rPr>
        <w:t>.</w:t>
      </w:r>
    </w:p>
    <w:p w14:paraId="72B5FED3" w14:textId="0DAE9C9D" w:rsidR="00422ADF" w:rsidRDefault="00422ADF" w:rsidP="00804745">
      <w:pPr>
        <w:widowControl w:val="0"/>
        <w:numPr>
          <w:ilvl w:val="1"/>
          <w:numId w:val="1"/>
        </w:numPr>
        <w:spacing w:after="120"/>
        <w:ind w:left="720" w:hanging="720"/>
        <w:rPr>
          <w:rFonts w:asciiTheme="minorHAnsi" w:hAnsiTheme="minorHAnsi"/>
          <w:snapToGrid w:val="0"/>
          <w:lang w:val="en-GB"/>
        </w:rPr>
      </w:pPr>
      <w:r>
        <w:rPr>
          <w:rFonts w:asciiTheme="minorHAnsi" w:hAnsiTheme="minorHAnsi"/>
          <w:snapToGrid w:val="0"/>
          <w:lang w:val="en-GB"/>
        </w:rPr>
        <w:t>The PBAC noted that the resubmission appropriately nominated the short- or long-term use of SP</w:t>
      </w:r>
      <w:r w:rsidR="009F2364">
        <w:rPr>
          <w:rFonts w:asciiTheme="minorHAnsi" w:hAnsiTheme="minorHAnsi"/>
          <w:snapToGrid w:val="0"/>
          <w:lang w:val="en-GB"/>
        </w:rPr>
        <w:t xml:space="preserve">S and </w:t>
      </w:r>
      <w:r>
        <w:rPr>
          <w:rFonts w:asciiTheme="minorHAnsi" w:hAnsiTheme="minorHAnsi"/>
          <w:snapToGrid w:val="0"/>
          <w:lang w:val="en-GB"/>
        </w:rPr>
        <w:t xml:space="preserve">CPS resins, </w:t>
      </w:r>
      <w:r w:rsidR="00D4453F">
        <w:rPr>
          <w:rFonts w:asciiTheme="minorHAnsi" w:hAnsiTheme="minorHAnsi"/>
          <w:snapToGrid w:val="0"/>
          <w:lang w:val="en-GB"/>
        </w:rPr>
        <w:t>in addition to</w:t>
      </w:r>
      <w:r>
        <w:rPr>
          <w:rFonts w:asciiTheme="minorHAnsi" w:hAnsiTheme="minorHAnsi"/>
          <w:snapToGrid w:val="0"/>
          <w:lang w:val="en-GB"/>
        </w:rPr>
        <w:t xml:space="preserve"> standard of care, as comparators.</w:t>
      </w:r>
    </w:p>
    <w:p w14:paraId="09727DC9" w14:textId="0A814A87" w:rsidR="0074061E" w:rsidRPr="0074061E" w:rsidRDefault="00190256" w:rsidP="00947CEC">
      <w:pPr>
        <w:widowControl w:val="0"/>
        <w:numPr>
          <w:ilvl w:val="1"/>
          <w:numId w:val="1"/>
        </w:numPr>
        <w:spacing w:after="120"/>
        <w:ind w:left="720" w:hanging="720"/>
        <w:rPr>
          <w:rFonts w:asciiTheme="minorHAnsi" w:hAnsiTheme="minorHAnsi"/>
          <w:snapToGrid w:val="0"/>
          <w:lang w:val="en-GB"/>
        </w:rPr>
      </w:pPr>
      <w:r>
        <w:rPr>
          <w:rFonts w:asciiTheme="minorHAnsi" w:hAnsiTheme="minorHAnsi"/>
          <w:snapToGrid w:val="0"/>
          <w:lang w:val="en-GB"/>
        </w:rPr>
        <w:t xml:space="preserve">Compared to standard of care, the </w:t>
      </w:r>
      <w:r w:rsidR="00422ADF" w:rsidRPr="00422ADF">
        <w:rPr>
          <w:rFonts w:asciiTheme="minorHAnsi" w:hAnsiTheme="minorHAnsi"/>
          <w:snapToGrid w:val="0"/>
          <w:lang w:val="en-GB"/>
        </w:rPr>
        <w:t xml:space="preserve">PBAC </w:t>
      </w:r>
      <w:r>
        <w:rPr>
          <w:rFonts w:asciiTheme="minorHAnsi" w:hAnsiTheme="minorHAnsi"/>
          <w:snapToGrid w:val="0"/>
          <w:lang w:val="en-GB"/>
        </w:rPr>
        <w:t>again</w:t>
      </w:r>
      <w:r w:rsidR="00422ADF" w:rsidRPr="00422ADF">
        <w:rPr>
          <w:rFonts w:asciiTheme="minorHAnsi" w:hAnsiTheme="minorHAnsi"/>
          <w:snapToGrid w:val="0"/>
          <w:lang w:val="en-GB"/>
        </w:rPr>
        <w:t xml:space="preserve"> considered that while the clinical data demonstrated that patiromer lowers potassium levels</w:t>
      </w:r>
      <w:r w:rsidR="0074061E">
        <w:rPr>
          <w:rFonts w:asciiTheme="minorHAnsi" w:hAnsiTheme="minorHAnsi"/>
          <w:snapToGrid w:val="0"/>
          <w:lang w:val="en-GB"/>
        </w:rPr>
        <w:t xml:space="preserve"> compared to standard of care</w:t>
      </w:r>
      <w:r w:rsidR="00422ADF" w:rsidRPr="00422ADF">
        <w:rPr>
          <w:rFonts w:asciiTheme="minorHAnsi" w:hAnsiTheme="minorHAnsi"/>
          <w:snapToGrid w:val="0"/>
          <w:lang w:val="en-GB"/>
        </w:rPr>
        <w:t xml:space="preserve">, it remained unknown as to whether patiromer confers a clinically important difference in terms of optimisation/maintenance of RAASi treatment </w:t>
      </w:r>
      <w:r w:rsidR="007A2145">
        <w:rPr>
          <w:rFonts w:asciiTheme="minorHAnsi" w:hAnsiTheme="minorHAnsi"/>
          <w:snapToGrid w:val="0"/>
          <w:lang w:val="en-GB"/>
        </w:rPr>
        <w:t xml:space="preserve">leading to improvements in </w:t>
      </w:r>
      <w:r w:rsidR="00422ADF" w:rsidRPr="00422ADF">
        <w:rPr>
          <w:rFonts w:asciiTheme="minorHAnsi" w:hAnsiTheme="minorHAnsi"/>
          <w:snapToGrid w:val="0"/>
          <w:lang w:val="en-GB"/>
        </w:rPr>
        <w:t xml:space="preserve"> long-term cardiovascular and renal outcomes</w:t>
      </w:r>
      <w:r w:rsidR="007E6C44">
        <w:rPr>
          <w:rFonts w:asciiTheme="minorHAnsi" w:hAnsiTheme="minorHAnsi"/>
          <w:snapToGrid w:val="0"/>
          <w:lang w:val="en-GB"/>
        </w:rPr>
        <w:t xml:space="preserve"> (as outlined in </w:t>
      </w:r>
      <w:r w:rsidR="004C4D64">
        <w:rPr>
          <w:rFonts w:asciiTheme="minorHAnsi" w:hAnsiTheme="minorHAnsi"/>
          <w:snapToGrid w:val="0"/>
          <w:lang w:val="en-GB"/>
        </w:rPr>
        <w:t>p</w:t>
      </w:r>
      <w:r w:rsidR="007E6C44">
        <w:rPr>
          <w:rFonts w:asciiTheme="minorHAnsi" w:hAnsiTheme="minorHAnsi"/>
          <w:snapToGrid w:val="0"/>
          <w:lang w:val="en-GB"/>
        </w:rPr>
        <w:t xml:space="preserve">aragraph </w:t>
      </w:r>
      <w:r w:rsidR="007E6C44">
        <w:rPr>
          <w:rFonts w:asciiTheme="minorHAnsi" w:hAnsiTheme="minorHAnsi"/>
          <w:snapToGrid w:val="0"/>
          <w:lang w:val="en-GB"/>
        </w:rPr>
        <w:fldChar w:fldCharType="begin"/>
      </w:r>
      <w:r w:rsidR="007E6C44">
        <w:rPr>
          <w:rFonts w:asciiTheme="minorHAnsi" w:hAnsiTheme="minorHAnsi"/>
          <w:snapToGrid w:val="0"/>
          <w:lang w:val="en-GB"/>
        </w:rPr>
        <w:instrText xml:space="preserve"> REF _Ref120543197 \r \h </w:instrText>
      </w:r>
      <w:r w:rsidR="007E6C44">
        <w:rPr>
          <w:rFonts w:asciiTheme="minorHAnsi" w:hAnsiTheme="minorHAnsi"/>
          <w:snapToGrid w:val="0"/>
          <w:lang w:val="en-GB"/>
        </w:rPr>
      </w:r>
      <w:r w:rsidR="007E6C44">
        <w:rPr>
          <w:rFonts w:asciiTheme="minorHAnsi" w:hAnsiTheme="minorHAnsi"/>
          <w:snapToGrid w:val="0"/>
          <w:lang w:val="en-GB"/>
        </w:rPr>
        <w:fldChar w:fldCharType="separate"/>
      </w:r>
      <w:r w:rsidR="00565456">
        <w:rPr>
          <w:rFonts w:asciiTheme="minorHAnsi" w:hAnsiTheme="minorHAnsi"/>
          <w:snapToGrid w:val="0"/>
          <w:lang w:val="en-GB"/>
        </w:rPr>
        <w:t>6.43</w:t>
      </w:r>
      <w:r w:rsidR="007E6C44">
        <w:rPr>
          <w:rFonts w:asciiTheme="minorHAnsi" w:hAnsiTheme="minorHAnsi"/>
          <w:snapToGrid w:val="0"/>
          <w:lang w:val="en-GB"/>
        </w:rPr>
        <w:fldChar w:fldCharType="end"/>
      </w:r>
      <w:r w:rsidR="007E6C44">
        <w:rPr>
          <w:rFonts w:asciiTheme="minorHAnsi" w:hAnsiTheme="minorHAnsi"/>
          <w:snapToGrid w:val="0"/>
          <w:lang w:val="en-GB"/>
        </w:rPr>
        <w:t>)</w:t>
      </w:r>
      <w:r w:rsidR="00422ADF" w:rsidRPr="00422ADF">
        <w:rPr>
          <w:rFonts w:asciiTheme="minorHAnsi" w:hAnsiTheme="minorHAnsi"/>
          <w:snapToGrid w:val="0"/>
          <w:lang w:val="en-GB"/>
        </w:rPr>
        <w:t xml:space="preserve">. The PBAC noted that the DIAMOND trial, which was to examine the safety and efficacy of </w:t>
      </w:r>
      <w:r w:rsidR="00422ADF" w:rsidRPr="00E04E16">
        <w:rPr>
          <w:bCs/>
        </w:rPr>
        <w:t xml:space="preserve">patiromer in patients with heart failure </w:t>
      </w:r>
      <w:r w:rsidR="00191738">
        <w:rPr>
          <w:bCs/>
        </w:rPr>
        <w:t xml:space="preserve">and </w:t>
      </w:r>
      <w:r w:rsidR="00422ADF" w:rsidRPr="00E04E16">
        <w:rPr>
          <w:bCs/>
        </w:rPr>
        <w:t xml:space="preserve">hyperkalaemia </w:t>
      </w:r>
      <w:r w:rsidR="00422ADF">
        <w:rPr>
          <w:bCs/>
        </w:rPr>
        <w:t xml:space="preserve">was </w:t>
      </w:r>
      <w:r w:rsidR="0074061E">
        <w:rPr>
          <w:bCs/>
        </w:rPr>
        <w:t>impacted by COVID-19</w:t>
      </w:r>
      <w:r w:rsidR="002D0B04">
        <w:rPr>
          <w:bCs/>
        </w:rPr>
        <w:t xml:space="preserve"> and did not report results for time to first occurrence of cardiovascular hospitalisation or death</w:t>
      </w:r>
      <w:r w:rsidR="0074061E">
        <w:rPr>
          <w:bCs/>
        </w:rPr>
        <w:t>.</w:t>
      </w:r>
      <w:r w:rsidR="002D0B04">
        <w:rPr>
          <w:bCs/>
        </w:rPr>
        <w:t xml:space="preserve"> </w:t>
      </w:r>
    </w:p>
    <w:p w14:paraId="3DE93C1F" w14:textId="424A0EF9" w:rsidR="00422ADF" w:rsidRDefault="00190256" w:rsidP="00947CEC">
      <w:pPr>
        <w:widowControl w:val="0"/>
        <w:numPr>
          <w:ilvl w:val="1"/>
          <w:numId w:val="1"/>
        </w:numPr>
        <w:spacing w:after="120"/>
        <w:ind w:left="720" w:hanging="720"/>
        <w:rPr>
          <w:rFonts w:asciiTheme="minorHAnsi" w:hAnsiTheme="minorHAnsi"/>
          <w:snapToGrid w:val="0"/>
          <w:lang w:val="en-GB"/>
        </w:rPr>
      </w:pPr>
      <w:r>
        <w:rPr>
          <w:rFonts w:asciiTheme="minorHAnsi" w:hAnsiTheme="minorHAnsi"/>
          <w:snapToGrid w:val="0"/>
          <w:lang w:val="en-GB"/>
        </w:rPr>
        <w:t>The PBAC noted that the resubmission presented an unanchored indirect comparison of patiromer versus SPS</w:t>
      </w:r>
      <w:r w:rsidR="00CE791F">
        <w:rPr>
          <w:rFonts w:asciiTheme="minorHAnsi" w:hAnsiTheme="minorHAnsi"/>
          <w:snapToGrid w:val="0"/>
          <w:lang w:val="en-GB"/>
        </w:rPr>
        <w:t>/</w:t>
      </w:r>
      <w:r>
        <w:rPr>
          <w:rFonts w:asciiTheme="minorHAnsi" w:hAnsiTheme="minorHAnsi"/>
          <w:snapToGrid w:val="0"/>
          <w:lang w:val="en-GB"/>
        </w:rPr>
        <w:t xml:space="preserve">CPS resins. The PBAC </w:t>
      </w:r>
      <w:r w:rsidR="0072641B">
        <w:rPr>
          <w:rFonts w:asciiTheme="minorHAnsi" w:hAnsiTheme="minorHAnsi"/>
          <w:snapToGrid w:val="0"/>
          <w:lang w:val="en-GB"/>
        </w:rPr>
        <w:t xml:space="preserve">considered </w:t>
      </w:r>
      <w:r>
        <w:rPr>
          <w:rFonts w:asciiTheme="minorHAnsi" w:hAnsiTheme="minorHAnsi"/>
          <w:snapToGrid w:val="0"/>
          <w:lang w:val="en-GB"/>
        </w:rPr>
        <w:t xml:space="preserve">that the studies informing the comparisons differed </w:t>
      </w:r>
      <w:r w:rsidR="00D4453F">
        <w:rPr>
          <w:rFonts w:asciiTheme="minorHAnsi" w:hAnsiTheme="minorHAnsi"/>
          <w:snapToGrid w:val="0"/>
          <w:lang w:val="en-GB"/>
        </w:rPr>
        <w:t xml:space="preserve">substantially </w:t>
      </w:r>
      <w:r>
        <w:rPr>
          <w:rFonts w:asciiTheme="minorHAnsi" w:hAnsiTheme="minorHAnsi"/>
          <w:snapToGrid w:val="0"/>
          <w:lang w:val="en-GB"/>
        </w:rPr>
        <w:t xml:space="preserve">in terms of participant disease characteristics, study design, duration of treatment and </w:t>
      </w:r>
      <w:r w:rsidR="007A2145">
        <w:rPr>
          <w:rFonts w:asciiTheme="minorHAnsi" w:hAnsiTheme="minorHAnsi"/>
          <w:snapToGrid w:val="0"/>
          <w:lang w:val="en-GB"/>
        </w:rPr>
        <w:t>risk of bias</w:t>
      </w:r>
      <w:r>
        <w:rPr>
          <w:rFonts w:asciiTheme="minorHAnsi" w:hAnsiTheme="minorHAnsi"/>
          <w:snapToGrid w:val="0"/>
          <w:lang w:val="en-GB"/>
        </w:rPr>
        <w:t>. Although the results of the indirect comparisons were highly uncertain, the PBAC considered that it was likely that patiromer and SPS/CPS resins were similar in terms of potassium reduction</w:t>
      </w:r>
      <w:r w:rsidR="00F22990">
        <w:rPr>
          <w:rFonts w:asciiTheme="minorHAnsi" w:hAnsiTheme="minorHAnsi"/>
          <w:snapToGrid w:val="0"/>
          <w:lang w:val="en-GB"/>
        </w:rPr>
        <w:t xml:space="preserve"> outcomes</w:t>
      </w:r>
      <w:r w:rsidR="005F3B83">
        <w:rPr>
          <w:rFonts w:asciiTheme="minorHAnsi" w:hAnsiTheme="minorHAnsi"/>
          <w:snapToGrid w:val="0"/>
          <w:lang w:val="en-GB"/>
        </w:rPr>
        <w:t>, noting that</w:t>
      </w:r>
      <w:r w:rsidR="00D4453F">
        <w:rPr>
          <w:rFonts w:asciiTheme="minorHAnsi" w:hAnsiTheme="minorHAnsi"/>
          <w:snapToGrid w:val="0"/>
          <w:lang w:val="en-GB"/>
        </w:rPr>
        <w:t xml:space="preserve"> no definitive difference between patiromer and SPS/CPS resins in terms of enabling RAASi use was evident</w:t>
      </w:r>
      <w:r>
        <w:rPr>
          <w:rFonts w:asciiTheme="minorHAnsi" w:hAnsiTheme="minorHAnsi"/>
          <w:snapToGrid w:val="0"/>
          <w:lang w:val="en-GB"/>
        </w:rPr>
        <w:t>.</w:t>
      </w:r>
    </w:p>
    <w:p w14:paraId="55BA6A31" w14:textId="3AF1E6F2" w:rsidR="00190256" w:rsidRDefault="002E0395" w:rsidP="00947CEC">
      <w:pPr>
        <w:widowControl w:val="0"/>
        <w:numPr>
          <w:ilvl w:val="1"/>
          <w:numId w:val="1"/>
        </w:numPr>
        <w:spacing w:after="120"/>
        <w:ind w:left="720" w:hanging="720"/>
        <w:rPr>
          <w:rFonts w:asciiTheme="minorHAnsi" w:hAnsiTheme="minorHAnsi"/>
          <w:snapToGrid w:val="0"/>
          <w:lang w:val="en-GB"/>
        </w:rPr>
      </w:pPr>
      <w:r>
        <w:rPr>
          <w:rFonts w:asciiTheme="minorHAnsi" w:hAnsiTheme="minorHAnsi"/>
          <w:snapToGrid w:val="0"/>
          <w:lang w:val="en-GB"/>
        </w:rPr>
        <w:t xml:space="preserve">The PBAC considered that patiromer was non-inferior compared to SPS/CPS resins in terms of safety, noting that </w:t>
      </w:r>
      <w:r w:rsidR="00CE791F">
        <w:rPr>
          <w:rFonts w:asciiTheme="minorHAnsi" w:hAnsiTheme="minorHAnsi"/>
          <w:snapToGrid w:val="0"/>
          <w:lang w:val="en-GB"/>
        </w:rPr>
        <w:t>patiromer appeared to be more palatable and was possibly associated with fewer gastrointestinal adverse events</w:t>
      </w:r>
      <w:r w:rsidR="00D22C90">
        <w:rPr>
          <w:rFonts w:asciiTheme="minorHAnsi" w:hAnsiTheme="minorHAnsi"/>
          <w:snapToGrid w:val="0"/>
          <w:lang w:val="en-GB"/>
        </w:rPr>
        <w:t xml:space="preserve"> and improved tolerability</w:t>
      </w:r>
      <w:r w:rsidR="00CE791F">
        <w:rPr>
          <w:rFonts w:asciiTheme="minorHAnsi" w:hAnsiTheme="minorHAnsi"/>
          <w:snapToGrid w:val="0"/>
          <w:lang w:val="en-GB"/>
        </w:rPr>
        <w:t>.</w:t>
      </w:r>
    </w:p>
    <w:p w14:paraId="32EC8BF5" w14:textId="4B99ED99" w:rsidR="00D70B5D" w:rsidRPr="001700CE" w:rsidRDefault="00D70B5D" w:rsidP="00D70B5D">
      <w:pPr>
        <w:pStyle w:val="COMexecsumnumberedpara"/>
        <w:widowControl w:val="0"/>
        <w:numPr>
          <w:ilvl w:val="1"/>
          <w:numId w:val="1"/>
        </w:numPr>
        <w:rPr>
          <w:lang w:val="en-GB"/>
        </w:rPr>
      </w:pPr>
      <w:r w:rsidRPr="00D70B5D">
        <w:rPr>
          <w:lang w:val="en-GB"/>
        </w:rPr>
        <w:t xml:space="preserve">The resubmission proposed </w:t>
      </w:r>
      <w:r w:rsidR="00727ACC">
        <w:rPr>
          <w:lang w:val="en-GB"/>
        </w:rPr>
        <w:t>a weighted price for pa</w:t>
      </w:r>
      <w:r w:rsidRPr="00D70B5D">
        <w:rPr>
          <w:lang w:val="en-GB"/>
        </w:rPr>
        <w:t xml:space="preserve">tiromer assuming </w:t>
      </w:r>
      <w:r w:rsidR="003E2BEF" w:rsidRPr="003E2BEF">
        <w:rPr>
          <w:color w:val="000000"/>
          <w:w w:val="58"/>
          <w:shd w:val="solid" w:color="000000" w:fill="000000"/>
          <w:fitText w:val="452" w:id="-1304706556"/>
          <w:lang w:val="en-GB"/>
          <w14:textFill>
            <w14:solidFill>
              <w14:srgbClr w14:val="000000">
                <w14:alpha w14:val="100000"/>
              </w14:srgbClr>
            </w14:solidFill>
          </w14:textFill>
        </w:rPr>
        <w:t>|||  ||</w:t>
      </w:r>
      <w:r w:rsidR="003E2BEF" w:rsidRPr="003E2BEF">
        <w:rPr>
          <w:color w:val="000000"/>
          <w:spacing w:val="5"/>
          <w:w w:val="58"/>
          <w:shd w:val="solid" w:color="000000" w:fill="000000"/>
          <w:fitText w:val="452" w:id="-1304706556"/>
          <w:lang w:val="en-GB"/>
          <w14:textFill>
            <w14:solidFill>
              <w14:srgbClr w14:val="000000">
                <w14:alpha w14:val="100000"/>
              </w14:srgbClr>
            </w14:solidFill>
          </w14:textFill>
        </w:rPr>
        <w:t>|</w:t>
      </w:r>
      <w:r w:rsidRPr="00D70B5D">
        <w:rPr>
          <w:lang w:val="en-GB"/>
        </w:rPr>
        <w:t xml:space="preserve">% of use will replace standard care (and be based on the price derived from a cost-utility analysis versus standard care) </w:t>
      </w:r>
      <w:r w:rsidRPr="00A50FEB">
        <w:rPr>
          <w:lang w:val="en-GB"/>
        </w:rPr>
        <w:t xml:space="preserve">and </w:t>
      </w:r>
      <w:r w:rsidR="003E2BEF" w:rsidRPr="005F4857">
        <w:rPr>
          <w:color w:val="000000"/>
          <w:w w:val="15"/>
          <w:shd w:val="solid" w:color="000000" w:fill="000000"/>
          <w:fitText w:val="-20" w:id="-1304706555"/>
          <w:lang w:val="en-GB"/>
          <w14:textFill>
            <w14:solidFill>
              <w14:srgbClr w14:val="000000">
                <w14:alpha w14:val="100000"/>
              </w14:srgbClr>
            </w14:solidFill>
          </w14:textFill>
        </w:rPr>
        <w:t xml:space="preserve">|  </w:t>
      </w:r>
      <w:r w:rsidR="003E2BEF" w:rsidRPr="005F4857">
        <w:rPr>
          <w:color w:val="000000"/>
          <w:spacing w:val="-69"/>
          <w:w w:val="15"/>
          <w:shd w:val="solid" w:color="000000" w:fill="000000"/>
          <w:fitText w:val="-20" w:id="-1304706555"/>
          <w:lang w:val="en-GB"/>
          <w14:textFill>
            <w14:solidFill>
              <w14:srgbClr w14:val="000000">
                <w14:alpha w14:val="100000"/>
              </w14:srgbClr>
            </w14:solidFill>
          </w14:textFill>
        </w:rPr>
        <w:t>|</w:t>
      </w:r>
      <w:r w:rsidR="00BB7EE7">
        <w:rPr>
          <w:color w:val="000000"/>
          <w:shd w:val="solid" w:color="000000" w:fill="000000"/>
          <w:lang w:val="en-GB"/>
          <w14:textFill>
            <w14:solidFill>
              <w14:srgbClr w14:val="000000">
                <w14:alpha w14:val="100000"/>
              </w14:srgbClr>
            </w14:solidFill>
          </w14:textFill>
        </w:rPr>
        <w:t xml:space="preserve">## </w:t>
      </w:r>
      <w:r w:rsidRPr="00A50FEB">
        <w:rPr>
          <w:lang w:val="en-GB"/>
        </w:rPr>
        <w:t>%</w:t>
      </w:r>
      <w:r w:rsidRPr="00D70B5D">
        <w:rPr>
          <w:lang w:val="en-GB"/>
        </w:rPr>
        <w:t xml:space="preserve"> </w:t>
      </w:r>
      <w:r w:rsidR="00727ACC">
        <w:rPr>
          <w:lang w:val="en-GB"/>
        </w:rPr>
        <w:t xml:space="preserve">of use </w:t>
      </w:r>
      <w:r w:rsidRPr="00D70B5D">
        <w:rPr>
          <w:lang w:val="en-GB"/>
        </w:rPr>
        <w:t xml:space="preserve">will replace SPS/CPS resins (and be based on a cost-minimisation approach). </w:t>
      </w:r>
      <w:r w:rsidR="00DF512C" w:rsidRPr="00DF512C">
        <w:rPr>
          <w:lang w:val="en-GB"/>
        </w:rPr>
        <w:t xml:space="preserve">The proportions were based on the median response in the </w:t>
      </w:r>
      <w:r w:rsidR="00DF512C">
        <w:rPr>
          <w:lang w:val="en-GB"/>
        </w:rPr>
        <w:t>resubmission’s</w:t>
      </w:r>
      <w:r w:rsidR="00DF512C" w:rsidRPr="00DF512C">
        <w:rPr>
          <w:lang w:val="en-GB"/>
        </w:rPr>
        <w:t xml:space="preserve"> clinician survey</w:t>
      </w:r>
      <w:r w:rsidR="00DF512C">
        <w:rPr>
          <w:lang w:val="en-GB"/>
        </w:rPr>
        <w:t>.</w:t>
      </w:r>
      <w:r w:rsidR="00DF512C" w:rsidRPr="00DF512C">
        <w:rPr>
          <w:lang w:val="en-GB"/>
        </w:rPr>
        <w:t xml:space="preserve"> </w:t>
      </w:r>
      <w:r w:rsidRPr="00D70B5D">
        <w:rPr>
          <w:lang w:val="en-GB"/>
        </w:rPr>
        <w:t>While acknowledging the low utilisation of SPS/CPS resins, the PBAC considered that it was unclear why SPS/CPS resins could not be used to treat the overall target population, and, as such, the PBAC considered that the use of two different comparators (with a weighted price, reflecting a substantially higher patirome</w:t>
      </w:r>
      <w:r w:rsidRPr="008075ED">
        <w:rPr>
          <w:lang w:val="en-GB"/>
        </w:rPr>
        <w:t>r price for the subpopulation who would otherwise be treated with standard care) was not appropriate</w:t>
      </w:r>
      <w:r w:rsidRPr="001700CE">
        <w:rPr>
          <w:lang w:val="en-GB"/>
        </w:rPr>
        <w:t xml:space="preserve">.  </w:t>
      </w:r>
    </w:p>
    <w:p w14:paraId="631866F6" w14:textId="3875052A" w:rsidR="002D0B04" w:rsidRDefault="002D0B04" w:rsidP="00947CEC">
      <w:pPr>
        <w:widowControl w:val="0"/>
        <w:numPr>
          <w:ilvl w:val="1"/>
          <w:numId w:val="1"/>
        </w:numPr>
        <w:spacing w:after="120"/>
        <w:ind w:left="720" w:hanging="720"/>
        <w:rPr>
          <w:rFonts w:asciiTheme="minorHAnsi" w:hAnsiTheme="minorHAnsi"/>
          <w:snapToGrid w:val="0"/>
          <w:lang w:val="en-GB"/>
        </w:rPr>
      </w:pPr>
      <w:r>
        <w:rPr>
          <w:rFonts w:asciiTheme="minorHAnsi" w:hAnsiTheme="minorHAnsi"/>
          <w:snapToGrid w:val="0"/>
          <w:lang w:val="en-GB"/>
        </w:rPr>
        <w:t>The PBAC considered that the cost utility analysis presented was overly complex</w:t>
      </w:r>
      <w:r w:rsidR="00587C13">
        <w:rPr>
          <w:rFonts w:asciiTheme="minorHAnsi" w:hAnsiTheme="minorHAnsi"/>
          <w:snapToGrid w:val="0"/>
          <w:lang w:val="en-GB"/>
        </w:rPr>
        <w:t xml:space="preserve"> and unreliable for decision making due to inconsistencies, double counting and systematic errors. The PBAC also considered that a number of the assumptions in the model were highly uncertain and favoured patiromer. These included</w:t>
      </w:r>
      <w:r w:rsidR="00D345A9">
        <w:rPr>
          <w:rFonts w:asciiTheme="minorHAnsi" w:hAnsiTheme="minorHAnsi"/>
          <w:snapToGrid w:val="0"/>
          <w:lang w:val="en-GB"/>
        </w:rPr>
        <w:t>:</w:t>
      </w:r>
      <w:r w:rsidR="00587C13">
        <w:rPr>
          <w:rFonts w:asciiTheme="minorHAnsi" w:hAnsiTheme="minorHAnsi"/>
          <w:snapToGrid w:val="0"/>
          <w:lang w:val="en-GB"/>
        </w:rPr>
        <w:t xml:space="preserve"> the implausibly high rate of RAASi discontinuation in the placebo arm, the assumption that short-term patiromer treatment would result in prolonged RAASi therapy and the long-term gain of cardiovascular and renal benefits, the assumption that all patients would be receiving maximal RAASi therapy at baseline and the low assumed doses of patiromer.</w:t>
      </w:r>
      <w:r w:rsidR="000521F0">
        <w:rPr>
          <w:rFonts w:asciiTheme="minorHAnsi" w:hAnsiTheme="minorHAnsi"/>
          <w:snapToGrid w:val="0"/>
          <w:lang w:val="en-GB"/>
        </w:rPr>
        <w:t xml:space="preserve"> The PBAC </w:t>
      </w:r>
      <w:r w:rsidR="00295BF6">
        <w:rPr>
          <w:rFonts w:asciiTheme="minorHAnsi" w:hAnsiTheme="minorHAnsi"/>
          <w:snapToGrid w:val="0"/>
          <w:lang w:val="en-GB"/>
        </w:rPr>
        <w:t xml:space="preserve">noted that the </w:t>
      </w:r>
      <w:r w:rsidR="00295BF6" w:rsidRPr="00295BF6">
        <w:rPr>
          <w:rFonts w:asciiTheme="minorHAnsi" w:hAnsiTheme="minorHAnsi"/>
          <w:snapToGrid w:val="0"/>
          <w:lang w:val="en-GB"/>
        </w:rPr>
        <w:t xml:space="preserve">core premise of the economic model in the current and previous submissions </w:t>
      </w:r>
      <w:r w:rsidR="00295BF6">
        <w:rPr>
          <w:rFonts w:asciiTheme="minorHAnsi" w:hAnsiTheme="minorHAnsi"/>
          <w:snapToGrid w:val="0"/>
          <w:lang w:val="en-GB"/>
        </w:rPr>
        <w:t>wa</w:t>
      </w:r>
      <w:r w:rsidR="00295BF6" w:rsidRPr="00295BF6">
        <w:rPr>
          <w:rFonts w:asciiTheme="minorHAnsi" w:hAnsiTheme="minorHAnsi"/>
          <w:snapToGrid w:val="0"/>
          <w:lang w:val="en-GB"/>
        </w:rPr>
        <w:t xml:space="preserve">s that patiromer treatment would lead to patients remaining on maximal RAASi therapy for a prolonged period and gaining long-term cardiovascular and renal benefits, with associated improvements in survival. </w:t>
      </w:r>
      <w:r w:rsidR="00295BF6">
        <w:rPr>
          <w:rFonts w:asciiTheme="minorHAnsi" w:hAnsiTheme="minorHAnsi"/>
          <w:snapToGrid w:val="0"/>
          <w:lang w:val="en-GB"/>
        </w:rPr>
        <w:t xml:space="preserve">The PBAC </w:t>
      </w:r>
      <w:r w:rsidR="000521F0">
        <w:rPr>
          <w:rFonts w:asciiTheme="minorHAnsi" w:hAnsiTheme="minorHAnsi"/>
          <w:snapToGrid w:val="0"/>
          <w:lang w:val="en-GB"/>
        </w:rPr>
        <w:t xml:space="preserve">considered that, in the absence of more robust clinical data, it </w:t>
      </w:r>
      <w:r w:rsidR="00727ACC">
        <w:rPr>
          <w:rFonts w:asciiTheme="minorHAnsi" w:hAnsiTheme="minorHAnsi"/>
          <w:snapToGrid w:val="0"/>
          <w:lang w:val="en-GB"/>
        </w:rPr>
        <w:t>was not appropriate to include incremental benefits for these outcomes in the economic model</w:t>
      </w:r>
      <w:r w:rsidR="000521F0">
        <w:rPr>
          <w:rFonts w:asciiTheme="minorHAnsi" w:hAnsiTheme="minorHAnsi"/>
          <w:snapToGrid w:val="0"/>
          <w:lang w:val="en-GB"/>
        </w:rPr>
        <w:t xml:space="preserve">.  </w:t>
      </w:r>
    </w:p>
    <w:p w14:paraId="08586C68" w14:textId="047B9BC6" w:rsidR="005F7448" w:rsidRDefault="00587C13" w:rsidP="00947CEC">
      <w:pPr>
        <w:widowControl w:val="0"/>
        <w:numPr>
          <w:ilvl w:val="1"/>
          <w:numId w:val="1"/>
        </w:numPr>
        <w:spacing w:after="120"/>
        <w:ind w:left="720" w:hanging="720"/>
        <w:rPr>
          <w:rFonts w:asciiTheme="minorHAnsi" w:hAnsiTheme="minorHAnsi"/>
          <w:snapToGrid w:val="0"/>
          <w:lang w:val="en-GB"/>
        </w:rPr>
      </w:pPr>
      <w:bookmarkStart w:id="77" w:name="_Ref120542344"/>
      <w:r>
        <w:rPr>
          <w:rFonts w:asciiTheme="minorHAnsi" w:hAnsiTheme="minorHAnsi"/>
          <w:snapToGrid w:val="0"/>
          <w:lang w:val="en-GB"/>
        </w:rPr>
        <w:t xml:space="preserve">The PBAC noted that the cost minimisation approach </w:t>
      </w:r>
      <w:r w:rsidR="007E6C44">
        <w:rPr>
          <w:rFonts w:asciiTheme="minorHAnsi" w:hAnsiTheme="minorHAnsi"/>
          <w:snapToGrid w:val="0"/>
          <w:lang w:val="en-GB"/>
        </w:rPr>
        <w:t xml:space="preserve">versus SPS/CPS resins </w:t>
      </w:r>
      <w:r>
        <w:rPr>
          <w:rFonts w:asciiTheme="minorHAnsi" w:hAnsiTheme="minorHAnsi"/>
          <w:snapToGrid w:val="0"/>
          <w:lang w:val="en-GB"/>
        </w:rPr>
        <w:t xml:space="preserve">presented in the resubmission incorrectly included patients with </w:t>
      </w:r>
      <w:r w:rsidR="005F7448">
        <w:rPr>
          <w:rFonts w:asciiTheme="minorHAnsi" w:hAnsiTheme="minorHAnsi"/>
          <w:snapToGrid w:val="0"/>
          <w:lang w:val="en-GB"/>
        </w:rPr>
        <w:t xml:space="preserve">both </w:t>
      </w:r>
      <w:r>
        <w:rPr>
          <w:rFonts w:asciiTheme="minorHAnsi" w:hAnsiTheme="minorHAnsi"/>
          <w:snapToGrid w:val="0"/>
          <w:lang w:val="en-GB"/>
        </w:rPr>
        <w:t>acute and chronic hyperkalaemia</w:t>
      </w:r>
      <w:r w:rsidR="005F7448">
        <w:rPr>
          <w:rFonts w:asciiTheme="minorHAnsi" w:hAnsiTheme="minorHAnsi"/>
          <w:snapToGrid w:val="0"/>
          <w:lang w:val="en-GB"/>
        </w:rPr>
        <w:t xml:space="preserve"> which was inconsistent with the proposed patiromer restriction. The PBAC </w:t>
      </w:r>
      <w:r>
        <w:rPr>
          <w:rFonts w:asciiTheme="minorHAnsi" w:hAnsiTheme="minorHAnsi"/>
          <w:snapToGrid w:val="0"/>
          <w:lang w:val="en-GB"/>
        </w:rPr>
        <w:t xml:space="preserve">considered that the approach presented by the evaluators which excluded acute </w:t>
      </w:r>
      <w:r w:rsidR="005F7448">
        <w:rPr>
          <w:rFonts w:asciiTheme="minorHAnsi" w:hAnsiTheme="minorHAnsi"/>
          <w:snapToGrid w:val="0"/>
          <w:lang w:val="en-GB"/>
        </w:rPr>
        <w:t xml:space="preserve">hyperkalaemia </w:t>
      </w:r>
      <w:r>
        <w:rPr>
          <w:rFonts w:asciiTheme="minorHAnsi" w:hAnsiTheme="minorHAnsi"/>
          <w:snapToGrid w:val="0"/>
          <w:lang w:val="en-GB"/>
        </w:rPr>
        <w:t xml:space="preserve">patients </w:t>
      </w:r>
      <w:r w:rsidR="00920547">
        <w:rPr>
          <w:rFonts w:asciiTheme="minorHAnsi" w:hAnsiTheme="minorHAnsi"/>
          <w:snapToGrid w:val="0"/>
          <w:lang w:val="en-GB"/>
        </w:rPr>
        <w:t xml:space="preserve">was </w:t>
      </w:r>
      <w:r w:rsidR="005F7448">
        <w:rPr>
          <w:rFonts w:asciiTheme="minorHAnsi" w:hAnsiTheme="minorHAnsi"/>
          <w:snapToGrid w:val="0"/>
          <w:lang w:val="en-GB"/>
        </w:rPr>
        <w:t xml:space="preserve">more </w:t>
      </w:r>
      <w:r w:rsidR="00885A69">
        <w:rPr>
          <w:rFonts w:asciiTheme="minorHAnsi" w:hAnsiTheme="minorHAnsi"/>
          <w:snapToGrid w:val="0"/>
          <w:lang w:val="en-GB"/>
        </w:rPr>
        <w:t>appropriate</w:t>
      </w:r>
      <w:r w:rsidR="005F7448">
        <w:rPr>
          <w:rFonts w:asciiTheme="minorHAnsi" w:hAnsiTheme="minorHAnsi"/>
          <w:snapToGrid w:val="0"/>
          <w:lang w:val="en-GB"/>
        </w:rPr>
        <w:t>.</w:t>
      </w:r>
      <w:bookmarkEnd w:id="77"/>
      <w:r w:rsidR="005F7448">
        <w:rPr>
          <w:rFonts w:asciiTheme="minorHAnsi" w:hAnsiTheme="minorHAnsi"/>
          <w:snapToGrid w:val="0"/>
          <w:lang w:val="en-GB"/>
        </w:rPr>
        <w:t xml:space="preserve"> </w:t>
      </w:r>
    </w:p>
    <w:p w14:paraId="575CB927" w14:textId="42AA1513" w:rsidR="005F7448" w:rsidRDefault="005F7448" w:rsidP="00947CEC">
      <w:pPr>
        <w:widowControl w:val="0"/>
        <w:numPr>
          <w:ilvl w:val="1"/>
          <w:numId w:val="1"/>
        </w:numPr>
        <w:spacing w:after="120"/>
        <w:ind w:left="720" w:hanging="720"/>
        <w:rPr>
          <w:rFonts w:asciiTheme="minorHAnsi" w:hAnsiTheme="minorHAnsi"/>
          <w:snapToGrid w:val="0"/>
          <w:lang w:val="en-GB"/>
        </w:rPr>
      </w:pPr>
      <w:r>
        <w:rPr>
          <w:rFonts w:asciiTheme="minorHAnsi" w:hAnsiTheme="minorHAnsi"/>
          <w:snapToGrid w:val="0"/>
          <w:lang w:val="en-GB"/>
        </w:rPr>
        <w:t xml:space="preserve">Although the PBAC had some concerns with respect to the </w:t>
      </w:r>
      <w:r w:rsidR="002448EF">
        <w:rPr>
          <w:rFonts w:asciiTheme="minorHAnsi" w:hAnsiTheme="minorHAnsi"/>
          <w:snapToGrid w:val="0"/>
          <w:lang w:val="en-GB"/>
        </w:rPr>
        <w:t>assumptions applied in the cost minimisation approach</w:t>
      </w:r>
      <w:r>
        <w:rPr>
          <w:rFonts w:asciiTheme="minorHAnsi" w:hAnsiTheme="minorHAnsi"/>
          <w:snapToGrid w:val="0"/>
          <w:lang w:val="en-GB"/>
        </w:rPr>
        <w:t xml:space="preserve">, as outlined in </w:t>
      </w:r>
      <w:r w:rsidRPr="001C6D85">
        <w:rPr>
          <w:rFonts w:asciiTheme="minorHAnsi" w:hAnsiTheme="minorHAnsi"/>
          <w:snapToGrid w:val="0"/>
          <w:lang w:val="en-GB"/>
        </w:rPr>
        <w:t>paragraph</w:t>
      </w:r>
      <w:r w:rsidR="003A611B">
        <w:rPr>
          <w:rFonts w:asciiTheme="minorHAnsi" w:hAnsiTheme="minorHAnsi"/>
          <w:snapToGrid w:val="0"/>
          <w:lang w:val="en-GB"/>
        </w:rPr>
        <w:t xml:space="preserve"> </w:t>
      </w:r>
      <w:r w:rsidR="001C6D85" w:rsidRPr="002448EF">
        <w:rPr>
          <w:rFonts w:asciiTheme="minorHAnsi" w:hAnsiTheme="minorHAnsi"/>
          <w:snapToGrid w:val="0"/>
          <w:lang w:val="en-GB"/>
        </w:rPr>
        <w:fldChar w:fldCharType="begin"/>
      </w:r>
      <w:r w:rsidR="001C6D85" w:rsidRPr="00FC694F">
        <w:rPr>
          <w:rFonts w:asciiTheme="minorHAnsi" w:hAnsiTheme="minorHAnsi"/>
          <w:snapToGrid w:val="0"/>
          <w:lang w:val="en-GB"/>
        </w:rPr>
        <w:instrText xml:space="preserve"> REF _Ref116560019 \r \h  \* MERGEFORMAT </w:instrText>
      </w:r>
      <w:r w:rsidR="001C6D85" w:rsidRPr="002448EF">
        <w:rPr>
          <w:rFonts w:asciiTheme="minorHAnsi" w:hAnsiTheme="minorHAnsi"/>
          <w:snapToGrid w:val="0"/>
          <w:lang w:val="en-GB"/>
        </w:rPr>
      </w:r>
      <w:r w:rsidR="001C6D85" w:rsidRPr="002448EF">
        <w:rPr>
          <w:rFonts w:asciiTheme="minorHAnsi" w:hAnsiTheme="minorHAnsi"/>
          <w:snapToGrid w:val="0"/>
          <w:lang w:val="en-GB"/>
        </w:rPr>
        <w:fldChar w:fldCharType="separate"/>
      </w:r>
      <w:r w:rsidR="00565456">
        <w:rPr>
          <w:rFonts w:asciiTheme="minorHAnsi" w:hAnsiTheme="minorHAnsi"/>
          <w:snapToGrid w:val="0"/>
          <w:lang w:val="en-GB"/>
        </w:rPr>
        <w:t>6.77</w:t>
      </w:r>
      <w:r w:rsidR="001C6D85" w:rsidRPr="002448EF">
        <w:rPr>
          <w:rFonts w:asciiTheme="minorHAnsi" w:hAnsiTheme="minorHAnsi"/>
          <w:snapToGrid w:val="0"/>
          <w:lang w:val="en-GB"/>
        </w:rPr>
        <w:fldChar w:fldCharType="end"/>
      </w:r>
      <w:r w:rsidRPr="001C6D85">
        <w:rPr>
          <w:rFonts w:asciiTheme="minorHAnsi" w:hAnsiTheme="minorHAnsi"/>
          <w:snapToGrid w:val="0"/>
          <w:lang w:val="en-GB"/>
        </w:rPr>
        <w:t>, the PBAC</w:t>
      </w:r>
      <w:r>
        <w:rPr>
          <w:rFonts w:asciiTheme="minorHAnsi" w:hAnsiTheme="minorHAnsi"/>
          <w:snapToGrid w:val="0"/>
          <w:lang w:val="en-GB"/>
        </w:rPr>
        <w:t xml:space="preserve"> acknowledged that there was a lack of comparable </w:t>
      </w:r>
      <w:r w:rsidR="005F3B83">
        <w:rPr>
          <w:rFonts w:asciiTheme="minorHAnsi" w:hAnsiTheme="minorHAnsi"/>
          <w:snapToGrid w:val="0"/>
          <w:lang w:val="en-GB"/>
        </w:rPr>
        <w:t>data,</w:t>
      </w:r>
      <w:r>
        <w:rPr>
          <w:rFonts w:asciiTheme="minorHAnsi" w:hAnsiTheme="minorHAnsi"/>
          <w:snapToGrid w:val="0"/>
          <w:lang w:val="en-GB"/>
        </w:rPr>
        <w:t xml:space="preserve"> </w:t>
      </w:r>
      <w:r w:rsidR="005F3B83">
        <w:rPr>
          <w:rFonts w:asciiTheme="minorHAnsi" w:hAnsiTheme="minorHAnsi"/>
          <w:snapToGrid w:val="0"/>
          <w:lang w:val="en-GB"/>
        </w:rPr>
        <w:t xml:space="preserve">and it was unlikely that better quality data would be forthcoming. </w:t>
      </w:r>
      <w:r w:rsidR="002448EF">
        <w:rPr>
          <w:rFonts w:asciiTheme="minorHAnsi" w:hAnsiTheme="minorHAnsi"/>
          <w:snapToGrid w:val="0"/>
          <w:lang w:val="en-GB"/>
        </w:rPr>
        <w:t>In the absence of alternative information, t</w:t>
      </w:r>
      <w:r w:rsidR="005F3B83">
        <w:rPr>
          <w:rFonts w:asciiTheme="minorHAnsi" w:hAnsiTheme="minorHAnsi"/>
          <w:snapToGrid w:val="0"/>
          <w:lang w:val="en-GB"/>
        </w:rPr>
        <w:t xml:space="preserve">he PBAC </w:t>
      </w:r>
      <w:r w:rsidR="004F590D">
        <w:rPr>
          <w:rFonts w:asciiTheme="minorHAnsi" w:hAnsiTheme="minorHAnsi"/>
          <w:snapToGrid w:val="0"/>
          <w:lang w:val="en-GB"/>
        </w:rPr>
        <w:t xml:space="preserve">considered that the </w:t>
      </w:r>
      <w:r>
        <w:rPr>
          <w:rFonts w:asciiTheme="minorHAnsi" w:hAnsiTheme="minorHAnsi"/>
          <w:snapToGrid w:val="0"/>
          <w:lang w:val="en-GB"/>
        </w:rPr>
        <w:t xml:space="preserve">equi-effective doses </w:t>
      </w:r>
      <w:r w:rsidR="002448EF">
        <w:rPr>
          <w:rFonts w:asciiTheme="minorHAnsi" w:hAnsiTheme="minorHAnsi"/>
          <w:snapToGrid w:val="0"/>
          <w:lang w:val="en-GB"/>
        </w:rPr>
        <w:t>proposed in the resubmission were likely reasonable</w:t>
      </w:r>
      <w:r>
        <w:rPr>
          <w:rFonts w:asciiTheme="minorHAnsi" w:hAnsiTheme="minorHAnsi"/>
          <w:snapToGrid w:val="0"/>
          <w:lang w:val="en-GB"/>
        </w:rPr>
        <w:t>:</w:t>
      </w:r>
    </w:p>
    <w:p w14:paraId="77DA0FA9" w14:textId="11F7437C" w:rsidR="00C5297E" w:rsidRDefault="005F7448" w:rsidP="003A611B">
      <w:pPr>
        <w:widowControl w:val="0"/>
        <w:spacing w:after="120"/>
        <w:ind w:left="720" w:firstLine="720"/>
        <w:rPr>
          <w:rFonts w:asciiTheme="minorHAnsi" w:hAnsiTheme="minorHAnsi"/>
          <w:snapToGrid w:val="0"/>
          <w:lang w:val="en-GB"/>
        </w:rPr>
      </w:pPr>
      <w:r>
        <w:rPr>
          <w:rFonts w:asciiTheme="minorHAnsi" w:hAnsiTheme="minorHAnsi"/>
          <w:snapToGrid w:val="0"/>
          <w:lang w:val="en-GB"/>
        </w:rPr>
        <w:t>15 g SPS/CPS resin is equivalent to 4.95 g patiromer</w:t>
      </w:r>
    </w:p>
    <w:p w14:paraId="29A71BDC" w14:textId="20872011" w:rsidR="003E0812" w:rsidRDefault="003E0812" w:rsidP="00947CEC">
      <w:pPr>
        <w:widowControl w:val="0"/>
        <w:numPr>
          <w:ilvl w:val="1"/>
          <w:numId w:val="1"/>
        </w:numPr>
        <w:spacing w:after="120"/>
        <w:ind w:left="720" w:hanging="720"/>
        <w:rPr>
          <w:rFonts w:asciiTheme="minorHAnsi" w:hAnsiTheme="minorHAnsi"/>
          <w:snapToGrid w:val="0"/>
          <w:lang w:val="en-GB"/>
        </w:rPr>
      </w:pPr>
      <w:bookmarkStart w:id="78" w:name="_Ref120542347"/>
      <w:r>
        <w:rPr>
          <w:rFonts w:asciiTheme="minorHAnsi" w:hAnsiTheme="minorHAnsi"/>
          <w:snapToGrid w:val="0"/>
          <w:lang w:val="en-GB"/>
        </w:rPr>
        <w:t>Noting the uncertainties associated with the long</w:t>
      </w:r>
      <w:r w:rsidR="003636FD">
        <w:rPr>
          <w:rFonts w:asciiTheme="minorHAnsi" w:hAnsiTheme="minorHAnsi"/>
          <w:snapToGrid w:val="0"/>
          <w:lang w:val="en-GB"/>
        </w:rPr>
        <w:t>-</w:t>
      </w:r>
      <w:r>
        <w:rPr>
          <w:rFonts w:asciiTheme="minorHAnsi" w:hAnsiTheme="minorHAnsi"/>
          <w:snapToGrid w:val="0"/>
          <w:lang w:val="en-GB"/>
        </w:rPr>
        <w:t>term clinical outcomes and the cost utility analysis</w:t>
      </w:r>
      <w:r w:rsidR="003636FD">
        <w:rPr>
          <w:rFonts w:asciiTheme="minorHAnsi" w:hAnsiTheme="minorHAnsi"/>
          <w:snapToGrid w:val="0"/>
          <w:lang w:val="en-GB"/>
        </w:rPr>
        <w:t xml:space="preserve"> and </w:t>
      </w:r>
      <w:r w:rsidR="00197AC6">
        <w:rPr>
          <w:rFonts w:asciiTheme="minorHAnsi" w:hAnsiTheme="minorHAnsi"/>
          <w:snapToGrid w:val="0"/>
          <w:lang w:val="en-GB"/>
        </w:rPr>
        <w:t xml:space="preserve">given </w:t>
      </w:r>
      <w:r w:rsidR="003636FD">
        <w:rPr>
          <w:rFonts w:asciiTheme="minorHAnsi" w:hAnsiTheme="minorHAnsi"/>
          <w:snapToGrid w:val="0"/>
          <w:lang w:val="en-GB"/>
        </w:rPr>
        <w:t xml:space="preserve">SPS/CPS resins </w:t>
      </w:r>
      <w:r w:rsidR="00197AC6" w:rsidRPr="00197AC6">
        <w:rPr>
          <w:rFonts w:asciiTheme="minorHAnsi" w:hAnsiTheme="minorHAnsi"/>
          <w:i/>
          <w:iCs/>
          <w:snapToGrid w:val="0"/>
          <w:lang w:val="en-GB"/>
        </w:rPr>
        <w:t xml:space="preserve">could </w:t>
      </w:r>
      <w:r w:rsidR="00197AC6" w:rsidRPr="00197AC6">
        <w:rPr>
          <w:rFonts w:asciiTheme="minorHAnsi" w:hAnsiTheme="minorHAnsi"/>
          <w:snapToGrid w:val="0"/>
          <w:lang w:val="en-GB"/>
        </w:rPr>
        <w:t>be used to treat the overall target population</w:t>
      </w:r>
      <w:r>
        <w:rPr>
          <w:rFonts w:asciiTheme="minorHAnsi" w:hAnsiTheme="minorHAnsi"/>
          <w:snapToGrid w:val="0"/>
          <w:lang w:val="en-GB"/>
        </w:rPr>
        <w:t xml:space="preserve">, the PBAC considered that it would be appropriate for any future resubmission to be based </w:t>
      </w:r>
      <w:r w:rsidR="00915E01">
        <w:rPr>
          <w:rFonts w:asciiTheme="minorHAnsi" w:hAnsiTheme="minorHAnsi"/>
          <w:snapToGrid w:val="0"/>
          <w:lang w:val="en-GB"/>
        </w:rPr>
        <w:t xml:space="preserve">solely </w:t>
      </w:r>
      <w:r>
        <w:rPr>
          <w:rFonts w:asciiTheme="minorHAnsi" w:hAnsiTheme="minorHAnsi"/>
          <w:snapToGrid w:val="0"/>
          <w:lang w:val="en-GB"/>
        </w:rPr>
        <w:t>on the cost minimisation approach</w:t>
      </w:r>
      <w:r w:rsidR="00197AC6">
        <w:rPr>
          <w:rFonts w:asciiTheme="minorHAnsi" w:hAnsiTheme="minorHAnsi"/>
          <w:snapToGrid w:val="0"/>
          <w:lang w:val="en-GB"/>
        </w:rPr>
        <w:t xml:space="preserve"> versus SPS/CPS resins</w:t>
      </w:r>
      <w:r>
        <w:rPr>
          <w:rFonts w:asciiTheme="minorHAnsi" w:hAnsiTheme="minorHAnsi"/>
          <w:snapToGrid w:val="0"/>
          <w:lang w:val="en-GB"/>
        </w:rPr>
        <w:t xml:space="preserve"> presented by the evaluators in chronic hyperkalaemia patients</w:t>
      </w:r>
      <w:r w:rsidR="00197AC6">
        <w:rPr>
          <w:rFonts w:asciiTheme="minorHAnsi" w:hAnsiTheme="minorHAnsi"/>
          <w:snapToGrid w:val="0"/>
          <w:lang w:val="en-GB"/>
        </w:rPr>
        <w:t xml:space="preserve"> (per </w:t>
      </w:r>
      <w:r w:rsidR="00197AC6">
        <w:rPr>
          <w:rFonts w:asciiTheme="minorHAnsi" w:hAnsiTheme="minorHAnsi"/>
          <w:snapToGrid w:val="0"/>
          <w:lang w:val="en-GB"/>
        </w:rPr>
        <w:fldChar w:fldCharType="begin"/>
      </w:r>
      <w:r w:rsidR="00197AC6">
        <w:rPr>
          <w:rFonts w:asciiTheme="minorHAnsi" w:hAnsiTheme="minorHAnsi"/>
          <w:snapToGrid w:val="0"/>
          <w:lang w:val="en-GB"/>
        </w:rPr>
        <w:instrText xml:space="preserve"> REF _Ref110955861 \h  \* MERGEFORMAT </w:instrText>
      </w:r>
      <w:r w:rsidR="00197AC6">
        <w:rPr>
          <w:rFonts w:asciiTheme="minorHAnsi" w:hAnsiTheme="minorHAnsi"/>
          <w:snapToGrid w:val="0"/>
          <w:lang w:val="en-GB"/>
        </w:rPr>
      </w:r>
      <w:r w:rsidR="00197AC6">
        <w:rPr>
          <w:rFonts w:asciiTheme="minorHAnsi" w:hAnsiTheme="minorHAnsi"/>
          <w:snapToGrid w:val="0"/>
          <w:lang w:val="en-GB"/>
        </w:rPr>
        <w:fldChar w:fldCharType="separate"/>
      </w:r>
      <w:r w:rsidR="00565456" w:rsidRPr="00565456">
        <w:rPr>
          <w:rFonts w:asciiTheme="minorHAnsi" w:hAnsiTheme="minorHAnsi"/>
          <w:snapToGrid w:val="0"/>
          <w:lang w:val="en-GB"/>
        </w:rPr>
        <w:t>Table 16</w:t>
      </w:r>
      <w:r w:rsidR="00197AC6">
        <w:rPr>
          <w:rFonts w:asciiTheme="minorHAnsi" w:hAnsiTheme="minorHAnsi"/>
          <w:snapToGrid w:val="0"/>
          <w:lang w:val="en-GB"/>
        </w:rPr>
        <w:fldChar w:fldCharType="end"/>
      </w:r>
      <w:r w:rsidR="00197AC6">
        <w:rPr>
          <w:rFonts w:asciiTheme="minorHAnsi" w:hAnsiTheme="minorHAnsi"/>
          <w:snapToGrid w:val="0"/>
          <w:lang w:val="en-GB"/>
        </w:rPr>
        <w:t>)</w:t>
      </w:r>
      <w:r>
        <w:rPr>
          <w:rFonts w:asciiTheme="minorHAnsi" w:hAnsiTheme="minorHAnsi"/>
          <w:snapToGrid w:val="0"/>
          <w:lang w:val="en-GB"/>
        </w:rPr>
        <w:t xml:space="preserve">. The PBAC considered it would be appropriate for a </w:t>
      </w:r>
      <w:r w:rsidR="009F2364">
        <w:rPr>
          <w:rFonts w:asciiTheme="minorHAnsi" w:hAnsiTheme="minorHAnsi"/>
          <w:snapToGrid w:val="0"/>
          <w:lang w:val="en-GB"/>
        </w:rPr>
        <w:t xml:space="preserve">small </w:t>
      </w:r>
      <w:r>
        <w:rPr>
          <w:rFonts w:asciiTheme="minorHAnsi" w:hAnsiTheme="minorHAnsi"/>
          <w:snapToGrid w:val="0"/>
          <w:lang w:val="en-GB"/>
        </w:rPr>
        <w:t xml:space="preserve">price premium </w:t>
      </w:r>
      <w:r w:rsidR="009F2364">
        <w:rPr>
          <w:rFonts w:asciiTheme="minorHAnsi" w:hAnsiTheme="minorHAnsi"/>
          <w:snapToGrid w:val="0"/>
          <w:lang w:val="en-GB"/>
        </w:rPr>
        <w:t xml:space="preserve">to </w:t>
      </w:r>
      <w:r>
        <w:rPr>
          <w:rFonts w:asciiTheme="minorHAnsi" w:hAnsiTheme="minorHAnsi"/>
          <w:snapToGrid w:val="0"/>
          <w:lang w:val="en-GB"/>
        </w:rPr>
        <w:t xml:space="preserve">be applied to patiromer over SPS/CPS due to the potentially </w:t>
      </w:r>
      <w:r w:rsidR="00920547">
        <w:rPr>
          <w:rFonts w:asciiTheme="minorHAnsi" w:hAnsiTheme="minorHAnsi"/>
          <w:snapToGrid w:val="0"/>
          <w:lang w:val="en-GB"/>
        </w:rPr>
        <w:t xml:space="preserve">improved </w:t>
      </w:r>
      <w:r w:rsidR="007E6C44">
        <w:rPr>
          <w:rFonts w:asciiTheme="minorHAnsi" w:hAnsiTheme="minorHAnsi"/>
          <w:snapToGrid w:val="0"/>
          <w:lang w:val="en-GB"/>
        </w:rPr>
        <w:t>tolerability</w:t>
      </w:r>
      <w:r w:rsidR="0086719B">
        <w:rPr>
          <w:rFonts w:asciiTheme="minorHAnsi" w:hAnsiTheme="minorHAnsi"/>
          <w:snapToGrid w:val="0"/>
          <w:lang w:val="en-GB"/>
        </w:rPr>
        <w:t xml:space="preserve">, </w:t>
      </w:r>
      <w:r w:rsidR="00126C72">
        <w:rPr>
          <w:rFonts w:asciiTheme="minorHAnsi" w:hAnsiTheme="minorHAnsi"/>
          <w:snapToGrid w:val="0"/>
          <w:lang w:val="en-GB"/>
        </w:rPr>
        <w:t>as</w:t>
      </w:r>
      <w:r w:rsidR="0086719B">
        <w:rPr>
          <w:rFonts w:asciiTheme="minorHAnsi" w:hAnsiTheme="minorHAnsi"/>
          <w:snapToGrid w:val="0"/>
          <w:lang w:val="en-GB"/>
        </w:rPr>
        <w:t xml:space="preserve"> highlighted</w:t>
      </w:r>
      <w:r w:rsidR="00126C72">
        <w:rPr>
          <w:rFonts w:asciiTheme="minorHAnsi" w:hAnsiTheme="minorHAnsi"/>
          <w:snapToGrid w:val="0"/>
          <w:lang w:val="en-GB"/>
        </w:rPr>
        <w:t xml:space="preserve"> in the consumer comments</w:t>
      </w:r>
      <w:r>
        <w:rPr>
          <w:rFonts w:asciiTheme="minorHAnsi" w:hAnsiTheme="minorHAnsi"/>
          <w:snapToGrid w:val="0"/>
          <w:lang w:val="en-GB"/>
        </w:rPr>
        <w:t>.</w:t>
      </w:r>
      <w:bookmarkEnd w:id="78"/>
    </w:p>
    <w:p w14:paraId="048F097D" w14:textId="61B604D6" w:rsidR="005F7448" w:rsidRDefault="005F7448" w:rsidP="00947CEC">
      <w:pPr>
        <w:widowControl w:val="0"/>
        <w:numPr>
          <w:ilvl w:val="1"/>
          <w:numId w:val="1"/>
        </w:numPr>
        <w:spacing w:after="120"/>
        <w:ind w:left="720" w:hanging="720"/>
        <w:rPr>
          <w:rFonts w:asciiTheme="minorHAnsi" w:hAnsiTheme="minorHAnsi"/>
          <w:snapToGrid w:val="0"/>
          <w:lang w:val="en-GB"/>
        </w:rPr>
      </w:pPr>
      <w:r>
        <w:rPr>
          <w:rFonts w:asciiTheme="minorHAnsi" w:hAnsiTheme="minorHAnsi"/>
          <w:snapToGrid w:val="0"/>
          <w:lang w:val="en-GB"/>
        </w:rPr>
        <w:t>The PBAC noted that the estimated utilisation and financial impact estimates in the resubmission were considerably lower than those presented previously.</w:t>
      </w:r>
      <w:r w:rsidR="00DF453A">
        <w:rPr>
          <w:rFonts w:asciiTheme="minorHAnsi" w:hAnsiTheme="minorHAnsi"/>
          <w:snapToGrid w:val="0"/>
          <w:lang w:val="en-GB"/>
        </w:rPr>
        <w:t xml:space="preserve"> The PBAC </w:t>
      </w:r>
      <w:r w:rsidR="00D22C90">
        <w:rPr>
          <w:rFonts w:asciiTheme="minorHAnsi" w:hAnsiTheme="minorHAnsi"/>
          <w:snapToGrid w:val="0"/>
          <w:lang w:val="en-GB"/>
        </w:rPr>
        <w:t xml:space="preserve">advised </w:t>
      </w:r>
      <w:r w:rsidR="00DF453A">
        <w:rPr>
          <w:rFonts w:asciiTheme="minorHAnsi" w:hAnsiTheme="minorHAnsi"/>
          <w:snapToGrid w:val="0"/>
          <w:lang w:val="en-GB"/>
        </w:rPr>
        <w:t>that as uncertainty remained with respect to the size of the eligible population</w:t>
      </w:r>
      <w:r w:rsidR="00D4453F">
        <w:rPr>
          <w:rFonts w:asciiTheme="minorHAnsi" w:hAnsiTheme="minorHAnsi"/>
          <w:snapToGrid w:val="0"/>
          <w:lang w:val="en-GB"/>
        </w:rPr>
        <w:t xml:space="preserve">, </w:t>
      </w:r>
      <w:r w:rsidR="00DF453A">
        <w:rPr>
          <w:rFonts w:asciiTheme="minorHAnsi" w:hAnsiTheme="minorHAnsi"/>
          <w:snapToGrid w:val="0"/>
          <w:lang w:val="en-GB"/>
        </w:rPr>
        <w:t>the uptake rate</w:t>
      </w:r>
      <w:r w:rsidR="00D4453F">
        <w:rPr>
          <w:rFonts w:asciiTheme="minorHAnsi" w:hAnsiTheme="minorHAnsi"/>
          <w:snapToGrid w:val="0"/>
          <w:lang w:val="en-GB"/>
        </w:rPr>
        <w:t xml:space="preserve"> and the potential for use outside of the proposed restriction, </w:t>
      </w:r>
      <w:r w:rsidR="00DF453A">
        <w:rPr>
          <w:rFonts w:asciiTheme="minorHAnsi" w:hAnsiTheme="minorHAnsi"/>
          <w:snapToGrid w:val="0"/>
          <w:lang w:val="en-GB"/>
        </w:rPr>
        <w:t xml:space="preserve">a risk sharing arrangement </w:t>
      </w:r>
      <w:r w:rsidR="003E0812">
        <w:rPr>
          <w:rFonts w:asciiTheme="minorHAnsi" w:hAnsiTheme="minorHAnsi"/>
          <w:snapToGrid w:val="0"/>
          <w:lang w:val="en-GB"/>
        </w:rPr>
        <w:t xml:space="preserve">(RSA) </w:t>
      </w:r>
      <w:r w:rsidR="00DF453A">
        <w:rPr>
          <w:rFonts w:asciiTheme="minorHAnsi" w:hAnsiTheme="minorHAnsi"/>
          <w:snapToGrid w:val="0"/>
          <w:lang w:val="en-GB"/>
        </w:rPr>
        <w:t>would be required.</w:t>
      </w:r>
      <w:r w:rsidR="000E6EED">
        <w:rPr>
          <w:rFonts w:asciiTheme="minorHAnsi" w:hAnsiTheme="minorHAnsi"/>
          <w:snapToGrid w:val="0"/>
          <w:lang w:val="en-GB"/>
        </w:rPr>
        <w:t xml:space="preserve"> The PBAC considered that some</w:t>
      </w:r>
      <w:r w:rsidR="007E6C44">
        <w:rPr>
          <w:rFonts w:asciiTheme="minorHAnsi" w:hAnsiTheme="minorHAnsi"/>
          <w:snapToGrid w:val="0"/>
          <w:lang w:val="en-GB"/>
        </w:rPr>
        <w:t xml:space="preserve"> of the</w:t>
      </w:r>
      <w:r w:rsidR="000E6EED">
        <w:rPr>
          <w:rFonts w:asciiTheme="minorHAnsi" w:hAnsiTheme="minorHAnsi"/>
          <w:snapToGrid w:val="0"/>
          <w:lang w:val="en-GB"/>
        </w:rPr>
        <w:t xml:space="preserve"> assumptions in the financial estimates were likely to underestimate the eligible population (e.g. applying a CKD diagnosis rate based on dapagliflozin, which </w:t>
      </w:r>
      <w:r w:rsidR="007E6C44">
        <w:rPr>
          <w:rFonts w:asciiTheme="minorHAnsi" w:hAnsiTheme="minorHAnsi"/>
          <w:snapToGrid w:val="0"/>
          <w:lang w:val="en-GB"/>
        </w:rPr>
        <w:t>is used</w:t>
      </w:r>
      <w:r w:rsidR="000E6EED">
        <w:rPr>
          <w:rFonts w:asciiTheme="minorHAnsi" w:hAnsiTheme="minorHAnsi"/>
          <w:snapToGrid w:val="0"/>
          <w:lang w:val="en-GB"/>
        </w:rPr>
        <w:t xml:space="preserve"> in a broader CKD population, per Paragraph </w:t>
      </w:r>
      <w:r w:rsidR="000E6EED">
        <w:rPr>
          <w:rFonts w:asciiTheme="minorHAnsi" w:hAnsiTheme="minorHAnsi"/>
          <w:snapToGrid w:val="0"/>
          <w:lang w:val="en-GB"/>
        </w:rPr>
        <w:fldChar w:fldCharType="begin"/>
      </w:r>
      <w:r w:rsidR="000E6EED">
        <w:rPr>
          <w:rFonts w:asciiTheme="minorHAnsi" w:hAnsiTheme="minorHAnsi"/>
          <w:snapToGrid w:val="0"/>
          <w:lang w:val="en-GB"/>
        </w:rPr>
        <w:instrText xml:space="preserve"> REF _Ref116560019 \r \h </w:instrText>
      </w:r>
      <w:r w:rsidR="000E6EED">
        <w:rPr>
          <w:rFonts w:asciiTheme="minorHAnsi" w:hAnsiTheme="minorHAnsi"/>
          <w:snapToGrid w:val="0"/>
          <w:lang w:val="en-GB"/>
        </w:rPr>
      </w:r>
      <w:r w:rsidR="000E6EED">
        <w:rPr>
          <w:rFonts w:asciiTheme="minorHAnsi" w:hAnsiTheme="minorHAnsi"/>
          <w:snapToGrid w:val="0"/>
          <w:lang w:val="en-GB"/>
        </w:rPr>
        <w:fldChar w:fldCharType="separate"/>
      </w:r>
      <w:r w:rsidR="00565456">
        <w:rPr>
          <w:rFonts w:asciiTheme="minorHAnsi" w:hAnsiTheme="minorHAnsi"/>
          <w:snapToGrid w:val="0"/>
          <w:lang w:val="en-GB"/>
        </w:rPr>
        <w:t>6.77</w:t>
      </w:r>
      <w:r w:rsidR="000E6EED">
        <w:rPr>
          <w:rFonts w:asciiTheme="minorHAnsi" w:hAnsiTheme="minorHAnsi"/>
          <w:snapToGrid w:val="0"/>
          <w:lang w:val="en-GB"/>
        </w:rPr>
        <w:fldChar w:fldCharType="end"/>
      </w:r>
      <w:r w:rsidR="000E6EED">
        <w:rPr>
          <w:rFonts w:asciiTheme="minorHAnsi" w:hAnsiTheme="minorHAnsi"/>
          <w:snapToGrid w:val="0"/>
          <w:lang w:val="en-GB"/>
        </w:rPr>
        <w:t>) and others were likely to overestimate patiromer utilisation (e.g. the uptake rates applied and the application of these uptake rates in the context of a prevalence approach</w:t>
      </w:r>
      <w:r w:rsidR="00727ACC">
        <w:rPr>
          <w:rFonts w:asciiTheme="minorHAnsi" w:hAnsiTheme="minorHAnsi"/>
          <w:snapToGrid w:val="0"/>
          <w:lang w:val="en-GB"/>
        </w:rPr>
        <w:t xml:space="preserve">, </w:t>
      </w:r>
      <w:r w:rsidR="000E6EED">
        <w:rPr>
          <w:rFonts w:asciiTheme="minorHAnsi" w:hAnsiTheme="minorHAnsi"/>
          <w:snapToGrid w:val="0"/>
          <w:lang w:val="en-GB"/>
        </w:rPr>
        <w:t>per Paragraph</w:t>
      </w:r>
      <w:r w:rsidR="00727ACC">
        <w:rPr>
          <w:rFonts w:asciiTheme="minorHAnsi" w:hAnsiTheme="minorHAnsi"/>
          <w:snapToGrid w:val="0"/>
          <w:lang w:val="en-GB"/>
        </w:rPr>
        <w:t>s</w:t>
      </w:r>
      <w:r w:rsidR="000E6EED">
        <w:rPr>
          <w:rFonts w:asciiTheme="minorHAnsi" w:hAnsiTheme="minorHAnsi"/>
          <w:snapToGrid w:val="0"/>
          <w:lang w:val="en-GB"/>
        </w:rPr>
        <w:t xml:space="preserve"> </w:t>
      </w:r>
      <w:r w:rsidR="00727ACC">
        <w:rPr>
          <w:rFonts w:asciiTheme="minorHAnsi" w:hAnsiTheme="minorHAnsi"/>
          <w:snapToGrid w:val="0"/>
          <w:lang w:val="en-GB"/>
        </w:rPr>
        <w:fldChar w:fldCharType="begin"/>
      </w:r>
      <w:r w:rsidR="00727ACC">
        <w:rPr>
          <w:rFonts w:asciiTheme="minorHAnsi" w:hAnsiTheme="minorHAnsi"/>
          <w:snapToGrid w:val="0"/>
          <w:lang w:val="en-GB"/>
        </w:rPr>
        <w:instrText xml:space="preserve"> REF _Ref120542553 \r \h </w:instrText>
      </w:r>
      <w:r w:rsidR="00727ACC">
        <w:rPr>
          <w:rFonts w:asciiTheme="minorHAnsi" w:hAnsiTheme="minorHAnsi"/>
          <w:snapToGrid w:val="0"/>
          <w:lang w:val="en-GB"/>
        </w:rPr>
      </w:r>
      <w:r w:rsidR="00727ACC">
        <w:rPr>
          <w:rFonts w:asciiTheme="minorHAnsi" w:hAnsiTheme="minorHAnsi"/>
          <w:snapToGrid w:val="0"/>
          <w:lang w:val="en-GB"/>
        </w:rPr>
        <w:fldChar w:fldCharType="separate"/>
      </w:r>
      <w:r w:rsidR="00565456">
        <w:rPr>
          <w:rFonts w:asciiTheme="minorHAnsi" w:hAnsiTheme="minorHAnsi"/>
          <w:snapToGrid w:val="0"/>
          <w:lang w:val="en-GB"/>
        </w:rPr>
        <w:t>6.87</w:t>
      </w:r>
      <w:r w:rsidR="00727ACC">
        <w:rPr>
          <w:rFonts w:asciiTheme="minorHAnsi" w:hAnsiTheme="minorHAnsi"/>
          <w:snapToGrid w:val="0"/>
          <w:lang w:val="en-GB"/>
        </w:rPr>
        <w:fldChar w:fldCharType="end"/>
      </w:r>
      <w:r w:rsidR="00727ACC">
        <w:rPr>
          <w:rFonts w:asciiTheme="minorHAnsi" w:hAnsiTheme="minorHAnsi"/>
          <w:snapToGrid w:val="0"/>
          <w:lang w:val="en-GB"/>
        </w:rPr>
        <w:t xml:space="preserve"> and </w:t>
      </w:r>
      <w:r w:rsidR="000E6EED">
        <w:rPr>
          <w:rFonts w:asciiTheme="minorHAnsi" w:hAnsiTheme="minorHAnsi"/>
          <w:snapToGrid w:val="0"/>
          <w:lang w:val="en-GB"/>
        </w:rPr>
        <w:fldChar w:fldCharType="begin"/>
      </w:r>
      <w:r w:rsidR="000E6EED">
        <w:rPr>
          <w:rFonts w:asciiTheme="minorHAnsi" w:hAnsiTheme="minorHAnsi"/>
          <w:snapToGrid w:val="0"/>
          <w:lang w:val="en-GB"/>
        </w:rPr>
        <w:instrText xml:space="preserve"> REF _Ref120542592 \r \h </w:instrText>
      </w:r>
      <w:r w:rsidR="000E6EED">
        <w:rPr>
          <w:rFonts w:asciiTheme="minorHAnsi" w:hAnsiTheme="minorHAnsi"/>
          <w:snapToGrid w:val="0"/>
          <w:lang w:val="en-GB"/>
        </w:rPr>
      </w:r>
      <w:r w:rsidR="000E6EED">
        <w:rPr>
          <w:rFonts w:asciiTheme="minorHAnsi" w:hAnsiTheme="minorHAnsi"/>
          <w:snapToGrid w:val="0"/>
          <w:lang w:val="en-GB"/>
        </w:rPr>
        <w:fldChar w:fldCharType="separate"/>
      </w:r>
      <w:r w:rsidR="00565456">
        <w:rPr>
          <w:rFonts w:asciiTheme="minorHAnsi" w:hAnsiTheme="minorHAnsi"/>
          <w:snapToGrid w:val="0"/>
          <w:lang w:val="en-GB"/>
        </w:rPr>
        <w:t>6.88</w:t>
      </w:r>
      <w:r w:rsidR="000E6EED">
        <w:rPr>
          <w:rFonts w:asciiTheme="minorHAnsi" w:hAnsiTheme="minorHAnsi"/>
          <w:snapToGrid w:val="0"/>
          <w:lang w:val="en-GB"/>
        </w:rPr>
        <w:fldChar w:fldCharType="end"/>
      </w:r>
      <w:r w:rsidR="000E6EED">
        <w:rPr>
          <w:rFonts w:asciiTheme="minorHAnsi" w:hAnsiTheme="minorHAnsi"/>
          <w:snapToGrid w:val="0"/>
          <w:lang w:val="en-GB"/>
        </w:rPr>
        <w:t xml:space="preserve">). The PBAC advised that, on balance, in the absence of more reliable estimates, the utilisation estimates may be appropriate in the context of an RSA and with a revised price of patiromer as outlined in Paragraph </w:t>
      </w:r>
      <w:r w:rsidR="00565456">
        <w:rPr>
          <w:rFonts w:asciiTheme="minorHAnsi" w:hAnsiTheme="minorHAnsi"/>
          <w:snapToGrid w:val="0"/>
          <w:lang w:val="en-GB"/>
        </w:rPr>
        <w:fldChar w:fldCharType="begin"/>
      </w:r>
      <w:r w:rsidR="00565456">
        <w:rPr>
          <w:rFonts w:asciiTheme="minorHAnsi" w:hAnsiTheme="minorHAnsi"/>
          <w:snapToGrid w:val="0"/>
          <w:lang w:val="en-GB"/>
        </w:rPr>
        <w:instrText xml:space="preserve"> REF _Ref120542347 \r \h </w:instrText>
      </w:r>
      <w:r w:rsidR="00565456">
        <w:rPr>
          <w:rFonts w:asciiTheme="minorHAnsi" w:hAnsiTheme="minorHAnsi"/>
          <w:snapToGrid w:val="0"/>
          <w:lang w:val="en-GB"/>
        </w:rPr>
      </w:r>
      <w:r w:rsidR="00565456">
        <w:rPr>
          <w:rFonts w:asciiTheme="minorHAnsi" w:hAnsiTheme="minorHAnsi"/>
          <w:snapToGrid w:val="0"/>
          <w:lang w:val="en-GB"/>
        </w:rPr>
        <w:fldChar w:fldCharType="separate"/>
      </w:r>
      <w:r w:rsidR="00DC6F63">
        <w:rPr>
          <w:rFonts w:asciiTheme="minorHAnsi" w:hAnsiTheme="minorHAnsi"/>
          <w:snapToGrid w:val="0"/>
          <w:lang w:val="en-GB"/>
        </w:rPr>
        <w:t>7.12</w:t>
      </w:r>
      <w:r w:rsidR="00565456">
        <w:rPr>
          <w:rFonts w:asciiTheme="minorHAnsi" w:hAnsiTheme="minorHAnsi"/>
          <w:snapToGrid w:val="0"/>
          <w:lang w:val="en-GB"/>
        </w:rPr>
        <w:fldChar w:fldCharType="end"/>
      </w:r>
      <w:r w:rsidR="000E6EED">
        <w:rPr>
          <w:rFonts w:asciiTheme="minorHAnsi" w:hAnsiTheme="minorHAnsi"/>
          <w:snapToGrid w:val="0"/>
          <w:lang w:val="en-GB"/>
        </w:rPr>
        <w:t>.</w:t>
      </w:r>
    </w:p>
    <w:p w14:paraId="06D9B489" w14:textId="40493531" w:rsidR="005F3B83" w:rsidRDefault="005F3B83" w:rsidP="00947CEC">
      <w:pPr>
        <w:widowControl w:val="0"/>
        <w:numPr>
          <w:ilvl w:val="1"/>
          <w:numId w:val="1"/>
        </w:numPr>
        <w:spacing w:after="120"/>
        <w:ind w:left="720" w:hanging="720"/>
        <w:rPr>
          <w:rFonts w:asciiTheme="minorHAnsi" w:hAnsiTheme="minorHAnsi"/>
          <w:snapToGrid w:val="0"/>
          <w:lang w:val="en-GB"/>
        </w:rPr>
      </w:pPr>
      <w:r>
        <w:rPr>
          <w:rFonts w:asciiTheme="minorHAnsi" w:hAnsiTheme="minorHAnsi"/>
          <w:snapToGrid w:val="0"/>
          <w:lang w:val="en-GB"/>
        </w:rPr>
        <w:t xml:space="preserve">The PBAC considered that the </w:t>
      </w:r>
      <w:r w:rsidR="00326A59">
        <w:rPr>
          <w:rFonts w:asciiTheme="minorHAnsi" w:hAnsiTheme="minorHAnsi"/>
          <w:snapToGrid w:val="0"/>
          <w:lang w:val="en-GB"/>
        </w:rPr>
        <w:t xml:space="preserve">restriction as </w:t>
      </w:r>
      <w:r w:rsidR="00295BF6">
        <w:rPr>
          <w:rFonts w:asciiTheme="minorHAnsi" w:hAnsiTheme="minorHAnsi"/>
          <w:snapToGrid w:val="0"/>
          <w:lang w:val="en-GB"/>
        </w:rPr>
        <w:t xml:space="preserve">outlined </w:t>
      </w:r>
      <w:r w:rsidR="00326A59">
        <w:rPr>
          <w:rFonts w:asciiTheme="minorHAnsi" w:hAnsiTheme="minorHAnsi"/>
          <w:snapToGrid w:val="0"/>
          <w:lang w:val="en-GB"/>
        </w:rPr>
        <w:t>in Section 3 was reasonable.</w:t>
      </w:r>
    </w:p>
    <w:bookmarkEnd w:id="76"/>
    <w:p w14:paraId="164112DA" w14:textId="4CCA5953" w:rsidR="00326A59" w:rsidRPr="004F590D" w:rsidRDefault="00727ACC" w:rsidP="004F590D">
      <w:pPr>
        <w:widowControl w:val="0"/>
        <w:numPr>
          <w:ilvl w:val="1"/>
          <w:numId w:val="1"/>
        </w:numPr>
        <w:spacing w:after="120"/>
        <w:ind w:left="720" w:hanging="720"/>
        <w:rPr>
          <w:rFonts w:asciiTheme="minorHAnsi" w:hAnsiTheme="minorHAnsi"/>
          <w:snapToGrid w:val="0"/>
          <w:lang w:val="en-GB"/>
        </w:rPr>
      </w:pPr>
      <w:r>
        <w:rPr>
          <w:rFonts w:asciiTheme="minorHAnsi" w:hAnsiTheme="minorHAnsi"/>
          <w:snapToGrid w:val="0"/>
          <w:lang w:val="en-GB"/>
        </w:rPr>
        <w:t xml:space="preserve">Given the PBAC’s advice that </w:t>
      </w:r>
      <w:r w:rsidR="00197AC6" w:rsidRPr="00197AC6">
        <w:rPr>
          <w:rFonts w:asciiTheme="minorHAnsi" w:hAnsiTheme="minorHAnsi"/>
          <w:snapToGrid w:val="0"/>
          <w:lang w:val="en-GB"/>
        </w:rPr>
        <w:t xml:space="preserve">any future resubmission </w:t>
      </w:r>
      <w:r w:rsidR="00197AC6">
        <w:rPr>
          <w:rFonts w:asciiTheme="minorHAnsi" w:hAnsiTheme="minorHAnsi"/>
          <w:snapToGrid w:val="0"/>
          <w:lang w:val="en-GB"/>
        </w:rPr>
        <w:t>should</w:t>
      </w:r>
      <w:r w:rsidR="00197AC6" w:rsidRPr="00197AC6">
        <w:rPr>
          <w:rFonts w:asciiTheme="minorHAnsi" w:hAnsiTheme="minorHAnsi"/>
          <w:snapToGrid w:val="0"/>
          <w:lang w:val="en-GB"/>
        </w:rPr>
        <w:t xml:space="preserve"> be based solely on the cost minimisation approach</w:t>
      </w:r>
      <w:r w:rsidR="00197AC6">
        <w:rPr>
          <w:rFonts w:asciiTheme="minorHAnsi" w:hAnsiTheme="minorHAnsi"/>
          <w:snapToGrid w:val="0"/>
          <w:lang w:val="en-GB"/>
        </w:rPr>
        <w:t>, t</w:t>
      </w:r>
      <w:r w:rsidR="00804745" w:rsidRPr="003E0812">
        <w:rPr>
          <w:rFonts w:asciiTheme="minorHAnsi" w:hAnsiTheme="minorHAnsi"/>
          <w:snapToGrid w:val="0"/>
          <w:lang w:val="en-GB"/>
        </w:rPr>
        <w:t xml:space="preserve">he PBAC considered the outstanding issues could be easily resolved in a simple resubmission for </w:t>
      </w:r>
      <w:r w:rsidR="00326A59" w:rsidRPr="004F590D">
        <w:rPr>
          <w:rFonts w:asciiTheme="minorHAnsi" w:hAnsiTheme="minorHAnsi"/>
          <w:snapToGrid w:val="0"/>
          <w:lang w:val="en-GB"/>
        </w:rPr>
        <w:t>patiromer</w:t>
      </w:r>
      <w:r w:rsidR="00804745" w:rsidRPr="004F590D">
        <w:rPr>
          <w:rFonts w:asciiTheme="minorHAnsi" w:hAnsiTheme="minorHAnsi"/>
          <w:snapToGrid w:val="0"/>
          <w:lang w:val="en-GB"/>
        </w:rPr>
        <w:t xml:space="preserve"> using the early re-entry pathway. If the sponsor accepts this pathway, the following changes may address these outstanding issues without requiring further re-evaluation</w:t>
      </w:r>
      <w:r w:rsidR="004F590D">
        <w:rPr>
          <w:rFonts w:asciiTheme="minorHAnsi" w:hAnsiTheme="minorHAnsi"/>
          <w:snapToGrid w:val="0"/>
          <w:lang w:val="en-GB"/>
        </w:rPr>
        <w:t>:</w:t>
      </w:r>
    </w:p>
    <w:p w14:paraId="50AFBC1D" w14:textId="583596C3" w:rsidR="00804745" w:rsidRPr="004F590D" w:rsidRDefault="00326A59" w:rsidP="004F590D">
      <w:pPr>
        <w:pStyle w:val="ListParagraph"/>
        <w:widowControl w:val="0"/>
        <w:numPr>
          <w:ilvl w:val="0"/>
          <w:numId w:val="37"/>
        </w:numPr>
        <w:ind w:left="1077" w:hanging="357"/>
        <w:rPr>
          <w:lang w:val="en-GB"/>
        </w:rPr>
      </w:pPr>
      <w:r w:rsidRPr="004F590D">
        <w:rPr>
          <w:lang w:val="en-GB"/>
        </w:rPr>
        <w:t>An economic analysis that is based solely on the cost minimisation approach presented in the resubmission and as described in paragraphs</w:t>
      </w:r>
      <w:r w:rsidR="004C4D64">
        <w:rPr>
          <w:lang w:val="en-GB"/>
        </w:rPr>
        <w:t xml:space="preserve"> </w:t>
      </w:r>
      <w:r w:rsidR="000E6EED">
        <w:rPr>
          <w:lang w:val="en-GB"/>
        </w:rPr>
        <w:fldChar w:fldCharType="begin"/>
      </w:r>
      <w:r w:rsidR="000E6EED">
        <w:rPr>
          <w:lang w:val="en-GB"/>
        </w:rPr>
        <w:instrText xml:space="preserve"> REF _Ref120542344 \r \h </w:instrText>
      </w:r>
      <w:r w:rsidR="000E6EED">
        <w:rPr>
          <w:lang w:val="en-GB"/>
        </w:rPr>
      </w:r>
      <w:r w:rsidR="000E6EED">
        <w:rPr>
          <w:lang w:val="en-GB"/>
        </w:rPr>
        <w:fldChar w:fldCharType="separate"/>
      </w:r>
      <w:r w:rsidR="00565456">
        <w:rPr>
          <w:lang w:val="en-GB"/>
        </w:rPr>
        <w:t>7.10</w:t>
      </w:r>
      <w:r w:rsidR="000E6EED">
        <w:rPr>
          <w:lang w:val="en-GB"/>
        </w:rPr>
        <w:fldChar w:fldCharType="end"/>
      </w:r>
      <w:r w:rsidR="00727ACC">
        <w:rPr>
          <w:lang w:val="en-GB"/>
        </w:rPr>
        <w:t xml:space="preserve"> </w:t>
      </w:r>
      <w:r w:rsidR="000E6EED">
        <w:rPr>
          <w:lang w:val="en-GB"/>
        </w:rPr>
        <w:t xml:space="preserve">to </w:t>
      </w:r>
      <w:r w:rsidR="000E6EED">
        <w:rPr>
          <w:lang w:val="en-GB"/>
        </w:rPr>
        <w:fldChar w:fldCharType="begin"/>
      </w:r>
      <w:r w:rsidR="000E6EED">
        <w:rPr>
          <w:lang w:val="en-GB"/>
        </w:rPr>
        <w:instrText xml:space="preserve"> REF _Ref120542347 \r \h </w:instrText>
      </w:r>
      <w:r w:rsidR="000E6EED">
        <w:rPr>
          <w:lang w:val="en-GB"/>
        </w:rPr>
      </w:r>
      <w:r w:rsidR="000E6EED">
        <w:rPr>
          <w:lang w:val="en-GB"/>
        </w:rPr>
        <w:fldChar w:fldCharType="separate"/>
      </w:r>
      <w:r w:rsidR="00565456">
        <w:rPr>
          <w:lang w:val="en-GB"/>
        </w:rPr>
        <w:t>7.12</w:t>
      </w:r>
      <w:r w:rsidR="000E6EED">
        <w:rPr>
          <w:lang w:val="en-GB"/>
        </w:rPr>
        <w:fldChar w:fldCharType="end"/>
      </w:r>
      <w:r w:rsidR="00920547">
        <w:rPr>
          <w:lang w:val="en-GB"/>
        </w:rPr>
        <w:t>;</w:t>
      </w:r>
      <w:r w:rsidRPr="004F590D">
        <w:rPr>
          <w:lang w:val="en-GB"/>
        </w:rPr>
        <w:t xml:space="preserve"> </w:t>
      </w:r>
    </w:p>
    <w:p w14:paraId="4526BA31" w14:textId="6D2F88E3" w:rsidR="003E0812" w:rsidRDefault="00920547" w:rsidP="004F590D">
      <w:pPr>
        <w:pStyle w:val="ListParagraph"/>
        <w:widowControl w:val="0"/>
        <w:numPr>
          <w:ilvl w:val="0"/>
          <w:numId w:val="37"/>
        </w:numPr>
        <w:ind w:left="1077" w:hanging="357"/>
        <w:rPr>
          <w:lang w:val="en-GB"/>
        </w:rPr>
      </w:pPr>
      <w:r>
        <w:rPr>
          <w:lang w:val="en-GB"/>
        </w:rPr>
        <w:t>F</w:t>
      </w:r>
      <w:r w:rsidR="003E0812" w:rsidRPr="00920547">
        <w:rPr>
          <w:lang w:val="en-GB"/>
        </w:rPr>
        <w:t xml:space="preserve">inancial </w:t>
      </w:r>
      <w:r>
        <w:rPr>
          <w:lang w:val="en-GB"/>
        </w:rPr>
        <w:t xml:space="preserve">impact </w:t>
      </w:r>
      <w:r w:rsidR="003E0812" w:rsidRPr="00920547">
        <w:rPr>
          <w:lang w:val="en-GB"/>
        </w:rPr>
        <w:t>estimates based on the revised price of patiromer</w:t>
      </w:r>
      <w:r w:rsidR="00D345A9">
        <w:rPr>
          <w:lang w:val="en-GB"/>
        </w:rPr>
        <w:t xml:space="preserve"> and the equi-effective doses of patiromer and SPS/CPS resins</w:t>
      </w:r>
      <w:r w:rsidR="003E0812" w:rsidRPr="00920547">
        <w:rPr>
          <w:lang w:val="en-GB"/>
        </w:rPr>
        <w:t xml:space="preserve">; and </w:t>
      </w:r>
    </w:p>
    <w:p w14:paraId="4C5B9777" w14:textId="430B8782" w:rsidR="004F590D" w:rsidRPr="004F590D" w:rsidRDefault="003E0812" w:rsidP="004F590D">
      <w:pPr>
        <w:pStyle w:val="ListParagraph"/>
        <w:widowControl w:val="0"/>
        <w:numPr>
          <w:ilvl w:val="0"/>
          <w:numId w:val="37"/>
        </w:numPr>
        <w:ind w:left="1077" w:hanging="357"/>
        <w:rPr>
          <w:lang w:val="en-GB"/>
        </w:rPr>
      </w:pPr>
      <w:r w:rsidRPr="004F590D">
        <w:rPr>
          <w:lang w:val="en-GB"/>
        </w:rPr>
        <w:t>A RSA based on the revised financial</w:t>
      </w:r>
      <w:r w:rsidR="00920547">
        <w:rPr>
          <w:lang w:val="en-GB"/>
        </w:rPr>
        <w:t xml:space="preserve"> impact estimate</w:t>
      </w:r>
      <w:r w:rsidRPr="004F590D">
        <w:rPr>
          <w:lang w:val="en-GB"/>
        </w:rPr>
        <w:t xml:space="preserve">s </w:t>
      </w:r>
      <w:r w:rsidR="00727ACC">
        <w:rPr>
          <w:lang w:val="en-GB"/>
        </w:rPr>
        <w:t>with</w:t>
      </w:r>
      <w:r w:rsidRPr="004F590D">
        <w:rPr>
          <w:lang w:val="en-GB"/>
        </w:rPr>
        <w:t xml:space="preserve"> expenditure caps</w:t>
      </w:r>
      <w:r w:rsidR="00DF3424">
        <w:rPr>
          <w:lang w:val="en-GB"/>
        </w:rPr>
        <w:t>,</w:t>
      </w:r>
      <w:r w:rsidRPr="004F590D">
        <w:rPr>
          <w:lang w:val="en-GB"/>
        </w:rPr>
        <w:t xml:space="preserve"> beyond</w:t>
      </w:r>
      <w:r w:rsidR="004F590D">
        <w:rPr>
          <w:lang w:val="en-GB"/>
        </w:rPr>
        <w:t xml:space="preserve"> which a rebate of </w:t>
      </w:r>
      <w:r w:rsidR="003E2BEF" w:rsidRPr="005F4857">
        <w:rPr>
          <w:color w:val="000000"/>
          <w:w w:val="15"/>
          <w:shd w:val="solid" w:color="000000" w:fill="000000"/>
          <w:fitText w:val="-20" w:id="-1304706554"/>
          <w:lang w:val="en-GB"/>
          <w14:textFill>
            <w14:solidFill>
              <w14:srgbClr w14:val="000000">
                <w14:alpha w14:val="100000"/>
              </w14:srgbClr>
            </w14:solidFill>
          </w14:textFill>
        </w:rPr>
        <w:t xml:space="preserve">| </w:t>
      </w:r>
      <w:r w:rsidR="00BB7EE7" w:rsidRPr="005F4857">
        <w:rPr>
          <w:color w:val="000000"/>
          <w:w w:val="15"/>
          <w:shd w:val="solid" w:color="000000" w:fill="000000"/>
          <w:fitText w:val="-20" w:id="-1304706554"/>
          <w:lang w:val="en-GB"/>
          <w14:textFill>
            <w14:solidFill>
              <w14:srgbClr w14:val="000000">
                <w14:alpha w14:val="100000"/>
              </w14:srgbClr>
            </w14:solidFill>
          </w14:textFill>
        </w:rPr>
        <w:t>#########</w:t>
      </w:r>
      <w:r w:rsidR="003E2BEF" w:rsidRPr="005F4857">
        <w:rPr>
          <w:color w:val="000000"/>
          <w:w w:val="15"/>
          <w:shd w:val="solid" w:color="000000" w:fill="000000"/>
          <w:fitText w:val="-20" w:id="-1304706554"/>
          <w:lang w:val="en-GB"/>
          <w14:textFill>
            <w14:solidFill>
              <w14:srgbClr w14:val="000000">
                <w14:alpha w14:val="100000"/>
              </w14:srgbClr>
            </w14:solidFill>
          </w14:textFill>
        </w:rPr>
        <w:t xml:space="preserve"> </w:t>
      </w:r>
      <w:r w:rsidR="003E2BEF" w:rsidRPr="005F4857">
        <w:rPr>
          <w:color w:val="000000"/>
          <w:spacing w:val="-230"/>
          <w:w w:val="15"/>
          <w:shd w:val="solid" w:color="000000" w:fill="000000"/>
          <w:fitText w:val="-20" w:id="-1304706554"/>
          <w:lang w:val="en-GB"/>
          <w14:textFill>
            <w14:solidFill>
              <w14:srgbClr w14:val="000000">
                <w14:alpha w14:val="100000"/>
              </w14:srgbClr>
            </w14:solidFill>
          </w14:textFill>
        </w:rPr>
        <w:t>|</w:t>
      </w:r>
      <w:r w:rsidR="004F590D">
        <w:rPr>
          <w:lang w:val="en-GB"/>
        </w:rPr>
        <w:t>% would be applied.</w:t>
      </w:r>
    </w:p>
    <w:p w14:paraId="584B0908" w14:textId="2FC9037E" w:rsidR="00804745" w:rsidRDefault="00804745" w:rsidP="004F590D">
      <w:pPr>
        <w:widowControl w:val="0"/>
        <w:spacing w:after="120"/>
        <w:ind w:left="720"/>
        <w:rPr>
          <w:rFonts w:asciiTheme="minorHAnsi" w:hAnsiTheme="minorHAnsi"/>
          <w:snapToGrid w:val="0"/>
          <w:lang w:val="en-GB"/>
        </w:rPr>
      </w:pPr>
      <w:r w:rsidRPr="00783D74">
        <w:rPr>
          <w:rFonts w:asciiTheme="minorHAnsi" w:hAnsiTheme="minorHAnsi"/>
          <w:snapToGrid w:val="0"/>
          <w:lang w:val="en-GB"/>
        </w:rPr>
        <w:t>The early re-entry resubmission must be lodged by week 7 of the current PBAC cycle or the next cycle. If the issues cannot be addressed by the sponsor in a simple resubmission and the early re-entry timing is not acceptable, a standard re-entry pathway is available.</w:t>
      </w:r>
    </w:p>
    <w:p w14:paraId="40B4CB29" w14:textId="77777777" w:rsidR="003E0812" w:rsidRDefault="00804745" w:rsidP="00804745">
      <w:pPr>
        <w:widowControl w:val="0"/>
        <w:numPr>
          <w:ilvl w:val="1"/>
          <w:numId w:val="1"/>
        </w:numPr>
        <w:spacing w:after="120"/>
        <w:ind w:left="720" w:hanging="720"/>
        <w:rPr>
          <w:rFonts w:asciiTheme="minorHAnsi" w:hAnsiTheme="minorHAnsi"/>
          <w:bCs/>
          <w:snapToGrid w:val="0"/>
          <w:lang w:val="en-GB"/>
        </w:rPr>
      </w:pPr>
      <w:r w:rsidRPr="00525B39">
        <w:rPr>
          <w:rFonts w:asciiTheme="minorHAnsi" w:hAnsiTheme="minorHAnsi"/>
          <w:bCs/>
          <w:snapToGrid w:val="0"/>
          <w:lang w:val="en-GB"/>
        </w:rPr>
        <w:t xml:space="preserve">The PBAC noted that this submission is eligible for an Independent Review. </w:t>
      </w:r>
    </w:p>
    <w:p w14:paraId="0C7550ED" w14:textId="77777777" w:rsidR="00804745" w:rsidRPr="00525B39" w:rsidRDefault="00804745" w:rsidP="00804745">
      <w:pPr>
        <w:spacing w:before="240"/>
        <w:rPr>
          <w:rFonts w:asciiTheme="minorHAnsi" w:hAnsiTheme="minorHAnsi"/>
          <w:b/>
          <w:bCs/>
          <w:snapToGrid w:val="0"/>
          <w:lang w:val="en-GB"/>
        </w:rPr>
      </w:pPr>
      <w:r w:rsidRPr="00525B39">
        <w:rPr>
          <w:rFonts w:asciiTheme="minorHAnsi" w:hAnsiTheme="minorHAnsi"/>
          <w:b/>
          <w:bCs/>
          <w:snapToGrid w:val="0"/>
          <w:lang w:val="en-GB"/>
        </w:rPr>
        <w:t>Outcome:</w:t>
      </w:r>
    </w:p>
    <w:p w14:paraId="7FC1B356" w14:textId="42344F5B" w:rsidR="00320A2B" w:rsidRDefault="00804745" w:rsidP="007C3972">
      <w:pPr>
        <w:rPr>
          <w:rFonts w:asciiTheme="minorHAnsi" w:hAnsiTheme="minorHAnsi"/>
          <w:bCs/>
          <w:snapToGrid w:val="0"/>
          <w:lang w:val="en-GB"/>
        </w:rPr>
      </w:pPr>
      <w:r>
        <w:rPr>
          <w:rFonts w:asciiTheme="minorHAnsi" w:hAnsiTheme="minorHAnsi"/>
          <w:bCs/>
          <w:snapToGrid w:val="0"/>
          <w:lang w:val="en-GB"/>
        </w:rPr>
        <w:t>Not recommended</w:t>
      </w:r>
      <w:r w:rsidRPr="00525B39">
        <w:rPr>
          <w:rFonts w:asciiTheme="minorHAnsi" w:hAnsiTheme="minorHAnsi"/>
          <w:bCs/>
          <w:snapToGrid w:val="0"/>
          <w:lang w:val="en-GB"/>
        </w:rPr>
        <w:t xml:space="preserve"> </w:t>
      </w:r>
      <w:bookmarkEnd w:id="73"/>
      <w:bookmarkEnd w:id="74"/>
      <w:bookmarkEnd w:id="75"/>
    </w:p>
    <w:p w14:paraId="4044C90D" w14:textId="06EFF93A" w:rsidR="00320A2B" w:rsidRDefault="00320A2B" w:rsidP="00320A2B">
      <w:pPr>
        <w:pStyle w:val="COMH1numbered"/>
        <w:rPr>
          <w:bCs/>
          <w:lang w:val="en-GB"/>
        </w:rPr>
      </w:pPr>
      <w:r w:rsidRPr="00C07617">
        <w:t>Context for Decision</w:t>
      </w:r>
    </w:p>
    <w:p w14:paraId="29E1BF95" w14:textId="77777777" w:rsidR="00320A2B" w:rsidRPr="007129F2" w:rsidRDefault="00320A2B" w:rsidP="00320A2B">
      <w:pPr>
        <w:spacing w:after="120"/>
        <w:ind w:left="720"/>
        <w:rPr>
          <w:rFonts w:asciiTheme="minorHAnsi" w:hAnsiTheme="minorHAnsi"/>
          <w:bCs/>
          <w:lang w:val="en-GB"/>
        </w:rPr>
      </w:pPr>
      <w:r w:rsidRPr="007129F2">
        <w:rPr>
          <w:rFonts w:asciiTheme="minorHAnsi" w:hAnsiTheme="minorHAnsi"/>
          <w:bCs/>
          <w:lang w:val="en-GB"/>
        </w:rPr>
        <w:t>The PBAC helps decide whether and, if so, how medicines should be subsidised through the Pharmaceutical Benefits Scheme (PBS) in Australia. It considers applications regarding the listing of medicines on the PBS and provides advice about other matters relating to the operation of the PBS in this context. A PBAC decision in relation to PBS listings does not necessarily represent a final PBAC view about the merits of the medicine or the circumstances in which it should be made available through the PBS. The PBAC welcomes applications containing new information at any time.</w:t>
      </w:r>
    </w:p>
    <w:p w14:paraId="547F7206" w14:textId="64EE886F" w:rsidR="00320A2B" w:rsidRPr="00C07617" w:rsidRDefault="00320A2B" w:rsidP="00320A2B">
      <w:pPr>
        <w:pStyle w:val="COMH1numbered"/>
        <w:rPr>
          <w:b w:val="0"/>
        </w:rPr>
      </w:pPr>
      <w:r>
        <w:t>Sponsor’s Comment</w:t>
      </w:r>
    </w:p>
    <w:p w14:paraId="7573A2BF" w14:textId="77777777" w:rsidR="00320A2B" w:rsidRPr="001179AC" w:rsidRDefault="00320A2B" w:rsidP="00320A2B">
      <w:pPr>
        <w:spacing w:after="120"/>
        <w:ind w:left="426" w:firstLine="294"/>
        <w:rPr>
          <w:rFonts w:asciiTheme="minorHAnsi" w:hAnsiTheme="minorHAnsi"/>
          <w:bCs/>
        </w:rPr>
      </w:pPr>
      <w:r w:rsidRPr="00C07617">
        <w:rPr>
          <w:rFonts w:asciiTheme="minorHAnsi" w:hAnsiTheme="minorHAnsi"/>
          <w:bCs/>
        </w:rPr>
        <w:t>The sponsor had no comment.</w:t>
      </w:r>
    </w:p>
    <w:p w14:paraId="2A094264" w14:textId="77777777" w:rsidR="00320A2B" w:rsidRPr="007C3972" w:rsidRDefault="00320A2B" w:rsidP="007C3972">
      <w:pPr>
        <w:rPr>
          <w:rFonts w:asciiTheme="minorHAnsi" w:hAnsiTheme="minorHAnsi"/>
          <w:b/>
          <w:bCs/>
          <w:snapToGrid w:val="0"/>
        </w:rPr>
      </w:pPr>
    </w:p>
    <w:sectPr w:rsidR="00320A2B" w:rsidRPr="007C3972" w:rsidSect="002F6665">
      <w:headerReference w:type="even" r:id="rId17"/>
      <w:headerReference w:type="default" r:id="rId18"/>
      <w:footerReference w:type="even" r:id="rId19"/>
      <w:footerReference w:type="default" r:id="rId20"/>
      <w:headerReference w:type="first" r:id="rId21"/>
      <w:footerReference w:type="first" r:id="rId22"/>
      <w:pgSz w:w="11907" w:h="16840" w:code="9"/>
      <w:pgMar w:top="1440" w:right="1440" w:bottom="1440" w:left="1440" w:header="1440" w:footer="144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480AD8" w14:textId="77777777" w:rsidR="00AD5052" w:rsidRDefault="00AD5052" w:rsidP="00124A51">
      <w:r>
        <w:separator/>
      </w:r>
    </w:p>
    <w:p w14:paraId="69D4F73A" w14:textId="77777777" w:rsidR="00AD5052" w:rsidRDefault="00AD5052"/>
    <w:p w14:paraId="2A1D6874" w14:textId="77777777" w:rsidR="00AD5052" w:rsidRDefault="00AD5052"/>
    <w:p w14:paraId="453CF1B2" w14:textId="77777777" w:rsidR="00AD5052" w:rsidRDefault="00AD5052"/>
    <w:p w14:paraId="4E112569" w14:textId="77777777" w:rsidR="00AD5052" w:rsidRDefault="00AD5052"/>
  </w:endnote>
  <w:endnote w:type="continuationSeparator" w:id="0">
    <w:p w14:paraId="429EF607" w14:textId="77777777" w:rsidR="00AD5052" w:rsidRDefault="00AD5052" w:rsidP="00124A51">
      <w:r>
        <w:continuationSeparator/>
      </w:r>
    </w:p>
    <w:p w14:paraId="67514595" w14:textId="77777777" w:rsidR="00AD5052" w:rsidRDefault="00AD5052"/>
    <w:p w14:paraId="33E74A35" w14:textId="77777777" w:rsidR="00AD5052" w:rsidRDefault="00AD5052"/>
    <w:p w14:paraId="4B16AE5E" w14:textId="77777777" w:rsidR="00AD5052" w:rsidRDefault="00AD5052"/>
    <w:p w14:paraId="402C2131" w14:textId="77777777" w:rsidR="00AD5052" w:rsidRDefault="00AD5052"/>
  </w:endnote>
  <w:endnote w:type="continuationNotice" w:id="1">
    <w:p w14:paraId="07B2B085" w14:textId="77777777" w:rsidR="00AD5052" w:rsidRDefault="00AD5052"/>
    <w:p w14:paraId="6D2A94A3" w14:textId="77777777" w:rsidR="00AD5052" w:rsidRDefault="00AD5052"/>
    <w:p w14:paraId="15952582" w14:textId="77777777" w:rsidR="00AD5052" w:rsidRDefault="00AD505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ndara">
    <w:panose1 w:val="020E0502030303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955125" w14:textId="77777777" w:rsidR="003E2BEF" w:rsidRDefault="003E2BE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2AF36" w14:textId="77777777" w:rsidR="00C74F77" w:rsidRDefault="00C74F77">
    <w:pPr>
      <w:pStyle w:val="Footer"/>
      <w:jc w:val="center"/>
    </w:pPr>
  </w:p>
  <w:p w14:paraId="1B7917F2" w14:textId="0BF0F0CB" w:rsidR="00C74F77" w:rsidRPr="000651ED" w:rsidRDefault="005F4857" w:rsidP="000651ED">
    <w:pPr>
      <w:pStyle w:val="Footer"/>
      <w:jc w:val="center"/>
      <w:rPr>
        <w:b/>
        <w:bCs/>
      </w:rPr>
    </w:pPr>
    <w:sdt>
      <w:sdtPr>
        <w:id w:val="-2056002292"/>
        <w:docPartObj>
          <w:docPartGallery w:val="Page Numbers (Bottom of Page)"/>
          <w:docPartUnique/>
        </w:docPartObj>
      </w:sdtPr>
      <w:sdtEndPr>
        <w:rPr>
          <w:b/>
          <w:bCs/>
          <w:noProof/>
        </w:rPr>
      </w:sdtEndPr>
      <w:sdtContent>
        <w:r w:rsidR="00C74F77" w:rsidRPr="006128C7">
          <w:rPr>
            <w:b/>
            <w:bCs/>
          </w:rPr>
          <w:fldChar w:fldCharType="begin"/>
        </w:r>
        <w:r w:rsidR="00C74F77" w:rsidRPr="006128C7">
          <w:rPr>
            <w:b/>
            <w:bCs/>
          </w:rPr>
          <w:instrText xml:space="preserve"> PAGE   \* MERGEFORMAT </w:instrText>
        </w:r>
        <w:r w:rsidR="00C74F77" w:rsidRPr="006128C7">
          <w:rPr>
            <w:b/>
            <w:bCs/>
          </w:rPr>
          <w:fldChar w:fldCharType="separate"/>
        </w:r>
        <w:r w:rsidR="00C74F77" w:rsidRPr="006128C7">
          <w:rPr>
            <w:b/>
            <w:bCs/>
            <w:noProof/>
          </w:rPr>
          <w:t>2</w:t>
        </w:r>
        <w:r w:rsidR="00C74F77" w:rsidRPr="006128C7">
          <w:rPr>
            <w:b/>
            <w:bCs/>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68AC9" w14:textId="77777777" w:rsidR="003E2BEF" w:rsidRDefault="003E2B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373983" w14:textId="77777777" w:rsidR="00AD5052" w:rsidRDefault="00AD5052" w:rsidP="00124A51">
      <w:r>
        <w:separator/>
      </w:r>
    </w:p>
    <w:p w14:paraId="6AA6166D" w14:textId="77777777" w:rsidR="00AD5052" w:rsidRDefault="00AD5052"/>
    <w:p w14:paraId="00B74A83" w14:textId="77777777" w:rsidR="00AD5052" w:rsidRDefault="00AD5052"/>
    <w:p w14:paraId="12B2412F" w14:textId="77777777" w:rsidR="00AD5052" w:rsidRDefault="00AD5052"/>
    <w:p w14:paraId="5B7B6763" w14:textId="77777777" w:rsidR="00AD5052" w:rsidRDefault="00AD5052"/>
  </w:footnote>
  <w:footnote w:type="continuationSeparator" w:id="0">
    <w:p w14:paraId="5CA81E6A" w14:textId="77777777" w:rsidR="00AD5052" w:rsidRDefault="00AD5052" w:rsidP="00124A51">
      <w:r>
        <w:continuationSeparator/>
      </w:r>
    </w:p>
    <w:p w14:paraId="38A3BBAC" w14:textId="77777777" w:rsidR="00AD5052" w:rsidRDefault="00AD5052"/>
    <w:p w14:paraId="7C63964A" w14:textId="77777777" w:rsidR="00AD5052" w:rsidRDefault="00AD5052"/>
    <w:p w14:paraId="138988CD" w14:textId="77777777" w:rsidR="00AD5052" w:rsidRDefault="00AD5052"/>
    <w:p w14:paraId="1E51D3F3" w14:textId="77777777" w:rsidR="00AD5052" w:rsidRDefault="00AD5052"/>
  </w:footnote>
  <w:footnote w:type="continuationNotice" w:id="1">
    <w:p w14:paraId="6EDB5DAA" w14:textId="77777777" w:rsidR="00AD5052" w:rsidRDefault="00AD5052"/>
    <w:p w14:paraId="70A53758" w14:textId="77777777" w:rsidR="00AD5052" w:rsidRDefault="00AD5052"/>
    <w:p w14:paraId="0D491D17" w14:textId="77777777" w:rsidR="00AD5052" w:rsidRDefault="00AD505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5E907" w14:textId="77777777" w:rsidR="003E2BEF" w:rsidRDefault="003E2BE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5C77D" w14:textId="6564FF9B" w:rsidR="00C74F77" w:rsidRPr="00C74F77" w:rsidRDefault="007C073A" w:rsidP="00C74F77">
    <w:pPr>
      <w:pStyle w:val="Header"/>
      <w:jc w:val="center"/>
      <w:rPr>
        <w:i/>
        <w:iCs/>
      </w:rPr>
    </w:pPr>
    <w:r>
      <w:rPr>
        <w:i/>
        <w:iCs/>
      </w:rPr>
      <w:t>Public Summary Document</w:t>
    </w:r>
    <w:r w:rsidR="00FF512C">
      <w:rPr>
        <w:i/>
        <w:iCs/>
      </w:rPr>
      <w:t xml:space="preserve"> - </w:t>
    </w:r>
    <w:r w:rsidR="00C74F77" w:rsidRPr="00C74F77">
      <w:rPr>
        <w:i/>
        <w:iCs/>
      </w:rPr>
      <w:t>November 2022 PBAC Meeting</w:t>
    </w:r>
  </w:p>
  <w:p w14:paraId="61464D3F" w14:textId="77777777" w:rsidR="00C74F77" w:rsidRDefault="00C74F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782C3C" w14:textId="77777777" w:rsidR="003E2BEF" w:rsidRDefault="003E2BE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04C1EA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8D60B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4DB6EC1"/>
    <w:multiLevelType w:val="hybridMultilevel"/>
    <w:tmpl w:val="C1125B2C"/>
    <w:lvl w:ilvl="0" w:tplc="04090001">
      <w:start w:val="1"/>
      <w:numFmt w:val="bullet"/>
      <w:lvlText w:val=""/>
      <w:lvlJc w:val="left"/>
      <w:pPr>
        <w:ind w:left="720" w:hanging="360"/>
      </w:pPr>
      <w:rPr>
        <w:rFonts w:ascii="Symbol" w:hAnsi="Symbol" w:hint="default"/>
      </w:rPr>
    </w:lvl>
    <w:lvl w:ilvl="1" w:tplc="B18CBCF0">
      <w:numFmt w:val="bullet"/>
      <w:lvlText w:val="•"/>
      <w:lvlJc w:val="left"/>
      <w:pPr>
        <w:ind w:left="1800" w:hanging="720"/>
      </w:pPr>
      <w:rPr>
        <w:rFonts w:ascii="Calibri" w:eastAsia="Times New Roman"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DC695F"/>
    <w:multiLevelType w:val="hybridMultilevel"/>
    <w:tmpl w:val="678E52F2"/>
    <w:lvl w:ilvl="0" w:tplc="0C090017">
      <w:start w:val="1"/>
      <w:numFmt w:val="lowerLetter"/>
      <w:lvlText w:val="%1)"/>
      <w:lvlJc w:val="left"/>
      <w:pPr>
        <w:ind w:left="785" w:hanging="360"/>
      </w:pPr>
      <w:rPr>
        <w:rFonts w:hint="default"/>
        <w:b w:val="0"/>
        <w:i w:val="0"/>
        <w:color w:val="auto"/>
        <w:sz w:val="24"/>
        <w:szCs w:val="24"/>
      </w:rPr>
    </w:lvl>
    <w:lvl w:ilvl="1" w:tplc="0C090019">
      <w:start w:val="1"/>
      <w:numFmt w:val="lowerLetter"/>
      <w:lvlText w:val="%2."/>
      <w:lvlJc w:val="left"/>
      <w:pPr>
        <w:ind w:left="447" w:hanging="360"/>
      </w:pPr>
    </w:lvl>
    <w:lvl w:ilvl="2" w:tplc="0C09001B" w:tentative="1">
      <w:start w:val="1"/>
      <w:numFmt w:val="lowerRoman"/>
      <w:lvlText w:val="%3."/>
      <w:lvlJc w:val="right"/>
      <w:pPr>
        <w:ind w:left="1167" w:hanging="180"/>
      </w:pPr>
    </w:lvl>
    <w:lvl w:ilvl="3" w:tplc="0C09000F" w:tentative="1">
      <w:start w:val="1"/>
      <w:numFmt w:val="decimal"/>
      <w:lvlText w:val="%4."/>
      <w:lvlJc w:val="left"/>
      <w:pPr>
        <w:ind w:left="1887" w:hanging="360"/>
      </w:pPr>
    </w:lvl>
    <w:lvl w:ilvl="4" w:tplc="0C090019" w:tentative="1">
      <w:start w:val="1"/>
      <w:numFmt w:val="lowerLetter"/>
      <w:lvlText w:val="%5."/>
      <w:lvlJc w:val="left"/>
      <w:pPr>
        <w:ind w:left="2607" w:hanging="360"/>
      </w:pPr>
    </w:lvl>
    <w:lvl w:ilvl="5" w:tplc="0C09001B" w:tentative="1">
      <w:start w:val="1"/>
      <w:numFmt w:val="lowerRoman"/>
      <w:lvlText w:val="%6."/>
      <w:lvlJc w:val="right"/>
      <w:pPr>
        <w:ind w:left="3327" w:hanging="180"/>
      </w:pPr>
    </w:lvl>
    <w:lvl w:ilvl="6" w:tplc="0C09000F" w:tentative="1">
      <w:start w:val="1"/>
      <w:numFmt w:val="decimal"/>
      <w:lvlText w:val="%7."/>
      <w:lvlJc w:val="left"/>
      <w:pPr>
        <w:ind w:left="4047" w:hanging="360"/>
      </w:pPr>
    </w:lvl>
    <w:lvl w:ilvl="7" w:tplc="0C090019" w:tentative="1">
      <w:start w:val="1"/>
      <w:numFmt w:val="lowerLetter"/>
      <w:lvlText w:val="%8."/>
      <w:lvlJc w:val="left"/>
      <w:pPr>
        <w:ind w:left="4767" w:hanging="360"/>
      </w:pPr>
    </w:lvl>
    <w:lvl w:ilvl="8" w:tplc="0C09001B" w:tentative="1">
      <w:start w:val="1"/>
      <w:numFmt w:val="lowerRoman"/>
      <w:lvlText w:val="%9."/>
      <w:lvlJc w:val="right"/>
      <w:pPr>
        <w:ind w:left="5487" w:hanging="180"/>
      </w:pPr>
    </w:lvl>
  </w:abstractNum>
  <w:abstractNum w:abstractNumId="4" w15:restartNumberingAfterBreak="0">
    <w:nsid w:val="07410BF3"/>
    <w:multiLevelType w:val="hybridMultilevel"/>
    <w:tmpl w:val="FBD47AD2"/>
    <w:lvl w:ilvl="0" w:tplc="407647DE">
      <w:start w:val="1"/>
      <w:numFmt w:val="bullet"/>
      <w:pStyle w:val="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8D4654B"/>
    <w:multiLevelType w:val="hybridMultilevel"/>
    <w:tmpl w:val="81F2B3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AAF0EBA"/>
    <w:multiLevelType w:val="multilevel"/>
    <w:tmpl w:val="642C45D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C460CE9"/>
    <w:multiLevelType w:val="hybridMultilevel"/>
    <w:tmpl w:val="97EE25D4"/>
    <w:lvl w:ilvl="0" w:tplc="0C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0D332168"/>
    <w:multiLevelType w:val="hybridMultilevel"/>
    <w:tmpl w:val="A17236F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0E74360D"/>
    <w:multiLevelType w:val="hybridMultilevel"/>
    <w:tmpl w:val="9F2E31C0"/>
    <w:lvl w:ilvl="0" w:tplc="1B363314">
      <w:start w:val="1"/>
      <w:numFmt w:val="bullet"/>
      <w:lvlText w:val="•"/>
      <w:lvlJc w:val="left"/>
      <w:pPr>
        <w:tabs>
          <w:tab w:val="num" w:pos="720"/>
        </w:tabs>
        <w:ind w:left="720" w:hanging="360"/>
      </w:pPr>
      <w:rPr>
        <w:rFonts w:ascii="Arial" w:hAnsi="Arial" w:hint="default"/>
      </w:rPr>
    </w:lvl>
    <w:lvl w:ilvl="1" w:tplc="DC5EA8F8" w:tentative="1">
      <w:start w:val="1"/>
      <w:numFmt w:val="bullet"/>
      <w:lvlText w:val="•"/>
      <w:lvlJc w:val="left"/>
      <w:pPr>
        <w:tabs>
          <w:tab w:val="num" w:pos="1440"/>
        </w:tabs>
        <w:ind w:left="1440" w:hanging="360"/>
      </w:pPr>
      <w:rPr>
        <w:rFonts w:ascii="Arial" w:hAnsi="Arial" w:hint="default"/>
      </w:rPr>
    </w:lvl>
    <w:lvl w:ilvl="2" w:tplc="AD426804" w:tentative="1">
      <w:start w:val="1"/>
      <w:numFmt w:val="bullet"/>
      <w:lvlText w:val="•"/>
      <w:lvlJc w:val="left"/>
      <w:pPr>
        <w:tabs>
          <w:tab w:val="num" w:pos="2160"/>
        </w:tabs>
        <w:ind w:left="2160" w:hanging="360"/>
      </w:pPr>
      <w:rPr>
        <w:rFonts w:ascii="Arial" w:hAnsi="Arial" w:hint="default"/>
      </w:rPr>
    </w:lvl>
    <w:lvl w:ilvl="3" w:tplc="F25A0FAC" w:tentative="1">
      <w:start w:val="1"/>
      <w:numFmt w:val="bullet"/>
      <w:lvlText w:val="•"/>
      <w:lvlJc w:val="left"/>
      <w:pPr>
        <w:tabs>
          <w:tab w:val="num" w:pos="2880"/>
        </w:tabs>
        <w:ind w:left="2880" w:hanging="360"/>
      </w:pPr>
      <w:rPr>
        <w:rFonts w:ascii="Arial" w:hAnsi="Arial" w:hint="default"/>
      </w:rPr>
    </w:lvl>
    <w:lvl w:ilvl="4" w:tplc="839CA104" w:tentative="1">
      <w:start w:val="1"/>
      <w:numFmt w:val="bullet"/>
      <w:lvlText w:val="•"/>
      <w:lvlJc w:val="left"/>
      <w:pPr>
        <w:tabs>
          <w:tab w:val="num" w:pos="3600"/>
        </w:tabs>
        <w:ind w:left="3600" w:hanging="360"/>
      </w:pPr>
      <w:rPr>
        <w:rFonts w:ascii="Arial" w:hAnsi="Arial" w:hint="default"/>
      </w:rPr>
    </w:lvl>
    <w:lvl w:ilvl="5" w:tplc="897E39B4" w:tentative="1">
      <w:start w:val="1"/>
      <w:numFmt w:val="bullet"/>
      <w:lvlText w:val="•"/>
      <w:lvlJc w:val="left"/>
      <w:pPr>
        <w:tabs>
          <w:tab w:val="num" w:pos="4320"/>
        </w:tabs>
        <w:ind w:left="4320" w:hanging="360"/>
      </w:pPr>
      <w:rPr>
        <w:rFonts w:ascii="Arial" w:hAnsi="Arial" w:hint="default"/>
      </w:rPr>
    </w:lvl>
    <w:lvl w:ilvl="6" w:tplc="3210E9B2" w:tentative="1">
      <w:start w:val="1"/>
      <w:numFmt w:val="bullet"/>
      <w:lvlText w:val="•"/>
      <w:lvlJc w:val="left"/>
      <w:pPr>
        <w:tabs>
          <w:tab w:val="num" w:pos="5040"/>
        </w:tabs>
        <w:ind w:left="5040" w:hanging="360"/>
      </w:pPr>
      <w:rPr>
        <w:rFonts w:ascii="Arial" w:hAnsi="Arial" w:hint="default"/>
      </w:rPr>
    </w:lvl>
    <w:lvl w:ilvl="7" w:tplc="F33035C4" w:tentative="1">
      <w:start w:val="1"/>
      <w:numFmt w:val="bullet"/>
      <w:lvlText w:val="•"/>
      <w:lvlJc w:val="left"/>
      <w:pPr>
        <w:tabs>
          <w:tab w:val="num" w:pos="5760"/>
        </w:tabs>
        <w:ind w:left="5760" w:hanging="360"/>
      </w:pPr>
      <w:rPr>
        <w:rFonts w:ascii="Arial" w:hAnsi="Arial" w:hint="default"/>
      </w:rPr>
    </w:lvl>
    <w:lvl w:ilvl="8" w:tplc="1A3CF8E6"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16B66FD5"/>
    <w:multiLevelType w:val="multilevel"/>
    <w:tmpl w:val="A27AA2B4"/>
    <w:lvl w:ilvl="0">
      <w:start w:val="1"/>
      <w:numFmt w:val="decimal"/>
      <w:lvlText w:val="%1"/>
      <w:lvlJc w:val="left"/>
      <w:pPr>
        <w:ind w:left="720" w:hanging="720"/>
      </w:pPr>
      <w:rPr>
        <w:rFonts w:hint="default"/>
        <w:b/>
      </w:rPr>
    </w:lvl>
    <w:lvl w:ilvl="1">
      <w:start w:val="1"/>
      <w:numFmt w:val="bullet"/>
      <w:lvlText w:val=""/>
      <w:lvlJc w:val="left"/>
      <w:pPr>
        <w:ind w:left="360" w:hanging="360"/>
      </w:pPr>
      <w:rPr>
        <w:rFonts w:ascii="Symbol" w:hAnsi="Symbol"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E026C2C"/>
    <w:multiLevelType w:val="hybridMultilevel"/>
    <w:tmpl w:val="6382097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1E1D089A"/>
    <w:multiLevelType w:val="hybridMultilevel"/>
    <w:tmpl w:val="5D420722"/>
    <w:lvl w:ilvl="0" w:tplc="399A3B2E">
      <w:numFmt w:val="bullet"/>
      <w:lvlText w:val="-"/>
      <w:lvlJc w:val="left"/>
      <w:pPr>
        <w:ind w:left="360" w:hanging="360"/>
      </w:pPr>
      <w:rPr>
        <w:rFonts w:ascii="Calibri" w:eastAsia="Calibri" w:hAnsi="Calibri" w:cs="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1FB219F8"/>
    <w:multiLevelType w:val="hybridMultilevel"/>
    <w:tmpl w:val="6CA0CEB4"/>
    <w:lvl w:ilvl="0" w:tplc="4F38898A">
      <w:start w:val="1"/>
      <w:numFmt w:val="bullet"/>
      <w:pStyle w:val="COMexecsummmainissuesbullets"/>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32F6E9F"/>
    <w:multiLevelType w:val="hybridMultilevel"/>
    <w:tmpl w:val="660A207E"/>
    <w:lvl w:ilvl="0" w:tplc="36B4134E">
      <w:start w:val="1"/>
      <w:numFmt w:val="bullet"/>
      <w:pStyle w:val="NormalBulletLis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3924B96"/>
    <w:multiLevelType w:val="hybridMultilevel"/>
    <w:tmpl w:val="FC18D9B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6" w15:restartNumberingAfterBreak="0">
    <w:nsid w:val="23B6274A"/>
    <w:multiLevelType w:val="hybridMultilevel"/>
    <w:tmpl w:val="16062E6A"/>
    <w:lvl w:ilvl="0" w:tplc="4ED493F2">
      <w:start w:val="1"/>
      <w:numFmt w:val="decimal"/>
      <w:lvlText w:val="%1."/>
      <w:lvlJc w:val="left"/>
      <w:pPr>
        <w:ind w:left="1778" w:hanging="360"/>
      </w:pPr>
      <w:rPr>
        <w:rFonts w:asciiTheme="minorHAnsi" w:hAnsiTheme="minorHAnsi" w:cstheme="minorHAnsi" w:hint="default"/>
        <w:b w:val="0"/>
        <w:i w:val="0"/>
        <w:color w:val="auto"/>
        <w:sz w:val="24"/>
        <w:szCs w:val="24"/>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23FB11E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2C975E3F"/>
    <w:multiLevelType w:val="hybridMultilevel"/>
    <w:tmpl w:val="E624A8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CAC7A69"/>
    <w:multiLevelType w:val="hybridMultilevel"/>
    <w:tmpl w:val="E19A7C8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0" w15:restartNumberingAfterBreak="0">
    <w:nsid w:val="2E331FC1"/>
    <w:multiLevelType w:val="hybridMultilevel"/>
    <w:tmpl w:val="F26EF628"/>
    <w:lvl w:ilvl="0" w:tplc="205EFF2C">
      <w:start w:val="1"/>
      <w:numFmt w:val="bullet"/>
      <w:lvlText w:val="•"/>
      <w:lvlJc w:val="left"/>
      <w:pPr>
        <w:tabs>
          <w:tab w:val="num" w:pos="720"/>
        </w:tabs>
        <w:ind w:left="720" w:hanging="360"/>
      </w:pPr>
      <w:rPr>
        <w:rFonts w:ascii="Arial" w:hAnsi="Arial" w:hint="default"/>
      </w:rPr>
    </w:lvl>
    <w:lvl w:ilvl="1" w:tplc="F1FE3B1E">
      <w:numFmt w:val="bullet"/>
      <w:lvlText w:val="•"/>
      <w:lvlJc w:val="left"/>
      <w:pPr>
        <w:tabs>
          <w:tab w:val="num" w:pos="1440"/>
        </w:tabs>
        <w:ind w:left="1440" w:hanging="360"/>
      </w:pPr>
      <w:rPr>
        <w:rFonts w:ascii="Arial" w:hAnsi="Arial" w:hint="default"/>
      </w:rPr>
    </w:lvl>
    <w:lvl w:ilvl="2" w:tplc="6F5466B6">
      <w:numFmt w:val="bullet"/>
      <w:lvlText w:val="•"/>
      <w:lvlJc w:val="left"/>
      <w:pPr>
        <w:tabs>
          <w:tab w:val="num" w:pos="2160"/>
        </w:tabs>
        <w:ind w:left="2160" w:hanging="360"/>
      </w:pPr>
      <w:rPr>
        <w:rFonts w:ascii="Arial" w:hAnsi="Arial" w:hint="default"/>
      </w:rPr>
    </w:lvl>
    <w:lvl w:ilvl="3" w:tplc="D460EAA0" w:tentative="1">
      <w:start w:val="1"/>
      <w:numFmt w:val="bullet"/>
      <w:lvlText w:val="•"/>
      <w:lvlJc w:val="left"/>
      <w:pPr>
        <w:tabs>
          <w:tab w:val="num" w:pos="2880"/>
        </w:tabs>
        <w:ind w:left="2880" w:hanging="360"/>
      </w:pPr>
      <w:rPr>
        <w:rFonts w:ascii="Arial" w:hAnsi="Arial" w:hint="default"/>
      </w:rPr>
    </w:lvl>
    <w:lvl w:ilvl="4" w:tplc="A2E22A82" w:tentative="1">
      <w:start w:val="1"/>
      <w:numFmt w:val="bullet"/>
      <w:lvlText w:val="•"/>
      <w:lvlJc w:val="left"/>
      <w:pPr>
        <w:tabs>
          <w:tab w:val="num" w:pos="3600"/>
        </w:tabs>
        <w:ind w:left="3600" w:hanging="360"/>
      </w:pPr>
      <w:rPr>
        <w:rFonts w:ascii="Arial" w:hAnsi="Arial" w:hint="default"/>
      </w:rPr>
    </w:lvl>
    <w:lvl w:ilvl="5" w:tplc="38AEF54C" w:tentative="1">
      <w:start w:val="1"/>
      <w:numFmt w:val="bullet"/>
      <w:lvlText w:val="•"/>
      <w:lvlJc w:val="left"/>
      <w:pPr>
        <w:tabs>
          <w:tab w:val="num" w:pos="4320"/>
        </w:tabs>
        <w:ind w:left="4320" w:hanging="360"/>
      </w:pPr>
      <w:rPr>
        <w:rFonts w:ascii="Arial" w:hAnsi="Arial" w:hint="default"/>
      </w:rPr>
    </w:lvl>
    <w:lvl w:ilvl="6" w:tplc="1C36C66E" w:tentative="1">
      <w:start w:val="1"/>
      <w:numFmt w:val="bullet"/>
      <w:lvlText w:val="•"/>
      <w:lvlJc w:val="left"/>
      <w:pPr>
        <w:tabs>
          <w:tab w:val="num" w:pos="5040"/>
        </w:tabs>
        <w:ind w:left="5040" w:hanging="360"/>
      </w:pPr>
      <w:rPr>
        <w:rFonts w:ascii="Arial" w:hAnsi="Arial" w:hint="default"/>
      </w:rPr>
    </w:lvl>
    <w:lvl w:ilvl="7" w:tplc="F95605C2" w:tentative="1">
      <w:start w:val="1"/>
      <w:numFmt w:val="bullet"/>
      <w:lvlText w:val="•"/>
      <w:lvlJc w:val="left"/>
      <w:pPr>
        <w:tabs>
          <w:tab w:val="num" w:pos="5760"/>
        </w:tabs>
        <w:ind w:left="5760" w:hanging="360"/>
      </w:pPr>
      <w:rPr>
        <w:rFonts w:ascii="Arial" w:hAnsi="Arial" w:hint="default"/>
      </w:rPr>
    </w:lvl>
    <w:lvl w:ilvl="8" w:tplc="217C091E"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35757BF7"/>
    <w:multiLevelType w:val="hybridMultilevel"/>
    <w:tmpl w:val="FA3A16A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5886152"/>
    <w:multiLevelType w:val="hybridMultilevel"/>
    <w:tmpl w:val="B3F42210"/>
    <w:lvl w:ilvl="0" w:tplc="0C090001">
      <w:start w:val="1"/>
      <w:numFmt w:val="bullet"/>
      <w:lvlText w:val=""/>
      <w:lvlJc w:val="left"/>
      <w:pPr>
        <w:ind w:left="1545" w:hanging="360"/>
      </w:pPr>
      <w:rPr>
        <w:rFonts w:ascii="Symbol" w:hAnsi="Symbol" w:hint="default"/>
      </w:rPr>
    </w:lvl>
    <w:lvl w:ilvl="1" w:tplc="0C090003">
      <w:start w:val="1"/>
      <w:numFmt w:val="bullet"/>
      <w:lvlText w:val="o"/>
      <w:lvlJc w:val="left"/>
      <w:pPr>
        <w:ind w:left="2265" w:hanging="360"/>
      </w:pPr>
      <w:rPr>
        <w:rFonts w:ascii="Courier New" w:hAnsi="Courier New" w:cs="Courier New" w:hint="default"/>
      </w:rPr>
    </w:lvl>
    <w:lvl w:ilvl="2" w:tplc="0C090005" w:tentative="1">
      <w:start w:val="1"/>
      <w:numFmt w:val="bullet"/>
      <w:lvlText w:val=""/>
      <w:lvlJc w:val="left"/>
      <w:pPr>
        <w:ind w:left="2985" w:hanging="360"/>
      </w:pPr>
      <w:rPr>
        <w:rFonts w:ascii="Wingdings" w:hAnsi="Wingdings" w:hint="default"/>
      </w:rPr>
    </w:lvl>
    <w:lvl w:ilvl="3" w:tplc="0C090001" w:tentative="1">
      <w:start w:val="1"/>
      <w:numFmt w:val="bullet"/>
      <w:lvlText w:val=""/>
      <w:lvlJc w:val="left"/>
      <w:pPr>
        <w:ind w:left="3705" w:hanging="360"/>
      </w:pPr>
      <w:rPr>
        <w:rFonts w:ascii="Symbol" w:hAnsi="Symbol" w:hint="default"/>
      </w:rPr>
    </w:lvl>
    <w:lvl w:ilvl="4" w:tplc="0C090003" w:tentative="1">
      <w:start w:val="1"/>
      <w:numFmt w:val="bullet"/>
      <w:lvlText w:val="o"/>
      <w:lvlJc w:val="left"/>
      <w:pPr>
        <w:ind w:left="4425" w:hanging="360"/>
      </w:pPr>
      <w:rPr>
        <w:rFonts w:ascii="Courier New" w:hAnsi="Courier New" w:cs="Courier New" w:hint="default"/>
      </w:rPr>
    </w:lvl>
    <w:lvl w:ilvl="5" w:tplc="0C090005" w:tentative="1">
      <w:start w:val="1"/>
      <w:numFmt w:val="bullet"/>
      <w:lvlText w:val=""/>
      <w:lvlJc w:val="left"/>
      <w:pPr>
        <w:ind w:left="5145" w:hanging="360"/>
      </w:pPr>
      <w:rPr>
        <w:rFonts w:ascii="Wingdings" w:hAnsi="Wingdings" w:hint="default"/>
      </w:rPr>
    </w:lvl>
    <w:lvl w:ilvl="6" w:tplc="0C090001" w:tentative="1">
      <w:start w:val="1"/>
      <w:numFmt w:val="bullet"/>
      <w:lvlText w:val=""/>
      <w:lvlJc w:val="left"/>
      <w:pPr>
        <w:ind w:left="5865" w:hanging="360"/>
      </w:pPr>
      <w:rPr>
        <w:rFonts w:ascii="Symbol" w:hAnsi="Symbol" w:hint="default"/>
      </w:rPr>
    </w:lvl>
    <w:lvl w:ilvl="7" w:tplc="0C090003" w:tentative="1">
      <w:start w:val="1"/>
      <w:numFmt w:val="bullet"/>
      <w:lvlText w:val="o"/>
      <w:lvlJc w:val="left"/>
      <w:pPr>
        <w:ind w:left="6585" w:hanging="360"/>
      </w:pPr>
      <w:rPr>
        <w:rFonts w:ascii="Courier New" w:hAnsi="Courier New" w:cs="Courier New" w:hint="default"/>
      </w:rPr>
    </w:lvl>
    <w:lvl w:ilvl="8" w:tplc="0C090005" w:tentative="1">
      <w:start w:val="1"/>
      <w:numFmt w:val="bullet"/>
      <w:lvlText w:val=""/>
      <w:lvlJc w:val="left"/>
      <w:pPr>
        <w:ind w:left="7305" w:hanging="360"/>
      </w:pPr>
      <w:rPr>
        <w:rFonts w:ascii="Wingdings" w:hAnsi="Wingdings" w:hint="default"/>
      </w:rPr>
    </w:lvl>
  </w:abstractNum>
  <w:abstractNum w:abstractNumId="23" w15:restartNumberingAfterBreak="0">
    <w:nsid w:val="420B6ECC"/>
    <w:multiLevelType w:val="hybridMultilevel"/>
    <w:tmpl w:val="433EFFD0"/>
    <w:lvl w:ilvl="0" w:tplc="DEFAC1A4">
      <w:start w:val="1"/>
      <w:numFmt w:val="bullet"/>
      <w:lvlText w:val=""/>
      <w:lvlJc w:val="left"/>
      <w:pPr>
        <w:ind w:left="360" w:hanging="360"/>
      </w:pPr>
      <w:rPr>
        <w:rFonts w:ascii="Symbol" w:hAnsi="Symbol" w:hint="default"/>
      </w:rPr>
    </w:lvl>
    <w:lvl w:ilvl="1" w:tplc="853CC43C">
      <w:start w:val="1"/>
      <w:numFmt w:val="bullet"/>
      <w:pStyle w:val="NormalBulletList2"/>
      <w:lvlText w:val="o"/>
      <w:lvlJc w:val="left"/>
      <w:pPr>
        <w:ind w:left="1080" w:hanging="360"/>
      </w:pPr>
      <w:rPr>
        <w:rFonts w:ascii="Courier New" w:hAnsi="Courier New" w:cs="Courier New" w:hint="default"/>
      </w:rPr>
    </w:lvl>
    <w:lvl w:ilvl="2" w:tplc="61E61A46">
      <w:start w:val="1"/>
      <w:numFmt w:val="bullet"/>
      <w:lvlText w:val=""/>
      <w:lvlJc w:val="left"/>
      <w:pPr>
        <w:ind w:left="1800" w:hanging="360"/>
      </w:pPr>
      <w:rPr>
        <w:rFonts w:ascii="Wingdings" w:hAnsi="Wingdings" w:hint="default"/>
      </w:rPr>
    </w:lvl>
    <w:lvl w:ilvl="3" w:tplc="48E8658E" w:tentative="1">
      <w:start w:val="1"/>
      <w:numFmt w:val="bullet"/>
      <w:lvlText w:val=""/>
      <w:lvlJc w:val="left"/>
      <w:pPr>
        <w:ind w:left="2520" w:hanging="360"/>
      </w:pPr>
      <w:rPr>
        <w:rFonts w:ascii="Symbol" w:hAnsi="Symbol" w:hint="default"/>
      </w:rPr>
    </w:lvl>
    <w:lvl w:ilvl="4" w:tplc="4EE87910" w:tentative="1">
      <w:start w:val="1"/>
      <w:numFmt w:val="bullet"/>
      <w:lvlText w:val="o"/>
      <w:lvlJc w:val="left"/>
      <w:pPr>
        <w:ind w:left="3240" w:hanging="360"/>
      </w:pPr>
      <w:rPr>
        <w:rFonts w:ascii="Courier New" w:hAnsi="Courier New" w:cs="Courier New" w:hint="default"/>
      </w:rPr>
    </w:lvl>
    <w:lvl w:ilvl="5" w:tplc="E2D8FC36" w:tentative="1">
      <w:start w:val="1"/>
      <w:numFmt w:val="bullet"/>
      <w:lvlText w:val=""/>
      <w:lvlJc w:val="left"/>
      <w:pPr>
        <w:ind w:left="3960" w:hanging="360"/>
      </w:pPr>
      <w:rPr>
        <w:rFonts w:ascii="Wingdings" w:hAnsi="Wingdings" w:hint="default"/>
      </w:rPr>
    </w:lvl>
    <w:lvl w:ilvl="6" w:tplc="4B22A9DC" w:tentative="1">
      <w:start w:val="1"/>
      <w:numFmt w:val="bullet"/>
      <w:lvlText w:val=""/>
      <w:lvlJc w:val="left"/>
      <w:pPr>
        <w:ind w:left="4680" w:hanging="360"/>
      </w:pPr>
      <w:rPr>
        <w:rFonts w:ascii="Symbol" w:hAnsi="Symbol" w:hint="default"/>
      </w:rPr>
    </w:lvl>
    <w:lvl w:ilvl="7" w:tplc="02445202" w:tentative="1">
      <w:start w:val="1"/>
      <w:numFmt w:val="bullet"/>
      <w:lvlText w:val="o"/>
      <w:lvlJc w:val="left"/>
      <w:pPr>
        <w:ind w:left="5400" w:hanging="360"/>
      </w:pPr>
      <w:rPr>
        <w:rFonts w:ascii="Courier New" w:hAnsi="Courier New" w:cs="Courier New" w:hint="default"/>
      </w:rPr>
    </w:lvl>
    <w:lvl w:ilvl="8" w:tplc="947490A4" w:tentative="1">
      <w:start w:val="1"/>
      <w:numFmt w:val="bullet"/>
      <w:lvlText w:val=""/>
      <w:lvlJc w:val="left"/>
      <w:pPr>
        <w:ind w:left="6120" w:hanging="360"/>
      </w:pPr>
      <w:rPr>
        <w:rFonts w:ascii="Wingdings" w:hAnsi="Wingdings" w:hint="default"/>
      </w:rPr>
    </w:lvl>
  </w:abstractNum>
  <w:abstractNum w:abstractNumId="24" w15:restartNumberingAfterBreak="0">
    <w:nsid w:val="44442297"/>
    <w:multiLevelType w:val="hybridMultilevel"/>
    <w:tmpl w:val="E6FE4E00"/>
    <w:lvl w:ilvl="0" w:tplc="C324F4FC">
      <w:numFmt w:val="decimal"/>
      <w:pStyle w:val="zzBulletpoints"/>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25" w15:restartNumberingAfterBreak="0">
    <w:nsid w:val="458D67A6"/>
    <w:multiLevelType w:val="hybridMultilevel"/>
    <w:tmpl w:val="FAB8EED8"/>
    <w:lvl w:ilvl="0" w:tplc="8708BECA">
      <w:numFmt w:val="decimal"/>
      <w:pStyle w:val="ListParagraph"/>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26" w15:restartNumberingAfterBreak="0">
    <w:nsid w:val="4BE432BA"/>
    <w:multiLevelType w:val="hybridMultilevel"/>
    <w:tmpl w:val="A43C3F7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53F40AE8"/>
    <w:multiLevelType w:val="hybridMultilevel"/>
    <w:tmpl w:val="E30AB8FC"/>
    <w:lvl w:ilvl="0" w:tplc="1C1476F8">
      <w:start w:val="1"/>
      <w:numFmt w:val="bullet"/>
      <w:lvlText w:val=""/>
      <w:lvlJc w:val="left"/>
      <w:pPr>
        <w:ind w:left="1545" w:hanging="360"/>
      </w:pPr>
      <w:rPr>
        <w:rFonts w:ascii="Symbol" w:hAnsi="Symbol" w:hint="default"/>
        <w:color w:val="auto"/>
      </w:rPr>
    </w:lvl>
    <w:lvl w:ilvl="1" w:tplc="0C090003" w:tentative="1">
      <w:start w:val="1"/>
      <w:numFmt w:val="bullet"/>
      <w:lvlText w:val="o"/>
      <w:lvlJc w:val="left"/>
      <w:pPr>
        <w:ind w:left="2265" w:hanging="360"/>
      </w:pPr>
      <w:rPr>
        <w:rFonts w:ascii="Courier New" w:hAnsi="Courier New" w:cs="Courier New" w:hint="default"/>
      </w:rPr>
    </w:lvl>
    <w:lvl w:ilvl="2" w:tplc="0C090005" w:tentative="1">
      <w:start w:val="1"/>
      <w:numFmt w:val="bullet"/>
      <w:lvlText w:val=""/>
      <w:lvlJc w:val="left"/>
      <w:pPr>
        <w:ind w:left="2985" w:hanging="360"/>
      </w:pPr>
      <w:rPr>
        <w:rFonts w:ascii="Wingdings" w:hAnsi="Wingdings" w:hint="default"/>
      </w:rPr>
    </w:lvl>
    <w:lvl w:ilvl="3" w:tplc="0C090001" w:tentative="1">
      <w:start w:val="1"/>
      <w:numFmt w:val="bullet"/>
      <w:lvlText w:val=""/>
      <w:lvlJc w:val="left"/>
      <w:pPr>
        <w:ind w:left="3705" w:hanging="360"/>
      </w:pPr>
      <w:rPr>
        <w:rFonts w:ascii="Symbol" w:hAnsi="Symbol" w:hint="default"/>
      </w:rPr>
    </w:lvl>
    <w:lvl w:ilvl="4" w:tplc="0C090003" w:tentative="1">
      <w:start w:val="1"/>
      <w:numFmt w:val="bullet"/>
      <w:lvlText w:val="o"/>
      <w:lvlJc w:val="left"/>
      <w:pPr>
        <w:ind w:left="4425" w:hanging="360"/>
      </w:pPr>
      <w:rPr>
        <w:rFonts w:ascii="Courier New" w:hAnsi="Courier New" w:cs="Courier New" w:hint="default"/>
      </w:rPr>
    </w:lvl>
    <w:lvl w:ilvl="5" w:tplc="0C090005" w:tentative="1">
      <w:start w:val="1"/>
      <w:numFmt w:val="bullet"/>
      <w:lvlText w:val=""/>
      <w:lvlJc w:val="left"/>
      <w:pPr>
        <w:ind w:left="5145" w:hanging="360"/>
      </w:pPr>
      <w:rPr>
        <w:rFonts w:ascii="Wingdings" w:hAnsi="Wingdings" w:hint="default"/>
      </w:rPr>
    </w:lvl>
    <w:lvl w:ilvl="6" w:tplc="0C090001" w:tentative="1">
      <w:start w:val="1"/>
      <w:numFmt w:val="bullet"/>
      <w:lvlText w:val=""/>
      <w:lvlJc w:val="left"/>
      <w:pPr>
        <w:ind w:left="5865" w:hanging="360"/>
      </w:pPr>
      <w:rPr>
        <w:rFonts w:ascii="Symbol" w:hAnsi="Symbol" w:hint="default"/>
      </w:rPr>
    </w:lvl>
    <w:lvl w:ilvl="7" w:tplc="0C090003" w:tentative="1">
      <w:start w:val="1"/>
      <w:numFmt w:val="bullet"/>
      <w:lvlText w:val="o"/>
      <w:lvlJc w:val="left"/>
      <w:pPr>
        <w:ind w:left="6585" w:hanging="360"/>
      </w:pPr>
      <w:rPr>
        <w:rFonts w:ascii="Courier New" w:hAnsi="Courier New" w:cs="Courier New" w:hint="default"/>
      </w:rPr>
    </w:lvl>
    <w:lvl w:ilvl="8" w:tplc="0C090005" w:tentative="1">
      <w:start w:val="1"/>
      <w:numFmt w:val="bullet"/>
      <w:lvlText w:val=""/>
      <w:lvlJc w:val="left"/>
      <w:pPr>
        <w:ind w:left="7305" w:hanging="360"/>
      </w:pPr>
      <w:rPr>
        <w:rFonts w:ascii="Wingdings" w:hAnsi="Wingdings" w:hint="default"/>
      </w:rPr>
    </w:lvl>
  </w:abstractNum>
  <w:abstractNum w:abstractNumId="28" w15:restartNumberingAfterBreak="0">
    <w:nsid w:val="54C430CE"/>
    <w:multiLevelType w:val="hybridMultilevel"/>
    <w:tmpl w:val="16A6223C"/>
    <w:lvl w:ilvl="0" w:tplc="BC6C023C">
      <w:start w:val="1"/>
      <w:numFmt w:val="decimal"/>
      <w:lvlText w:val="%1."/>
      <w:lvlJc w:val="left"/>
      <w:pPr>
        <w:tabs>
          <w:tab w:val="num" w:pos="360"/>
        </w:tabs>
        <w:ind w:left="360" w:hanging="360"/>
      </w:pPr>
      <w:rPr>
        <w:rFonts w:ascii="Arial" w:hAnsi="Arial" w:cs="Arial" w:hint="default"/>
        <w:sz w:val="22"/>
        <w:szCs w:val="22"/>
      </w:rPr>
    </w:lvl>
    <w:lvl w:ilvl="1" w:tplc="0C090019">
      <w:start w:val="1"/>
      <w:numFmt w:val="lowerLetter"/>
      <w:lvlText w:val="%2."/>
      <w:lvlJc w:val="left"/>
      <w:pPr>
        <w:tabs>
          <w:tab w:val="num" w:pos="1080"/>
        </w:tabs>
        <w:ind w:left="1080" w:hanging="360"/>
      </w:pPr>
      <w:rPr>
        <w:rFonts w:cs="Times New Roman"/>
      </w:rPr>
    </w:lvl>
    <w:lvl w:ilvl="2" w:tplc="0C09001B">
      <w:start w:val="1"/>
      <w:numFmt w:val="lowerRoman"/>
      <w:lvlText w:val="%3."/>
      <w:lvlJc w:val="right"/>
      <w:pPr>
        <w:tabs>
          <w:tab w:val="num" w:pos="1800"/>
        </w:tabs>
        <w:ind w:left="1800" w:hanging="180"/>
      </w:pPr>
      <w:rPr>
        <w:rFonts w:cs="Times New Roman"/>
      </w:rPr>
    </w:lvl>
    <w:lvl w:ilvl="3" w:tplc="0C09000F">
      <w:start w:val="1"/>
      <w:numFmt w:val="decimal"/>
      <w:lvlText w:val="%4."/>
      <w:lvlJc w:val="left"/>
      <w:pPr>
        <w:tabs>
          <w:tab w:val="num" w:pos="2520"/>
        </w:tabs>
        <w:ind w:left="2520" w:hanging="360"/>
      </w:pPr>
      <w:rPr>
        <w:rFonts w:cs="Times New Roman"/>
      </w:rPr>
    </w:lvl>
    <w:lvl w:ilvl="4" w:tplc="0C090019">
      <w:start w:val="1"/>
      <w:numFmt w:val="lowerLetter"/>
      <w:lvlText w:val="%5."/>
      <w:lvlJc w:val="left"/>
      <w:pPr>
        <w:tabs>
          <w:tab w:val="num" w:pos="3240"/>
        </w:tabs>
        <w:ind w:left="3240" w:hanging="360"/>
      </w:pPr>
      <w:rPr>
        <w:rFonts w:cs="Times New Roman"/>
      </w:rPr>
    </w:lvl>
    <w:lvl w:ilvl="5" w:tplc="0C09001B">
      <w:start w:val="1"/>
      <w:numFmt w:val="lowerRoman"/>
      <w:lvlText w:val="%6."/>
      <w:lvlJc w:val="right"/>
      <w:pPr>
        <w:tabs>
          <w:tab w:val="num" w:pos="3960"/>
        </w:tabs>
        <w:ind w:left="3960" w:hanging="180"/>
      </w:pPr>
      <w:rPr>
        <w:rFonts w:cs="Times New Roman"/>
      </w:rPr>
    </w:lvl>
    <w:lvl w:ilvl="6" w:tplc="0C09000F">
      <w:start w:val="1"/>
      <w:numFmt w:val="decimal"/>
      <w:lvlText w:val="%7."/>
      <w:lvlJc w:val="left"/>
      <w:pPr>
        <w:tabs>
          <w:tab w:val="num" w:pos="4680"/>
        </w:tabs>
        <w:ind w:left="4680" w:hanging="360"/>
      </w:pPr>
      <w:rPr>
        <w:rFonts w:cs="Times New Roman"/>
      </w:rPr>
    </w:lvl>
    <w:lvl w:ilvl="7" w:tplc="0C090019">
      <w:start w:val="1"/>
      <w:numFmt w:val="lowerLetter"/>
      <w:lvlText w:val="%8."/>
      <w:lvlJc w:val="left"/>
      <w:pPr>
        <w:tabs>
          <w:tab w:val="num" w:pos="5400"/>
        </w:tabs>
        <w:ind w:left="5400" w:hanging="360"/>
      </w:pPr>
      <w:rPr>
        <w:rFonts w:cs="Times New Roman"/>
      </w:rPr>
    </w:lvl>
    <w:lvl w:ilvl="8" w:tplc="0C09001B">
      <w:start w:val="1"/>
      <w:numFmt w:val="lowerRoman"/>
      <w:lvlText w:val="%9."/>
      <w:lvlJc w:val="right"/>
      <w:pPr>
        <w:tabs>
          <w:tab w:val="num" w:pos="6120"/>
        </w:tabs>
        <w:ind w:left="6120" w:hanging="180"/>
      </w:pPr>
      <w:rPr>
        <w:rFonts w:cs="Times New Roman"/>
      </w:rPr>
    </w:lvl>
  </w:abstractNum>
  <w:abstractNum w:abstractNumId="29" w15:restartNumberingAfterBreak="0">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6C33798"/>
    <w:multiLevelType w:val="hybridMultilevel"/>
    <w:tmpl w:val="10D2873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1" w15:restartNumberingAfterBreak="0">
    <w:nsid w:val="5FFA4976"/>
    <w:multiLevelType w:val="hybridMultilevel"/>
    <w:tmpl w:val="B32407CA"/>
    <w:lvl w:ilvl="0" w:tplc="0C090019">
      <w:start w:val="2"/>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2" w15:restartNumberingAfterBreak="0">
    <w:nsid w:val="60084FBF"/>
    <w:multiLevelType w:val="hybridMultilevel"/>
    <w:tmpl w:val="47C2347C"/>
    <w:lvl w:ilvl="0" w:tplc="65423536">
      <w:numFmt w:val="decimal"/>
      <w:pStyle w:val="TableBullets"/>
      <w:lvlText w:val=""/>
      <w:lvlJc w:val="left"/>
    </w:lvl>
    <w:lvl w:ilvl="1" w:tplc="0C090003">
      <w:numFmt w:val="decimal"/>
      <w:lvlText w:val=""/>
      <w:lvlJc w:val="left"/>
    </w:lvl>
    <w:lvl w:ilvl="2" w:tplc="0C090005">
      <w:numFmt w:val="decimal"/>
      <w:lvlText w:val=""/>
      <w:lvlJc w:val="left"/>
    </w:lvl>
    <w:lvl w:ilvl="3" w:tplc="0C090001">
      <w:numFmt w:val="decimal"/>
      <w:lvlText w:val=""/>
      <w:lvlJc w:val="left"/>
    </w:lvl>
    <w:lvl w:ilvl="4" w:tplc="0C090003">
      <w:numFmt w:val="decimal"/>
      <w:lvlText w:val=""/>
      <w:lvlJc w:val="left"/>
    </w:lvl>
    <w:lvl w:ilvl="5" w:tplc="0C090005">
      <w:numFmt w:val="decimal"/>
      <w:lvlText w:val=""/>
      <w:lvlJc w:val="left"/>
    </w:lvl>
    <w:lvl w:ilvl="6" w:tplc="0C090001">
      <w:numFmt w:val="decimal"/>
      <w:lvlText w:val=""/>
      <w:lvlJc w:val="left"/>
    </w:lvl>
    <w:lvl w:ilvl="7" w:tplc="0C090003">
      <w:numFmt w:val="decimal"/>
      <w:lvlText w:val=""/>
      <w:lvlJc w:val="left"/>
    </w:lvl>
    <w:lvl w:ilvl="8" w:tplc="0C090005">
      <w:numFmt w:val="decimal"/>
      <w:lvlText w:val=""/>
      <w:lvlJc w:val="left"/>
    </w:lvl>
  </w:abstractNum>
  <w:abstractNum w:abstractNumId="33" w15:restartNumberingAfterBreak="0">
    <w:nsid w:val="604D2C4B"/>
    <w:multiLevelType w:val="hybridMultilevel"/>
    <w:tmpl w:val="26C4963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4" w15:restartNumberingAfterBreak="0">
    <w:nsid w:val="622574A0"/>
    <w:multiLevelType w:val="hybridMultilevel"/>
    <w:tmpl w:val="B9A2F522"/>
    <w:lvl w:ilvl="0" w:tplc="D562A7D8">
      <w:start w:val="1"/>
      <w:numFmt w:val="bullet"/>
      <w:lvlText w:val="•"/>
      <w:lvlJc w:val="left"/>
      <w:pPr>
        <w:tabs>
          <w:tab w:val="num" w:pos="720"/>
        </w:tabs>
        <w:ind w:left="720" w:hanging="360"/>
      </w:pPr>
      <w:rPr>
        <w:rFonts w:ascii="Arial" w:hAnsi="Arial" w:hint="default"/>
      </w:rPr>
    </w:lvl>
    <w:lvl w:ilvl="1" w:tplc="7E20223E" w:tentative="1">
      <w:start w:val="1"/>
      <w:numFmt w:val="bullet"/>
      <w:lvlText w:val="•"/>
      <w:lvlJc w:val="left"/>
      <w:pPr>
        <w:tabs>
          <w:tab w:val="num" w:pos="1440"/>
        </w:tabs>
        <w:ind w:left="1440" w:hanging="360"/>
      </w:pPr>
      <w:rPr>
        <w:rFonts w:ascii="Arial" w:hAnsi="Arial" w:hint="default"/>
      </w:rPr>
    </w:lvl>
    <w:lvl w:ilvl="2" w:tplc="E6AC0DC6" w:tentative="1">
      <w:start w:val="1"/>
      <w:numFmt w:val="bullet"/>
      <w:lvlText w:val="•"/>
      <w:lvlJc w:val="left"/>
      <w:pPr>
        <w:tabs>
          <w:tab w:val="num" w:pos="2160"/>
        </w:tabs>
        <w:ind w:left="2160" w:hanging="360"/>
      </w:pPr>
      <w:rPr>
        <w:rFonts w:ascii="Arial" w:hAnsi="Arial" w:hint="default"/>
      </w:rPr>
    </w:lvl>
    <w:lvl w:ilvl="3" w:tplc="C55E3CF2" w:tentative="1">
      <w:start w:val="1"/>
      <w:numFmt w:val="bullet"/>
      <w:lvlText w:val="•"/>
      <w:lvlJc w:val="left"/>
      <w:pPr>
        <w:tabs>
          <w:tab w:val="num" w:pos="2880"/>
        </w:tabs>
        <w:ind w:left="2880" w:hanging="360"/>
      </w:pPr>
      <w:rPr>
        <w:rFonts w:ascii="Arial" w:hAnsi="Arial" w:hint="default"/>
      </w:rPr>
    </w:lvl>
    <w:lvl w:ilvl="4" w:tplc="5C605316" w:tentative="1">
      <w:start w:val="1"/>
      <w:numFmt w:val="bullet"/>
      <w:lvlText w:val="•"/>
      <w:lvlJc w:val="left"/>
      <w:pPr>
        <w:tabs>
          <w:tab w:val="num" w:pos="3600"/>
        </w:tabs>
        <w:ind w:left="3600" w:hanging="360"/>
      </w:pPr>
      <w:rPr>
        <w:rFonts w:ascii="Arial" w:hAnsi="Arial" w:hint="default"/>
      </w:rPr>
    </w:lvl>
    <w:lvl w:ilvl="5" w:tplc="E702C1BC" w:tentative="1">
      <w:start w:val="1"/>
      <w:numFmt w:val="bullet"/>
      <w:lvlText w:val="•"/>
      <w:lvlJc w:val="left"/>
      <w:pPr>
        <w:tabs>
          <w:tab w:val="num" w:pos="4320"/>
        </w:tabs>
        <w:ind w:left="4320" w:hanging="360"/>
      </w:pPr>
      <w:rPr>
        <w:rFonts w:ascii="Arial" w:hAnsi="Arial" w:hint="default"/>
      </w:rPr>
    </w:lvl>
    <w:lvl w:ilvl="6" w:tplc="02C47CD6" w:tentative="1">
      <w:start w:val="1"/>
      <w:numFmt w:val="bullet"/>
      <w:lvlText w:val="•"/>
      <w:lvlJc w:val="left"/>
      <w:pPr>
        <w:tabs>
          <w:tab w:val="num" w:pos="5040"/>
        </w:tabs>
        <w:ind w:left="5040" w:hanging="360"/>
      </w:pPr>
      <w:rPr>
        <w:rFonts w:ascii="Arial" w:hAnsi="Arial" w:hint="default"/>
      </w:rPr>
    </w:lvl>
    <w:lvl w:ilvl="7" w:tplc="9ED036F4" w:tentative="1">
      <w:start w:val="1"/>
      <w:numFmt w:val="bullet"/>
      <w:lvlText w:val="•"/>
      <w:lvlJc w:val="left"/>
      <w:pPr>
        <w:tabs>
          <w:tab w:val="num" w:pos="5760"/>
        </w:tabs>
        <w:ind w:left="5760" w:hanging="360"/>
      </w:pPr>
      <w:rPr>
        <w:rFonts w:ascii="Arial" w:hAnsi="Arial" w:hint="default"/>
      </w:rPr>
    </w:lvl>
    <w:lvl w:ilvl="8" w:tplc="7828FC68"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68652E06"/>
    <w:multiLevelType w:val="hybridMultilevel"/>
    <w:tmpl w:val="AD3E95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D5D538F"/>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777F0935"/>
    <w:multiLevelType w:val="hybridMultilevel"/>
    <w:tmpl w:val="6742E2F2"/>
    <w:lvl w:ilvl="0" w:tplc="ED9E7A30">
      <w:numFmt w:val="decimal"/>
      <w:pStyle w:val="Numbering"/>
      <w:lvlText w:val=""/>
      <w:lvlJc w:val="left"/>
    </w:lvl>
    <w:lvl w:ilvl="1" w:tplc="0C090003">
      <w:numFmt w:val="decimal"/>
      <w:lvlText w:val=""/>
      <w:lvlJc w:val="left"/>
    </w:lvl>
    <w:lvl w:ilvl="2" w:tplc="0C090005">
      <w:numFmt w:val="decimal"/>
      <w:lvlText w:val=""/>
      <w:lvlJc w:val="left"/>
    </w:lvl>
    <w:lvl w:ilvl="3" w:tplc="0C090001">
      <w:numFmt w:val="decimal"/>
      <w:lvlText w:val=""/>
      <w:lvlJc w:val="left"/>
    </w:lvl>
    <w:lvl w:ilvl="4" w:tplc="0C090003">
      <w:numFmt w:val="decimal"/>
      <w:lvlText w:val=""/>
      <w:lvlJc w:val="left"/>
    </w:lvl>
    <w:lvl w:ilvl="5" w:tplc="0C090005">
      <w:numFmt w:val="decimal"/>
      <w:lvlText w:val=""/>
      <w:lvlJc w:val="left"/>
    </w:lvl>
    <w:lvl w:ilvl="6" w:tplc="0C090001">
      <w:numFmt w:val="decimal"/>
      <w:lvlText w:val=""/>
      <w:lvlJc w:val="left"/>
    </w:lvl>
    <w:lvl w:ilvl="7" w:tplc="0C090003">
      <w:numFmt w:val="decimal"/>
      <w:lvlText w:val=""/>
      <w:lvlJc w:val="left"/>
    </w:lvl>
    <w:lvl w:ilvl="8" w:tplc="0C090005">
      <w:numFmt w:val="decimal"/>
      <w:lvlText w:val=""/>
      <w:lvlJc w:val="left"/>
    </w:lvl>
  </w:abstractNum>
  <w:abstractNum w:abstractNumId="38" w15:restartNumberingAfterBreak="0">
    <w:nsid w:val="784D033C"/>
    <w:multiLevelType w:val="multilevel"/>
    <w:tmpl w:val="F530D190"/>
    <w:lvl w:ilvl="0">
      <w:start w:val="1"/>
      <w:numFmt w:val="decimal"/>
      <w:pStyle w:val="COMH1numbered"/>
      <w:lvlText w:val="%1"/>
      <w:lvlJc w:val="left"/>
      <w:pPr>
        <w:ind w:left="720" w:hanging="720"/>
      </w:pPr>
      <w:rPr>
        <w:rFonts w:hint="default"/>
        <w:b/>
      </w:rPr>
    </w:lvl>
    <w:lvl w:ilvl="1">
      <w:start w:val="1"/>
      <w:numFmt w:val="decimal"/>
      <w:pStyle w:val="COMexecsumnumberedpara"/>
      <w:lvlText w:val="%1.%2"/>
      <w:lvlJc w:val="left"/>
      <w:rPr>
        <w:rFonts w:asciiTheme="minorHAnsi" w:hAnsiTheme="minorHAnsi" w:cstheme="minorHAnsi" w:hint="default"/>
        <w:b w:val="0"/>
        <w:bCs w:val="0"/>
        <w:i w:val="0"/>
        <w:iCs w:val="0"/>
        <w:caps w:val="0"/>
        <w:smallCaps w:val="0"/>
        <w:strike w:val="0"/>
        <w:dstrike w:val="0"/>
        <w:noProof w:val="0"/>
        <w:vanish w:val="0"/>
        <w:color w:val="auto"/>
        <w:spacing w:val="0"/>
        <w:kern w:val="0"/>
        <w:position w:val="0"/>
        <w:sz w:val="24"/>
        <w:szCs w:val="24"/>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38"/>
  </w:num>
  <w:num w:numId="2">
    <w:abstractNumId w:val="24"/>
  </w:num>
  <w:num w:numId="3">
    <w:abstractNumId w:val="25"/>
  </w:num>
  <w:num w:numId="4">
    <w:abstractNumId w:val="0"/>
  </w:num>
  <w:num w:numId="5">
    <w:abstractNumId w:val="13"/>
  </w:num>
  <w:num w:numId="6">
    <w:abstractNumId w:val="32"/>
  </w:num>
  <w:num w:numId="7">
    <w:abstractNumId w:val="4"/>
  </w:num>
  <w:num w:numId="8">
    <w:abstractNumId w:val="21"/>
  </w:num>
  <w:num w:numId="9">
    <w:abstractNumId w:val="8"/>
  </w:num>
  <w:num w:numId="10">
    <w:abstractNumId w:val="37"/>
  </w:num>
  <w:num w:numId="11">
    <w:abstractNumId w:val="14"/>
  </w:num>
  <w:num w:numId="12">
    <w:abstractNumId w:val="7"/>
  </w:num>
  <w:num w:numId="13">
    <w:abstractNumId w:val="38"/>
  </w:num>
  <w:num w:numId="14">
    <w:abstractNumId w:val="12"/>
  </w:num>
  <w:num w:numId="15">
    <w:abstractNumId w:val="35"/>
  </w:num>
  <w:num w:numId="16">
    <w:abstractNumId w:val="22"/>
  </w:num>
  <w:num w:numId="17">
    <w:abstractNumId w:val="33"/>
  </w:num>
  <w:num w:numId="18">
    <w:abstractNumId w:val="10"/>
  </w:num>
  <w:num w:numId="19">
    <w:abstractNumId w:val="27"/>
  </w:num>
  <w:num w:numId="20">
    <w:abstractNumId w:val="2"/>
  </w:num>
  <w:num w:numId="21">
    <w:abstractNumId w:val="23"/>
  </w:num>
  <w:num w:numId="22">
    <w:abstractNumId w:val="16"/>
  </w:num>
  <w:num w:numId="23">
    <w:abstractNumId w:val="3"/>
  </w:num>
  <w:num w:numId="24">
    <w:abstractNumId w:val="11"/>
  </w:num>
  <w:num w:numId="25">
    <w:abstractNumId w:val="30"/>
  </w:num>
  <w:num w:numId="26">
    <w:abstractNumId w:val="26"/>
  </w:num>
  <w:num w:numId="27">
    <w:abstractNumId w:val="5"/>
  </w:num>
  <w:num w:numId="28">
    <w:abstractNumId w:val="28"/>
  </w:num>
  <w:num w:numId="29">
    <w:abstractNumId w:val="29"/>
  </w:num>
  <w:num w:numId="30">
    <w:abstractNumId w:val="6"/>
  </w:num>
  <w:num w:numId="31">
    <w:abstractNumId w:val="1"/>
  </w:num>
  <w:num w:numId="32">
    <w:abstractNumId w:val="17"/>
  </w:num>
  <w:num w:numId="33">
    <w:abstractNumId w:val="18"/>
  </w:num>
  <w:num w:numId="34">
    <w:abstractNumId w:val="15"/>
  </w:num>
  <w:num w:numId="35">
    <w:abstractNumId w:val="3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6"/>
  </w:num>
  <w:num w:numId="37">
    <w:abstractNumId w:val="19"/>
  </w:num>
  <w:num w:numId="38">
    <w:abstractNumId w:val="34"/>
  </w:num>
  <w:num w:numId="39">
    <w:abstractNumId w:val="9"/>
  </w:num>
  <w:num w:numId="40">
    <w:abstractNumId w:val="20"/>
  </w:num>
  <w:num w:numId="41">
    <w:abstractNumId w:val="38"/>
  </w:num>
  <w:num w:numId="42">
    <w:abstractNumId w:val="38"/>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5E79"/>
    <w:rsid w:val="00000790"/>
    <w:rsid w:val="000009E2"/>
    <w:rsid w:val="0000110B"/>
    <w:rsid w:val="000029A0"/>
    <w:rsid w:val="00003434"/>
    <w:rsid w:val="00003499"/>
    <w:rsid w:val="000038BE"/>
    <w:rsid w:val="000039B7"/>
    <w:rsid w:val="0000414C"/>
    <w:rsid w:val="00004F71"/>
    <w:rsid w:val="00005248"/>
    <w:rsid w:val="000055CD"/>
    <w:rsid w:val="000056B9"/>
    <w:rsid w:val="0000639A"/>
    <w:rsid w:val="00006526"/>
    <w:rsid w:val="000068E3"/>
    <w:rsid w:val="00006B2E"/>
    <w:rsid w:val="0000777D"/>
    <w:rsid w:val="00010D9F"/>
    <w:rsid w:val="000116A8"/>
    <w:rsid w:val="00011F51"/>
    <w:rsid w:val="00011F88"/>
    <w:rsid w:val="0001246B"/>
    <w:rsid w:val="00012B58"/>
    <w:rsid w:val="00012E9D"/>
    <w:rsid w:val="00013247"/>
    <w:rsid w:val="000139D7"/>
    <w:rsid w:val="00013E2A"/>
    <w:rsid w:val="00013E4D"/>
    <w:rsid w:val="00014D5E"/>
    <w:rsid w:val="00015463"/>
    <w:rsid w:val="00015886"/>
    <w:rsid w:val="000160B3"/>
    <w:rsid w:val="000162EF"/>
    <w:rsid w:val="0001651D"/>
    <w:rsid w:val="00016A8F"/>
    <w:rsid w:val="00016CAF"/>
    <w:rsid w:val="00016EB4"/>
    <w:rsid w:val="00017854"/>
    <w:rsid w:val="00017919"/>
    <w:rsid w:val="000207C9"/>
    <w:rsid w:val="0002225F"/>
    <w:rsid w:val="00022D6D"/>
    <w:rsid w:val="00022EA9"/>
    <w:rsid w:val="00023763"/>
    <w:rsid w:val="00023AB6"/>
    <w:rsid w:val="00023FA8"/>
    <w:rsid w:val="00024EB5"/>
    <w:rsid w:val="000254B8"/>
    <w:rsid w:val="000256C7"/>
    <w:rsid w:val="00025B7E"/>
    <w:rsid w:val="000274B8"/>
    <w:rsid w:val="00027DF5"/>
    <w:rsid w:val="00030603"/>
    <w:rsid w:val="00031DAE"/>
    <w:rsid w:val="00031DD2"/>
    <w:rsid w:val="0003202A"/>
    <w:rsid w:val="000321FE"/>
    <w:rsid w:val="00032337"/>
    <w:rsid w:val="000323AA"/>
    <w:rsid w:val="000327B5"/>
    <w:rsid w:val="00032AF1"/>
    <w:rsid w:val="000337AA"/>
    <w:rsid w:val="00033843"/>
    <w:rsid w:val="00033863"/>
    <w:rsid w:val="00033BE0"/>
    <w:rsid w:val="00033C94"/>
    <w:rsid w:val="0003440C"/>
    <w:rsid w:val="00034AE3"/>
    <w:rsid w:val="00034BC5"/>
    <w:rsid w:val="000357A4"/>
    <w:rsid w:val="00035DC0"/>
    <w:rsid w:val="00036829"/>
    <w:rsid w:val="00037A10"/>
    <w:rsid w:val="00037CE7"/>
    <w:rsid w:val="00040895"/>
    <w:rsid w:val="000410A0"/>
    <w:rsid w:val="000410A5"/>
    <w:rsid w:val="0004175E"/>
    <w:rsid w:val="00042130"/>
    <w:rsid w:val="0004275C"/>
    <w:rsid w:val="00043001"/>
    <w:rsid w:val="000435EE"/>
    <w:rsid w:val="00043C37"/>
    <w:rsid w:val="00043DD4"/>
    <w:rsid w:val="00044B9A"/>
    <w:rsid w:val="00045017"/>
    <w:rsid w:val="0004503D"/>
    <w:rsid w:val="00045845"/>
    <w:rsid w:val="00045A2B"/>
    <w:rsid w:val="00045E2A"/>
    <w:rsid w:val="000460CD"/>
    <w:rsid w:val="0004698F"/>
    <w:rsid w:val="00046D64"/>
    <w:rsid w:val="0004780F"/>
    <w:rsid w:val="0005009A"/>
    <w:rsid w:val="000502D4"/>
    <w:rsid w:val="0005045E"/>
    <w:rsid w:val="000508C2"/>
    <w:rsid w:val="00050D58"/>
    <w:rsid w:val="000514EA"/>
    <w:rsid w:val="0005168E"/>
    <w:rsid w:val="00051880"/>
    <w:rsid w:val="000521F0"/>
    <w:rsid w:val="000538AB"/>
    <w:rsid w:val="000539D0"/>
    <w:rsid w:val="00054621"/>
    <w:rsid w:val="000546D7"/>
    <w:rsid w:val="00054A8D"/>
    <w:rsid w:val="00054CA4"/>
    <w:rsid w:val="00055639"/>
    <w:rsid w:val="00055B4C"/>
    <w:rsid w:val="00055F52"/>
    <w:rsid w:val="00056A26"/>
    <w:rsid w:val="00056CBE"/>
    <w:rsid w:val="00056ECF"/>
    <w:rsid w:val="00056F98"/>
    <w:rsid w:val="00057421"/>
    <w:rsid w:val="000575A5"/>
    <w:rsid w:val="00057609"/>
    <w:rsid w:val="00057836"/>
    <w:rsid w:val="000604DF"/>
    <w:rsid w:val="00060513"/>
    <w:rsid w:val="00060E7E"/>
    <w:rsid w:val="00061D43"/>
    <w:rsid w:val="00062222"/>
    <w:rsid w:val="00062324"/>
    <w:rsid w:val="00063250"/>
    <w:rsid w:val="000632F0"/>
    <w:rsid w:val="00063B28"/>
    <w:rsid w:val="00063CA1"/>
    <w:rsid w:val="00064039"/>
    <w:rsid w:val="00064F36"/>
    <w:rsid w:val="000651ED"/>
    <w:rsid w:val="000652EF"/>
    <w:rsid w:val="000653B5"/>
    <w:rsid w:val="000659CB"/>
    <w:rsid w:val="00066360"/>
    <w:rsid w:val="00066A6E"/>
    <w:rsid w:val="00066AF8"/>
    <w:rsid w:val="0006766F"/>
    <w:rsid w:val="00067982"/>
    <w:rsid w:val="000708EC"/>
    <w:rsid w:val="00070EB6"/>
    <w:rsid w:val="00071248"/>
    <w:rsid w:val="0007130A"/>
    <w:rsid w:val="000720B9"/>
    <w:rsid w:val="00072D56"/>
    <w:rsid w:val="000737F7"/>
    <w:rsid w:val="000740F3"/>
    <w:rsid w:val="00074FCE"/>
    <w:rsid w:val="0007537A"/>
    <w:rsid w:val="0007577A"/>
    <w:rsid w:val="00075D53"/>
    <w:rsid w:val="0007672F"/>
    <w:rsid w:val="00076B54"/>
    <w:rsid w:val="00076DC4"/>
    <w:rsid w:val="000772EA"/>
    <w:rsid w:val="000774F0"/>
    <w:rsid w:val="00077DC5"/>
    <w:rsid w:val="000801DB"/>
    <w:rsid w:val="0008059D"/>
    <w:rsid w:val="00080661"/>
    <w:rsid w:val="000808E1"/>
    <w:rsid w:val="00080909"/>
    <w:rsid w:val="000812CA"/>
    <w:rsid w:val="000812FD"/>
    <w:rsid w:val="0008159F"/>
    <w:rsid w:val="0008192D"/>
    <w:rsid w:val="00081A40"/>
    <w:rsid w:val="00081C9A"/>
    <w:rsid w:val="00081E63"/>
    <w:rsid w:val="0008235E"/>
    <w:rsid w:val="000824D1"/>
    <w:rsid w:val="0008258D"/>
    <w:rsid w:val="00082B6C"/>
    <w:rsid w:val="00083BEF"/>
    <w:rsid w:val="00083E8C"/>
    <w:rsid w:val="00083E99"/>
    <w:rsid w:val="00084489"/>
    <w:rsid w:val="000844DE"/>
    <w:rsid w:val="00084553"/>
    <w:rsid w:val="00084FA8"/>
    <w:rsid w:val="000856C5"/>
    <w:rsid w:val="00085A8E"/>
    <w:rsid w:val="00085C31"/>
    <w:rsid w:val="00085D00"/>
    <w:rsid w:val="00085E1F"/>
    <w:rsid w:val="000864FC"/>
    <w:rsid w:val="000867B2"/>
    <w:rsid w:val="00086905"/>
    <w:rsid w:val="0008695A"/>
    <w:rsid w:val="00086BF9"/>
    <w:rsid w:val="00086D33"/>
    <w:rsid w:val="0008742E"/>
    <w:rsid w:val="00087BBB"/>
    <w:rsid w:val="00087F71"/>
    <w:rsid w:val="000902D9"/>
    <w:rsid w:val="000909E2"/>
    <w:rsid w:val="00090C7E"/>
    <w:rsid w:val="000911AC"/>
    <w:rsid w:val="00091406"/>
    <w:rsid w:val="000916E8"/>
    <w:rsid w:val="00091784"/>
    <w:rsid w:val="0009182E"/>
    <w:rsid w:val="00092600"/>
    <w:rsid w:val="0009262B"/>
    <w:rsid w:val="00092B16"/>
    <w:rsid w:val="00093310"/>
    <w:rsid w:val="00093C3C"/>
    <w:rsid w:val="00094160"/>
    <w:rsid w:val="0009445C"/>
    <w:rsid w:val="00094479"/>
    <w:rsid w:val="000948C5"/>
    <w:rsid w:val="00095200"/>
    <w:rsid w:val="0009531A"/>
    <w:rsid w:val="00095D5E"/>
    <w:rsid w:val="00095FE5"/>
    <w:rsid w:val="00096284"/>
    <w:rsid w:val="000963BF"/>
    <w:rsid w:val="00096AD3"/>
    <w:rsid w:val="00096B6C"/>
    <w:rsid w:val="00096E07"/>
    <w:rsid w:val="00096E5B"/>
    <w:rsid w:val="00096E7A"/>
    <w:rsid w:val="000A0101"/>
    <w:rsid w:val="000A02E2"/>
    <w:rsid w:val="000A102C"/>
    <w:rsid w:val="000A108A"/>
    <w:rsid w:val="000A1119"/>
    <w:rsid w:val="000A1BC0"/>
    <w:rsid w:val="000A2D53"/>
    <w:rsid w:val="000A2F9E"/>
    <w:rsid w:val="000A340D"/>
    <w:rsid w:val="000A3E47"/>
    <w:rsid w:val="000A4C12"/>
    <w:rsid w:val="000A4E69"/>
    <w:rsid w:val="000A4F2A"/>
    <w:rsid w:val="000A522B"/>
    <w:rsid w:val="000A599E"/>
    <w:rsid w:val="000A6039"/>
    <w:rsid w:val="000A688C"/>
    <w:rsid w:val="000A69AB"/>
    <w:rsid w:val="000A7453"/>
    <w:rsid w:val="000A77F8"/>
    <w:rsid w:val="000A78EB"/>
    <w:rsid w:val="000A7D08"/>
    <w:rsid w:val="000B0121"/>
    <w:rsid w:val="000B0670"/>
    <w:rsid w:val="000B0C26"/>
    <w:rsid w:val="000B0E75"/>
    <w:rsid w:val="000B1945"/>
    <w:rsid w:val="000B1E9B"/>
    <w:rsid w:val="000B1FD2"/>
    <w:rsid w:val="000B20E8"/>
    <w:rsid w:val="000B2327"/>
    <w:rsid w:val="000B2DCB"/>
    <w:rsid w:val="000B4B00"/>
    <w:rsid w:val="000B543D"/>
    <w:rsid w:val="000B5BB3"/>
    <w:rsid w:val="000B5CE0"/>
    <w:rsid w:val="000B60C8"/>
    <w:rsid w:val="000B6761"/>
    <w:rsid w:val="000B683D"/>
    <w:rsid w:val="000B6CAC"/>
    <w:rsid w:val="000B7612"/>
    <w:rsid w:val="000B78AE"/>
    <w:rsid w:val="000B7C98"/>
    <w:rsid w:val="000C0684"/>
    <w:rsid w:val="000C0F1C"/>
    <w:rsid w:val="000C1918"/>
    <w:rsid w:val="000C25AB"/>
    <w:rsid w:val="000C3065"/>
    <w:rsid w:val="000C3DF9"/>
    <w:rsid w:val="000C3F3C"/>
    <w:rsid w:val="000C43E4"/>
    <w:rsid w:val="000C441E"/>
    <w:rsid w:val="000C478E"/>
    <w:rsid w:val="000C4915"/>
    <w:rsid w:val="000C4CF2"/>
    <w:rsid w:val="000C5836"/>
    <w:rsid w:val="000C5B97"/>
    <w:rsid w:val="000C5D30"/>
    <w:rsid w:val="000C64C3"/>
    <w:rsid w:val="000C650F"/>
    <w:rsid w:val="000C6713"/>
    <w:rsid w:val="000C6C2F"/>
    <w:rsid w:val="000C7133"/>
    <w:rsid w:val="000C73DA"/>
    <w:rsid w:val="000C74CD"/>
    <w:rsid w:val="000C7EBA"/>
    <w:rsid w:val="000D045D"/>
    <w:rsid w:val="000D12D0"/>
    <w:rsid w:val="000D13E8"/>
    <w:rsid w:val="000D1707"/>
    <w:rsid w:val="000D1729"/>
    <w:rsid w:val="000D1BFC"/>
    <w:rsid w:val="000D1D5D"/>
    <w:rsid w:val="000D1E88"/>
    <w:rsid w:val="000D1EAA"/>
    <w:rsid w:val="000D1FCE"/>
    <w:rsid w:val="000D281A"/>
    <w:rsid w:val="000D2848"/>
    <w:rsid w:val="000D28E8"/>
    <w:rsid w:val="000D326A"/>
    <w:rsid w:val="000D33A1"/>
    <w:rsid w:val="000D3A99"/>
    <w:rsid w:val="000D40F6"/>
    <w:rsid w:val="000D4675"/>
    <w:rsid w:val="000D4B6D"/>
    <w:rsid w:val="000D4CF3"/>
    <w:rsid w:val="000D51FB"/>
    <w:rsid w:val="000D5274"/>
    <w:rsid w:val="000D5739"/>
    <w:rsid w:val="000D5A2E"/>
    <w:rsid w:val="000D5A4D"/>
    <w:rsid w:val="000D5CE3"/>
    <w:rsid w:val="000D5EE2"/>
    <w:rsid w:val="000D6363"/>
    <w:rsid w:val="000D66F6"/>
    <w:rsid w:val="000D6ECD"/>
    <w:rsid w:val="000D74DE"/>
    <w:rsid w:val="000E01CC"/>
    <w:rsid w:val="000E02AD"/>
    <w:rsid w:val="000E046B"/>
    <w:rsid w:val="000E0640"/>
    <w:rsid w:val="000E0DD3"/>
    <w:rsid w:val="000E135D"/>
    <w:rsid w:val="000E138B"/>
    <w:rsid w:val="000E1BB1"/>
    <w:rsid w:val="000E2848"/>
    <w:rsid w:val="000E3DF0"/>
    <w:rsid w:val="000E4306"/>
    <w:rsid w:val="000E43B5"/>
    <w:rsid w:val="000E441C"/>
    <w:rsid w:val="000E45D6"/>
    <w:rsid w:val="000E45EF"/>
    <w:rsid w:val="000E4B19"/>
    <w:rsid w:val="000E5115"/>
    <w:rsid w:val="000E54D6"/>
    <w:rsid w:val="000E616F"/>
    <w:rsid w:val="000E6EED"/>
    <w:rsid w:val="000E7720"/>
    <w:rsid w:val="000E7825"/>
    <w:rsid w:val="000F0042"/>
    <w:rsid w:val="000F00BA"/>
    <w:rsid w:val="000F01E3"/>
    <w:rsid w:val="000F0D70"/>
    <w:rsid w:val="000F0DB6"/>
    <w:rsid w:val="000F0F0E"/>
    <w:rsid w:val="000F1262"/>
    <w:rsid w:val="000F15B1"/>
    <w:rsid w:val="000F1F1C"/>
    <w:rsid w:val="000F2664"/>
    <w:rsid w:val="000F2931"/>
    <w:rsid w:val="000F316A"/>
    <w:rsid w:val="000F3801"/>
    <w:rsid w:val="000F3C74"/>
    <w:rsid w:val="000F4BB8"/>
    <w:rsid w:val="000F4FA9"/>
    <w:rsid w:val="000F4FC5"/>
    <w:rsid w:val="000F53FB"/>
    <w:rsid w:val="000F6855"/>
    <w:rsid w:val="000F6DA0"/>
    <w:rsid w:val="000F7040"/>
    <w:rsid w:val="000F7127"/>
    <w:rsid w:val="000F7B54"/>
    <w:rsid w:val="001000B3"/>
    <w:rsid w:val="00100A0F"/>
    <w:rsid w:val="00100F8A"/>
    <w:rsid w:val="00101F83"/>
    <w:rsid w:val="00102D70"/>
    <w:rsid w:val="00102EF5"/>
    <w:rsid w:val="0010394E"/>
    <w:rsid w:val="00103F5D"/>
    <w:rsid w:val="0010452E"/>
    <w:rsid w:val="00104A68"/>
    <w:rsid w:val="00105699"/>
    <w:rsid w:val="00105AE2"/>
    <w:rsid w:val="00105D93"/>
    <w:rsid w:val="001060C6"/>
    <w:rsid w:val="00106860"/>
    <w:rsid w:val="00106B80"/>
    <w:rsid w:val="001070F3"/>
    <w:rsid w:val="00107953"/>
    <w:rsid w:val="00107A4C"/>
    <w:rsid w:val="00107FFC"/>
    <w:rsid w:val="0011032E"/>
    <w:rsid w:val="001104B7"/>
    <w:rsid w:val="001104F5"/>
    <w:rsid w:val="001105AA"/>
    <w:rsid w:val="00110616"/>
    <w:rsid w:val="00110C36"/>
    <w:rsid w:val="001110C9"/>
    <w:rsid w:val="001115B4"/>
    <w:rsid w:val="00112140"/>
    <w:rsid w:val="001130A3"/>
    <w:rsid w:val="001131E8"/>
    <w:rsid w:val="0011348B"/>
    <w:rsid w:val="00113876"/>
    <w:rsid w:val="00113E49"/>
    <w:rsid w:val="00113F86"/>
    <w:rsid w:val="0011401C"/>
    <w:rsid w:val="001140DA"/>
    <w:rsid w:val="00114D7F"/>
    <w:rsid w:val="00114F08"/>
    <w:rsid w:val="0011516D"/>
    <w:rsid w:val="00115982"/>
    <w:rsid w:val="001159D0"/>
    <w:rsid w:val="00115D6D"/>
    <w:rsid w:val="00116098"/>
    <w:rsid w:val="00116118"/>
    <w:rsid w:val="001166C1"/>
    <w:rsid w:val="00116C53"/>
    <w:rsid w:val="00116D1D"/>
    <w:rsid w:val="00116DF7"/>
    <w:rsid w:val="00117548"/>
    <w:rsid w:val="00120228"/>
    <w:rsid w:val="00120EBA"/>
    <w:rsid w:val="00121799"/>
    <w:rsid w:val="00121EB6"/>
    <w:rsid w:val="00121F99"/>
    <w:rsid w:val="001222FC"/>
    <w:rsid w:val="001224C3"/>
    <w:rsid w:val="00122986"/>
    <w:rsid w:val="00122A8D"/>
    <w:rsid w:val="001232A3"/>
    <w:rsid w:val="00123902"/>
    <w:rsid w:val="00123CC4"/>
    <w:rsid w:val="00124747"/>
    <w:rsid w:val="001248EC"/>
    <w:rsid w:val="00124A51"/>
    <w:rsid w:val="00126621"/>
    <w:rsid w:val="00126B1D"/>
    <w:rsid w:val="00126C72"/>
    <w:rsid w:val="00126C75"/>
    <w:rsid w:val="00127213"/>
    <w:rsid w:val="001273EF"/>
    <w:rsid w:val="00127AB7"/>
    <w:rsid w:val="00127CFE"/>
    <w:rsid w:val="00127FD6"/>
    <w:rsid w:val="001301E9"/>
    <w:rsid w:val="0013049E"/>
    <w:rsid w:val="001309C3"/>
    <w:rsid w:val="00130F00"/>
    <w:rsid w:val="00131D82"/>
    <w:rsid w:val="00132B22"/>
    <w:rsid w:val="0013360C"/>
    <w:rsid w:val="00133C29"/>
    <w:rsid w:val="00133CA8"/>
    <w:rsid w:val="00133D36"/>
    <w:rsid w:val="00133D91"/>
    <w:rsid w:val="00134B11"/>
    <w:rsid w:val="001350AF"/>
    <w:rsid w:val="001351E7"/>
    <w:rsid w:val="001356F7"/>
    <w:rsid w:val="00135703"/>
    <w:rsid w:val="001360B0"/>
    <w:rsid w:val="001369A5"/>
    <w:rsid w:val="00136AE0"/>
    <w:rsid w:val="001371DA"/>
    <w:rsid w:val="0013758D"/>
    <w:rsid w:val="00137645"/>
    <w:rsid w:val="00137847"/>
    <w:rsid w:val="00137B33"/>
    <w:rsid w:val="00137DCF"/>
    <w:rsid w:val="00137E91"/>
    <w:rsid w:val="0014015A"/>
    <w:rsid w:val="00140B84"/>
    <w:rsid w:val="00140E99"/>
    <w:rsid w:val="001414DF"/>
    <w:rsid w:val="00141675"/>
    <w:rsid w:val="00141A50"/>
    <w:rsid w:val="00141F3A"/>
    <w:rsid w:val="001437A8"/>
    <w:rsid w:val="00143F67"/>
    <w:rsid w:val="001450DF"/>
    <w:rsid w:val="00145234"/>
    <w:rsid w:val="00145540"/>
    <w:rsid w:val="001456B0"/>
    <w:rsid w:val="00145E50"/>
    <w:rsid w:val="00146748"/>
    <w:rsid w:val="001473E3"/>
    <w:rsid w:val="0014749D"/>
    <w:rsid w:val="001475CA"/>
    <w:rsid w:val="001476D0"/>
    <w:rsid w:val="00147915"/>
    <w:rsid w:val="00147C80"/>
    <w:rsid w:val="00147FB7"/>
    <w:rsid w:val="001504DC"/>
    <w:rsid w:val="0015065D"/>
    <w:rsid w:val="00150F9B"/>
    <w:rsid w:val="001510A7"/>
    <w:rsid w:val="00151846"/>
    <w:rsid w:val="00151A72"/>
    <w:rsid w:val="00153C28"/>
    <w:rsid w:val="00153CEF"/>
    <w:rsid w:val="001547AB"/>
    <w:rsid w:val="00155C22"/>
    <w:rsid w:val="001562A1"/>
    <w:rsid w:val="001567AE"/>
    <w:rsid w:val="00156BA3"/>
    <w:rsid w:val="00156BE5"/>
    <w:rsid w:val="00156F8F"/>
    <w:rsid w:val="00157130"/>
    <w:rsid w:val="001573D2"/>
    <w:rsid w:val="001573F0"/>
    <w:rsid w:val="001576B1"/>
    <w:rsid w:val="00157CB5"/>
    <w:rsid w:val="0016047B"/>
    <w:rsid w:val="001608C3"/>
    <w:rsid w:val="00160A4C"/>
    <w:rsid w:val="00160C28"/>
    <w:rsid w:val="001611F8"/>
    <w:rsid w:val="00161C48"/>
    <w:rsid w:val="00161EFD"/>
    <w:rsid w:val="00162061"/>
    <w:rsid w:val="001621DE"/>
    <w:rsid w:val="00162913"/>
    <w:rsid w:val="00162AD7"/>
    <w:rsid w:val="00162F1B"/>
    <w:rsid w:val="0016304B"/>
    <w:rsid w:val="00163C23"/>
    <w:rsid w:val="00163E81"/>
    <w:rsid w:val="00163EFF"/>
    <w:rsid w:val="00163F66"/>
    <w:rsid w:val="0016430C"/>
    <w:rsid w:val="0016478E"/>
    <w:rsid w:val="0016493B"/>
    <w:rsid w:val="00165262"/>
    <w:rsid w:val="00165B48"/>
    <w:rsid w:val="00165EC4"/>
    <w:rsid w:val="001661FB"/>
    <w:rsid w:val="0016652F"/>
    <w:rsid w:val="001671A0"/>
    <w:rsid w:val="0016767F"/>
    <w:rsid w:val="00167B1D"/>
    <w:rsid w:val="001700CE"/>
    <w:rsid w:val="00170BF9"/>
    <w:rsid w:val="00170C1C"/>
    <w:rsid w:val="0017101B"/>
    <w:rsid w:val="001721DE"/>
    <w:rsid w:val="0017230A"/>
    <w:rsid w:val="001724ED"/>
    <w:rsid w:val="001728CD"/>
    <w:rsid w:val="00173565"/>
    <w:rsid w:val="00173B07"/>
    <w:rsid w:val="0017402A"/>
    <w:rsid w:val="001747FC"/>
    <w:rsid w:val="001751FA"/>
    <w:rsid w:val="00176452"/>
    <w:rsid w:val="00176644"/>
    <w:rsid w:val="001772A9"/>
    <w:rsid w:val="00177432"/>
    <w:rsid w:val="00177597"/>
    <w:rsid w:val="00177AAA"/>
    <w:rsid w:val="0018052A"/>
    <w:rsid w:val="001809BF"/>
    <w:rsid w:val="001810D8"/>
    <w:rsid w:val="00181648"/>
    <w:rsid w:val="00181C10"/>
    <w:rsid w:val="00181D9C"/>
    <w:rsid w:val="00182024"/>
    <w:rsid w:val="001826B0"/>
    <w:rsid w:val="00182725"/>
    <w:rsid w:val="001828E1"/>
    <w:rsid w:val="00182CEB"/>
    <w:rsid w:val="00183466"/>
    <w:rsid w:val="001834C8"/>
    <w:rsid w:val="001837FF"/>
    <w:rsid w:val="00183D6F"/>
    <w:rsid w:val="00183DE8"/>
    <w:rsid w:val="00184571"/>
    <w:rsid w:val="00184B0E"/>
    <w:rsid w:val="00184E7F"/>
    <w:rsid w:val="00184F69"/>
    <w:rsid w:val="00185040"/>
    <w:rsid w:val="001850B6"/>
    <w:rsid w:val="00185A62"/>
    <w:rsid w:val="00185EB3"/>
    <w:rsid w:val="00186EA6"/>
    <w:rsid w:val="0018711B"/>
    <w:rsid w:val="0018752F"/>
    <w:rsid w:val="00190256"/>
    <w:rsid w:val="00190685"/>
    <w:rsid w:val="001914C0"/>
    <w:rsid w:val="00191738"/>
    <w:rsid w:val="00193838"/>
    <w:rsid w:val="00193C9B"/>
    <w:rsid w:val="00193EA2"/>
    <w:rsid w:val="001942D6"/>
    <w:rsid w:val="0019475A"/>
    <w:rsid w:val="00194AD8"/>
    <w:rsid w:val="00194CA5"/>
    <w:rsid w:val="001950DC"/>
    <w:rsid w:val="00195222"/>
    <w:rsid w:val="00195452"/>
    <w:rsid w:val="001958BE"/>
    <w:rsid w:val="00197400"/>
    <w:rsid w:val="001975D8"/>
    <w:rsid w:val="00197A9B"/>
    <w:rsid w:val="00197AC6"/>
    <w:rsid w:val="00197B92"/>
    <w:rsid w:val="001A15E9"/>
    <w:rsid w:val="001A170B"/>
    <w:rsid w:val="001A178E"/>
    <w:rsid w:val="001A1A64"/>
    <w:rsid w:val="001A23A4"/>
    <w:rsid w:val="001A27E7"/>
    <w:rsid w:val="001A2BC8"/>
    <w:rsid w:val="001A38E8"/>
    <w:rsid w:val="001A409A"/>
    <w:rsid w:val="001A43FA"/>
    <w:rsid w:val="001A47C5"/>
    <w:rsid w:val="001A5716"/>
    <w:rsid w:val="001A5910"/>
    <w:rsid w:val="001A59FB"/>
    <w:rsid w:val="001A5C4B"/>
    <w:rsid w:val="001A5E9E"/>
    <w:rsid w:val="001A6354"/>
    <w:rsid w:val="001A6366"/>
    <w:rsid w:val="001A6A36"/>
    <w:rsid w:val="001A705D"/>
    <w:rsid w:val="001A7AE8"/>
    <w:rsid w:val="001A7B8B"/>
    <w:rsid w:val="001A7F05"/>
    <w:rsid w:val="001B0562"/>
    <w:rsid w:val="001B15BD"/>
    <w:rsid w:val="001B18FF"/>
    <w:rsid w:val="001B204E"/>
    <w:rsid w:val="001B2372"/>
    <w:rsid w:val="001B2F3B"/>
    <w:rsid w:val="001B3443"/>
    <w:rsid w:val="001B3F87"/>
    <w:rsid w:val="001B3FEA"/>
    <w:rsid w:val="001B4D20"/>
    <w:rsid w:val="001B59BC"/>
    <w:rsid w:val="001B5A45"/>
    <w:rsid w:val="001B68DE"/>
    <w:rsid w:val="001B72FC"/>
    <w:rsid w:val="001B77CB"/>
    <w:rsid w:val="001B7D9C"/>
    <w:rsid w:val="001B7F84"/>
    <w:rsid w:val="001C0E30"/>
    <w:rsid w:val="001C0EE4"/>
    <w:rsid w:val="001C1264"/>
    <w:rsid w:val="001C1341"/>
    <w:rsid w:val="001C1958"/>
    <w:rsid w:val="001C1BE8"/>
    <w:rsid w:val="001C1C85"/>
    <w:rsid w:val="001C1CAC"/>
    <w:rsid w:val="001C1EA2"/>
    <w:rsid w:val="001C2A9B"/>
    <w:rsid w:val="001C2B90"/>
    <w:rsid w:val="001C2EF7"/>
    <w:rsid w:val="001C2FB4"/>
    <w:rsid w:val="001C33C0"/>
    <w:rsid w:val="001C389E"/>
    <w:rsid w:val="001C3DD6"/>
    <w:rsid w:val="001C4299"/>
    <w:rsid w:val="001C4874"/>
    <w:rsid w:val="001C48AB"/>
    <w:rsid w:val="001C497F"/>
    <w:rsid w:val="001C520D"/>
    <w:rsid w:val="001C5982"/>
    <w:rsid w:val="001C5E05"/>
    <w:rsid w:val="001C5F94"/>
    <w:rsid w:val="001C60BC"/>
    <w:rsid w:val="001C6315"/>
    <w:rsid w:val="001C6444"/>
    <w:rsid w:val="001C64A9"/>
    <w:rsid w:val="001C6606"/>
    <w:rsid w:val="001C68B8"/>
    <w:rsid w:val="001C68C3"/>
    <w:rsid w:val="001C6910"/>
    <w:rsid w:val="001C6D85"/>
    <w:rsid w:val="001C6E66"/>
    <w:rsid w:val="001C71CA"/>
    <w:rsid w:val="001C75BF"/>
    <w:rsid w:val="001D0DEA"/>
    <w:rsid w:val="001D0F7F"/>
    <w:rsid w:val="001D1100"/>
    <w:rsid w:val="001D1391"/>
    <w:rsid w:val="001D25D7"/>
    <w:rsid w:val="001D2DA8"/>
    <w:rsid w:val="001D3026"/>
    <w:rsid w:val="001D35E7"/>
    <w:rsid w:val="001D3DB9"/>
    <w:rsid w:val="001D3DBD"/>
    <w:rsid w:val="001D4EEF"/>
    <w:rsid w:val="001D50B2"/>
    <w:rsid w:val="001D54FB"/>
    <w:rsid w:val="001D57EC"/>
    <w:rsid w:val="001D5E20"/>
    <w:rsid w:val="001D6220"/>
    <w:rsid w:val="001D6913"/>
    <w:rsid w:val="001D6BA6"/>
    <w:rsid w:val="001D6E02"/>
    <w:rsid w:val="001D713B"/>
    <w:rsid w:val="001D71F4"/>
    <w:rsid w:val="001D736A"/>
    <w:rsid w:val="001D7645"/>
    <w:rsid w:val="001D7663"/>
    <w:rsid w:val="001E08D2"/>
    <w:rsid w:val="001E1E86"/>
    <w:rsid w:val="001E1FED"/>
    <w:rsid w:val="001E238E"/>
    <w:rsid w:val="001E2483"/>
    <w:rsid w:val="001E29D2"/>
    <w:rsid w:val="001E2B1E"/>
    <w:rsid w:val="001E2CFF"/>
    <w:rsid w:val="001E2F24"/>
    <w:rsid w:val="001E300F"/>
    <w:rsid w:val="001E30D4"/>
    <w:rsid w:val="001E34DF"/>
    <w:rsid w:val="001E3A38"/>
    <w:rsid w:val="001E3CEE"/>
    <w:rsid w:val="001E412E"/>
    <w:rsid w:val="001E52EB"/>
    <w:rsid w:val="001E61D2"/>
    <w:rsid w:val="001E705C"/>
    <w:rsid w:val="001E7333"/>
    <w:rsid w:val="001E740C"/>
    <w:rsid w:val="001F01DD"/>
    <w:rsid w:val="001F0622"/>
    <w:rsid w:val="001F0E09"/>
    <w:rsid w:val="001F0FE9"/>
    <w:rsid w:val="001F1210"/>
    <w:rsid w:val="001F1235"/>
    <w:rsid w:val="001F1CB3"/>
    <w:rsid w:val="001F25A7"/>
    <w:rsid w:val="001F2709"/>
    <w:rsid w:val="001F275A"/>
    <w:rsid w:val="001F280B"/>
    <w:rsid w:val="001F288B"/>
    <w:rsid w:val="001F2AA2"/>
    <w:rsid w:val="001F2CF9"/>
    <w:rsid w:val="001F38B5"/>
    <w:rsid w:val="001F4081"/>
    <w:rsid w:val="001F40CE"/>
    <w:rsid w:val="001F4966"/>
    <w:rsid w:val="001F4A95"/>
    <w:rsid w:val="001F4A97"/>
    <w:rsid w:val="001F4BFF"/>
    <w:rsid w:val="001F5049"/>
    <w:rsid w:val="001F582A"/>
    <w:rsid w:val="001F596F"/>
    <w:rsid w:val="001F61BF"/>
    <w:rsid w:val="001F70E9"/>
    <w:rsid w:val="001F7361"/>
    <w:rsid w:val="001F7661"/>
    <w:rsid w:val="001F7900"/>
    <w:rsid w:val="001F7ACB"/>
    <w:rsid w:val="001F7D39"/>
    <w:rsid w:val="00200103"/>
    <w:rsid w:val="0020035B"/>
    <w:rsid w:val="00200E7D"/>
    <w:rsid w:val="0020108D"/>
    <w:rsid w:val="002011B0"/>
    <w:rsid w:val="00201BD1"/>
    <w:rsid w:val="00202367"/>
    <w:rsid w:val="00202556"/>
    <w:rsid w:val="00202697"/>
    <w:rsid w:val="00202E7F"/>
    <w:rsid w:val="00202FBA"/>
    <w:rsid w:val="00203181"/>
    <w:rsid w:val="002033E2"/>
    <w:rsid w:val="00203575"/>
    <w:rsid w:val="002036A7"/>
    <w:rsid w:val="00203783"/>
    <w:rsid w:val="0020385F"/>
    <w:rsid w:val="00203B8A"/>
    <w:rsid w:val="0020417F"/>
    <w:rsid w:val="00204CEF"/>
    <w:rsid w:val="002050CC"/>
    <w:rsid w:val="002058AD"/>
    <w:rsid w:val="00205F72"/>
    <w:rsid w:val="00205FC0"/>
    <w:rsid w:val="002068A0"/>
    <w:rsid w:val="002069D7"/>
    <w:rsid w:val="00206BF8"/>
    <w:rsid w:val="00207021"/>
    <w:rsid w:val="0020732F"/>
    <w:rsid w:val="0020778B"/>
    <w:rsid w:val="00207D00"/>
    <w:rsid w:val="0021041D"/>
    <w:rsid w:val="00210483"/>
    <w:rsid w:val="0021051F"/>
    <w:rsid w:val="002105C1"/>
    <w:rsid w:val="00210671"/>
    <w:rsid w:val="0021081C"/>
    <w:rsid w:val="00210A12"/>
    <w:rsid w:val="00210CEA"/>
    <w:rsid w:val="00211074"/>
    <w:rsid w:val="002110F6"/>
    <w:rsid w:val="00211311"/>
    <w:rsid w:val="002116FD"/>
    <w:rsid w:val="00211A76"/>
    <w:rsid w:val="00211C63"/>
    <w:rsid w:val="00211EB3"/>
    <w:rsid w:val="00213EF5"/>
    <w:rsid w:val="00215EF1"/>
    <w:rsid w:val="002164EF"/>
    <w:rsid w:val="00216556"/>
    <w:rsid w:val="00216BF5"/>
    <w:rsid w:val="00216C52"/>
    <w:rsid w:val="002174B1"/>
    <w:rsid w:val="00217C55"/>
    <w:rsid w:val="00220F8B"/>
    <w:rsid w:val="00221CD0"/>
    <w:rsid w:val="00221DB8"/>
    <w:rsid w:val="00222498"/>
    <w:rsid w:val="00222740"/>
    <w:rsid w:val="00223A3F"/>
    <w:rsid w:val="00223B49"/>
    <w:rsid w:val="00223C55"/>
    <w:rsid w:val="00223D5A"/>
    <w:rsid w:val="00223E49"/>
    <w:rsid w:val="00224DD4"/>
    <w:rsid w:val="00225067"/>
    <w:rsid w:val="00225089"/>
    <w:rsid w:val="002252DD"/>
    <w:rsid w:val="002264D5"/>
    <w:rsid w:val="00226AA1"/>
    <w:rsid w:val="00226DA6"/>
    <w:rsid w:val="00227189"/>
    <w:rsid w:val="0022723C"/>
    <w:rsid w:val="002275F7"/>
    <w:rsid w:val="002278A0"/>
    <w:rsid w:val="00227C46"/>
    <w:rsid w:val="00227CE0"/>
    <w:rsid w:val="00227E41"/>
    <w:rsid w:val="002309CC"/>
    <w:rsid w:val="00230F18"/>
    <w:rsid w:val="0023120E"/>
    <w:rsid w:val="00231760"/>
    <w:rsid w:val="00231AD1"/>
    <w:rsid w:val="00231BA9"/>
    <w:rsid w:val="0023209F"/>
    <w:rsid w:val="00233360"/>
    <w:rsid w:val="00233C01"/>
    <w:rsid w:val="00233C8D"/>
    <w:rsid w:val="0023407B"/>
    <w:rsid w:val="0023413C"/>
    <w:rsid w:val="0023443A"/>
    <w:rsid w:val="002344AF"/>
    <w:rsid w:val="002346AD"/>
    <w:rsid w:val="002346F0"/>
    <w:rsid w:val="00234AA4"/>
    <w:rsid w:val="00234F55"/>
    <w:rsid w:val="002354E3"/>
    <w:rsid w:val="002357D6"/>
    <w:rsid w:val="0023598C"/>
    <w:rsid w:val="00235A1B"/>
    <w:rsid w:val="00235A89"/>
    <w:rsid w:val="0023629D"/>
    <w:rsid w:val="002362AB"/>
    <w:rsid w:val="00236543"/>
    <w:rsid w:val="00236A66"/>
    <w:rsid w:val="00236BBC"/>
    <w:rsid w:val="00236CC9"/>
    <w:rsid w:val="002371BC"/>
    <w:rsid w:val="00237255"/>
    <w:rsid w:val="00237B25"/>
    <w:rsid w:val="00237EE9"/>
    <w:rsid w:val="00240126"/>
    <w:rsid w:val="0024134F"/>
    <w:rsid w:val="0024139C"/>
    <w:rsid w:val="00241B02"/>
    <w:rsid w:val="002424AF"/>
    <w:rsid w:val="002424FD"/>
    <w:rsid w:val="00242A46"/>
    <w:rsid w:val="002439DC"/>
    <w:rsid w:val="00243CB2"/>
    <w:rsid w:val="002441D2"/>
    <w:rsid w:val="002448EF"/>
    <w:rsid w:val="00244DC8"/>
    <w:rsid w:val="00245341"/>
    <w:rsid w:val="002458BA"/>
    <w:rsid w:val="00245CE9"/>
    <w:rsid w:val="00245D5B"/>
    <w:rsid w:val="002460CE"/>
    <w:rsid w:val="0024636C"/>
    <w:rsid w:val="002463DB"/>
    <w:rsid w:val="00247925"/>
    <w:rsid w:val="002503F5"/>
    <w:rsid w:val="00250642"/>
    <w:rsid w:val="00250C2C"/>
    <w:rsid w:val="00250FA6"/>
    <w:rsid w:val="00251006"/>
    <w:rsid w:val="002517B5"/>
    <w:rsid w:val="0025236F"/>
    <w:rsid w:val="002524D5"/>
    <w:rsid w:val="0025253C"/>
    <w:rsid w:val="00252C97"/>
    <w:rsid w:val="0025314C"/>
    <w:rsid w:val="00253ACD"/>
    <w:rsid w:val="00253B1D"/>
    <w:rsid w:val="002541A6"/>
    <w:rsid w:val="002541E9"/>
    <w:rsid w:val="00254870"/>
    <w:rsid w:val="00254958"/>
    <w:rsid w:val="00254C64"/>
    <w:rsid w:val="00254CAA"/>
    <w:rsid w:val="00254D48"/>
    <w:rsid w:val="00254DCF"/>
    <w:rsid w:val="0025534B"/>
    <w:rsid w:val="00255898"/>
    <w:rsid w:val="00255BB7"/>
    <w:rsid w:val="00255CB8"/>
    <w:rsid w:val="00255D9E"/>
    <w:rsid w:val="00256883"/>
    <w:rsid w:val="00256E29"/>
    <w:rsid w:val="00256EAB"/>
    <w:rsid w:val="00257541"/>
    <w:rsid w:val="00257A39"/>
    <w:rsid w:val="00257AC4"/>
    <w:rsid w:val="00257BBE"/>
    <w:rsid w:val="00257CA6"/>
    <w:rsid w:val="0026094D"/>
    <w:rsid w:val="00261533"/>
    <w:rsid w:val="00261772"/>
    <w:rsid w:val="00261EEF"/>
    <w:rsid w:val="00262501"/>
    <w:rsid w:val="002628B1"/>
    <w:rsid w:val="00262A1A"/>
    <w:rsid w:val="00262A87"/>
    <w:rsid w:val="002630CA"/>
    <w:rsid w:val="002632DF"/>
    <w:rsid w:val="002635EC"/>
    <w:rsid w:val="00263648"/>
    <w:rsid w:val="00264702"/>
    <w:rsid w:val="00264AC3"/>
    <w:rsid w:val="00264D26"/>
    <w:rsid w:val="00264E4B"/>
    <w:rsid w:val="00265029"/>
    <w:rsid w:val="002656D8"/>
    <w:rsid w:val="0026754F"/>
    <w:rsid w:val="00267642"/>
    <w:rsid w:val="00267AEA"/>
    <w:rsid w:val="00267F1E"/>
    <w:rsid w:val="002700E6"/>
    <w:rsid w:val="002700E8"/>
    <w:rsid w:val="00270AAB"/>
    <w:rsid w:val="00270B2E"/>
    <w:rsid w:val="00271016"/>
    <w:rsid w:val="00271DCB"/>
    <w:rsid w:val="002720B5"/>
    <w:rsid w:val="00272464"/>
    <w:rsid w:val="0027294B"/>
    <w:rsid w:val="002729B6"/>
    <w:rsid w:val="00272F8E"/>
    <w:rsid w:val="00273EB4"/>
    <w:rsid w:val="00273F9E"/>
    <w:rsid w:val="00274682"/>
    <w:rsid w:val="002748E2"/>
    <w:rsid w:val="00274B48"/>
    <w:rsid w:val="00275028"/>
    <w:rsid w:val="00275158"/>
    <w:rsid w:val="0027585C"/>
    <w:rsid w:val="00275C5A"/>
    <w:rsid w:val="002767DF"/>
    <w:rsid w:val="00277035"/>
    <w:rsid w:val="002801BA"/>
    <w:rsid w:val="00281014"/>
    <w:rsid w:val="00281AD1"/>
    <w:rsid w:val="00281FEE"/>
    <w:rsid w:val="00282087"/>
    <w:rsid w:val="0028244A"/>
    <w:rsid w:val="00282861"/>
    <w:rsid w:val="0028298E"/>
    <w:rsid w:val="002831A4"/>
    <w:rsid w:val="002832DE"/>
    <w:rsid w:val="002834E7"/>
    <w:rsid w:val="00283B92"/>
    <w:rsid w:val="002841A2"/>
    <w:rsid w:val="002842A9"/>
    <w:rsid w:val="002858D2"/>
    <w:rsid w:val="00285BCE"/>
    <w:rsid w:val="00285FB5"/>
    <w:rsid w:val="0028665D"/>
    <w:rsid w:val="00286898"/>
    <w:rsid w:val="00286B07"/>
    <w:rsid w:val="00286D42"/>
    <w:rsid w:val="002872CA"/>
    <w:rsid w:val="00287449"/>
    <w:rsid w:val="00287650"/>
    <w:rsid w:val="002876BD"/>
    <w:rsid w:val="00287C0D"/>
    <w:rsid w:val="00290E0B"/>
    <w:rsid w:val="002911ED"/>
    <w:rsid w:val="00292012"/>
    <w:rsid w:val="00292325"/>
    <w:rsid w:val="002926DB"/>
    <w:rsid w:val="00292DA7"/>
    <w:rsid w:val="002930A6"/>
    <w:rsid w:val="00293A5E"/>
    <w:rsid w:val="00293BFC"/>
    <w:rsid w:val="002942FC"/>
    <w:rsid w:val="0029500E"/>
    <w:rsid w:val="00295031"/>
    <w:rsid w:val="00295292"/>
    <w:rsid w:val="00295BF6"/>
    <w:rsid w:val="00295C38"/>
    <w:rsid w:val="00295D5D"/>
    <w:rsid w:val="00296FE1"/>
    <w:rsid w:val="00297E41"/>
    <w:rsid w:val="002A006C"/>
    <w:rsid w:val="002A14AB"/>
    <w:rsid w:val="002A202A"/>
    <w:rsid w:val="002A2ADE"/>
    <w:rsid w:val="002A2F50"/>
    <w:rsid w:val="002A3073"/>
    <w:rsid w:val="002A3499"/>
    <w:rsid w:val="002A351D"/>
    <w:rsid w:val="002A35AB"/>
    <w:rsid w:val="002A3788"/>
    <w:rsid w:val="002A462A"/>
    <w:rsid w:val="002A469B"/>
    <w:rsid w:val="002A46E4"/>
    <w:rsid w:val="002A4DA5"/>
    <w:rsid w:val="002A516F"/>
    <w:rsid w:val="002A51C7"/>
    <w:rsid w:val="002A529B"/>
    <w:rsid w:val="002A61D5"/>
    <w:rsid w:val="002A70A4"/>
    <w:rsid w:val="002A7535"/>
    <w:rsid w:val="002A7943"/>
    <w:rsid w:val="002A7F21"/>
    <w:rsid w:val="002A7F4F"/>
    <w:rsid w:val="002B0135"/>
    <w:rsid w:val="002B0537"/>
    <w:rsid w:val="002B05A1"/>
    <w:rsid w:val="002B09A4"/>
    <w:rsid w:val="002B09B9"/>
    <w:rsid w:val="002B0F12"/>
    <w:rsid w:val="002B135C"/>
    <w:rsid w:val="002B1C1F"/>
    <w:rsid w:val="002B1C30"/>
    <w:rsid w:val="002B1E0F"/>
    <w:rsid w:val="002B1FCE"/>
    <w:rsid w:val="002B2004"/>
    <w:rsid w:val="002B24B1"/>
    <w:rsid w:val="002B27F0"/>
    <w:rsid w:val="002B29A8"/>
    <w:rsid w:val="002B3818"/>
    <w:rsid w:val="002B3E20"/>
    <w:rsid w:val="002B432F"/>
    <w:rsid w:val="002B4CB6"/>
    <w:rsid w:val="002B4E2C"/>
    <w:rsid w:val="002B5C75"/>
    <w:rsid w:val="002B62B3"/>
    <w:rsid w:val="002B6754"/>
    <w:rsid w:val="002B6CCE"/>
    <w:rsid w:val="002B6CE9"/>
    <w:rsid w:val="002B70D2"/>
    <w:rsid w:val="002B7832"/>
    <w:rsid w:val="002B7C34"/>
    <w:rsid w:val="002B7D3C"/>
    <w:rsid w:val="002C0040"/>
    <w:rsid w:val="002C1411"/>
    <w:rsid w:val="002C2510"/>
    <w:rsid w:val="002C263F"/>
    <w:rsid w:val="002C2775"/>
    <w:rsid w:val="002C27C1"/>
    <w:rsid w:val="002C313E"/>
    <w:rsid w:val="002C36E3"/>
    <w:rsid w:val="002C38E2"/>
    <w:rsid w:val="002C416A"/>
    <w:rsid w:val="002C489D"/>
    <w:rsid w:val="002C5099"/>
    <w:rsid w:val="002C5190"/>
    <w:rsid w:val="002C5889"/>
    <w:rsid w:val="002C5C97"/>
    <w:rsid w:val="002C620E"/>
    <w:rsid w:val="002C6A33"/>
    <w:rsid w:val="002C6A60"/>
    <w:rsid w:val="002C6C93"/>
    <w:rsid w:val="002C71CE"/>
    <w:rsid w:val="002C7746"/>
    <w:rsid w:val="002C7869"/>
    <w:rsid w:val="002C7F18"/>
    <w:rsid w:val="002D032B"/>
    <w:rsid w:val="002D08F8"/>
    <w:rsid w:val="002D0B04"/>
    <w:rsid w:val="002D1262"/>
    <w:rsid w:val="002D179A"/>
    <w:rsid w:val="002D20AE"/>
    <w:rsid w:val="002D21CD"/>
    <w:rsid w:val="002D24A1"/>
    <w:rsid w:val="002D2AD4"/>
    <w:rsid w:val="002D31B2"/>
    <w:rsid w:val="002D32DD"/>
    <w:rsid w:val="002D3D43"/>
    <w:rsid w:val="002D41EA"/>
    <w:rsid w:val="002D430F"/>
    <w:rsid w:val="002D460A"/>
    <w:rsid w:val="002D5560"/>
    <w:rsid w:val="002D577C"/>
    <w:rsid w:val="002D5975"/>
    <w:rsid w:val="002D7832"/>
    <w:rsid w:val="002D785B"/>
    <w:rsid w:val="002D7B3E"/>
    <w:rsid w:val="002E0395"/>
    <w:rsid w:val="002E1071"/>
    <w:rsid w:val="002E14CE"/>
    <w:rsid w:val="002E15B9"/>
    <w:rsid w:val="002E2158"/>
    <w:rsid w:val="002E26EA"/>
    <w:rsid w:val="002E445A"/>
    <w:rsid w:val="002E4E3E"/>
    <w:rsid w:val="002E4F02"/>
    <w:rsid w:val="002E5A23"/>
    <w:rsid w:val="002E6DDC"/>
    <w:rsid w:val="002E701D"/>
    <w:rsid w:val="002E7722"/>
    <w:rsid w:val="002E7AD9"/>
    <w:rsid w:val="002F07BA"/>
    <w:rsid w:val="002F0BD5"/>
    <w:rsid w:val="002F0DA9"/>
    <w:rsid w:val="002F1014"/>
    <w:rsid w:val="002F10DE"/>
    <w:rsid w:val="002F17AA"/>
    <w:rsid w:val="002F17B3"/>
    <w:rsid w:val="002F1949"/>
    <w:rsid w:val="002F1D2C"/>
    <w:rsid w:val="002F1E3B"/>
    <w:rsid w:val="002F2823"/>
    <w:rsid w:val="002F33FB"/>
    <w:rsid w:val="002F35E7"/>
    <w:rsid w:val="002F3819"/>
    <w:rsid w:val="002F385D"/>
    <w:rsid w:val="002F3D3E"/>
    <w:rsid w:val="002F3DAB"/>
    <w:rsid w:val="002F4694"/>
    <w:rsid w:val="002F5023"/>
    <w:rsid w:val="002F5538"/>
    <w:rsid w:val="002F56DF"/>
    <w:rsid w:val="002F57A5"/>
    <w:rsid w:val="002F607B"/>
    <w:rsid w:val="002F643C"/>
    <w:rsid w:val="002F64EA"/>
    <w:rsid w:val="002F6665"/>
    <w:rsid w:val="002F6759"/>
    <w:rsid w:val="002F69F1"/>
    <w:rsid w:val="002F6BD8"/>
    <w:rsid w:val="002F70ED"/>
    <w:rsid w:val="002F71C0"/>
    <w:rsid w:val="002F74F1"/>
    <w:rsid w:val="00300149"/>
    <w:rsid w:val="00300361"/>
    <w:rsid w:val="00301017"/>
    <w:rsid w:val="00301135"/>
    <w:rsid w:val="0030155F"/>
    <w:rsid w:val="0030177B"/>
    <w:rsid w:val="003023DF"/>
    <w:rsid w:val="003024B2"/>
    <w:rsid w:val="00302BDF"/>
    <w:rsid w:val="00302CB5"/>
    <w:rsid w:val="00302D51"/>
    <w:rsid w:val="00302E6E"/>
    <w:rsid w:val="003036B7"/>
    <w:rsid w:val="00303736"/>
    <w:rsid w:val="00304D49"/>
    <w:rsid w:val="003050D6"/>
    <w:rsid w:val="0030587B"/>
    <w:rsid w:val="00305D5C"/>
    <w:rsid w:val="003063D8"/>
    <w:rsid w:val="0030658C"/>
    <w:rsid w:val="00306736"/>
    <w:rsid w:val="00306D98"/>
    <w:rsid w:val="00307102"/>
    <w:rsid w:val="00307176"/>
    <w:rsid w:val="0030774D"/>
    <w:rsid w:val="0030781E"/>
    <w:rsid w:val="0030786C"/>
    <w:rsid w:val="00307EA5"/>
    <w:rsid w:val="0031031A"/>
    <w:rsid w:val="00310981"/>
    <w:rsid w:val="00310FA3"/>
    <w:rsid w:val="00311D9B"/>
    <w:rsid w:val="00311F53"/>
    <w:rsid w:val="003124D9"/>
    <w:rsid w:val="00312594"/>
    <w:rsid w:val="0031278F"/>
    <w:rsid w:val="003141CF"/>
    <w:rsid w:val="00314A9B"/>
    <w:rsid w:val="00314CAC"/>
    <w:rsid w:val="00315498"/>
    <w:rsid w:val="00316474"/>
    <w:rsid w:val="0031684B"/>
    <w:rsid w:val="00316B99"/>
    <w:rsid w:val="00317470"/>
    <w:rsid w:val="00317D8D"/>
    <w:rsid w:val="00320A2B"/>
    <w:rsid w:val="00320A32"/>
    <w:rsid w:val="00321B93"/>
    <w:rsid w:val="00321EF5"/>
    <w:rsid w:val="00322107"/>
    <w:rsid w:val="00322355"/>
    <w:rsid w:val="00322846"/>
    <w:rsid w:val="00322AB8"/>
    <w:rsid w:val="00322C5E"/>
    <w:rsid w:val="00322CAB"/>
    <w:rsid w:val="0032322A"/>
    <w:rsid w:val="00323726"/>
    <w:rsid w:val="00323872"/>
    <w:rsid w:val="00323C50"/>
    <w:rsid w:val="00323FB9"/>
    <w:rsid w:val="00324A75"/>
    <w:rsid w:val="00324C1E"/>
    <w:rsid w:val="00324EFD"/>
    <w:rsid w:val="00324FF8"/>
    <w:rsid w:val="0032575D"/>
    <w:rsid w:val="0032603B"/>
    <w:rsid w:val="00326978"/>
    <w:rsid w:val="00326A59"/>
    <w:rsid w:val="00326DA7"/>
    <w:rsid w:val="003270E4"/>
    <w:rsid w:val="0032754B"/>
    <w:rsid w:val="00330DAA"/>
    <w:rsid w:val="00330DFA"/>
    <w:rsid w:val="00330F5C"/>
    <w:rsid w:val="0033141F"/>
    <w:rsid w:val="00331535"/>
    <w:rsid w:val="0033167C"/>
    <w:rsid w:val="00331843"/>
    <w:rsid w:val="0033199E"/>
    <w:rsid w:val="00331DE4"/>
    <w:rsid w:val="0033228A"/>
    <w:rsid w:val="00332D60"/>
    <w:rsid w:val="00332E44"/>
    <w:rsid w:val="0033322C"/>
    <w:rsid w:val="00333ADD"/>
    <w:rsid w:val="00333B42"/>
    <w:rsid w:val="00334269"/>
    <w:rsid w:val="00334545"/>
    <w:rsid w:val="00334920"/>
    <w:rsid w:val="0033525D"/>
    <w:rsid w:val="0033566C"/>
    <w:rsid w:val="003361F6"/>
    <w:rsid w:val="003366C9"/>
    <w:rsid w:val="003368E1"/>
    <w:rsid w:val="003371B0"/>
    <w:rsid w:val="00337262"/>
    <w:rsid w:val="00337562"/>
    <w:rsid w:val="00337CDE"/>
    <w:rsid w:val="00337D1B"/>
    <w:rsid w:val="00337E90"/>
    <w:rsid w:val="00340034"/>
    <w:rsid w:val="00340072"/>
    <w:rsid w:val="003405F1"/>
    <w:rsid w:val="00340967"/>
    <w:rsid w:val="00340BBF"/>
    <w:rsid w:val="00340DF1"/>
    <w:rsid w:val="003413B7"/>
    <w:rsid w:val="00341D5F"/>
    <w:rsid w:val="00342644"/>
    <w:rsid w:val="0034330D"/>
    <w:rsid w:val="003458B2"/>
    <w:rsid w:val="00346076"/>
    <w:rsid w:val="003474A9"/>
    <w:rsid w:val="003476C6"/>
    <w:rsid w:val="00347769"/>
    <w:rsid w:val="00347B10"/>
    <w:rsid w:val="00347E86"/>
    <w:rsid w:val="00350282"/>
    <w:rsid w:val="003505F2"/>
    <w:rsid w:val="00350B59"/>
    <w:rsid w:val="00350E97"/>
    <w:rsid w:val="003513BD"/>
    <w:rsid w:val="003517F9"/>
    <w:rsid w:val="00351BA9"/>
    <w:rsid w:val="00352970"/>
    <w:rsid w:val="003531AE"/>
    <w:rsid w:val="003533B4"/>
    <w:rsid w:val="00354F64"/>
    <w:rsid w:val="003550E2"/>
    <w:rsid w:val="00355398"/>
    <w:rsid w:val="003557D8"/>
    <w:rsid w:val="00355DBC"/>
    <w:rsid w:val="0035607F"/>
    <w:rsid w:val="0035620E"/>
    <w:rsid w:val="00356343"/>
    <w:rsid w:val="0035667E"/>
    <w:rsid w:val="00356857"/>
    <w:rsid w:val="0035737D"/>
    <w:rsid w:val="003575BE"/>
    <w:rsid w:val="003575EC"/>
    <w:rsid w:val="003577B7"/>
    <w:rsid w:val="0035798B"/>
    <w:rsid w:val="00357E97"/>
    <w:rsid w:val="00360345"/>
    <w:rsid w:val="0036077A"/>
    <w:rsid w:val="00361A05"/>
    <w:rsid w:val="003624C4"/>
    <w:rsid w:val="00362BEE"/>
    <w:rsid w:val="00362F23"/>
    <w:rsid w:val="0036349D"/>
    <w:rsid w:val="003636FD"/>
    <w:rsid w:val="00363A38"/>
    <w:rsid w:val="00363AAB"/>
    <w:rsid w:val="00363AEB"/>
    <w:rsid w:val="00363B00"/>
    <w:rsid w:val="00363D45"/>
    <w:rsid w:val="00363D99"/>
    <w:rsid w:val="0036452E"/>
    <w:rsid w:val="003649BB"/>
    <w:rsid w:val="00364F24"/>
    <w:rsid w:val="00364FFE"/>
    <w:rsid w:val="003654AC"/>
    <w:rsid w:val="00365A6C"/>
    <w:rsid w:val="00366E7A"/>
    <w:rsid w:val="00366F69"/>
    <w:rsid w:val="003674DE"/>
    <w:rsid w:val="003674E5"/>
    <w:rsid w:val="00367E22"/>
    <w:rsid w:val="003706C4"/>
    <w:rsid w:val="003710CF"/>
    <w:rsid w:val="0037175D"/>
    <w:rsid w:val="00373097"/>
    <w:rsid w:val="0037338B"/>
    <w:rsid w:val="0037358A"/>
    <w:rsid w:val="00373A14"/>
    <w:rsid w:val="00373AA7"/>
    <w:rsid w:val="00373DB9"/>
    <w:rsid w:val="003750F6"/>
    <w:rsid w:val="00375702"/>
    <w:rsid w:val="003760FC"/>
    <w:rsid w:val="003765A4"/>
    <w:rsid w:val="003767B1"/>
    <w:rsid w:val="003771D6"/>
    <w:rsid w:val="00377258"/>
    <w:rsid w:val="0037786B"/>
    <w:rsid w:val="00377AE5"/>
    <w:rsid w:val="00377B9E"/>
    <w:rsid w:val="00377D47"/>
    <w:rsid w:val="0038027A"/>
    <w:rsid w:val="003802EB"/>
    <w:rsid w:val="00380503"/>
    <w:rsid w:val="0038071A"/>
    <w:rsid w:val="003808D8"/>
    <w:rsid w:val="00380E07"/>
    <w:rsid w:val="00381291"/>
    <w:rsid w:val="003812C4"/>
    <w:rsid w:val="00381F56"/>
    <w:rsid w:val="00382375"/>
    <w:rsid w:val="0038241E"/>
    <w:rsid w:val="003834D0"/>
    <w:rsid w:val="0038365C"/>
    <w:rsid w:val="0038369B"/>
    <w:rsid w:val="00383B78"/>
    <w:rsid w:val="00384439"/>
    <w:rsid w:val="00384843"/>
    <w:rsid w:val="00384D0A"/>
    <w:rsid w:val="003852BD"/>
    <w:rsid w:val="00385A9D"/>
    <w:rsid w:val="0038708A"/>
    <w:rsid w:val="003870C6"/>
    <w:rsid w:val="00387121"/>
    <w:rsid w:val="00387598"/>
    <w:rsid w:val="00387DA8"/>
    <w:rsid w:val="003902B1"/>
    <w:rsid w:val="00390765"/>
    <w:rsid w:val="00390904"/>
    <w:rsid w:val="00390976"/>
    <w:rsid w:val="003916B0"/>
    <w:rsid w:val="0039179C"/>
    <w:rsid w:val="00391FAD"/>
    <w:rsid w:val="00392B03"/>
    <w:rsid w:val="00392B11"/>
    <w:rsid w:val="00392CDC"/>
    <w:rsid w:val="003939D8"/>
    <w:rsid w:val="00394104"/>
    <w:rsid w:val="00394B65"/>
    <w:rsid w:val="00394DC9"/>
    <w:rsid w:val="0039534D"/>
    <w:rsid w:val="0039562F"/>
    <w:rsid w:val="00395AEC"/>
    <w:rsid w:val="00396896"/>
    <w:rsid w:val="00396FD0"/>
    <w:rsid w:val="0039759B"/>
    <w:rsid w:val="003A0435"/>
    <w:rsid w:val="003A07E7"/>
    <w:rsid w:val="003A0EB3"/>
    <w:rsid w:val="003A1142"/>
    <w:rsid w:val="003A1215"/>
    <w:rsid w:val="003A1A7A"/>
    <w:rsid w:val="003A1BFE"/>
    <w:rsid w:val="003A1C7D"/>
    <w:rsid w:val="003A2392"/>
    <w:rsid w:val="003A2831"/>
    <w:rsid w:val="003A3A4A"/>
    <w:rsid w:val="003A3CB6"/>
    <w:rsid w:val="003A3ED1"/>
    <w:rsid w:val="003A44A5"/>
    <w:rsid w:val="003A44DB"/>
    <w:rsid w:val="003A4C14"/>
    <w:rsid w:val="003A5880"/>
    <w:rsid w:val="003A5F33"/>
    <w:rsid w:val="003A6050"/>
    <w:rsid w:val="003A611B"/>
    <w:rsid w:val="003A6629"/>
    <w:rsid w:val="003A691F"/>
    <w:rsid w:val="003A69A1"/>
    <w:rsid w:val="003A6BCB"/>
    <w:rsid w:val="003A7E95"/>
    <w:rsid w:val="003A7FAE"/>
    <w:rsid w:val="003B03D2"/>
    <w:rsid w:val="003B04A7"/>
    <w:rsid w:val="003B06BE"/>
    <w:rsid w:val="003B074B"/>
    <w:rsid w:val="003B11B3"/>
    <w:rsid w:val="003B2854"/>
    <w:rsid w:val="003B2A91"/>
    <w:rsid w:val="003B3491"/>
    <w:rsid w:val="003B3971"/>
    <w:rsid w:val="003B3E8A"/>
    <w:rsid w:val="003B4607"/>
    <w:rsid w:val="003B4E34"/>
    <w:rsid w:val="003B4EA6"/>
    <w:rsid w:val="003B5215"/>
    <w:rsid w:val="003B55D1"/>
    <w:rsid w:val="003B5B61"/>
    <w:rsid w:val="003B5C82"/>
    <w:rsid w:val="003B5CDD"/>
    <w:rsid w:val="003B5D7B"/>
    <w:rsid w:val="003B60A2"/>
    <w:rsid w:val="003B6B99"/>
    <w:rsid w:val="003B6CBF"/>
    <w:rsid w:val="003B7113"/>
    <w:rsid w:val="003B7A22"/>
    <w:rsid w:val="003B7E5C"/>
    <w:rsid w:val="003C1654"/>
    <w:rsid w:val="003C1D20"/>
    <w:rsid w:val="003C2DE2"/>
    <w:rsid w:val="003C308D"/>
    <w:rsid w:val="003C3B29"/>
    <w:rsid w:val="003C410A"/>
    <w:rsid w:val="003C49A7"/>
    <w:rsid w:val="003C5284"/>
    <w:rsid w:val="003C5441"/>
    <w:rsid w:val="003C546F"/>
    <w:rsid w:val="003C5542"/>
    <w:rsid w:val="003C58A9"/>
    <w:rsid w:val="003C6A14"/>
    <w:rsid w:val="003C7B9C"/>
    <w:rsid w:val="003C7C15"/>
    <w:rsid w:val="003C7D19"/>
    <w:rsid w:val="003C7D2F"/>
    <w:rsid w:val="003C7FB2"/>
    <w:rsid w:val="003D06D4"/>
    <w:rsid w:val="003D094D"/>
    <w:rsid w:val="003D0C5A"/>
    <w:rsid w:val="003D13A7"/>
    <w:rsid w:val="003D153A"/>
    <w:rsid w:val="003D1828"/>
    <w:rsid w:val="003D1DE4"/>
    <w:rsid w:val="003D1E90"/>
    <w:rsid w:val="003D1E9A"/>
    <w:rsid w:val="003D2414"/>
    <w:rsid w:val="003D2422"/>
    <w:rsid w:val="003D3415"/>
    <w:rsid w:val="003D3963"/>
    <w:rsid w:val="003D39A1"/>
    <w:rsid w:val="003D3CD4"/>
    <w:rsid w:val="003D3FBF"/>
    <w:rsid w:val="003D42E4"/>
    <w:rsid w:val="003D4957"/>
    <w:rsid w:val="003D4A23"/>
    <w:rsid w:val="003D4A30"/>
    <w:rsid w:val="003D527A"/>
    <w:rsid w:val="003D52AB"/>
    <w:rsid w:val="003D5762"/>
    <w:rsid w:val="003D5879"/>
    <w:rsid w:val="003D61D5"/>
    <w:rsid w:val="003D737F"/>
    <w:rsid w:val="003D7452"/>
    <w:rsid w:val="003D761D"/>
    <w:rsid w:val="003D79BB"/>
    <w:rsid w:val="003D7A76"/>
    <w:rsid w:val="003D7C98"/>
    <w:rsid w:val="003D7D9D"/>
    <w:rsid w:val="003E0543"/>
    <w:rsid w:val="003E0812"/>
    <w:rsid w:val="003E0E7F"/>
    <w:rsid w:val="003E1067"/>
    <w:rsid w:val="003E1776"/>
    <w:rsid w:val="003E2584"/>
    <w:rsid w:val="003E2858"/>
    <w:rsid w:val="003E2BEF"/>
    <w:rsid w:val="003E3748"/>
    <w:rsid w:val="003E3B33"/>
    <w:rsid w:val="003E3BBC"/>
    <w:rsid w:val="003E3FC4"/>
    <w:rsid w:val="003E4147"/>
    <w:rsid w:val="003E428E"/>
    <w:rsid w:val="003E470D"/>
    <w:rsid w:val="003E47C4"/>
    <w:rsid w:val="003E4C4A"/>
    <w:rsid w:val="003E4F24"/>
    <w:rsid w:val="003E5603"/>
    <w:rsid w:val="003E5965"/>
    <w:rsid w:val="003E5DFF"/>
    <w:rsid w:val="003E6B50"/>
    <w:rsid w:val="003E703D"/>
    <w:rsid w:val="003E707A"/>
    <w:rsid w:val="003E7498"/>
    <w:rsid w:val="003E749E"/>
    <w:rsid w:val="003E7860"/>
    <w:rsid w:val="003E798C"/>
    <w:rsid w:val="003F03E0"/>
    <w:rsid w:val="003F09CE"/>
    <w:rsid w:val="003F0D0E"/>
    <w:rsid w:val="003F127A"/>
    <w:rsid w:val="003F169C"/>
    <w:rsid w:val="003F1B15"/>
    <w:rsid w:val="003F1CD0"/>
    <w:rsid w:val="003F2006"/>
    <w:rsid w:val="003F2D70"/>
    <w:rsid w:val="003F2F3C"/>
    <w:rsid w:val="003F3379"/>
    <w:rsid w:val="003F4156"/>
    <w:rsid w:val="003F4A18"/>
    <w:rsid w:val="003F50E0"/>
    <w:rsid w:val="003F58E0"/>
    <w:rsid w:val="003F5915"/>
    <w:rsid w:val="003F5ADF"/>
    <w:rsid w:val="003F5D6D"/>
    <w:rsid w:val="003F5E43"/>
    <w:rsid w:val="003F5F29"/>
    <w:rsid w:val="003F6486"/>
    <w:rsid w:val="003F71E6"/>
    <w:rsid w:val="003F79A0"/>
    <w:rsid w:val="003F7EF0"/>
    <w:rsid w:val="003F7F2D"/>
    <w:rsid w:val="00400B29"/>
    <w:rsid w:val="00400E87"/>
    <w:rsid w:val="00401386"/>
    <w:rsid w:val="00401B43"/>
    <w:rsid w:val="00401F11"/>
    <w:rsid w:val="00402812"/>
    <w:rsid w:val="00402948"/>
    <w:rsid w:val="00404F0D"/>
    <w:rsid w:val="0040504B"/>
    <w:rsid w:val="00405165"/>
    <w:rsid w:val="00405200"/>
    <w:rsid w:val="004059F4"/>
    <w:rsid w:val="004067CA"/>
    <w:rsid w:val="00406C5F"/>
    <w:rsid w:val="00407DCA"/>
    <w:rsid w:val="00407FE5"/>
    <w:rsid w:val="00410107"/>
    <w:rsid w:val="004101B0"/>
    <w:rsid w:val="00410298"/>
    <w:rsid w:val="00410326"/>
    <w:rsid w:val="00410708"/>
    <w:rsid w:val="00410EC7"/>
    <w:rsid w:val="0041169D"/>
    <w:rsid w:val="0041171A"/>
    <w:rsid w:val="00411A65"/>
    <w:rsid w:val="00411B39"/>
    <w:rsid w:val="00411FA7"/>
    <w:rsid w:val="004127A7"/>
    <w:rsid w:val="004129F2"/>
    <w:rsid w:val="00412DB9"/>
    <w:rsid w:val="0041373A"/>
    <w:rsid w:val="00413A1E"/>
    <w:rsid w:val="00413BBC"/>
    <w:rsid w:val="00414041"/>
    <w:rsid w:val="00414476"/>
    <w:rsid w:val="00414B9D"/>
    <w:rsid w:val="00414C2E"/>
    <w:rsid w:val="004151CF"/>
    <w:rsid w:val="00415E60"/>
    <w:rsid w:val="00416364"/>
    <w:rsid w:val="0041720A"/>
    <w:rsid w:val="00417557"/>
    <w:rsid w:val="00417953"/>
    <w:rsid w:val="00417F74"/>
    <w:rsid w:val="00420235"/>
    <w:rsid w:val="0042047F"/>
    <w:rsid w:val="00420679"/>
    <w:rsid w:val="004208F1"/>
    <w:rsid w:val="00420A5E"/>
    <w:rsid w:val="00420AA6"/>
    <w:rsid w:val="00420B9F"/>
    <w:rsid w:val="004210CC"/>
    <w:rsid w:val="0042162D"/>
    <w:rsid w:val="0042192C"/>
    <w:rsid w:val="00421FB0"/>
    <w:rsid w:val="00422260"/>
    <w:rsid w:val="0042276F"/>
    <w:rsid w:val="00422A1F"/>
    <w:rsid w:val="00422ADF"/>
    <w:rsid w:val="00422B7F"/>
    <w:rsid w:val="0042343F"/>
    <w:rsid w:val="0042363D"/>
    <w:rsid w:val="00423778"/>
    <w:rsid w:val="0042382D"/>
    <w:rsid w:val="0042413F"/>
    <w:rsid w:val="004245B5"/>
    <w:rsid w:val="00424CCE"/>
    <w:rsid w:val="00425272"/>
    <w:rsid w:val="0042542D"/>
    <w:rsid w:val="004259A6"/>
    <w:rsid w:val="00425AA9"/>
    <w:rsid w:val="00425C4C"/>
    <w:rsid w:val="00426124"/>
    <w:rsid w:val="00426CB7"/>
    <w:rsid w:val="00427736"/>
    <w:rsid w:val="00427A71"/>
    <w:rsid w:val="004304AF"/>
    <w:rsid w:val="004305F5"/>
    <w:rsid w:val="00430708"/>
    <w:rsid w:val="004319F8"/>
    <w:rsid w:val="00431B88"/>
    <w:rsid w:val="00431E55"/>
    <w:rsid w:val="004320AB"/>
    <w:rsid w:val="004321F6"/>
    <w:rsid w:val="0043233A"/>
    <w:rsid w:val="0043286B"/>
    <w:rsid w:val="00433044"/>
    <w:rsid w:val="00433078"/>
    <w:rsid w:val="00433255"/>
    <w:rsid w:val="0043345D"/>
    <w:rsid w:val="00434088"/>
    <w:rsid w:val="00434EBC"/>
    <w:rsid w:val="00435344"/>
    <w:rsid w:val="00435382"/>
    <w:rsid w:val="00435D6F"/>
    <w:rsid w:val="004366C1"/>
    <w:rsid w:val="0043710C"/>
    <w:rsid w:val="004375B9"/>
    <w:rsid w:val="0044086D"/>
    <w:rsid w:val="00440C24"/>
    <w:rsid w:val="00441862"/>
    <w:rsid w:val="004418E5"/>
    <w:rsid w:val="00441997"/>
    <w:rsid w:val="004420FD"/>
    <w:rsid w:val="00442166"/>
    <w:rsid w:val="00442796"/>
    <w:rsid w:val="004428D0"/>
    <w:rsid w:val="00442D46"/>
    <w:rsid w:val="004430D6"/>
    <w:rsid w:val="00443865"/>
    <w:rsid w:val="004438FA"/>
    <w:rsid w:val="00443C93"/>
    <w:rsid w:val="00443EC5"/>
    <w:rsid w:val="004440B9"/>
    <w:rsid w:val="00444185"/>
    <w:rsid w:val="004442D3"/>
    <w:rsid w:val="004443A7"/>
    <w:rsid w:val="0044442C"/>
    <w:rsid w:val="00445941"/>
    <w:rsid w:val="004464EB"/>
    <w:rsid w:val="0044688E"/>
    <w:rsid w:val="004474B4"/>
    <w:rsid w:val="00447D26"/>
    <w:rsid w:val="00447DFC"/>
    <w:rsid w:val="00451408"/>
    <w:rsid w:val="00451530"/>
    <w:rsid w:val="0045193C"/>
    <w:rsid w:val="00452162"/>
    <w:rsid w:val="004529B4"/>
    <w:rsid w:val="00452AFD"/>
    <w:rsid w:val="0045374E"/>
    <w:rsid w:val="00453C59"/>
    <w:rsid w:val="00453DE3"/>
    <w:rsid w:val="004544E4"/>
    <w:rsid w:val="0045482F"/>
    <w:rsid w:val="00454E09"/>
    <w:rsid w:val="00454F92"/>
    <w:rsid w:val="0045553B"/>
    <w:rsid w:val="00455864"/>
    <w:rsid w:val="00455B3F"/>
    <w:rsid w:val="00455D45"/>
    <w:rsid w:val="00456067"/>
    <w:rsid w:val="004565D3"/>
    <w:rsid w:val="00456B5D"/>
    <w:rsid w:val="0045702D"/>
    <w:rsid w:val="00460257"/>
    <w:rsid w:val="004610F4"/>
    <w:rsid w:val="00461770"/>
    <w:rsid w:val="004618AC"/>
    <w:rsid w:val="0046265F"/>
    <w:rsid w:val="0046302E"/>
    <w:rsid w:val="004630AD"/>
    <w:rsid w:val="00463955"/>
    <w:rsid w:val="0046419E"/>
    <w:rsid w:val="00464595"/>
    <w:rsid w:val="00464799"/>
    <w:rsid w:val="00464A1C"/>
    <w:rsid w:val="00464A23"/>
    <w:rsid w:val="004658B5"/>
    <w:rsid w:val="00466AD1"/>
    <w:rsid w:val="00466CB6"/>
    <w:rsid w:val="00466E31"/>
    <w:rsid w:val="0046732C"/>
    <w:rsid w:val="00467AEB"/>
    <w:rsid w:val="00467B97"/>
    <w:rsid w:val="0047027A"/>
    <w:rsid w:val="00470A71"/>
    <w:rsid w:val="00470A78"/>
    <w:rsid w:val="00471EA5"/>
    <w:rsid w:val="004723F1"/>
    <w:rsid w:val="00472497"/>
    <w:rsid w:val="00472917"/>
    <w:rsid w:val="00472A79"/>
    <w:rsid w:val="00472AE0"/>
    <w:rsid w:val="00472FD1"/>
    <w:rsid w:val="004733BE"/>
    <w:rsid w:val="00473B0B"/>
    <w:rsid w:val="00473F19"/>
    <w:rsid w:val="004750C7"/>
    <w:rsid w:val="00475407"/>
    <w:rsid w:val="00475797"/>
    <w:rsid w:val="00475C2A"/>
    <w:rsid w:val="00475E22"/>
    <w:rsid w:val="00480217"/>
    <w:rsid w:val="0048039C"/>
    <w:rsid w:val="0048052E"/>
    <w:rsid w:val="0048088E"/>
    <w:rsid w:val="00480B11"/>
    <w:rsid w:val="00480F2B"/>
    <w:rsid w:val="00481074"/>
    <w:rsid w:val="00481097"/>
    <w:rsid w:val="00481B27"/>
    <w:rsid w:val="004820AE"/>
    <w:rsid w:val="00482720"/>
    <w:rsid w:val="00482C14"/>
    <w:rsid w:val="00482EAC"/>
    <w:rsid w:val="00483558"/>
    <w:rsid w:val="004835E7"/>
    <w:rsid w:val="00483860"/>
    <w:rsid w:val="004843A2"/>
    <w:rsid w:val="00484407"/>
    <w:rsid w:val="0048514C"/>
    <w:rsid w:val="00485348"/>
    <w:rsid w:val="00485536"/>
    <w:rsid w:val="004859E1"/>
    <w:rsid w:val="00485C92"/>
    <w:rsid w:val="004861F1"/>
    <w:rsid w:val="004867E2"/>
    <w:rsid w:val="00486857"/>
    <w:rsid w:val="00487B05"/>
    <w:rsid w:val="00490B17"/>
    <w:rsid w:val="00491375"/>
    <w:rsid w:val="00491A4C"/>
    <w:rsid w:val="00491AEB"/>
    <w:rsid w:val="00491B3A"/>
    <w:rsid w:val="00491C88"/>
    <w:rsid w:val="00491C9C"/>
    <w:rsid w:val="004923D8"/>
    <w:rsid w:val="00492836"/>
    <w:rsid w:val="00492959"/>
    <w:rsid w:val="00492CFD"/>
    <w:rsid w:val="004931B2"/>
    <w:rsid w:val="00494207"/>
    <w:rsid w:val="00494DD5"/>
    <w:rsid w:val="00494F03"/>
    <w:rsid w:val="004951A4"/>
    <w:rsid w:val="0049538F"/>
    <w:rsid w:val="00495A55"/>
    <w:rsid w:val="004962D2"/>
    <w:rsid w:val="00496A91"/>
    <w:rsid w:val="00497AAE"/>
    <w:rsid w:val="00497C34"/>
    <w:rsid w:val="004A0504"/>
    <w:rsid w:val="004A07BF"/>
    <w:rsid w:val="004A0DA1"/>
    <w:rsid w:val="004A0F96"/>
    <w:rsid w:val="004A1064"/>
    <w:rsid w:val="004A13D6"/>
    <w:rsid w:val="004A19F2"/>
    <w:rsid w:val="004A274C"/>
    <w:rsid w:val="004A2CC9"/>
    <w:rsid w:val="004A3748"/>
    <w:rsid w:val="004A3EAD"/>
    <w:rsid w:val="004A4254"/>
    <w:rsid w:val="004A4913"/>
    <w:rsid w:val="004A4C34"/>
    <w:rsid w:val="004A4C77"/>
    <w:rsid w:val="004A5010"/>
    <w:rsid w:val="004A52E9"/>
    <w:rsid w:val="004A5408"/>
    <w:rsid w:val="004A590C"/>
    <w:rsid w:val="004A5DDB"/>
    <w:rsid w:val="004A5F97"/>
    <w:rsid w:val="004A6040"/>
    <w:rsid w:val="004A6154"/>
    <w:rsid w:val="004A625C"/>
    <w:rsid w:val="004A6597"/>
    <w:rsid w:val="004A6656"/>
    <w:rsid w:val="004A683B"/>
    <w:rsid w:val="004A6ECD"/>
    <w:rsid w:val="004A700D"/>
    <w:rsid w:val="004A769E"/>
    <w:rsid w:val="004A7848"/>
    <w:rsid w:val="004A793B"/>
    <w:rsid w:val="004A7BB2"/>
    <w:rsid w:val="004A7F73"/>
    <w:rsid w:val="004B039D"/>
    <w:rsid w:val="004B05EF"/>
    <w:rsid w:val="004B0947"/>
    <w:rsid w:val="004B115C"/>
    <w:rsid w:val="004B1CB4"/>
    <w:rsid w:val="004B2567"/>
    <w:rsid w:val="004B2F18"/>
    <w:rsid w:val="004B3DDB"/>
    <w:rsid w:val="004B44FD"/>
    <w:rsid w:val="004B47D8"/>
    <w:rsid w:val="004B5CFC"/>
    <w:rsid w:val="004B6793"/>
    <w:rsid w:val="004B6886"/>
    <w:rsid w:val="004B6C7A"/>
    <w:rsid w:val="004B6DDB"/>
    <w:rsid w:val="004B6F2D"/>
    <w:rsid w:val="004B6F79"/>
    <w:rsid w:val="004B6FE2"/>
    <w:rsid w:val="004B7108"/>
    <w:rsid w:val="004B7473"/>
    <w:rsid w:val="004B774D"/>
    <w:rsid w:val="004C0031"/>
    <w:rsid w:val="004C01C3"/>
    <w:rsid w:val="004C04AA"/>
    <w:rsid w:val="004C04C8"/>
    <w:rsid w:val="004C2257"/>
    <w:rsid w:val="004C2AC2"/>
    <w:rsid w:val="004C3098"/>
    <w:rsid w:val="004C379C"/>
    <w:rsid w:val="004C3D61"/>
    <w:rsid w:val="004C3E51"/>
    <w:rsid w:val="004C42C4"/>
    <w:rsid w:val="004C4350"/>
    <w:rsid w:val="004C4AED"/>
    <w:rsid w:val="004C4D64"/>
    <w:rsid w:val="004C51C1"/>
    <w:rsid w:val="004C5350"/>
    <w:rsid w:val="004C53BD"/>
    <w:rsid w:val="004C5AC3"/>
    <w:rsid w:val="004C5AFE"/>
    <w:rsid w:val="004C6492"/>
    <w:rsid w:val="004C7CE6"/>
    <w:rsid w:val="004C7FC8"/>
    <w:rsid w:val="004D0349"/>
    <w:rsid w:val="004D0700"/>
    <w:rsid w:val="004D0731"/>
    <w:rsid w:val="004D16C3"/>
    <w:rsid w:val="004D17DC"/>
    <w:rsid w:val="004D2C2D"/>
    <w:rsid w:val="004D30BA"/>
    <w:rsid w:val="004D3D57"/>
    <w:rsid w:val="004D41FA"/>
    <w:rsid w:val="004D4E09"/>
    <w:rsid w:val="004D4ED8"/>
    <w:rsid w:val="004D4F08"/>
    <w:rsid w:val="004D553F"/>
    <w:rsid w:val="004D613A"/>
    <w:rsid w:val="004D63F5"/>
    <w:rsid w:val="004D6452"/>
    <w:rsid w:val="004D65AD"/>
    <w:rsid w:val="004D696B"/>
    <w:rsid w:val="004D69B5"/>
    <w:rsid w:val="004D6BD9"/>
    <w:rsid w:val="004D71D5"/>
    <w:rsid w:val="004D7227"/>
    <w:rsid w:val="004D7B5E"/>
    <w:rsid w:val="004D7E2A"/>
    <w:rsid w:val="004E0E7F"/>
    <w:rsid w:val="004E0EB8"/>
    <w:rsid w:val="004E18E9"/>
    <w:rsid w:val="004E1F71"/>
    <w:rsid w:val="004E21E1"/>
    <w:rsid w:val="004E2ADC"/>
    <w:rsid w:val="004E2C35"/>
    <w:rsid w:val="004E37FE"/>
    <w:rsid w:val="004E3A62"/>
    <w:rsid w:val="004E3B02"/>
    <w:rsid w:val="004E3CE4"/>
    <w:rsid w:val="004E3DE7"/>
    <w:rsid w:val="004E43B2"/>
    <w:rsid w:val="004E495F"/>
    <w:rsid w:val="004E4BA9"/>
    <w:rsid w:val="004E53C1"/>
    <w:rsid w:val="004E5587"/>
    <w:rsid w:val="004E55E1"/>
    <w:rsid w:val="004E5C89"/>
    <w:rsid w:val="004E6665"/>
    <w:rsid w:val="004E7642"/>
    <w:rsid w:val="004E7847"/>
    <w:rsid w:val="004E7D18"/>
    <w:rsid w:val="004F0234"/>
    <w:rsid w:val="004F12D8"/>
    <w:rsid w:val="004F189A"/>
    <w:rsid w:val="004F1D02"/>
    <w:rsid w:val="004F1F3F"/>
    <w:rsid w:val="004F2679"/>
    <w:rsid w:val="004F2A6C"/>
    <w:rsid w:val="004F2F21"/>
    <w:rsid w:val="004F345E"/>
    <w:rsid w:val="004F3DE5"/>
    <w:rsid w:val="004F3FDF"/>
    <w:rsid w:val="004F4C8C"/>
    <w:rsid w:val="004F532B"/>
    <w:rsid w:val="004F57E2"/>
    <w:rsid w:val="004F58F1"/>
    <w:rsid w:val="004F590D"/>
    <w:rsid w:val="004F6119"/>
    <w:rsid w:val="004F61C5"/>
    <w:rsid w:val="004F63E9"/>
    <w:rsid w:val="004F6913"/>
    <w:rsid w:val="004F6E67"/>
    <w:rsid w:val="004F71C7"/>
    <w:rsid w:val="004F72E7"/>
    <w:rsid w:val="004F7665"/>
    <w:rsid w:val="004F7739"/>
    <w:rsid w:val="004F7865"/>
    <w:rsid w:val="004F7FBA"/>
    <w:rsid w:val="0050174E"/>
    <w:rsid w:val="00501854"/>
    <w:rsid w:val="00501905"/>
    <w:rsid w:val="00501BE3"/>
    <w:rsid w:val="00501C62"/>
    <w:rsid w:val="0050219B"/>
    <w:rsid w:val="00502397"/>
    <w:rsid w:val="005025B1"/>
    <w:rsid w:val="005029CC"/>
    <w:rsid w:val="005029DF"/>
    <w:rsid w:val="00503F17"/>
    <w:rsid w:val="00503F3A"/>
    <w:rsid w:val="00504415"/>
    <w:rsid w:val="005051BC"/>
    <w:rsid w:val="005058C0"/>
    <w:rsid w:val="005059AE"/>
    <w:rsid w:val="00505C09"/>
    <w:rsid w:val="00505F12"/>
    <w:rsid w:val="00506864"/>
    <w:rsid w:val="00506928"/>
    <w:rsid w:val="005077EF"/>
    <w:rsid w:val="005104A9"/>
    <w:rsid w:val="005112A8"/>
    <w:rsid w:val="0051166D"/>
    <w:rsid w:val="00511AD5"/>
    <w:rsid w:val="00511DC7"/>
    <w:rsid w:val="005134A5"/>
    <w:rsid w:val="005142C5"/>
    <w:rsid w:val="00514EFE"/>
    <w:rsid w:val="0051501B"/>
    <w:rsid w:val="005152B5"/>
    <w:rsid w:val="00515886"/>
    <w:rsid w:val="00515D00"/>
    <w:rsid w:val="00516245"/>
    <w:rsid w:val="0051631F"/>
    <w:rsid w:val="0051632F"/>
    <w:rsid w:val="00516A2E"/>
    <w:rsid w:val="00516AF3"/>
    <w:rsid w:val="00516FD9"/>
    <w:rsid w:val="005171AF"/>
    <w:rsid w:val="00517550"/>
    <w:rsid w:val="0051776F"/>
    <w:rsid w:val="00517A9D"/>
    <w:rsid w:val="00517C5F"/>
    <w:rsid w:val="00517D61"/>
    <w:rsid w:val="00517F49"/>
    <w:rsid w:val="00520200"/>
    <w:rsid w:val="0052123C"/>
    <w:rsid w:val="00521319"/>
    <w:rsid w:val="00521527"/>
    <w:rsid w:val="00521824"/>
    <w:rsid w:val="00521A45"/>
    <w:rsid w:val="0052260C"/>
    <w:rsid w:val="00522BC8"/>
    <w:rsid w:val="00522D96"/>
    <w:rsid w:val="00523BE1"/>
    <w:rsid w:val="00523C28"/>
    <w:rsid w:val="00523C8E"/>
    <w:rsid w:val="00524098"/>
    <w:rsid w:val="00524A78"/>
    <w:rsid w:val="00524C58"/>
    <w:rsid w:val="00524CA4"/>
    <w:rsid w:val="00524D7F"/>
    <w:rsid w:val="0052539D"/>
    <w:rsid w:val="005255A7"/>
    <w:rsid w:val="00526975"/>
    <w:rsid w:val="00526CC5"/>
    <w:rsid w:val="005278EA"/>
    <w:rsid w:val="0053013C"/>
    <w:rsid w:val="00530149"/>
    <w:rsid w:val="0053176B"/>
    <w:rsid w:val="00531C6D"/>
    <w:rsid w:val="00531FD4"/>
    <w:rsid w:val="005320C0"/>
    <w:rsid w:val="005320E4"/>
    <w:rsid w:val="005325F2"/>
    <w:rsid w:val="0053265E"/>
    <w:rsid w:val="00532786"/>
    <w:rsid w:val="00532868"/>
    <w:rsid w:val="00532C20"/>
    <w:rsid w:val="00532E21"/>
    <w:rsid w:val="005341B3"/>
    <w:rsid w:val="005342F9"/>
    <w:rsid w:val="0053437C"/>
    <w:rsid w:val="00534C6B"/>
    <w:rsid w:val="0053594C"/>
    <w:rsid w:val="00535BC8"/>
    <w:rsid w:val="00535EB0"/>
    <w:rsid w:val="00535FE2"/>
    <w:rsid w:val="00536F42"/>
    <w:rsid w:val="0053704C"/>
    <w:rsid w:val="00537182"/>
    <w:rsid w:val="005375F8"/>
    <w:rsid w:val="00537920"/>
    <w:rsid w:val="00537E1A"/>
    <w:rsid w:val="0054067F"/>
    <w:rsid w:val="00540E53"/>
    <w:rsid w:val="00540FC1"/>
    <w:rsid w:val="00541978"/>
    <w:rsid w:val="00541EDD"/>
    <w:rsid w:val="00541F04"/>
    <w:rsid w:val="00542743"/>
    <w:rsid w:val="00542B4E"/>
    <w:rsid w:val="00542C2D"/>
    <w:rsid w:val="0054318E"/>
    <w:rsid w:val="00543A69"/>
    <w:rsid w:val="00543F5E"/>
    <w:rsid w:val="00544094"/>
    <w:rsid w:val="0054448F"/>
    <w:rsid w:val="00544565"/>
    <w:rsid w:val="00544A59"/>
    <w:rsid w:val="00544BD6"/>
    <w:rsid w:val="00544C56"/>
    <w:rsid w:val="00544E0D"/>
    <w:rsid w:val="005452F0"/>
    <w:rsid w:val="00545914"/>
    <w:rsid w:val="00545EC6"/>
    <w:rsid w:val="00545FFB"/>
    <w:rsid w:val="00546597"/>
    <w:rsid w:val="0054717E"/>
    <w:rsid w:val="00547718"/>
    <w:rsid w:val="0054772A"/>
    <w:rsid w:val="005478BD"/>
    <w:rsid w:val="005479E3"/>
    <w:rsid w:val="00547B62"/>
    <w:rsid w:val="005508AD"/>
    <w:rsid w:val="00550A36"/>
    <w:rsid w:val="00550A72"/>
    <w:rsid w:val="00551985"/>
    <w:rsid w:val="00551C14"/>
    <w:rsid w:val="00551D77"/>
    <w:rsid w:val="00552BD3"/>
    <w:rsid w:val="005532A0"/>
    <w:rsid w:val="0055387D"/>
    <w:rsid w:val="00554619"/>
    <w:rsid w:val="00554B99"/>
    <w:rsid w:val="005550F4"/>
    <w:rsid w:val="00555109"/>
    <w:rsid w:val="005553B9"/>
    <w:rsid w:val="005557F5"/>
    <w:rsid w:val="00556081"/>
    <w:rsid w:val="00556B35"/>
    <w:rsid w:val="00556D15"/>
    <w:rsid w:val="0055741A"/>
    <w:rsid w:val="00560C72"/>
    <w:rsid w:val="005611B7"/>
    <w:rsid w:val="005618D4"/>
    <w:rsid w:val="0056249B"/>
    <w:rsid w:val="005625EE"/>
    <w:rsid w:val="00563C52"/>
    <w:rsid w:val="00563F8E"/>
    <w:rsid w:val="005647FD"/>
    <w:rsid w:val="00564867"/>
    <w:rsid w:val="00565456"/>
    <w:rsid w:val="005658DB"/>
    <w:rsid w:val="00565C79"/>
    <w:rsid w:val="00565DF0"/>
    <w:rsid w:val="00566390"/>
    <w:rsid w:val="00566411"/>
    <w:rsid w:val="0056657C"/>
    <w:rsid w:val="005667B9"/>
    <w:rsid w:val="0056696F"/>
    <w:rsid w:val="00566E72"/>
    <w:rsid w:val="0056759F"/>
    <w:rsid w:val="005675BB"/>
    <w:rsid w:val="005679CE"/>
    <w:rsid w:val="00570001"/>
    <w:rsid w:val="0057016F"/>
    <w:rsid w:val="00570846"/>
    <w:rsid w:val="00570F81"/>
    <w:rsid w:val="00570FA0"/>
    <w:rsid w:val="0057123C"/>
    <w:rsid w:val="005715DA"/>
    <w:rsid w:val="005718FB"/>
    <w:rsid w:val="00571AF1"/>
    <w:rsid w:val="00572269"/>
    <w:rsid w:val="0057244A"/>
    <w:rsid w:val="005729B4"/>
    <w:rsid w:val="005729FD"/>
    <w:rsid w:val="00572F26"/>
    <w:rsid w:val="005740F1"/>
    <w:rsid w:val="00574888"/>
    <w:rsid w:val="00574CBD"/>
    <w:rsid w:val="005750C5"/>
    <w:rsid w:val="005752DE"/>
    <w:rsid w:val="00575D60"/>
    <w:rsid w:val="00575D8D"/>
    <w:rsid w:val="00575E89"/>
    <w:rsid w:val="00575ED1"/>
    <w:rsid w:val="005765A8"/>
    <w:rsid w:val="00576972"/>
    <w:rsid w:val="0057699F"/>
    <w:rsid w:val="00577248"/>
    <w:rsid w:val="0057749F"/>
    <w:rsid w:val="00577641"/>
    <w:rsid w:val="00580E93"/>
    <w:rsid w:val="00581182"/>
    <w:rsid w:val="0058136D"/>
    <w:rsid w:val="005815B2"/>
    <w:rsid w:val="005825D6"/>
    <w:rsid w:val="00582DF9"/>
    <w:rsid w:val="00583699"/>
    <w:rsid w:val="00583946"/>
    <w:rsid w:val="00583995"/>
    <w:rsid w:val="0058399E"/>
    <w:rsid w:val="00583BD2"/>
    <w:rsid w:val="00583E6D"/>
    <w:rsid w:val="00583FDB"/>
    <w:rsid w:val="00584449"/>
    <w:rsid w:val="00584A12"/>
    <w:rsid w:val="00584E82"/>
    <w:rsid w:val="005855C2"/>
    <w:rsid w:val="00585CDD"/>
    <w:rsid w:val="00586197"/>
    <w:rsid w:val="005866BD"/>
    <w:rsid w:val="00586B90"/>
    <w:rsid w:val="00586F2D"/>
    <w:rsid w:val="00587058"/>
    <w:rsid w:val="00587552"/>
    <w:rsid w:val="00587711"/>
    <w:rsid w:val="00587C13"/>
    <w:rsid w:val="00587FFD"/>
    <w:rsid w:val="00590F3A"/>
    <w:rsid w:val="00591639"/>
    <w:rsid w:val="005917E8"/>
    <w:rsid w:val="00591957"/>
    <w:rsid w:val="00591C3A"/>
    <w:rsid w:val="00593194"/>
    <w:rsid w:val="00593C8B"/>
    <w:rsid w:val="005942EA"/>
    <w:rsid w:val="00594736"/>
    <w:rsid w:val="005958BB"/>
    <w:rsid w:val="00595A61"/>
    <w:rsid w:val="005966AA"/>
    <w:rsid w:val="00596765"/>
    <w:rsid w:val="00596A61"/>
    <w:rsid w:val="00597490"/>
    <w:rsid w:val="00597A7B"/>
    <w:rsid w:val="00597BF9"/>
    <w:rsid w:val="00597E68"/>
    <w:rsid w:val="005A02AF"/>
    <w:rsid w:val="005A0393"/>
    <w:rsid w:val="005A0C11"/>
    <w:rsid w:val="005A0F59"/>
    <w:rsid w:val="005A15F9"/>
    <w:rsid w:val="005A2816"/>
    <w:rsid w:val="005A309A"/>
    <w:rsid w:val="005A32E1"/>
    <w:rsid w:val="005A373D"/>
    <w:rsid w:val="005A4241"/>
    <w:rsid w:val="005A4274"/>
    <w:rsid w:val="005A459D"/>
    <w:rsid w:val="005A45AC"/>
    <w:rsid w:val="005A47B7"/>
    <w:rsid w:val="005A4CBE"/>
    <w:rsid w:val="005A56C8"/>
    <w:rsid w:val="005A5E0A"/>
    <w:rsid w:val="005A6610"/>
    <w:rsid w:val="005A66F3"/>
    <w:rsid w:val="005A6788"/>
    <w:rsid w:val="005A754F"/>
    <w:rsid w:val="005A7E55"/>
    <w:rsid w:val="005B0B58"/>
    <w:rsid w:val="005B0DE1"/>
    <w:rsid w:val="005B1043"/>
    <w:rsid w:val="005B1360"/>
    <w:rsid w:val="005B1D21"/>
    <w:rsid w:val="005B1F07"/>
    <w:rsid w:val="005B237E"/>
    <w:rsid w:val="005B2B74"/>
    <w:rsid w:val="005B3126"/>
    <w:rsid w:val="005B3940"/>
    <w:rsid w:val="005B4438"/>
    <w:rsid w:val="005B4C32"/>
    <w:rsid w:val="005B4E53"/>
    <w:rsid w:val="005B5857"/>
    <w:rsid w:val="005B5AE6"/>
    <w:rsid w:val="005B5E96"/>
    <w:rsid w:val="005B5FF7"/>
    <w:rsid w:val="005B61EE"/>
    <w:rsid w:val="005B701E"/>
    <w:rsid w:val="005C02B5"/>
    <w:rsid w:val="005C04C8"/>
    <w:rsid w:val="005C10D5"/>
    <w:rsid w:val="005C19C4"/>
    <w:rsid w:val="005C1B83"/>
    <w:rsid w:val="005C1B8B"/>
    <w:rsid w:val="005C1BAC"/>
    <w:rsid w:val="005C25FF"/>
    <w:rsid w:val="005C2D55"/>
    <w:rsid w:val="005C3323"/>
    <w:rsid w:val="005C346B"/>
    <w:rsid w:val="005C34C6"/>
    <w:rsid w:val="005C36ED"/>
    <w:rsid w:val="005C3768"/>
    <w:rsid w:val="005C3B02"/>
    <w:rsid w:val="005C3D29"/>
    <w:rsid w:val="005C4A19"/>
    <w:rsid w:val="005C4D52"/>
    <w:rsid w:val="005C5337"/>
    <w:rsid w:val="005C5522"/>
    <w:rsid w:val="005C5ABC"/>
    <w:rsid w:val="005C5D29"/>
    <w:rsid w:val="005C63A7"/>
    <w:rsid w:val="005C6FD0"/>
    <w:rsid w:val="005C70AA"/>
    <w:rsid w:val="005C7303"/>
    <w:rsid w:val="005C79CF"/>
    <w:rsid w:val="005C7B19"/>
    <w:rsid w:val="005D014A"/>
    <w:rsid w:val="005D02C4"/>
    <w:rsid w:val="005D044D"/>
    <w:rsid w:val="005D0942"/>
    <w:rsid w:val="005D0ABD"/>
    <w:rsid w:val="005D0EDF"/>
    <w:rsid w:val="005D1219"/>
    <w:rsid w:val="005D1789"/>
    <w:rsid w:val="005D18AD"/>
    <w:rsid w:val="005D1D28"/>
    <w:rsid w:val="005D1E92"/>
    <w:rsid w:val="005D2652"/>
    <w:rsid w:val="005D26B4"/>
    <w:rsid w:val="005D4FF7"/>
    <w:rsid w:val="005D597F"/>
    <w:rsid w:val="005D5BC7"/>
    <w:rsid w:val="005D5D30"/>
    <w:rsid w:val="005D773B"/>
    <w:rsid w:val="005E06A7"/>
    <w:rsid w:val="005E0B03"/>
    <w:rsid w:val="005E0FF4"/>
    <w:rsid w:val="005E12C7"/>
    <w:rsid w:val="005E1995"/>
    <w:rsid w:val="005E1B5A"/>
    <w:rsid w:val="005E1C23"/>
    <w:rsid w:val="005E1C9A"/>
    <w:rsid w:val="005E22DE"/>
    <w:rsid w:val="005E2CEC"/>
    <w:rsid w:val="005E2E0F"/>
    <w:rsid w:val="005E3E07"/>
    <w:rsid w:val="005E5233"/>
    <w:rsid w:val="005E54C0"/>
    <w:rsid w:val="005E6394"/>
    <w:rsid w:val="005E63A5"/>
    <w:rsid w:val="005E6847"/>
    <w:rsid w:val="005E6CBC"/>
    <w:rsid w:val="005E6E43"/>
    <w:rsid w:val="005E72FF"/>
    <w:rsid w:val="005E73C0"/>
    <w:rsid w:val="005E76C8"/>
    <w:rsid w:val="005E7D7B"/>
    <w:rsid w:val="005E7DDA"/>
    <w:rsid w:val="005E7F6F"/>
    <w:rsid w:val="005F007D"/>
    <w:rsid w:val="005F06FC"/>
    <w:rsid w:val="005F07ED"/>
    <w:rsid w:val="005F20BC"/>
    <w:rsid w:val="005F22C4"/>
    <w:rsid w:val="005F25C9"/>
    <w:rsid w:val="005F2706"/>
    <w:rsid w:val="005F2F68"/>
    <w:rsid w:val="005F3B83"/>
    <w:rsid w:val="005F3F2B"/>
    <w:rsid w:val="005F4412"/>
    <w:rsid w:val="005F4857"/>
    <w:rsid w:val="005F4910"/>
    <w:rsid w:val="005F4E0A"/>
    <w:rsid w:val="005F51E6"/>
    <w:rsid w:val="005F56C8"/>
    <w:rsid w:val="005F6193"/>
    <w:rsid w:val="005F669E"/>
    <w:rsid w:val="005F6A8F"/>
    <w:rsid w:val="005F6B20"/>
    <w:rsid w:val="005F6BB7"/>
    <w:rsid w:val="005F6CA6"/>
    <w:rsid w:val="005F73CB"/>
    <w:rsid w:val="005F743A"/>
    <w:rsid w:val="005F7448"/>
    <w:rsid w:val="005F7588"/>
    <w:rsid w:val="006000B8"/>
    <w:rsid w:val="00600115"/>
    <w:rsid w:val="00600835"/>
    <w:rsid w:val="00600B0F"/>
    <w:rsid w:val="00600BD6"/>
    <w:rsid w:val="00600FB4"/>
    <w:rsid w:val="0060109E"/>
    <w:rsid w:val="006015CE"/>
    <w:rsid w:val="006016D8"/>
    <w:rsid w:val="00601786"/>
    <w:rsid w:val="006027EB"/>
    <w:rsid w:val="006029CD"/>
    <w:rsid w:val="006030D9"/>
    <w:rsid w:val="00603248"/>
    <w:rsid w:val="0060372B"/>
    <w:rsid w:val="00603DA1"/>
    <w:rsid w:val="00603DB9"/>
    <w:rsid w:val="006047F6"/>
    <w:rsid w:val="00604D0E"/>
    <w:rsid w:val="00604F1E"/>
    <w:rsid w:val="006058E5"/>
    <w:rsid w:val="00605C21"/>
    <w:rsid w:val="00606C09"/>
    <w:rsid w:val="00606E79"/>
    <w:rsid w:val="00606FBA"/>
    <w:rsid w:val="00607155"/>
    <w:rsid w:val="00607669"/>
    <w:rsid w:val="006076F4"/>
    <w:rsid w:val="00607AFD"/>
    <w:rsid w:val="00607B94"/>
    <w:rsid w:val="00607D36"/>
    <w:rsid w:val="006100A7"/>
    <w:rsid w:val="006100BA"/>
    <w:rsid w:val="0061051F"/>
    <w:rsid w:val="006109C4"/>
    <w:rsid w:val="00610F36"/>
    <w:rsid w:val="00610F9E"/>
    <w:rsid w:val="00611903"/>
    <w:rsid w:val="00611B12"/>
    <w:rsid w:val="00611F95"/>
    <w:rsid w:val="006128C7"/>
    <w:rsid w:val="00612E6C"/>
    <w:rsid w:val="00612F97"/>
    <w:rsid w:val="00612FA3"/>
    <w:rsid w:val="00613135"/>
    <w:rsid w:val="0061345D"/>
    <w:rsid w:val="0061353C"/>
    <w:rsid w:val="0061396B"/>
    <w:rsid w:val="006139E8"/>
    <w:rsid w:val="00614135"/>
    <w:rsid w:val="0061549B"/>
    <w:rsid w:val="006156C2"/>
    <w:rsid w:val="0061576E"/>
    <w:rsid w:val="0061591C"/>
    <w:rsid w:val="00615C9A"/>
    <w:rsid w:val="006165A1"/>
    <w:rsid w:val="00616752"/>
    <w:rsid w:val="00616802"/>
    <w:rsid w:val="006171F9"/>
    <w:rsid w:val="00617235"/>
    <w:rsid w:val="00617E12"/>
    <w:rsid w:val="006205EF"/>
    <w:rsid w:val="00620669"/>
    <w:rsid w:val="006206F1"/>
    <w:rsid w:val="0062074C"/>
    <w:rsid w:val="00620C25"/>
    <w:rsid w:val="00620CAA"/>
    <w:rsid w:val="00620D37"/>
    <w:rsid w:val="00620E58"/>
    <w:rsid w:val="00621245"/>
    <w:rsid w:val="0062126D"/>
    <w:rsid w:val="0062146B"/>
    <w:rsid w:val="00621477"/>
    <w:rsid w:val="006218C0"/>
    <w:rsid w:val="00621ADA"/>
    <w:rsid w:val="00622709"/>
    <w:rsid w:val="006228E4"/>
    <w:rsid w:val="006229D7"/>
    <w:rsid w:val="00622E92"/>
    <w:rsid w:val="00622F38"/>
    <w:rsid w:val="006233DF"/>
    <w:rsid w:val="00623F7B"/>
    <w:rsid w:val="00624953"/>
    <w:rsid w:val="00624BD4"/>
    <w:rsid w:val="00625D2C"/>
    <w:rsid w:val="00625E91"/>
    <w:rsid w:val="00626574"/>
    <w:rsid w:val="00631506"/>
    <w:rsid w:val="0063158F"/>
    <w:rsid w:val="00631699"/>
    <w:rsid w:val="00631D6B"/>
    <w:rsid w:val="00631EF6"/>
    <w:rsid w:val="00632183"/>
    <w:rsid w:val="006330A1"/>
    <w:rsid w:val="006330E3"/>
    <w:rsid w:val="0063432B"/>
    <w:rsid w:val="00634407"/>
    <w:rsid w:val="0063479F"/>
    <w:rsid w:val="006351CF"/>
    <w:rsid w:val="006353F0"/>
    <w:rsid w:val="006357B5"/>
    <w:rsid w:val="0063640C"/>
    <w:rsid w:val="006364A1"/>
    <w:rsid w:val="0063678E"/>
    <w:rsid w:val="0063704D"/>
    <w:rsid w:val="006371AE"/>
    <w:rsid w:val="006371FB"/>
    <w:rsid w:val="00637574"/>
    <w:rsid w:val="00637BFD"/>
    <w:rsid w:val="00637C5C"/>
    <w:rsid w:val="00641455"/>
    <w:rsid w:val="006416D1"/>
    <w:rsid w:val="00641832"/>
    <w:rsid w:val="00641988"/>
    <w:rsid w:val="00641B6A"/>
    <w:rsid w:val="00641C4E"/>
    <w:rsid w:val="00641FB3"/>
    <w:rsid w:val="00641FBB"/>
    <w:rsid w:val="00642361"/>
    <w:rsid w:val="006423C5"/>
    <w:rsid w:val="00642BCD"/>
    <w:rsid w:val="006438CA"/>
    <w:rsid w:val="00643930"/>
    <w:rsid w:val="0064421B"/>
    <w:rsid w:val="0064434C"/>
    <w:rsid w:val="00644B48"/>
    <w:rsid w:val="006451C9"/>
    <w:rsid w:val="00645354"/>
    <w:rsid w:val="00645691"/>
    <w:rsid w:val="00645856"/>
    <w:rsid w:val="00645A63"/>
    <w:rsid w:val="00645F4E"/>
    <w:rsid w:val="00646236"/>
    <w:rsid w:val="00646729"/>
    <w:rsid w:val="00646ECB"/>
    <w:rsid w:val="00646FB0"/>
    <w:rsid w:val="006471CC"/>
    <w:rsid w:val="006472FE"/>
    <w:rsid w:val="0064798F"/>
    <w:rsid w:val="00647A29"/>
    <w:rsid w:val="00647D2F"/>
    <w:rsid w:val="00650214"/>
    <w:rsid w:val="00650608"/>
    <w:rsid w:val="0065079F"/>
    <w:rsid w:val="00651027"/>
    <w:rsid w:val="00651325"/>
    <w:rsid w:val="00651537"/>
    <w:rsid w:val="00651851"/>
    <w:rsid w:val="00651BF4"/>
    <w:rsid w:val="0065253D"/>
    <w:rsid w:val="00652A28"/>
    <w:rsid w:val="0065309D"/>
    <w:rsid w:val="006534F7"/>
    <w:rsid w:val="006536BF"/>
    <w:rsid w:val="00653760"/>
    <w:rsid w:val="0065379F"/>
    <w:rsid w:val="006538FD"/>
    <w:rsid w:val="00653971"/>
    <w:rsid w:val="00653EEB"/>
    <w:rsid w:val="00654986"/>
    <w:rsid w:val="006549AE"/>
    <w:rsid w:val="00655391"/>
    <w:rsid w:val="00655D58"/>
    <w:rsid w:val="00656188"/>
    <w:rsid w:val="0065678A"/>
    <w:rsid w:val="006569B0"/>
    <w:rsid w:val="0065715A"/>
    <w:rsid w:val="00657DF4"/>
    <w:rsid w:val="00657E6D"/>
    <w:rsid w:val="006601C6"/>
    <w:rsid w:val="00660207"/>
    <w:rsid w:val="00660354"/>
    <w:rsid w:val="00660BC7"/>
    <w:rsid w:val="006610F1"/>
    <w:rsid w:val="00661AFB"/>
    <w:rsid w:val="00661C6B"/>
    <w:rsid w:val="0066259E"/>
    <w:rsid w:val="00662D3E"/>
    <w:rsid w:val="00663B8A"/>
    <w:rsid w:val="006644D7"/>
    <w:rsid w:val="00665C53"/>
    <w:rsid w:val="00665C90"/>
    <w:rsid w:val="00665D4E"/>
    <w:rsid w:val="0066609E"/>
    <w:rsid w:val="00666755"/>
    <w:rsid w:val="006667FB"/>
    <w:rsid w:val="00667739"/>
    <w:rsid w:val="00667BE3"/>
    <w:rsid w:val="00667E06"/>
    <w:rsid w:val="00667F3D"/>
    <w:rsid w:val="00671004"/>
    <w:rsid w:val="0067102C"/>
    <w:rsid w:val="006710D5"/>
    <w:rsid w:val="00671458"/>
    <w:rsid w:val="00671761"/>
    <w:rsid w:val="006717B3"/>
    <w:rsid w:val="00671CB0"/>
    <w:rsid w:val="00671CF6"/>
    <w:rsid w:val="00671DBD"/>
    <w:rsid w:val="006723EB"/>
    <w:rsid w:val="00672439"/>
    <w:rsid w:val="00672646"/>
    <w:rsid w:val="0067284F"/>
    <w:rsid w:val="00672A3D"/>
    <w:rsid w:val="00672BFF"/>
    <w:rsid w:val="0067311F"/>
    <w:rsid w:val="00673678"/>
    <w:rsid w:val="00673E72"/>
    <w:rsid w:val="006741C5"/>
    <w:rsid w:val="0067477A"/>
    <w:rsid w:val="006747D5"/>
    <w:rsid w:val="00674E42"/>
    <w:rsid w:val="00675241"/>
    <w:rsid w:val="00675838"/>
    <w:rsid w:val="006758DC"/>
    <w:rsid w:val="00675C82"/>
    <w:rsid w:val="00675DA1"/>
    <w:rsid w:val="00675E7E"/>
    <w:rsid w:val="00676563"/>
    <w:rsid w:val="0067676D"/>
    <w:rsid w:val="00676F0C"/>
    <w:rsid w:val="00677281"/>
    <w:rsid w:val="006774C7"/>
    <w:rsid w:val="00677E76"/>
    <w:rsid w:val="00677F98"/>
    <w:rsid w:val="006807B9"/>
    <w:rsid w:val="00680AAB"/>
    <w:rsid w:val="00680B25"/>
    <w:rsid w:val="006813F8"/>
    <w:rsid w:val="006818BF"/>
    <w:rsid w:val="00681E7B"/>
    <w:rsid w:val="00682112"/>
    <w:rsid w:val="00682BA6"/>
    <w:rsid w:val="00682DFC"/>
    <w:rsid w:val="00682F6B"/>
    <w:rsid w:val="00683235"/>
    <w:rsid w:val="00683809"/>
    <w:rsid w:val="00683AF4"/>
    <w:rsid w:val="0068461B"/>
    <w:rsid w:val="00684E09"/>
    <w:rsid w:val="00685052"/>
    <w:rsid w:val="0068505B"/>
    <w:rsid w:val="00685A67"/>
    <w:rsid w:val="00686369"/>
    <w:rsid w:val="00686390"/>
    <w:rsid w:val="006863BB"/>
    <w:rsid w:val="0068657B"/>
    <w:rsid w:val="00686919"/>
    <w:rsid w:val="00686957"/>
    <w:rsid w:val="00686FEB"/>
    <w:rsid w:val="006872BA"/>
    <w:rsid w:val="0068733B"/>
    <w:rsid w:val="00687679"/>
    <w:rsid w:val="006876FA"/>
    <w:rsid w:val="00687E87"/>
    <w:rsid w:val="00690771"/>
    <w:rsid w:val="00690795"/>
    <w:rsid w:val="00690F21"/>
    <w:rsid w:val="00691648"/>
    <w:rsid w:val="006917AE"/>
    <w:rsid w:val="006917D7"/>
    <w:rsid w:val="0069231F"/>
    <w:rsid w:val="00692483"/>
    <w:rsid w:val="00692512"/>
    <w:rsid w:val="00692B9A"/>
    <w:rsid w:val="006939C6"/>
    <w:rsid w:val="00693B63"/>
    <w:rsid w:val="0069434C"/>
    <w:rsid w:val="00694DE9"/>
    <w:rsid w:val="00694F44"/>
    <w:rsid w:val="0069683E"/>
    <w:rsid w:val="00696AD0"/>
    <w:rsid w:val="00696EF9"/>
    <w:rsid w:val="00696F51"/>
    <w:rsid w:val="00697619"/>
    <w:rsid w:val="006979A5"/>
    <w:rsid w:val="00697A84"/>
    <w:rsid w:val="006A016F"/>
    <w:rsid w:val="006A01CB"/>
    <w:rsid w:val="006A01D5"/>
    <w:rsid w:val="006A0282"/>
    <w:rsid w:val="006A0694"/>
    <w:rsid w:val="006A0CD0"/>
    <w:rsid w:val="006A0CF4"/>
    <w:rsid w:val="006A0DF5"/>
    <w:rsid w:val="006A0DF7"/>
    <w:rsid w:val="006A102C"/>
    <w:rsid w:val="006A10D0"/>
    <w:rsid w:val="006A1613"/>
    <w:rsid w:val="006A1719"/>
    <w:rsid w:val="006A1A4B"/>
    <w:rsid w:val="006A1D24"/>
    <w:rsid w:val="006A1E72"/>
    <w:rsid w:val="006A27F4"/>
    <w:rsid w:val="006A2865"/>
    <w:rsid w:val="006A3799"/>
    <w:rsid w:val="006A4321"/>
    <w:rsid w:val="006A43D9"/>
    <w:rsid w:val="006A550B"/>
    <w:rsid w:val="006A56B4"/>
    <w:rsid w:val="006A5A45"/>
    <w:rsid w:val="006A5AC7"/>
    <w:rsid w:val="006A5D11"/>
    <w:rsid w:val="006A5F76"/>
    <w:rsid w:val="006A6B99"/>
    <w:rsid w:val="006A6D43"/>
    <w:rsid w:val="006A78C7"/>
    <w:rsid w:val="006A7E5F"/>
    <w:rsid w:val="006B0231"/>
    <w:rsid w:val="006B04EF"/>
    <w:rsid w:val="006B1123"/>
    <w:rsid w:val="006B1459"/>
    <w:rsid w:val="006B1CAF"/>
    <w:rsid w:val="006B261B"/>
    <w:rsid w:val="006B282B"/>
    <w:rsid w:val="006B2C90"/>
    <w:rsid w:val="006B35E6"/>
    <w:rsid w:val="006B3D15"/>
    <w:rsid w:val="006B42D1"/>
    <w:rsid w:val="006B465A"/>
    <w:rsid w:val="006B4803"/>
    <w:rsid w:val="006B4CE8"/>
    <w:rsid w:val="006B60E9"/>
    <w:rsid w:val="006B6DD0"/>
    <w:rsid w:val="006B71ED"/>
    <w:rsid w:val="006B7C50"/>
    <w:rsid w:val="006B7D02"/>
    <w:rsid w:val="006B7FFB"/>
    <w:rsid w:val="006C0399"/>
    <w:rsid w:val="006C06F7"/>
    <w:rsid w:val="006C0F09"/>
    <w:rsid w:val="006C15C7"/>
    <w:rsid w:val="006C1632"/>
    <w:rsid w:val="006C16F3"/>
    <w:rsid w:val="006C1C18"/>
    <w:rsid w:val="006C2086"/>
    <w:rsid w:val="006C230F"/>
    <w:rsid w:val="006C236E"/>
    <w:rsid w:val="006C268C"/>
    <w:rsid w:val="006C2A40"/>
    <w:rsid w:val="006C2A8E"/>
    <w:rsid w:val="006C3255"/>
    <w:rsid w:val="006C3B51"/>
    <w:rsid w:val="006C3B70"/>
    <w:rsid w:val="006C3E8A"/>
    <w:rsid w:val="006C3F26"/>
    <w:rsid w:val="006C40E8"/>
    <w:rsid w:val="006C43A4"/>
    <w:rsid w:val="006C6616"/>
    <w:rsid w:val="006C6D88"/>
    <w:rsid w:val="006C7102"/>
    <w:rsid w:val="006D03D6"/>
    <w:rsid w:val="006D056F"/>
    <w:rsid w:val="006D0D17"/>
    <w:rsid w:val="006D0E6C"/>
    <w:rsid w:val="006D1235"/>
    <w:rsid w:val="006D1376"/>
    <w:rsid w:val="006D1C90"/>
    <w:rsid w:val="006D2421"/>
    <w:rsid w:val="006D256D"/>
    <w:rsid w:val="006D25A4"/>
    <w:rsid w:val="006D319C"/>
    <w:rsid w:val="006D39D5"/>
    <w:rsid w:val="006D3BB0"/>
    <w:rsid w:val="006D3BC4"/>
    <w:rsid w:val="006D3C7D"/>
    <w:rsid w:val="006D4659"/>
    <w:rsid w:val="006D4E72"/>
    <w:rsid w:val="006D5D5F"/>
    <w:rsid w:val="006D5E86"/>
    <w:rsid w:val="006D6515"/>
    <w:rsid w:val="006D68FB"/>
    <w:rsid w:val="006D6C4A"/>
    <w:rsid w:val="006D716E"/>
    <w:rsid w:val="006D74F9"/>
    <w:rsid w:val="006D7ADC"/>
    <w:rsid w:val="006E07F2"/>
    <w:rsid w:val="006E0BC5"/>
    <w:rsid w:val="006E1158"/>
    <w:rsid w:val="006E232A"/>
    <w:rsid w:val="006E270B"/>
    <w:rsid w:val="006E2868"/>
    <w:rsid w:val="006E3406"/>
    <w:rsid w:val="006E3552"/>
    <w:rsid w:val="006E35D6"/>
    <w:rsid w:val="006E441C"/>
    <w:rsid w:val="006E456B"/>
    <w:rsid w:val="006E629B"/>
    <w:rsid w:val="006E63FD"/>
    <w:rsid w:val="006E651E"/>
    <w:rsid w:val="006E68EA"/>
    <w:rsid w:val="006E68FE"/>
    <w:rsid w:val="006E6EF3"/>
    <w:rsid w:val="006E7200"/>
    <w:rsid w:val="006E730C"/>
    <w:rsid w:val="006E74BE"/>
    <w:rsid w:val="006E762B"/>
    <w:rsid w:val="006E7960"/>
    <w:rsid w:val="006E7C5F"/>
    <w:rsid w:val="006E7E90"/>
    <w:rsid w:val="006E7EC1"/>
    <w:rsid w:val="006F02BF"/>
    <w:rsid w:val="006F1782"/>
    <w:rsid w:val="006F246E"/>
    <w:rsid w:val="006F2A53"/>
    <w:rsid w:val="006F2B23"/>
    <w:rsid w:val="006F2CCA"/>
    <w:rsid w:val="006F306C"/>
    <w:rsid w:val="006F334C"/>
    <w:rsid w:val="006F3613"/>
    <w:rsid w:val="006F364D"/>
    <w:rsid w:val="006F36BC"/>
    <w:rsid w:val="006F440F"/>
    <w:rsid w:val="006F4764"/>
    <w:rsid w:val="006F5578"/>
    <w:rsid w:val="006F55ED"/>
    <w:rsid w:val="006F5631"/>
    <w:rsid w:val="006F5DA6"/>
    <w:rsid w:val="006F63A5"/>
    <w:rsid w:val="006F693F"/>
    <w:rsid w:val="006F6C34"/>
    <w:rsid w:val="006F6EDC"/>
    <w:rsid w:val="006F702E"/>
    <w:rsid w:val="006F7B3F"/>
    <w:rsid w:val="006F7C78"/>
    <w:rsid w:val="00700C29"/>
    <w:rsid w:val="00700EB1"/>
    <w:rsid w:val="007012D0"/>
    <w:rsid w:val="00701377"/>
    <w:rsid w:val="0070142B"/>
    <w:rsid w:val="007018B3"/>
    <w:rsid w:val="007022A4"/>
    <w:rsid w:val="0070276E"/>
    <w:rsid w:val="00702983"/>
    <w:rsid w:val="00702F8F"/>
    <w:rsid w:val="0070434D"/>
    <w:rsid w:val="0070455E"/>
    <w:rsid w:val="00704D2E"/>
    <w:rsid w:val="007061D7"/>
    <w:rsid w:val="0070652C"/>
    <w:rsid w:val="0070686E"/>
    <w:rsid w:val="00707693"/>
    <w:rsid w:val="0070783C"/>
    <w:rsid w:val="0070790F"/>
    <w:rsid w:val="007079FC"/>
    <w:rsid w:val="007106DA"/>
    <w:rsid w:val="00710FC9"/>
    <w:rsid w:val="007112E6"/>
    <w:rsid w:val="00711601"/>
    <w:rsid w:val="00711626"/>
    <w:rsid w:val="00711A36"/>
    <w:rsid w:val="00711CF2"/>
    <w:rsid w:val="007125D3"/>
    <w:rsid w:val="0071320C"/>
    <w:rsid w:val="00713320"/>
    <w:rsid w:val="00714491"/>
    <w:rsid w:val="007147D3"/>
    <w:rsid w:val="00714C26"/>
    <w:rsid w:val="0071529C"/>
    <w:rsid w:val="00716C85"/>
    <w:rsid w:val="007170DA"/>
    <w:rsid w:val="007171AB"/>
    <w:rsid w:val="00717268"/>
    <w:rsid w:val="00717296"/>
    <w:rsid w:val="007172AD"/>
    <w:rsid w:val="00717546"/>
    <w:rsid w:val="0072046C"/>
    <w:rsid w:val="00720518"/>
    <w:rsid w:val="00720801"/>
    <w:rsid w:val="00720804"/>
    <w:rsid w:val="00720A2F"/>
    <w:rsid w:val="00720EB3"/>
    <w:rsid w:val="00721004"/>
    <w:rsid w:val="00721315"/>
    <w:rsid w:val="0072143B"/>
    <w:rsid w:val="007216CA"/>
    <w:rsid w:val="00721EA3"/>
    <w:rsid w:val="00722B1B"/>
    <w:rsid w:val="00722C88"/>
    <w:rsid w:val="007231EF"/>
    <w:rsid w:val="00723C1B"/>
    <w:rsid w:val="00723DF8"/>
    <w:rsid w:val="007240C8"/>
    <w:rsid w:val="0072416F"/>
    <w:rsid w:val="0072431E"/>
    <w:rsid w:val="00724782"/>
    <w:rsid w:val="007250DF"/>
    <w:rsid w:val="007255D1"/>
    <w:rsid w:val="007258A7"/>
    <w:rsid w:val="00725E56"/>
    <w:rsid w:val="0072641B"/>
    <w:rsid w:val="00726A47"/>
    <w:rsid w:val="00726DEB"/>
    <w:rsid w:val="007270C8"/>
    <w:rsid w:val="00727ACC"/>
    <w:rsid w:val="00727B57"/>
    <w:rsid w:val="00727C94"/>
    <w:rsid w:val="00730B11"/>
    <w:rsid w:val="00730B72"/>
    <w:rsid w:val="00731030"/>
    <w:rsid w:val="00731B0A"/>
    <w:rsid w:val="00731EAE"/>
    <w:rsid w:val="00732188"/>
    <w:rsid w:val="0073260B"/>
    <w:rsid w:val="00732A09"/>
    <w:rsid w:val="00732A1C"/>
    <w:rsid w:val="00732B18"/>
    <w:rsid w:val="00732C01"/>
    <w:rsid w:val="00732E65"/>
    <w:rsid w:val="00733073"/>
    <w:rsid w:val="00733320"/>
    <w:rsid w:val="00733389"/>
    <w:rsid w:val="00733E53"/>
    <w:rsid w:val="00734B79"/>
    <w:rsid w:val="00734F2C"/>
    <w:rsid w:val="00735033"/>
    <w:rsid w:val="00735126"/>
    <w:rsid w:val="00735328"/>
    <w:rsid w:val="007358B8"/>
    <w:rsid w:val="00735B34"/>
    <w:rsid w:val="00735DE3"/>
    <w:rsid w:val="0073685B"/>
    <w:rsid w:val="007369CF"/>
    <w:rsid w:val="0073714E"/>
    <w:rsid w:val="0073728C"/>
    <w:rsid w:val="00737BCD"/>
    <w:rsid w:val="00737D6C"/>
    <w:rsid w:val="0074061E"/>
    <w:rsid w:val="00740EEF"/>
    <w:rsid w:val="00741B21"/>
    <w:rsid w:val="00741CE0"/>
    <w:rsid w:val="00741D73"/>
    <w:rsid w:val="0074249A"/>
    <w:rsid w:val="00742D2B"/>
    <w:rsid w:val="007431AD"/>
    <w:rsid w:val="007449BF"/>
    <w:rsid w:val="0074591E"/>
    <w:rsid w:val="007463FE"/>
    <w:rsid w:val="007465D7"/>
    <w:rsid w:val="00746688"/>
    <w:rsid w:val="007468E4"/>
    <w:rsid w:val="00746BC0"/>
    <w:rsid w:val="0074702A"/>
    <w:rsid w:val="007473AE"/>
    <w:rsid w:val="0074767D"/>
    <w:rsid w:val="00747689"/>
    <w:rsid w:val="007476B8"/>
    <w:rsid w:val="007479B3"/>
    <w:rsid w:val="00747A84"/>
    <w:rsid w:val="00750341"/>
    <w:rsid w:val="007504B9"/>
    <w:rsid w:val="00750C20"/>
    <w:rsid w:val="007510B4"/>
    <w:rsid w:val="0075123B"/>
    <w:rsid w:val="0075188E"/>
    <w:rsid w:val="00752142"/>
    <w:rsid w:val="007521DA"/>
    <w:rsid w:val="007523F9"/>
    <w:rsid w:val="0075273D"/>
    <w:rsid w:val="00752EBE"/>
    <w:rsid w:val="0075357E"/>
    <w:rsid w:val="00753B29"/>
    <w:rsid w:val="0075425F"/>
    <w:rsid w:val="007543BF"/>
    <w:rsid w:val="00754C11"/>
    <w:rsid w:val="0075552A"/>
    <w:rsid w:val="007557DA"/>
    <w:rsid w:val="007558C5"/>
    <w:rsid w:val="00755D8D"/>
    <w:rsid w:val="00756D26"/>
    <w:rsid w:val="0075716C"/>
    <w:rsid w:val="007573E8"/>
    <w:rsid w:val="00760C4E"/>
    <w:rsid w:val="00760F9E"/>
    <w:rsid w:val="0076103E"/>
    <w:rsid w:val="007616E6"/>
    <w:rsid w:val="007620D6"/>
    <w:rsid w:val="007627BE"/>
    <w:rsid w:val="007628F9"/>
    <w:rsid w:val="0076430D"/>
    <w:rsid w:val="00764B87"/>
    <w:rsid w:val="00764D28"/>
    <w:rsid w:val="00764F03"/>
    <w:rsid w:val="007653BB"/>
    <w:rsid w:val="00765B1A"/>
    <w:rsid w:val="00765DC1"/>
    <w:rsid w:val="00766075"/>
    <w:rsid w:val="00766879"/>
    <w:rsid w:val="00766D34"/>
    <w:rsid w:val="0076758D"/>
    <w:rsid w:val="0076779A"/>
    <w:rsid w:val="00767E22"/>
    <w:rsid w:val="00767E5B"/>
    <w:rsid w:val="0077024C"/>
    <w:rsid w:val="00770604"/>
    <w:rsid w:val="0077086C"/>
    <w:rsid w:val="0077094B"/>
    <w:rsid w:val="00770B83"/>
    <w:rsid w:val="0077113B"/>
    <w:rsid w:val="007724CC"/>
    <w:rsid w:val="00772986"/>
    <w:rsid w:val="0077320F"/>
    <w:rsid w:val="00773797"/>
    <w:rsid w:val="00775601"/>
    <w:rsid w:val="007763C9"/>
    <w:rsid w:val="0077688D"/>
    <w:rsid w:val="00777335"/>
    <w:rsid w:val="00777502"/>
    <w:rsid w:val="007779D2"/>
    <w:rsid w:val="00777CBB"/>
    <w:rsid w:val="00780E91"/>
    <w:rsid w:val="00780F2D"/>
    <w:rsid w:val="00781340"/>
    <w:rsid w:val="007832E6"/>
    <w:rsid w:val="00783690"/>
    <w:rsid w:val="007836EA"/>
    <w:rsid w:val="00784081"/>
    <w:rsid w:val="007840CE"/>
    <w:rsid w:val="0078415A"/>
    <w:rsid w:val="007843B6"/>
    <w:rsid w:val="007843F2"/>
    <w:rsid w:val="007846FA"/>
    <w:rsid w:val="00785548"/>
    <w:rsid w:val="00785A9F"/>
    <w:rsid w:val="00786BE3"/>
    <w:rsid w:val="00786FB2"/>
    <w:rsid w:val="00787388"/>
    <w:rsid w:val="00787497"/>
    <w:rsid w:val="00787D14"/>
    <w:rsid w:val="00790762"/>
    <w:rsid w:val="00791502"/>
    <w:rsid w:val="0079199F"/>
    <w:rsid w:val="00791D15"/>
    <w:rsid w:val="00791FF3"/>
    <w:rsid w:val="0079205C"/>
    <w:rsid w:val="00792101"/>
    <w:rsid w:val="007925DF"/>
    <w:rsid w:val="00792D3A"/>
    <w:rsid w:val="00793A7E"/>
    <w:rsid w:val="00793FD9"/>
    <w:rsid w:val="00795163"/>
    <w:rsid w:val="00795268"/>
    <w:rsid w:val="0079557F"/>
    <w:rsid w:val="00795AB4"/>
    <w:rsid w:val="00795EF8"/>
    <w:rsid w:val="0079607F"/>
    <w:rsid w:val="007970FE"/>
    <w:rsid w:val="007975F7"/>
    <w:rsid w:val="007A08AA"/>
    <w:rsid w:val="007A0A12"/>
    <w:rsid w:val="007A0E28"/>
    <w:rsid w:val="007A132D"/>
    <w:rsid w:val="007A1345"/>
    <w:rsid w:val="007A1362"/>
    <w:rsid w:val="007A1761"/>
    <w:rsid w:val="007A2145"/>
    <w:rsid w:val="007A235F"/>
    <w:rsid w:val="007A2905"/>
    <w:rsid w:val="007A2DDB"/>
    <w:rsid w:val="007A3097"/>
    <w:rsid w:val="007A3D25"/>
    <w:rsid w:val="007A4ACA"/>
    <w:rsid w:val="007A4ACC"/>
    <w:rsid w:val="007A4DAB"/>
    <w:rsid w:val="007A4E3A"/>
    <w:rsid w:val="007A5B7B"/>
    <w:rsid w:val="007A6060"/>
    <w:rsid w:val="007A6419"/>
    <w:rsid w:val="007A6D1B"/>
    <w:rsid w:val="007A6D97"/>
    <w:rsid w:val="007A70BA"/>
    <w:rsid w:val="007A7172"/>
    <w:rsid w:val="007A7495"/>
    <w:rsid w:val="007A7B98"/>
    <w:rsid w:val="007B0569"/>
    <w:rsid w:val="007B0D68"/>
    <w:rsid w:val="007B17AC"/>
    <w:rsid w:val="007B1C44"/>
    <w:rsid w:val="007B2147"/>
    <w:rsid w:val="007B251D"/>
    <w:rsid w:val="007B27DE"/>
    <w:rsid w:val="007B2FB1"/>
    <w:rsid w:val="007B3533"/>
    <w:rsid w:val="007B3B2D"/>
    <w:rsid w:val="007B4632"/>
    <w:rsid w:val="007B4CBB"/>
    <w:rsid w:val="007B4F58"/>
    <w:rsid w:val="007B526D"/>
    <w:rsid w:val="007B528D"/>
    <w:rsid w:val="007B5459"/>
    <w:rsid w:val="007B5D35"/>
    <w:rsid w:val="007B626B"/>
    <w:rsid w:val="007B63CA"/>
    <w:rsid w:val="007B69E6"/>
    <w:rsid w:val="007B7468"/>
    <w:rsid w:val="007B7594"/>
    <w:rsid w:val="007B77D1"/>
    <w:rsid w:val="007B7C95"/>
    <w:rsid w:val="007C073A"/>
    <w:rsid w:val="007C07C7"/>
    <w:rsid w:val="007C0851"/>
    <w:rsid w:val="007C0E02"/>
    <w:rsid w:val="007C1208"/>
    <w:rsid w:val="007C1CD9"/>
    <w:rsid w:val="007C233F"/>
    <w:rsid w:val="007C2432"/>
    <w:rsid w:val="007C2CDF"/>
    <w:rsid w:val="007C32EF"/>
    <w:rsid w:val="007C3488"/>
    <w:rsid w:val="007C361D"/>
    <w:rsid w:val="007C3972"/>
    <w:rsid w:val="007C3EFC"/>
    <w:rsid w:val="007C4225"/>
    <w:rsid w:val="007C4B84"/>
    <w:rsid w:val="007C4D04"/>
    <w:rsid w:val="007C4E78"/>
    <w:rsid w:val="007C5450"/>
    <w:rsid w:val="007C552F"/>
    <w:rsid w:val="007C57A8"/>
    <w:rsid w:val="007C5BB4"/>
    <w:rsid w:val="007C6493"/>
    <w:rsid w:val="007C67A4"/>
    <w:rsid w:val="007C6811"/>
    <w:rsid w:val="007C6A0D"/>
    <w:rsid w:val="007C70FF"/>
    <w:rsid w:val="007C73D9"/>
    <w:rsid w:val="007C7741"/>
    <w:rsid w:val="007C7C25"/>
    <w:rsid w:val="007C7DFF"/>
    <w:rsid w:val="007D004F"/>
    <w:rsid w:val="007D035F"/>
    <w:rsid w:val="007D06B2"/>
    <w:rsid w:val="007D0B38"/>
    <w:rsid w:val="007D1677"/>
    <w:rsid w:val="007D17A7"/>
    <w:rsid w:val="007D1CBE"/>
    <w:rsid w:val="007D2429"/>
    <w:rsid w:val="007D2471"/>
    <w:rsid w:val="007D280C"/>
    <w:rsid w:val="007D43C9"/>
    <w:rsid w:val="007D4416"/>
    <w:rsid w:val="007D44B0"/>
    <w:rsid w:val="007D516A"/>
    <w:rsid w:val="007D5440"/>
    <w:rsid w:val="007D6579"/>
    <w:rsid w:val="007D69EB"/>
    <w:rsid w:val="007D6EAB"/>
    <w:rsid w:val="007D7494"/>
    <w:rsid w:val="007D75D9"/>
    <w:rsid w:val="007D7B62"/>
    <w:rsid w:val="007E0018"/>
    <w:rsid w:val="007E0409"/>
    <w:rsid w:val="007E0B94"/>
    <w:rsid w:val="007E0D29"/>
    <w:rsid w:val="007E0DBC"/>
    <w:rsid w:val="007E1021"/>
    <w:rsid w:val="007E128F"/>
    <w:rsid w:val="007E169C"/>
    <w:rsid w:val="007E16E8"/>
    <w:rsid w:val="007E22C7"/>
    <w:rsid w:val="007E245E"/>
    <w:rsid w:val="007E2898"/>
    <w:rsid w:val="007E3A39"/>
    <w:rsid w:val="007E3BF3"/>
    <w:rsid w:val="007E4197"/>
    <w:rsid w:val="007E47D7"/>
    <w:rsid w:val="007E4B8C"/>
    <w:rsid w:val="007E4BBC"/>
    <w:rsid w:val="007E4C07"/>
    <w:rsid w:val="007E4D60"/>
    <w:rsid w:val="007E4F8B"/>
    <w:rsid w:val="007E5A1D"/>
    <w:rsid w:val="007E6C44"/>
    <w:rsid w:val="007E753B"/>
    <w:rsid w:val="007E7FB0"/>
    <w:rsid w:val="007F00C2"/>
    <w:rsid w:val="007F06D0"/>
    <w:rsid w:val="007F1017"/>
    <w:rsid w:val="007F1AFC"/>
    <w:rsid w:val="007F214D"/>
    <w:rsid w:val="007F22ED"/>
    <w:rsid w:val="007F2819"/>
    <w:rsid w:val="007F2E60"/>
    <w:rsid w:val="007F4A3F"/>
    <w:rsid w:val="007F4A61"/>
    <w:rsid w:val="007F5255"/>
    <w:rsid w:val="007F53DD"/>
    <w:rsid w:val="007F56CC"/>
    <w:rsid w:val="007F61C2"/>
    <w:rsid w:val="007F649B"/>
    <w:rsid w:val="007F6828"/>
    <w:rsid w:val="007F6E74"/>
    <w:rsid w:val="007F7306"/>
    <w:rsid w:val="007F783D"/>
    <w:rsid w:val="007F79FF"/>
    <w:rsid w:val="008010AE"/>
    <w:rsid w:val="00801142"/>
    <w:rsid w:val="00801157"/>
    <w:rsid w:val="00801164"/>
    <w:rsid w:val="008014F4"/>
    <w:rsid w:val="00801DA6"/>
    <w:rsid w:val="008020BB"/>
    <w:rsid w:val="008020D4"/>
    <w:rsid w:val="00802104"/>
    <w:rsid w:val="008021D1"/>
    <w:rsid w:val="0080312B"/>
    <w:rsid w:val="0080316A"/>
    <w:rsid w:val="00803380"/>
    <w:rsid w:val="008039A2"/>
    <w:rsid w:val="0080411C"/>
    <w:rsid w:val="00804745"/>
    <w:rsid w:val="00804945"/>
    <w:rsid w:val="00804A75"/>
    <w:rsid w:val="00804F64"/>
    <w:rsid w:val="00805142"/>
    <w:rsid w:val="00805518"/>
    <w:rsid w:val="00805AF4"/>
    <w:rsid w:val="00805FCE"/>
    <w:rsid w:val="00806DAF"/>
    <w:rsid w:val="0080719D"/>
    <w:rsid w:val="008075ED"/>
    <w:rsid w:val="00807A8B"/>
    <w:rsid w:val="00807D3F"/>
    <w:rsid w:val="00810707"/>
    <w:rsid w:val="00810965"/>
    <w:rsid w:val="00810B63"/>
    <w:rsid w:val="00811383"/>
    <w:rsid w:val="00811F77"/>
    <w:rsid w:val="00812107"/>
    <w:rsid w:val="00812149"/>
    <w:rsid w:val="00812320"/>
    <w:rsid w:val="00812CAC"/>
    <w:rsid w:val="008137B2"/>
    <w:rsid w:val="00813AA7"/>
    <w:rsid w:val="008143EB"/>
    <w:rsid w:val="00814C6E"/>
    <w:rsid w:val="00814F33"/>
    <w:rsid w:val="00816361"/>
    <w:rsid w:val="008165B0"/>
    <w:rsid w:val="0081669D"/>
    <w:rsid w:val="008166EF"/>
    <w:rsid w:val="00816CC4"/>
    <w:rsid w:val="00816FEF"/>
    <w:rsid w:val="0081712A"/>
    <w:rsid w:val="0081716F"/>
    <w:rsid w:val="00817713"/>
    <w:rsid w:val="00817722"/>
    <w:rsid w:val="008205D5"/>
    <w:rsid w:val="00820A8C"/>
    <w:rsid w:val="00820E0F"/>
    <w:rsid w:val="00821265"/>
    <w:rsid w:val="008215FB"/>
    <w:rsid w:val="00821FA8"/>
    <w:rsid w:val="008220CC"/>
    <w:rsid w:val="0082276F"/>
    <w:rsid w:val="00822F42"/>
    <w:rsid w:val="00822FD5"/>
    <w:rsid w:val="00823174"/>
    <w:rsid w:val="00823561"/>
    <w:rsid w:val="00823730"/>
    <w:rsid w:val="008238FD"/>
    <w:rsid w:val="00823DE4"/>
    <w:rsid w:val="008241FE"/>
    <w:rsid w:val="008247A0"/>
    <w:rsid w:val="00825189"/>
    <w:rsid w:val="008256A2"/>
    <w:rsid w:val="00825751"/>
    <w:rsid w:val="00825A16"/>
    <w:rsid w:val="00825DE7"/>
    <w:rsid w:val="008264DA"/>
    <w:rsid w:val="008264EB"/>
    <w:rsid w:val="00826549"/>
    <w:rsid w:val="008265F1"/>
    <w:rsid w:val="008268CE"/>
    <w:rsid w:val="00826EAE"/>
    <w:rsid w:val="008277C8"/>
    <w:rsid w:val="00827C23"/>
    <w:rsid w:val="00830A83"/>
    <w:rsid w:val="008312BF"/>
    <w:rsid w:val="00831827"/>
    <w:rsid w:val="008321D8"/>
    <w:rsid w:val="00832C10"/>
    <w:rsid w:val="008336E8"/>
    <w:rsid w:val="00833B05"/>
    <w:rsid w:val="0083495D"/>
    <w:rsid w:val="00834BD5"/>
    <w:rsid w:val="008350CE"/>
    <w:rsid w:val="008355AA"/>
    <w:rsid w:val="0083628A"/>
    <w:rsid w:val="008362B4"/>
    <w:rsid w:val="008364FE"/>
    <w:rsid w:val="0083677C"/>
    <w:rsid w:val="00836E50"/>
    <w:rsid w:val="00836E8D"/>
    <w:rsid w:val="00837AAB"/>
    <w:rsid w:val="00837F7C"/>
    <w:rsid w:val="008404D6"/>
    <w:rsid w:val="00840AB1"/>
    <w:rsid w:val="00840B19"/>
    <w:rsid w:val="00840CA2"/>
    <w:rsid w:val="00841CA2"/>
    <w:rsid w:val="00841CEC"/>
    <w:rsid w:val="00842855"/>
    <w:rsid w:val="00842DA6"/>
    <w:rsid w:val="00843149"/>
    <w:rsid w:val="0084326D"/>
    <w:rsid w:val="008433D0"/>
    <w:rsid w:val="00843601"/>
    <w:rsid w:val="0084374B"/>
    <w:rsid w:val="0084374F"/>
    <w:rsid w:val="0084438A"/>
    <w:rsid w:val="008443BC"/>
    <w:rsid w:val="00844A22"/>
    <w:rsid w:val="00844EC1"/>
    <w:rsid w:val="00845146"/>
    <w:rsid w:val="00845866"/>
    <w:rsid w:val="00845A06"/>
    <w:rsid w:val="00845BBF"/>
    <w:rsid w:val="00845EEE"/>
    <w:rsid w:val="00847703"/>
    <w:rsid w:val="0084799E"/>
    <w:rsid w:val="00847DF5"/>
    <w:rsid w:val="0085068B"/>
    <w:rsid w:val="00850EBB"/>
    <w:rsid w:val="00851B41"/>
    <w:rsid w:val="00851E0D"/>
    <w:rsid w:val="0085240F"/>
    <w:rsid w:val="00852AEB"/>
    <w:rsid w:val="00852AF8"/>
    <w:rsid w:val="00852BE4"/>
    <w:rsid w:val="0085309D"/>
    <w:rsid w:val="00853F07"/>
    <w:rsid w:val="00854AFC"/>
    <w:rsid w:val="00854BC7"/>
    <w:rsid w:val="008551E8"/>
    <w:rsid w:val="00855FB7"/>
    <w:rsid w:val="00856617"/>
    <w:rsid w:val="00856626"/>
    <w:rsid w:val="00856897"/>
    <w:rsid w:val="00856E9A"/>
    <w:rsid w:val="00856EC8"/>
    <w:rsid w:val="00857BCF"/>
    <w:rsid w:val="00857EA3"/>
    <w:rsid w:val="0086075D"/>
    <w:rsid w:val="008608DB"/>
    <w:rsid w:val="00860970"/>
    <w:rsid w:val="00860B94"/>
    <w:rsid w:val="00860BFA"/>
    <w:rsid w:val="00861C6F"/>
    <w:rsid w:val="00862502"/>
    <w:rsid w:val="00862CC1"/>
    <w:rsid w:val="008642A7"/>
    <w:rsid w:val="00864442"/>
    <w:rsid w:val="0086463C"/>
    <w:rsid w:val="00864852"/>
    <w:rsid w:val="008657FB"/>
    <w:rsid w:val="00865906"/>
    <w:rsid w:val="00865ED0"/>
    <w:rsid w:val="00865FF7"/>
    <w:rsid w:val="008660D4"/>
    <w:rsid w:val="00866320"/>
    <w:rsid w:val="00866D8C"/>
    <w:rsid w:val="0086719B"/>
    <w:rsid w:val="0086786B"/>
    <w:rsid w:val="00870013"/>
    <w:rsid w:val="00870209"/>
    <w:rsid w:val="008708E0"/>
    <w:rsid w:val="00870CF4"/>
    <w:rsid w:val="00871183"/>
    <w:rsid w:val="00871D29"/>
    <w:rsid w:val="00871E86"/>
    <w:rsid w:val="00871FA9"/>
    <w:rsid w:val="008728E9"/>
    <w:rsid w:val="0087328F"/>
    <w:rsid w:val="008733DE"/>
    <w:rsid w:val="00873502"/>
    <w:rsid w:val="00873E96"/>
    <w:rsid w:val="00873F70"/>
    <w:rsid w:val="008752D0"/>
    <w:rsid w:val="0087541B"/>
    <w:rsid w:val="0087562C"/>
    <w:rsid w:val="008769C3"/>
    <w:rsid w:val="00877A19"/>
    <w:rsid w:val="00877FF8"/>
    <w:rsid w:val="00880DB9"/>
    <w:rsid w:val="00880FBA"/>
    <w:rsid w:val="00882169"/>
    <w:rsid w:val="008824DF"/>
    <w:rsid w:val="00882874"/>
    <w:rsid w:val="00882E3C"/>
    <w:rsid w:val="0088308A"/>
    <w:rsid w:val="00883787"/>
    <w:rsid w:val="0088437E"/>
    <w:rsid w:val="008845F0"/>
    <w:rsid w:val="008855E4"/>
    <w:rsid w:val="00885A69"/>
    <w:rsid w:val="00885CB0"/>
    <w:rsid w:val="00886CD2"/>
    <w:rsid w:val="00887200"/>
    <w:rsid w:val="00887733"/>
    <w:rsid w:val="008879F6"/>
    <w:rsid w:val="00887E90"/>
    <w:rsid w:val="008903A8"/>
    <w:rsid w:val="00890452"/>
    <w:rsid w:val="00890766"/>
    <w:rsid w:val="00890D0C"/>
    <w:rsid w:val="00890EE6"/>
    <w:rsid w:val="00890FCA"/>
    <w:rsid w:val="00891300"/>
    <w:rsid w:val="00891577"/>
    <w:rsid w:val="0089161F"/>
    <w:rsid w:val="00891E6F"/>
    <w:rsid w:val="008921C3"/>
    <w:rsid w:val="0089275D"/>
    <w:rsid w:val="00892A36"/>
    <w:rsid w:val="00893239"/>
    <w:rsid w:val="0089434A"/>
    <w:rsid w:val="00894489"/>
    <w:rsid w:val="00894CD6"/>
    <w:rsid w:val="00894E10"/>
    <w:rsid w:val="00894E87"/>
    <w:rsid w:val="0089615F"/>
    <w:rsid w:val="008963A5"/>
    <w:rsid w:val="00896D5D"/>
    <w:rsid w:val="008973CC"/>
    <w:rsid w:val="00897883"/>
    <w:rsid w:val="00897D90"/>
    <w:rsid w:val="008A01B4"/>
    <w:rsid w:val="008A21C3"/>
    <w:rsid w:val="008A2545"/>
    <w:rsid w:val="008A3099"/>
    <w:rsid w:val="008A3158"/>
    <w:rsid w:val="008A3363"/>
    <w:rsid w:val="008A3371"/>
    <w:rsid w:val="008A3C3E"/>
    <w:rsid w:val="008A43A7"/>
    <w:rsid w:val="008A4833"/>
    <w:rsid w:val="008A4B60"/>
    <w:rsid w:val="008A5CA8"/>
    <w:rsid w:val="008A5D45"/>
    <w:rsid w:val="008A5E22"/>
    <w:rsid w:val="008A65EC"/>
    <w:rsid w:val="008A6C78"/>
    <w:rsid w:val="008A73CC"/>
    <w:rsid w:val="008A7947"/>
    <w:rsid w:val="008A79DE"/>
    <w:rsid w:val="008A7A95"/>
    <w:rsid w:val="008A7AF0"/>
    <w:rsid w:val="008B010A"/>
    <w:rsid w:val="008B04C9"/>
    <w:rsid w:val="008B1757"/>
    <w:rsid w:val="008B183B"/>
    <w:rsid w:val="008B1C33"/>
    <w:rsid w:val="008B2E99"/>
    <w:rsid w:val="008B3368"/>
    <w:rsid w:val="008B378F"/>
    <w:rsid w:val="008B38A2"/>
    <w:rsid w:val="008B3A85"/>
    <w:rsid w:val="008B42DE"/>
    <w:rsid w:val="008B43B0"/>
    <w:rsid w:val="008B467E"/>
    <w:rsid w:val="008B4B6F"/>
    <w:rsid w:val="008B4DBD"/>
    <w:rsid w:val="008B4F64"/>
    <w:rsid w:val="008B526F"/>
    <w:rsid w:val="008B62FF"/>
    <w:rsid w:val="008B6AE7"/>
    <w:rsid w:val="008B6BF4"/>
    <w:rsid w:val="008B6D0F"/>
    <w:rsid w:val="008B6E5A"/>
    <w:rsid w:val="008B713C"/>
    <w:rsid w:val="008B7992"/>
    <w:rsid w:val="008B79E5"/>
    <w:rsid w:val="008B7AD8"/>
    <w:rsid w:val="008B7B3C"/>
    <w:rsid w:val="008B7D7E"/>
    <w:rsid w:val="008C0695"/>
    <w:rsid w:val="008C0FEC"/>
    <w:rsid w:val="008C1F28"/>
    <w:rsid w:val="008C251A"/>
    <w:rsid w:val="008C2BC9"/>
    <w:rsid w:val="008C38AF"/>
    <w:rsid w:val="008C3B41"/>
    <w:rsid w:val="008C4052"/>
    <w:rsid w:val="008C44CD"/>
    <w:rsid w:val="008C4792"/>
    <w:rsid w:val="008C47A6"/>
    <w:rsid w:val="008C49B8"/>
    <w:rsid w:val="008C5610"/>
    <w:rsid w:val="008C5739"/>
    <w:rsid w:val="008C5AD5"/>
    <w:rsid w:val="008C6AB1"/>
    <w:rsid w:val="008C6AFC"/>
    <w:rsid w:val="008C6EC3"/>
    <w:rsid w:val="008C7282"/>
    <w:rsid w:val="008C741F"/>
    <w:rsid w:val="008C78CE"/>
    <w:rsid w:val="008C7ECB"/>
    <w:rsid w:val="008D0173"/>
    <w:rsid w:val="008D0890"/>
    <w:rsid w:val="008D0C97"/>
    <w:rsid w:val="008D0FD1"/>
    <w:rsid w:val="008D1603"/>
    <w:rsid w:val="008D1BE0"/>
    <w:rsid w:val="008D1CFA"/>
    <w:rsid w:val="008D20FB"/>
    <w:rsid w:val="008D31AB"/>
    <w:rsid w:val="008D3B86"/>
    <w:rsid w:val="008D42D6"/>
    <w:rsid w:val="008D43FD"/>
    <w:rsid w:val="008D4484"/>
    <w:rsid w:val="008D45A3"/>
    <w:rsid w:val="008D4755"/>
    <w:rsid w:val="008D4C3D"/>
    <w:rsid w:val="008D4F24"/>
    <w:rsid w:val="008D544B"/>
    <w:rsid w:val="008D5CDD"/>
    <w:rsid w:val="008D5F10"/>
    <w:rsid w:val="008D743C"/>
    <w:rsid w:val="008D774A"/>
    <w:rsid w:val="008E01C3"/>
    <w:rsid w:val="008E07DE"/>
    <w:rsid w:val="008E0D3C"/>
    <w:rsid w:val="008E10D3"/>
    <w:rsid w:val="008E11C2"/>
    <w:rsid w:val="008E1728"/>
    <w:rsid w:val="008E1B9E"/>
    <w:rsid w:val="008E2291"/>
    <w:rsid w:val="008E2569"/>
    <w:rsid w:val="008E29DB"/>
    <w:rsid w:val="008E2BFC"/>
    <w:rsid w:val="008E38E1"/>
    <w:rsid w:val="008E3931"/>
    <w:rsid w:val="008E3A8F"/>
    <w:rsid w:val="008E3FF7"/>
    <w:rsid w:val="008E4544"/>
    <w:rsid w:val="008E455C"/>
    <w:rsid w:val="008E468D"/>
    <w:rsid w:val="008E4D22"/>
    <w:rsid w:val="008E55AB"/>
    <w:rsid w:val="008E5985"/>
    <w:rsid w:val="008E63FE"/>
    <w:rsid w:val="008E6817"/>
    <w:rsid w:val="008E687D"/>
    <w:rsid w:val="008E6CC5"/>
    <w:rsid w:val="008E797F"/>
    <w:rsid w:val="008E7EF3"/>
    <w:rsid w:val="008F0E7F"/>
    <w:rsid w:val="008F0F6D"/>
    <w:rsid w:val="008F120A"/>
    <w:rsid w:val="008F161B"/>
    <w:rsid w:val="008F1835"/>
    <w:rsid w:val="008F1B7F"/>
    <w:rsid w:val="008F1BDA"/>
    <w:rsid w:val="008F1FDE"/>
    <w:rsid w:val="008F22F6"/>
    <w:rsid w:val="008F27E0"/>
    <w:rsid w:val="008F2A8A"/>
    <w:rsid w:val="008F2B64"/>
    <w:rsid w:val="008F2EC3"/>
    <w:rsid w:val="008F3534"/>
    <w:rsid w:val="008F395A"/>
    <w:rsid w:val="008F3D50"/>
    <w:rsid w:val="008F3FEB"/>
    <w:rsid w:val="008F46FD"/>
    <w:rsid w:val="008F48EB"/>
    <w:rsid w:val="008F4D2C"/>
    <w:rsid w:val="008F4F0B"/>
    <w:rsid w:val="008F527E"/>
    <w:rsid w:val="008F59C4"/>
    <w:rsid w:val="008F5E53"/>
    <w:rsid w:val="008F6962"/>
    <w:rsid w:val="008F6DA0"/>
    <w:rsid w:val="008F6F3B"/>
    <w:rsid w:val="009002C5"/>
    <w:rsid w:val="00900391"/>
    <w:rsid w:val="00900880"/>
    <w:rsid w:val="00900A57"/>
    <w:rsid w:val="00900D76"/>
    <w:rsid w:val="009012B4"/>
    <w:rsid w:val="0090147F"/>
    <w:rsid w:val="00901534"/>
    <w:rsid w:val="00901D84"/>
    <w:rsid w:val="00902070"/>
    <w:rsid w:val="009027B5"/>
    <w:rsid w:val="00903488"/>
    <w:rsid w:val="00903F05"/>
    <w:rsid w:val="00904164"/>
    <w:rsid w:val="009046C4"/>
    <w:rsid w:val="00904F91"/>
    <w:rsid w:val="00905B7E"/>
    <w:rsid w:val="009062A5"/>
    <w:rsid w:val="00907326"/>
    <w:rsid w:val="00907699"/>
    <w:rsid w:val="0091053E"/>
    <w:rsid w:val="009106D4"/>
    <w:rsid w:val="00910CFD"/>
    <w:rsid w:val="00910FA7"/>
    <w:rsid w:val="00911272"/>
    <w:rsid w:val="00911339"/>
    <w:rsid w:val="00912A88"/>
    <w:rsid w:val="0091315F"/>
    <w:rsid w:val="009135D6"/>
    <w:rsid w:val="00913C55"/>
    <w:rsid w:val="00913CD7"/>
    <w:rsid w:val="00913F7B"/>
    <w:rsid w:val="0091407D"/>
    <w:rsid w:val="009140F4"/>
    <w:rsid w:val="00914B4D"/>
    <w:rsid w:val="00914C77"/>
    <w:rsid w:val="0091500F"/>
    <w:rsid w:val="00915606"/>
    <w:rsid w:val="0091579B"/>
    <w:rsid w:val="00915E01"/>
    <w:rsid w:val="00916210"/>
    <w:rsid w:val="009169F3"/>
    <w:rsid w:val="00916AAA"/>
    <w:rsid w:val="00916E4A"/>
    <w:rsid w:val="009173FD"/>
    <w:rsid w:val="009176EC"/>
    <w:rsid w:val="009177D4"/>
    <w:rsid w:val="00920547"/>
    <w:rsid w:val="00920E07"/>
    <w:rsid w:val="0092161A"/>
    <w:rsid w:val="00921ACB"/>
    <w:rsid w:val="0092369B"/>
    <w:rsid w:val="00924675"/>
    <w:rsid w:val="00924B08"/>
    <w:rsid w:val="00924C79"/>
    <w:rsid w:val="00925054"/>
    <w:rsid w:val="009252F5"/>
    <w:rsid w:val="00925362"/>
    <w:rsid w:val="00925549"/>
    <w:rsid w:val="00925770"/>
    <w:rsid w:val="0092640C"/>
    <w:rsid w:val="00926A5C"/>
    <w:rsid w:val="00926DC4"/>
    <w:rsid w:val="00930AC1"/>
    <w:rsid w:val="00931265"/>
    <w:rsid w:val="009312C1"/>
    <w:rsid w:val="009321F9"/>
    <w:rsid w:val="00932A07"/>
    <w:rsid w:val="009340E4"/>
    <w:rsid w:val="009344A2"/>
    <w:rsid w:val="00934988"/>
    <w:rsid w:val="00934A1B"/>
    <w:rsid w:val="00934BEE"/>
    <w:rsid w:val="00934C57"/>
    <w:rsid w:val="00935C8F"/>
    <w:rsid w:val="009369F1"/>
    <w:rsid w:val="00937089"/>
    <w:rsid w:val="00937400"/>
    <w:rsid w:val="00937936"/>
    <w:rsid w:val="00940C3B"/>
    <w:rsid w:val="00941441"/>
    <w:rsid w:val="0094182E"/>
    <w:rsid w:val="00941915"/>
    <w:rsid w:val="009424A9"/>
    <w:rsid w:val="0094367F"/>
    <w:rsid w:val="0094370E"/>
    <w:rsid w:val="00943F55"/>
    <w:rsid w:val="00944D93"/>
    <w:rsid w:val="00944F8A"/>
    <w:rsid w:val="00945221"/>
    <w:rsid w:val="00945D71"/>
    <w:rsid w:val="009461C7"/>
    <w:rsid w:val="009465BA"/>
    <w:rsid w:val="00947142"/>
    <w:rsid w:val="00947947"/>
    <w:rsid w:val="00947A61"/>
    <w:rsid w:val="00947C83"/>
    <w:rsid w:val="009502D8"/>
    <w:rsid w:val="00950ADE"/>
    <w:rsid w:val="009510A2"/>
    <w:rsid w:val="00951539"/>
    <w:rsid w:val="0095288C"/>
    <w:rsid w:val="00952A2C"/>
    <w:rsid w:val="00953257"/>
    <w:rsid w:val="0095357A"/>
    <w:rsid w:val="00953DF1"/>
    <w:rsid w:val="009543BE"/>
    <w:rsid w:val="00954452"/>
    <w:rsid w:val="0095474C"/>
    <w:rsid w:val="009547D5"/>
    <w:rsid w:val="009549FE"/>
    <w:rsid w:val="00954D1C"/>
    <w:rsid w:val="00954DB9"/>
    <w:rsid w:val="009550F6"/>
    <w:rsid w:val="0095524D"/>
    <w:rsid w:val="0095589B"/>
    <w:rsid w:val="00955955"/>
    <w:rsid w:val="00957076"/>
    <w:rsid w:val="0095738D"/>
    <w:rsid w:val="00957D92"/>
    <w:rsid w:val="00957DF0"/>
    <w:rsid w:val="00960024"/>
    <w:rsid w:val="0096014E"/>
    <w:rsid w:val="0096089C"/>
    <w:rsid w:val="00960D20"/>
    <w:rsid w:val="0096170C"/>
    <w:rsid w:val="00961962"/>
    <w:rsid w:val="00962CB9"/>
    <w:rsid w:val="009631F5"/>
    <w:rsid w:val="00963387"/>
    <w:rsid w:val="00964284"/>
    <w:rsid w:val="00964312"/>
    <w:rsid w:val="00964831"/>
    <w:rsid w:val="00964A8E"/>
    <w:rsid w:val="0096596D"/>
    <w:rsid w:val="00965B8A"/>
    <w:rsid w:val="00965E94"/>
    <w:rsid w:val="00966150"/>
    <w:rsid w:val="009665B2"/>
    <w:rsid w:val="009667D6"/>
    <w:rsid w:val="00967BF6"/>
    <w:rsid w:val="00967F25"/>
    <w:rsid w:val="00970040"/>
    <w:rsid w:val="0097071F"/>
    <w:rsid w:val="00971233"/>
    <w:rsid w:val="00971556"/>
    <w:rsid w:val="009717AC"/>
    <w:rsid w:val="00971E00"/>
    <w:rsid w:val="00972427"/>
    <w:rsid w:val="009724AE"/>
    <w:rsid w:val="00972507"/>
    <w:rsid w:val="00973DBF"/>
    <w:rsid w:val="00974DF2"/>
    <w:rsid w:val="009751C1"/>
    <w:rsid w:val="00976810"/>
    <w:rsid w:val="0097721C"/>
    <w:rsid w:val="00977417"/>
    <w:rsid w:val="0098095A"/>
    <w:rsid w:val="009811F1"/>
    <w:rsid w:val="00981C71"/>
    <w:rsid w:val="00983E57"/>
    <w:rsid w:val="00984E32"/>
    <w:rsid w:val="00985263"/>
    <w:rsid w:val="0098537E"/>
    <w:rsid w:val="00985DE2"/>
    <w:rsid w:val="0098609E"/>
    <w:rsid w:val="0098675D"/>
    <w:rsid w:val="009868FD"/>
    <w:rsid w:val="00987BA4"/>
    <w:rsid w:val="00987BBA"/>
    <w:rsid w:val="00987D32"/>
    <w:rsid w:val="00990E6A"/>
    <w:rsid w:val="00990F70"/>
    <w:rsid w:val="009918EB"/>
    <w:rsid w:val="0099196D"/>
    <w:rsid w:val="00991C9E"/>
    <w:rsid w:val="0099227E"/>
    <w:rsid w:val="009926E0"/>
    <w:rsid w:val="00992BE1"/>
    <w:rsid w:val="009934D3"/>
    <w:rsid w:val="009941EB"/>
    <w:rsid w:val="0099451E"/>
    <w:rsid w:val="00994DEC"/>
    <w:rsid w:val="00995296"/>
    <w:rsid w:val="009953D4"/>
    <w:rsid w:val="00995BB4"/>
    <w:rsid w:val="00996309"/>
    <w:rsid w:val="00996B1A"/>
    <w:rsid w:val="00996E83"/>
    <w:rsid w:val="00997A3F"/>
    <w:rsid w:val="00997BBC"/>
    <w:rsid w:val="009A023B"/>
    <w:rsid w:val="009A0573"/>
    <w:rsid w:val="009A05A3"/>
    <w:rsid w:val="009A132E"/>
    <w:rsid w:val="009A1391"/>
    <w:rsid w:val="009A1494"/>
    <w:rsid w:val="009A16DD"/>
    <w:rsid w:val="009A18F6"/>
    <w:rsid w:val="009A226F"/>
    <w:rsid w:val="009A2A1D"/>
    <w:rsid w:val="009A2DCC"/>
    <w:rsid w:val="009A3455"/>
    <w:rsid w:val="009A3488"/>
    <w:rsid w:val="009A4AA7"/>
    <w:rsid w:val="009A555C"/>
    <w:rsid w:val="009A5ABC"/>
    <w:rsid w:val="009A5B6E"/>
    <w:rsid w:val="009A62D2"/>
    <w:rsid w:val="009A6C41"/>
    <w:rsid w:val="009A6CDB"/>
    <w:rsid w:val="009A7534"/>
    <w:rsid w:val="009A7F10"/>
    <w:rsid w:val="009B0126"/>
    <w:rsid w:val="009B0D6E"/>
    <w:rsid w:val="009B18AD"/>
    <w:rsid w:val="009B1D59"/>
    <w:rsid w:val="009B1DA3"/>
    <w:rsid w:val="009B1E18"/>
    <w:rsid w:val="009B1E98"/>
    <w:rsid w:val="009B1ECF"/>
    <w:rsid w:val="009B2A98"/>
    <w:rsid w:val="009B3904"/>
    <w:rsid w:val="009B3E13"/>
    <w:rsid w:val="009B3E26"/>
    <w:rsid w:val="009B3FF3"/>
    <w:rsid w:val="009B40B8"/>
    <w:rsid w:val="009B480B"/>
    <w:rsid w:val="009B4910"/>
    <w:rsid w:val="009B4CBB"/>
    <w:rsid w:val="009B5B70"/>
    <w:rsid w:val="009B5BEC"/>
    <w:rsid w:val="009B6595"/>
    <w:rsid w:val="009B69CA"/>
    <w:rsid w:val="009B74C2"/>
    <w:rsid w:val="009C1271"/>
    <w:rsid w:val="009C134D"/>
    <w:rsid w:val="009C15A9"/>
    <w:rsid w:val="009C15D8"/>
    <w:rsid w:val="009C187E"/>
    <w:rsid w:val="009C20E6"/>
    <w:rsid w:val="009C3706"/>
    <w:rsid w:val="009C39C8"/>
    <w:rsid w:val="009C3A3A"/>
    <w:rsid w:val="009C3B16"/>
    <w:rsid w:val="009C4185"/>
    <w:rsid w:val="009C430F"/>
    <w:rsid w:val="009C48C7"/>
    <w:rsid w:val="009C4E16"/>
    <w:rsid w:val="009C5CA8"/>
    <w:rsid w:val="009C5F50"/>
    <w:rsid w:val="009C62C4"/>
    <w:rsid w:val="009C69BA"/>
    <w:rsid w:val="009C6CEA"/>
    <w:rsid w:val="009C75B2"/>
    <w:rsid w:val="009C7B85"/>
    <w:rsid w:val="009C7E2E"/>
    <w:rsid w:val="009D0254"/>
    <w:rsid w:val="009D0AEB"/>
    <w:rsid w:val="009D175A"/>
    <w:rsid w:val="009D1881"/>
    <w:rsid w:val="009D1A64"/>
    <w:rsid w:val="009D252E"/>
    <w:rsid w:val="009D28A1"/>
    <w:rsid w:val="009D3384"/>
    <w:rsid w:val="009D3D0F"/>
    <w:rsid w:val="009D3F3E"/>
    <w:rsid w:val="009D4120"/>
    <w:rsid w:val="009D4C8F"/>
    <w:rsid w:val="009D4F6F"/>
    <w:rsid w:val="009D51E3"/>
    <w:rsid w:val="009D54FC"/>
    <w:rsid w:val="009D57BF"/>
    <w:rsid w:val="009D5889"/>
    <w:rsid w:val="009D5B91"/>
    <w:rsid w:val="009D642E"/>
    <w:rsid w:val="009D6B84"/>
    <w:rsid w:val="009D71EC"/>
    <w:rsid w:val="009D749E"/>
    <w:rsid w:val="009D790C"/>
    <w:rsid w:val="009D792E"/>
    <w:rsid w:val="009E05F3"/>
    <w:rsid w:val="009E07B6"/>
    <w:rsid w:val="009E0DFE"/>
    <w:rsid w:val="009E156A"/>
    <w:rsid w:val="009E185A"/>
    <w:rsid w:val="009E19C6"/>
    <w:rsid w:val="009E23C2"/>
    <w:rsid w:val="009E25C0"/>
    <w:rsid w:val="009E25CA"/>
    <w:rsid w:val="009E2A67"/>
    <w:rsid w:val="009E31F6"/>
    <w:rsid w:val="009E3426"/>
    <w:rsid w:val="009E3A04"/>
    <w:rsid w:val="009E3B63"/>
    <w:rsid w:val="009E3F81"/>
    <w:rsid w:val="009E443A"/>
    <w:rsid w:val="009E4834"/>
    <w:rsid w:val="009E4C07"/>
    <w:rsid w:val="009E59F9"/>
    <w:rsid w:val="009E5AAC"/>
    <w:rsid w:val="009E5BA6"/>
    <w:rsid w:val="009E65F1"/>
    <w:rsid w:val="009E682D"/>
    <w:rsid w:val="009E7294"/>
    <w:rsid w:val="009E72FD"/>
    <w:rsid w:val="009E777F"/>
    <w:rsid w:val="009E79E5"/>
    <w:rsid w:val="009E7BC2"/>
    <w:rsid w:val="009E7C9C"/>
    <w:rsid w:val="009F0FD7"/>
    <w:rsid w:val="009F13F2"/>
    <w:rsid w:val="009F2364"/>
    <w:rsid w:val="009F24AD"/>
    <w:rsid w:val="009F26FC"/>
    <w:rsid w:val="009F36C0"/>
    <w:rsid w:val="009F3702"/>
    <w:rsid w:val="009F395D"/>
    <w:rsid w:val="009F3EEE"/>
    <w:rsid w:val="009F4276"/>
    <w:rsid w:val="009F452D"/>
    <w:rsid w:val="009F493A"/>
    <w:rsid w:val="009F5402"/>
    <w:rsid w:val="009F568E"/>
    <w:rsid w:val="009F5D29"/>
    <w:rsid w:val="009F5FD9"/>
    <w:rsid w:val="009F60FC"/>
    <w:rsid w:val="009F6120"/>
    <w:rsid w:val="009F65AA"/>
    <w:rsid w:val="009F67FF"/>
    <w:rsid w:val="009F6FF2"/>
    <w:rsid w:val="009F7663"/>
    <w:rsid w:val="009F7AC6"/>
    <w:rsid w:val="00A0093B"/>
    <w:rsid w:val="00A00AC0"/>
    <w:rsid w:val="00A00D76"/>
    <w:rsid w:val="00A01184"/>
    <w:rsid w:val="00A01449"/>
    <w:rsid w:val="00A01861"/>
    <w:rsid w:val="00A01D8A"/>
    <w:rsid w:val="00A01F16"/>
    <w:rsid w:val="00A02490"/>
    <w:rsid w:val="00A024AA"/>
    <w:rsid w:val="00A02A62"/>
    <w:rsid w:val="00A02BF8"/>
    <w:rsid w:val="00A037C2"/>
    <w:rsid w:val="00A03898"/>
    <w:rsid w:val="00A03D43"/>
    <w:rsid w:val="00A0408A"/>
    <w:rsid w:val="00A04380"/>
    <w:rsid w:val="00A0452C"/>
    <w:rsid w:val="00A04786"/>
    <w:rsid w:val="00A04B1F"/>
    <w:rsid w:val="00A050B1"/>
    <w:rsid w:val="00A05472"/>
    <w:rsid w:val="00A05C32"/>
    <w:rsid w:val="00A05E8F"/>
    <w:rsid w:val="00A0653F"/>
    <w:rsid w:val="00A101F2"/>
    <w:rsid w:val="00A105A0"/>
    <w:rsid w:val="00A11ACA"/>
    <w:rsid w:val="00A11CD0"/>
    <w:rsid w:val="00A11E02"/>
    <w:rsid w:val="00A12011"/>
    <w:rsid w:val="00A12755"/>
    <w:rsid w:val="00A12FE2"/>
    <w:rsid w:val="00A13948"/>
    <w:rsid w:val="00A1395B"/>
    <w:rsid w:val="00A14A02"/>
    <w:rsid w:val="00A14C0E"/>
    <w:rsid w:val="00A152AC"/>
    <w:rsid w:val="00A1555B"/>
    <w:rsid w:val="00A1555C"/>
    <w:rsid w:val="00A1556D"/>
    <w:rsid w:val="00A155C5"/>
    <w:rsid w:val="00A15887"/>
    <w:rsid w:val="00A16AD8"/>
    <w:rsid w:val="00A16F07"/>
    <w:rsid w:val="00A176DB"/>
    <w:rsid w:val="00A17C8A"/>
    <w:rsid w:val="00A17D31"/>
    <w:rsid w:val="00A2021E"/>
    <w:rsid w:val="00A203DA"/>
    <w:rsid w:val="00A20DCD"/>
    <w:rsid w:val="00A211B6"/>
    <w:rsid w:val="00A21C95"/>
    <w:rsid w:val="00A21CF3"/>
    <w:rsid w:val="00A2246E"/>
    <w:rsid w:val="00A23179"/>
    <w:rsid w:val="00A2338A"/>
    <w:rsid w:val="00A238F7"/>
    <w:rsid w:val="00A23F51"/>
    <w:rsid w:val="00A24813"/>
    <w:rsid w:val="00A24BDB"/>
    <w:rsid w:val="00A259C3"/>
    <w:rsid w:val="00A261DD"/>
    <w:rsid w:val="00A264FA"/>
    <w:rsid w:val="00A26BDC"/>
    <w:rsid w:val="00A27A9C"/>
    <w:rsid w:val="00A27AEC"/>
    <w:rsid w:val="00A3025C"/>
    <w:rsid w:val="00A30416"/>
    <w:rsid w:val="00A30435"/>
    <w:rsid w:val="00A309E1"/>
    <w:rsid w:val="00A310B9"/>
    <w:rsid w:val="00A31360"/>
    <w:rsid w:val="00A31794"/>
    <w:rsid w:val="00A319EF"/>
    <w:rsid w:val="00A31D66"/>
    <w:rsid w:val="00A320DB"/>
    <w:rsid w:val="00A32333"/>
    <w:rsid w:val="00A32E51"/>
    <w:rsid w:val="00A32E89"/>
    <w:rsid w:val="00A32ECA"/>
    <w:rsid w:val="00A33277"/>
    <w:rsid w:val="00A334FE"/>
    <w:rsid w:val="00A33A24"/>
    <w:rsid w:val="00A33CD1"/>
    <w:rsid w:val="00A35D16"/>
    <w:rsid w:val="00A3613A"/>
    <w:rsid w:val="00A364B5"/>
    <w:rsid w:val="00A36584"/>
    <w:rsid w:val="00A36F31"/>
    <w:rsid w:val="00A374E1"/>
    <w:rsid w:val="00A37809"/>
    <w:rsid w:val="00A37BCD"/>
    <w:rsid w:val="00A401AB"/>
    <w:rsid w:val="00A401BC"/>
    <w:rsid w:val="00A404E0"/>
    <w:rsid w:val="00A40D08"/>
    <w:rsid w:val="00A4154E"/>
    <w:rsid w:val="00A41689"/>
    <w:rsid w:val="00A42592"/>
    <w:rsid w:val="00A43A1B"/>
    <w:rsid w:val="00A43C59"/>
    <w:rsid w:val="00A440C4"/>
    <w:rsid w:val="00A44830"/>
    <w:rsid w:val="00A44C31"/>
    <w:rsid w:val="00A45B3A"/>
    <w:rsid w:val="00A46A14"/>
    <w:rsid w:val="00A478E4"/>
    <w:rsid w:val="00A47D72"/>
    <w:rsid w:val="00A503A8"/>
    <w:rsid w:val="00A505D5"/>
    <w:rsid w:val="00A50B1E"/>
    <w:rsid w:val="00A50B4E"/>
    <w:rsid w:val="00A50ECD"/>
    <w:rsid w:val="00A50FEB"/>
    <w:rsid w:val="00A518F3"/>
    <w:rsid w:val="00A51C3C"/>
    <w:rsid w:val="00A51C51"/>
    <w:rsid w:val="00A52729"/>
    <w:rsid w:val="00A53675"/>
    <w:rsid w:val="00A53ADC"/>
    <w:rsid w:val="00A53E95"/>
    <w:rsid w:val="00A5445B"/>
    <w:rsid w:val="00A5463E"/>
    <w:rsid w:val="00A5464C"/>
    <w:rsid w:val="00A549A0"/>
    <w:rsid w:val="00A549AF"/>
    <w:rsid w:val="00A54AFA"/>
    <w:rsid w:val="00A55415"/>
    <w:rsid w:val="00A5551A"/>
    <w:rsid w:val="00A55732"/>
    <w:rsid w:val="00A5619E"/>
    <w:rsid w:val="00A564D7"/>
    <w:rsid w:val="00A565FF"/>
    <w:rsid w:val="00A569A8"/>
    <w:rsid w:val="00A56B6A"/>
    <w:rsid w:val="00A56BB9"/>
    <w:rsid w:val="00A57047"/>
    <w:rsid w:val="00A5711D"/>
    <w:rsid w:val="00A578DC"/>
    <w:rsid w:val="00A57EDE"/>
    <w:rsid w:val="00A60968"/>
    <w:rsid w:val="00A60D2E"/>
    <w:rsid w:val="00A61850"/>
    <w:rsid w:val="00A61C89"/>
    <w:rsid w:val="00A62254"/>
    <w:rsid w:val="00A63DFF"/>
    <w:rsid w:val="00A640E2"/>
    <w:rsid w:val="00A64B1F"/>
    <w:rsid w:val="00A64D65"/>
    <w:rsid w:val="00A651E8"/>
    <w:rsid w:val="00A65B68"/>
    <w:rsid w:val="00A6686A"/>
    <w:rsid w:val="00A669A3"/>
    <w:rsid w:val="00A66A0F"/>
    <w:rsid w:val="00A6725B"/>
    <w:rsid w:val="00A6731E"/>
    <w:rsid w:val="00A70605"/>
    <w:rsid w:val="00A70D59"/>
    <w:rsid w:val="00A70F7E"/>
    <w:rsid w:val="00A719D7"/>
    <w:rsid w:val="00A728FF"/>
    <w:rsid w:val="00A72B8C"/>
    <w:rsid w:val="00A73134"/>
    <w:rsid w:val="00A731EE"/>
    <w:rsid w:val="00A7365A"/>
    <w:rsid w:val="00A736AD"/>
    <w:rsid w:val="00A74058"/>
    <w:rsid w:val="00A757CC"/>
    <w:rsid w:val="00A75ED1"/>
    <w:rsid w:val="00A76001"/>
    <w:rsid w:val="00A76243"/>
    <w:rsid w:val="00A76F3D"/>
    <w:rsid w:val="00A772ED"/>
    <w:rsid w:val="00A77730"/>
    <w:rsid w:val="00A777B2"/>
    <w:rsid w:val="00A77F1A"/>
    <w:rsid w:val="00A77F6E"/>
    <w:rsid w:val="00A8039F"/>
    <w:rsid w:val="00A811FB"/>
    <w:rsid w:val="00A81FBA"/>
    <w:rsid w:val="00A825D4"/>
    <w:rsid w:val="00A828F6"/>
    <w:rsid w:val="00A82B73"/>
    <w:rsid w:val="00A835F1"/>
    <w:rsid w:val="00A837D7"/>
    <w:rsid w:val="00A842E4"/>
    <w:rsid w:val="00A84CFE"/>
    <w:rsid w:val="00A852AF"/>
    <w:rsid w:val="00A85DC4"/>
    <w:rsid w:val="00A86AC5"/>
    <w:rsid w:val="00A86E8B"/>
    <w:rsid w:val="00A87164"/>
    <w:rsid w:val="00A871A9"/>
    <w:rsid w:val="00A87AAE"/>
    <w:rsid w:val="00A87ABD"/>
    <w:rsid w:val="00A87E24"/>
    <w:rsid w:val="00A90200"/>
    <w:rsid w:val="00A90DA0"/>
    <w:rsid w:val="00A91107"/>
    <w:rsid w:val="00A9137E"/>
    <w:rsid w:val="00A916D7"/>
    <w:rsid w:val="00A919FC"/>
    <w:rsid w:val="00A928C5"/>
    <w:rsid w:val="00A92B0F"/>
    <w:rsid w:val="00A93072"/>
    <w:rsid w:val="00A93369"/>
    <w:rsid w:val="00A938BD"/>
    <w:rsid w:val="00A93953"/>
    <w:rsid w:val="00A95213"/>
    <w:rsid w:val="00A959D8"/>
    <w:rsid w:val="00A959E7"/>
    <w:rsid w:val="00A95A96"/>
    <w:rsid w:val="00A96222"/>
    <w:rsid w:val="00A96C12"/>
    <w:rsid w:val="00A96DB8"/>
    <w:rsid w:val="00A97925"/>
    <w:rsid w:val="00A979C2"/>
    <w:rsid w:val="00A97C86"/>
    <w:rsid w:val="00AA0582"/>
    <w:rsid w:val="00AA0865"/>
    <w:rsid w:val="00AA113D"/>
    <w:rsid w:val="00AA127C"/>
    <w:rsid w:val="00AA141F"/>
    <w:rsid w:val="00AA1AE2"/>
    <w:rsid w:val="00AA2147"/>
    <w:rsid w:val="00AA2274"/>
    <w:rsid w:val="00AA2305"/>
    <w:rsid w:val="00AA242F"/>
    <w:rsid w:val="00AA4496"/>
    <w:rsid w:val="00AA45D9"/>
    <w:rsid w:val="00AA4805"/>
    <w:rsid w:val="00AA530F"/>
    <w:rsid w:val="00AA547B"/>
    <w:rsid w:val="00AA6162"/>
    <w:rsid w:val="00AA66AB"/>
    <w:rsid w:val="00AA66F1"/>
    <w:rsid w:val="00AA6BD5"/>
    <w:rsid w:val="00AA6BD8"/>
    <w:rsid w:val="00AA6C7D"/>
    <w:rsid w:val="00AA7FD6"/>
    <w:rsid w:val="00AB0378"/>
    <w:rsid w:val="00AB042A"/>
    <w:rsid w:val="00AB0515"/>
    <w:rsid w:val="00AB0A99"/>
    <w:rsid w:val="00AB11AD"/>
    <w:rsid w:val="00AB19EF"/>
    <w:rsid w:val="00AB22FD"/>
    <w:rsid w:val="00AB2419"/>
    <w:rsid w:val="00AB2495"/>
    <w:rsid w:val="00AB2AB4"/>
    <w:rsid w:val="00AB2D34"/>
    <w:rsid w:val="00AB31D2"/>
    <w:rsid w:val="00AB3430"/>
    <w:rsid w:val="00AB37B9"/>
    <w:rsid w:val="00AB4AD1"/>
    <w:rsid w:val="00AB5C92"/>
    <w:rsid w:val="00AB5E07"/>
    <w:rsid w:val="00AB5FD7"/>
    <w:rsid w:val="00AB67CC"/>
    <w:rsid w:val="00AB6EFB"/>
    <w:rsid w:val="00AB747D"/>
    <w:rsid w:val="00AB7898"/>
    <w:rsid w:val="00AB7CFA"/>
    <w:rsid w:val="00AC0D2E"/>
    <w:rsid w:val="00AC1BBC"/>
    <w:rsid w:val="00AC1D6E"/>
    <w:rsid w:val="00AC2B9E"/>
    <w:rsid w:val="00AC2E01"/>
    <w:rsid w:val="00AC32BD"/>
    <w:rsid w:val="00AC38AA"/>
    <w:rsid w:val="00AC41A4"/>
    <w:rsid w:val="00AC4AFC"/>
    <w:rsid w:val="00AC51FF"/>
    <w:rsid w:val="00AC5B42"/>
    <w:rsid w:val="00AC5B48"/>
    <w:rsid w:val="00AC5DA4"/>
    <w:rsid w:val="00AC6380"/>
    <w:rsid w:val="00AC65D4"/>
    <w:rsid w:val="00AC679F"/>
    <w:rsid w:val="00AC6FFD"/>
    <w:rsid w:val="00AC7D2A"/>
    <w:rsid w:val="00AD0885"/>
    <w:rsid w:val="00AD1450"/>
    <w:rsid w:val="00AD15E8"/>
    <w:rsid w:val="00AD1C4E"/>
    <w:rsid w:val="00AD2129"/>
    <w:rsid w:val="00AD356D"/>
    <w:rsid w:val="00AD3B1A"/>
    <w:rsid w:val="00AD5031"/>
    <w:rsid w:val="00AD5052"/>
    <w:rsid w:val="00AD5644"/>
    <w:rsid w:val="00AD5FD9"/>
    <w:rsid w:val="00AD6502"/>
    <w:rsid w:val="00AD6AB1"/>
    <w:rsid w:val="00AD76EC"/>
    <w:rsid w:val="00AD7861"/>
    <w:rsid w:val="00AD7D89"/>
    <w:rsid w:val="00AD7E86"/>
    <w:rsid w:val="00AE0695"/>
    <w:rsid w:val="00AE0796"/>
    <w:rsid w:val="00AE0802"/>
    <w:rsid w:val="00AE091B"/>
    <w:rsid w:val="00AE1C9D"/>
    <w:rsid w:val="00AE2F3F"/>
    <w:rsid w:val="00AE3319"/>
    <w:rsid w:val="00AE3E7E"/>
    <w:rsid w:val="00AE5998"/>
    <w:rsid w:val="00AE5E83"/>
    <w:rsid w:val="00AE7354"/>
    <w:rsid w:val="00AE7D3C"/>
    <w:rsid w:val="00AE7E53"/>
    <w:rsid w:val="00AF065F"/>
    <w:rsid w:val="00AF0817"/>
    <w:rsid w:val="00AF1315"/>
    <w:rsid w:val="00AF19BF"/>
    <w:rsid w:val="00AF1D82"/>
    <w:rsid w:val="00AF2DC3"/>
    <w:rsid w:val="00AF30EA"/>
    <w:rsid w:val="00AF3460"/>
    <w:rsid w:val="00AF3A51"/>
    <w:rsid w:val="00AF3A72"/>
    <w:rsid w:val="00AF4843"/>
    <w:rsid w:val="00AF4D75"/>
    <w:rsid w:val="00AF4FBA"/>
    <w:rsid w:val="00AF507F"/>
    <w:rsid w:val="00AF548B"/>
    <w:rsid w:val="00AF58E3"/>
    <w:rsid w:val="00AF5D87"/>
    <w:rsid w:val="00AF6510"/>
    <w:rsid w:val="00AF7053"/>
    <w:rsid w:val="00AF763A"/>
    <w:rsid w:val="00AF76F8"/>
    <w:rsid w:val="00AF7FCC"/>
    <w:rsid w:val="00B008AF"/>
    <w:rsid w:val="00B00B74"/>
    <w:rsid w:val="00B01083"/>
    <w:rsid w:val="00B01455"/>
    <w:rsid w:val="00B015AB"/>
    <w:rsid w:val="00B01779"/>
    <w:rsid w:val="00B01B1D"/>
    <w:rsid w:val="00B01D9E"/>
    <w:rsid w:val="00B020BF"/>
    <w:rsid w:val="00B02355"/>
    <w:rsid w:val="00B024AC"/>
    <w:rsid w:val="00B027BB"/>
    <w:rsid w:val="00B029B3"/>
    <w:rsid w:val="00B033E5"/>
    <w:rsid w:val="00B03A63"/>
    <w:rsid w:val="00B03E7F"/>
    <w:rsid w:val="00B04175"/>
    <w:rsid w:val="00B041D3"/>
    <w:rsid w:val="00B041E5"/>
    <w:rsid w:val="00B04759"/>
    <w:rsid w:val="00B04B7B"/>
    <w:rsid w:val="00B04D52"/>
    <w:rsid w:val="00B056D6"/>
    <w:rsid w:val="00B05713"/>
    <w:rsid w:val="00B05BB7"/>
    <w:rsid w:val="00B05CF9"/>
    <w:rsid w:val="00B05F84"/>
    <w:rsid w:val="00B061D8"/>
    <w:rsid w:val="00B0625F"/>
    <w:rsid w:val="00B06ED9"/>
    <w:rsid w:val="00B06F79"/>
    <w:rsid w:val="00B076B1"/>
    <w:rsid w:val="00B0791C"/>
    <w:rsid w:val="00B07CE3"/>
    <w:rsid w:val="00B11504"/>
    <w:rsid w:val="00B1185A"/>
    <w:rsid w:val="00B11A8A"/>
    <w:rsid w:val="00B11BDC"/>
    <w:rsid w:val="00B11F9D"/>
    <w:rsid w:val="00B1233E"/>
    <w:rsid w:val="00B1243A"/>
    <w:rsid w:val="00B129A4"/>
    <w:rsid w:val="00B1303B"/>
    <w:rsid w:val="00B1307A"/>
    <w:rsid w:val="00B134B2"/>
    <w:rsid w:val="00B136DC"/>
    <w:rsid w:val="00B13AE9"/>
    <w:rsid w:val="00B14223"/>
    <w:rsid w:val="00B14410"/>
    <w:rsid w:val="00B14752"/>
    <w:rsid w:val="00B1575C"/>
    <w:rsid w:val="00B165BF"/>
    <w:rsid w:val="00B172D2"/>
    <w:rsid w:val="00B17C3A"/>
    <w:rsid w:val="00B201A4"/>
    <w:rsid w:val="00B201D1"/>
    <w:rsid w:val="00B206B0"/>
    <w:rsid w:val="00B210AA"/>
    <w:rsid w:val="00B213A6"/>
    <w:rsid w:val="00B214D4"/>
    <w:rsid w:val="00B214EE"/>
    <w:rsid w:val="00B2232C"/>
    <w:rsid w:val="00B2269D"/>
    <w:rsid w:val="00B227A1"/>
    <w:rsid w:val="00B22BA8"/>
    <w:rsid w:val="00B22EA1"/>
    <w:rsid w:val="00B22F77"/>
    <w:rsid w:val="00B2325D"/>
    <w:rsid w:val="00B235B0"/>
    <w:rsid w:val="00B23652"/>
    <w:rsid w:val="00B23684"/>
    <w:rsid w:val="00B23A21"/>
    <w:rsid w:val="00B23F70"/>
    <w:rsid w:val="00B24A70"/>
    <w:rsid w:val="00B24DF6"/>
    <w:rsid w:val="00B25CC8"/>
    <w:rsid w:val="00B25CE5"/>
    <w:rsid w:val="00B26115"/>
    <w:rsid w:val="00B265DB"/>
    <w:rsid w:val="00B26F3B"/>
    <w:rsid w:val="00B27756"/>
    <w:rsid w:val="00B278B0"/>
    <w:rsid w:val="00B27A61"/>
    <w:rsid w:val="00B3060F"/>
    <w:rsid w:val="00B30D77"/>
    <w:rsid w:val="00B31221"/>
    <w:rsid w:val="00B3131A"/>
    <w:rsid w:val="00B31448"/>
    <w:rsid w:val="00B31652"/>
    <w:rsid w:val="00B32770"/>
    <w:rsid w:val="00B328B9"/>
    <w:rsid w:val="00B32F30"/>
    <w:rsid w:val="00B344B7"/>
    <w:rsid w:val="00B34FE2"/>
    <w:rsid w:val="00B35166"/>
    <w:rsid w:val="00B357D8"/>
    <w:rsid w:val="00B35C59"/>
    <w:rsid w:val="00B360F4"/>
    <w:rsid w:val="00B3612C"/>
    <w:rsid w:val="00B36871"/>
    <w:rsid w:val="00B36A00"/>
    <w:rsid w:val="00B36AF6"/>
    <w:rsid w:val="00B36D53"/>
    <w:rsid w:val="00B36EDB"/>
    <w:rsid w:val="00B371CA"/>
    <w:rsid w:val="00B3792B"/>
    <w:rsid w:val="00B37BFC"/>
    <w:rsid w:val="00B40358"/>
    <w:rsid w:val="00B408EA"/>
    <w:rsid w:val="00B409A5"/>
    <w:rsid w:val="00B414F7"/>
    <w:rsid w:val="00B415E9"/>
    <w:rsid w:val="00B41614"/>
    <w:rsid w:val="00B41B54"/>
    <w:rsid w:val="00B42851"/>
    <w:rsid w:val="00B42F80"/>
    <w:rsid w:val="00B432C4"/>
    <w:rsid w:val="00B435CB"/>
    <w:rsid w:val="00B4395D"/>
    <w:rsid w:val="00B43E48"/>
    <w:rsid w:val="00B45AE9"/>
    <w:rsid w:val="00B465EC"/>
    <w:rsid w:val="00B4694F"/>
    <w:rsid w:val="00B46A52"/>
    <w:rsid w:val="00B46BD2"/>
    <w:rsid w:val="00B46DF8"/>
    <w:rsid w:val="00B46DFC"/>
    <w:rsid w:val="00B4712E"/>
    <w:rsid w:val="00B47684"/>
    <w:rsid w:val="00B47D58"/>
    <w:rsid w:val="00B5035E"/>
    <w:rsid w:val="00B505C8"/>
    <w:rsid w:val="00B50A17"/>
    <w:rsid w:val="00B50C96"/>
    <w:rsid w:val="00B50DB8"/>
    <w:rsid w:val="00B5113C"/>
    <w:rsid w:val="00B51E3C"/>
    <w:rsid w:val="00B51F31"/>
    <w:rsid w:val="00B528D8"/>
    <w:rsid w:val="00B52CBD"/>
    <w:rsid w:val="00B52EEA"/>
    <w:rsid w:val="00B53155"/>
    <w:rsid w:val="00B53409"/>
    <w:rsid w:val="00B535D1"/>
    <w:rsid w:val="00B53654"/>
    <w:rsid w:val="00B5370E"/>
    <w:rsid w:val="00B53905"/>
    <w:rsid w:val="00B53B26"/>
    <w:rsid w:val="00B53CF7"/>
    <w:rsid w:val="00B546DB"/>
    <w:rsid w:val="00B54B5B"/>
    <w:rsid w:val="00B54F8A"/>
    <w:rsid w:val="00B5562E"/>
    <w:rsid w:val="00B55862"/>
    <w:rsid w:val="00B55D65"/>
    <w:rsid w:val="00B56305"/>
    <w:rsid w:val="00B565AE"/>
    <w:rsid w:val="00B5681F"/>
    <w:rsid w:val="00B56EA4"/>
    <w:rsid w:val="00B57000"/>
    <w:rsid w:val="00B60939"/>
    <w:rsid w:val="00B60AC4"/>
    <w:rsid w:val="00B60AFD"/>
    <w:rsid w:val="00B61585"/>
    <w:rsid w:val="00B61D93"/>
    <w:rsid w:val="00B61FFC"/>
    <w:rsid w:val="00B62436"/>
    <w:rsid w:val="00B62715"/>
    <w:rsid w:val="00B62948"/>
    <w:rsid w:val="00B62C96"/>
    <w:rsid w:val="00B63238"/>
    <w:rsid w:val="00B6352A"/>
    <w:rsid w:val="00B63CBE"/>
    <w:rsid w:val="00B642F4"/>
    <w:rsid w:val="00B64713"/>
    <w:rsid w:val="00B647E5"/>
    <w:rsid w:val="00B64D41"/>
    <w:rsid w:val="00B65450"/>
    <w:rsid w:val="00B65611"/>
    <w:rsid w:val="00B6590F"/>
    <w:rsid w:val="00B66D55"/>
    <w:rsid w:val="00B70155"/>
    <w:rsid w:val="00B70859"/>
    <w:rsid w:val="00B70E8E"/>
    <w:rsid w:val="00B71303"/>
    <w:rsid w:val="00B7257B"/>
    <w:rsid w:val="00B73E61"/>
    <w:rsid w:val="00B74508"/>
    <w:rsid w:val="00B74E0E"/>
    <w:rsid w:val="00B74FA3"/>
    <w:rsid w:val="00B75F7B"/>
    <w:rsid w:val="00B7698C"/>
    <w:rsid w:val="00B76A9A"/>
    <w:rsid w:val="00B76C92"/>
    <w:rsid w:val="00B76F74"/>
    <w:rsid w:val="00B771E3"/>
    <w:rsid w:val="00B772B7"/>
    <w:rsid w:val="00B80612"/>
    <w:rsid w:val="00B80EFD"/>
    <w:rsid w:val="00B81301"/>
    <w:rsid w:val="00B81426"/>
    <w:rsid w:val="00B818A4"/>
    <w:rsid w:val="00B81DAF"/>
    <w:rsid w:val="00B8292D"/>
    <w:rsid w:val="00B82D62"/>
    <w:rsid w:val="00B82E71"/>
    <w:rsid w:val="00B83739"/>
    <w:rsid w:val="00B8382E"/>
    <w:rsid w:val="00B84117"/>
    <w:rsid w:val="00B84453"/>
    <w:rsid w:val="00B84BBB"/>
    <w:rsid w:val="00B85601"/>
    <w:rsid w:val="00B858F0"/>
    <w:rsid w:val="00B85AA2"/>
    <w:rsid w:val="00B8649C"/>
    <w:rsid w:val="00B866E0"/>
    <w:rsid w:val="00B8695D"/>
    <w:rsid w:val="00B8743C"/>
    <w:rsid w:val="00B87819"/>
    <w:rsid w:val="00B87F0A"/>
    <w:rsid w:val="00B9056C"/>
    <w:rsid w:val="00B909CA"/>
    <w:rsid w:val="00B90EDF"/>
    <w:rsid w:val="00B91B5A"/>
    <w:rsid w:val="00B92D0B"/>
    <w:rsid w:val="00B939F1"/>
    <w:rsid w:val="00B944AB"/>
    <w:rsid w:val="00B94945"/>
    <w:rsid w:val="00B94DD6"/>
    <w:rsid w:val="00B953FC"/>
    <w:rsid w:val="00B9595F"/>
    <w:rsid w:val="00B95BE3"/>
    <w:rsid w:val="00B95D55"/>
    <w:rsid w:val="00B961DC"/>
    <w:rsid w:val="00B96328"/>
    <w:rsid w:val="00B967EB"/>
    <w:rsid w:val="00B96A5F"/>
    <w:rsid w:val="00B96B69"/>
    <w:rsid w:val="00B96CEE"/>
    <w:rsid w:val="00B96DDB"/>
    <w:rsid w:val="00B978BD"/>
    <w:rsid w:val="00B97FF0"/>
    <w:rsid w:val="00BA0203"/>
    <w:rsid w:val="00BA0423"/>
    <w:rsid w:val="00BA0F12"/>
    <w:rsid w:val="00BA1695"/>
    <w:rsid w:val="00BA1E49"/>
    <w:rsid w:val="00BA2335"/>
    <w:rsid w:val="00BA2689"/>
    <w:rsid w:val="00BA28A5"/>
    <w:rsid w:val="00BA2C58"/>
    <w:rsid w:val="00BA322D"/>
    <w:rsid w:val="00BA3519"/>
    <w:rsid w:val="00BA38B5"/>
    <w:rsid w:val="00BA5386"/>
    <w:rsid w:val="00BA6386"/>
    <w:rsid w:val="00BA63FA"/>
    <w:rsid w:val="00BA7322"/>
    <w:rsid w:val="00BA7B40"/>
    <w:rsid w:val="00BB00B3"/>
    <w:rsid w:val="00BB0180"/>
    <w:rsid w:val="00BB04C8"/>
    <w:rsid w:val="00BB0734"/>
    <w:rsid w:val="00BB08E2"/>
    <w:rsid w:val="00BB0BDD"/>
    <w:rsid w:val="00BB0E12"/>
    <w:rsid w:val="00BB1519"/>
    <w:rsid w:val="00BB176C"/>
    <w:rsid w:val="00BB1BDD"/>
    <w:rsid w:val="00BB2A73"/>
    <w:rsid w:val="00BB36F2"/>
    <w:rsid w:val="00BB3A45"/>
    <w:rsid w:val="00BB4156"/>
    <w:rsid w:val="00BB4ACC"/>
    <w:rsid w:val="00BB4C7F"/>
    <w:rsid w:val="00BB703E"/>
    <w:rsid w:val="00BB732D"/>
    <w:rsid w:val="00BB7405"/>
    <w:rsid w:val="00BB7EE7"/>
    <w:rsid w:val="00BC35EB"/>
    <w:rsid w:val="00BC3631"/>
    <w:rsid w:val="00BC384A"/>
    <w:rsid w:val="00BC39D1"/>
    <w:rsid w:val="00BC439A"/>
    <w:rsid w:val="00BC4470"/>
    <w:rsid w:val="00BC4D3B"/>
    <w:rsid w:val="00BC5663"/>
    <w:rsid w:val="00BC5848"/>
    <w:rsid w:val="00BC591F"/>
    <w:rsid w:val="00BC5F84"/>
    <w:rsid w:val="00BC5FC3"/>
    <w:rsid w:val="00BC62CB"/>
    <w:rsid w:val="00BC7783"/>
    <w:rsid w:val="00BC7D6D"/>
    <w:rsid w:val="00BD0CC6"/>
    <w:rsid w:val="00BD0DA3"/>
    <w:rsid w:val="00BD10F9"/>
    <w:rsid w:val="00BD145C"/>
    <w:rsid w:val="00BD166C"/>
    <w:rsid w:val="00BD2108"/>
    <w:rsid w:val="00BD25EB"/>
    <w:rsid w:val="00BD2E27"/>
    <w:rsid w:val="00BD3107"/>
    <w:rsid w:val="00BD3A58"/>
    <w:rsid w:val="00BD3AFA"/>
    <w:rsid w:val="00BD3EEE"/>
    <w:rsid w:val="00BD4CFE"/>
    <w:rsid w:val="00BD60C0"/>
    <w:rsid w:val="00BD62BE"/>
    <w:rsid w:val="00BD68A3"/>
    <w:rsid w:val="00BD6938"/>
    <w:rsid w:val="00BD6CF3"/>
    <w:rsid w:val="00BD7061"/>
    <w:rsid w:val="00BD7C5C"/>
    <w:rsid w:val="00BD7F72"/>
    <w:rsid w:val="00BE039C"/>
    <w:rsid w:val="00BE08C4"/>
    <w:rsid w:val="00BE0ECA"/>
    <w:rsid w:val="00BE0FD8"/>
    <w:rsid w:val="00BE130E"/>
    <w:rsid w:val="00BE140F"/>
    <w:rsid w:val="00BE1A27"/>
    <w:rsid w:val="00BE2180"/>
    <w:rsid w:val="00BE21F2"/>
    <w:rsid w:val="00BE2266"/>
    <w:rsid w:val="00BE2550"/>
    <w:rsid w:val="00BE294A"/>
    <w:rsid w:val="00BE3C5C"/>
    <w:rsid w:val="00BE3D4B"/>
    <w:rsid w:val="00BE40A4"/>
    <w:rsid w:val="00BE4275"/>
    <w:rsid w:val="00BE466A"/>
    <w:rsid w:val="00BE4892"/>
    <w:rsid w:val="00BE4B69"/>
    <w:rsid w:val="00BE5C8B"/>
    <w:rsid w:val="00BE6618"/>
    <w:rsid w:val="00BE697C"/>
    <w:rsid w:val="00BE751A"/>
    <w:rsid w:val="00BE7CAE"/>
    <w:rsid w:val="00BF06AE"/>
    <w:rsid w:val="00BF0B46"/>
    <w:rsid w:val="00BF0F95"/>
    <w:rsid w:val="00BF156F"/>
    <w:rsid w:val="00BF1DED"/>
    <w:rsid w:val="00BF1E9D"/>
    <w:rsid w:val="00BF2433"/>
    <w:rsid w:val="00BF24FD"/>
    <w:rsid w:val="00BF2E6E"/>
    <w:rsid w:val="00BF37DF"/>
    <w:rsid w:val="00BF4756"/>
    <w:rsid w:val="00BF55BB"/>
    <w:rsid w:val="00BF594F"/>
    <w:rsid w:val="00BF5C20"/>
    <w:rsid w:val="00BF61C9"/>
    <w:rsid w:val="00BF6ADE"/>
    <w:rsid w:val="00BF6C94"/>
    <w:rsid w:val="00BF6D65"/>
    <w:rsid w:val="00BF7036"/>
    <w:rsid w:val="00BF7985"/>
    <w:rsid w:val="00C00371"/>
    <w:rsid w:val="00C00424"/>
    <w:rsid w:val="00C0042B"/>
    <w:rsid w:val="00C00768"/>
    <w:rsid w:val="00C00A41"/>
    <w:rsid w:val="00C00BB0"/>
    <w:rsid w:val="00C01565"/>
    <w:rsid w:val="00C016FD"/>
    <w:rsid w:val="00C01B89"/>
    <w:rsid w:val="00C01F7C"/>
    <w:rsid w:val="00C042D3"/>
    <w:rsid w:val="00C065F8"/>
    <w:rsid w:val="00C0755D"/>
    <w:rsid w:val="00C10F80"/>
    <w:rsid w:val="00C1179C"/>
    <w:rsid w:val="00C1179F"/>
    <w:rsid w:val="00C118BC"/>
    <w:rsid w:val="00C11A67"/>
    <w:rsid w:val="00C12226"/>
    <w:rsid w:val="00C1264B"/>
    <w:rsid w:val="00C127B9"/>
    <w:rsid w:val="00C128FA"/>
    <w:rsid w:val="00C12C14"/>
    <w:rsid w:val="00C1453A"/>
    <w:rsid w:val="00C15170"/>
    <w:rsid w:val="00C151ED"/>
    <w:rsid w:val="00C15985"/>
    <w:rsid w:val="00C15F04"/>
    <w:rsid w:val="00C15F91"/>
    <w:rsid w:val="00C16850"/>
    <w:rsid w:val="00C16C2D"/>
    <w:rsid w:val="00C179B3"/>
    <w:rsid w:val="00C17E0E"/>
    <w:rsid w:val="00C17E18"/>
    <w:rsid w:val="00C17E39"/>
    <w:rsid w:val="00C17E3F"/>
    <w:rsid w:val="00C200AA"/>
    <w:rsid w:val="00C20814"/>
    <w:rsid w:val="00C21497"/>
    <w:rsid w:val="00C2193F"/>
    <w:rsid w:val="00C22C78"/>
    <w:rsid w:val="00C231A9"/>
    <w:rsid w:val="00C233AD"/>
    <w:rsid w:val="00C237ED"/>
    <w:rsid w:val="00C23D5A"/>
    <w:rsid w:val="00C241D0"/>
    <w:rsid w:val="00C24632"/>
    <w:rsid w:val="00C25024"/>
    <w:rsid w:val="00C25418"/>
    <w:rsid w:val="00C2557F"/>
    <w:rsid w:val="00C2595B"/>
    <w:rsid w:val="00C25D9C"/>
    <w:rsid w:val="00C26055"/>
    <w:rsid w:val="00C26D27"/>
    <w:rsid w:val="00C2778B"/>
    <w:rsid w:val="00C305D9"/>
    <w:rsid w:val="00C3078B"/>
    <w:rsid w:val="00C30A06"/>
    <w:rsid w:val="00C3136F"/>
    <w:rsid w:val="00C31649"/>
    <w:rsid w:val="00C31AF3"/>
    <w:rsid w:val="00C325D5"/>
    <w:rsid w:val="00C3263A"/>
    <w:rsid w:val="00C33405"/>
    <w:rsid w:val="00C33834"/>
    <w:rsid w:val="00C33BDC"/>
    <w:rsid w:val="00C33EC5"/>
    <w:rsid w:val="00C3434C"/>
    <w:rsid w:val="00C346E9"/>
    <w:rsid w:val="00C34937"/>
    <w:rsid w:val="00C34FD8"/>
    <w:rsid w:val="00C3576B"/>
    <w:rsid w:val="00C35985"/>
    <w:rsid w:val="00C36ED3"/>
    <w:rsid w:val="00C373C6"/>
    <w:rsid w:val="00C375FF"/>
    <w:rsid w:val="00C40385"/>
    <w:rsid w:val="00C4156E"/>
    <w:rsid w:val="00C41768"/>
    <w:rsid w:val="00C4185F"/>
    <w:rsid w:val="00C41B67"/>
    <w:rsid w:val="00C41BB6"/>
    <w:rsid w:val="00C422DB"/>
    <w:rsid w:val="00C4332E"/>
    <w:rsid w:val="00C44383"/>
    <w:rsid w:val="00C447A8"/>
    <w:rsid w:val="00C44A23"/>
    <w:rsid w:val="00C45F30"/>
    <w:rsid w:val="00C462E6"/>
    <w:rsid w:val="00C46E8A"/>
    <w:rsid w:val="00C46ED7"/>
    <w:rsid w:val="00C475AA"/>
    <w:rsid w:val="00C47697"/>
    <w:rsid w:val="00C477DC"/>
    <w:rsid w:val="00C4787D"/>
    <w:rsid w:val="00C47A31"/>
    <w:rsid w:val="00C47D25"/>
    <w:rsid w:val="00C50096"/>
    <w:rsid w:val="00C519BC"/>
    <w:rsid w:val="00C51A76"/>
    <w:rsid w:val="00C520BE"/>
    <w:rsid w:val="00C524DE"/>
    <w:rsid w:val="00C527C7"/>
    <w:rsid w:val="00C5297E"/>
    <w:rsid w:val="00C52D16"/>
    <w:rsid w:val="00C53C50"/>
    <w:rsid w:val="00C53C98"/>
    <w:rsid w:val="00C5407B"/>
    <w:rsid w:val="00C5425A"/>
    <w:rsid w:val="00C55268"/>
    <w:rsid w:val="00C5578D"/>
    <w:rsid w:val="00C55F39"/>
    <w:rsid w:val="00C5634E"/>
    <w:rsid w:val="00C56673"/>
    <w:rsid w:val="00C5668E"/>
    <w:rsid w:val="00C56714"/>
    <w:rsid w:val="00C567B6"/>
    <w:rsid w:val="00C56FCF"/>
    <w:rsid w:val="00C57466"/>
    <w:rsid w:val="00C576A1"/>
    <w:rsid w:val="00C57976"/>
    <w:rsid w:val="00C57B6C"/>
    <w:rsid w:val="00C57D82"/>
    <w:rsid w:val="00C60268"/>
    <w:rsid w:val="00C60336"/>
    <w:rsid w:val="00C60ABA"/>
    <w:rsid w:val="00C60ABE"/>
    <w:rsid w:val="00C61091"/>
    <w:rsid w:val="00C61A59"/>
    <w:rsid w:val="00C625D1"/>
    <w:rsid w:val="00C62855"/>
    <w:rsid w:val="00C628A6"/>
    <w:rsid w:val="00C62AF8"/>
    <w:rsid w:val="00C62AFC"/>
    <w:rsid w:val="00C62BC5"/>
    <w:rsid w:val="00C636E2"/>
    <w:rsid w:val="00C6370A"/>
    <w:rsid w:val="00C63870"/>
    <w:rsid w:val="00C63B12"/>
    <w:rsid w:val="00C64142"/>
    <w:rsid w:val="00C64344"/>
    <w:rsid w:val="00C64A49"/>
    <w:rsid w:val="00C65108"/>
    <w:rsid w:val="00C6545B"/>
    <w:rsid w:val="00C65576"/>
    <w:rsid w:val="00C659E5"/>
    <w:rsid w:val="00C65A8E"/>
    <w:rsid w:val="00C65C8E"/>
    <w:rsid w:val="00C65E72"/>
    <w:rsid w:val="00C66165"/>
    <w:rsid w:val="00C66188"/>
    <w:rsid w:val="00C662A5"/>
    <w:rsid w:val="00C6695D"/>
    <w:rsid w:val="00C66C31"/>
    <w:rsid w:val="00C6704F"/>
    <w:rsid w:val="00C67F82"/>
    <w:rsid w:val="00C70013"/>
    <w:rsid w:val="00C7016F"/>
    <w:rsid w:val="00C7022E"/>
    <w:rsid w:val="00C703D0"/>
    <w:rsid w:val="00C7060A"/>
    <w:rsid w:val="00C706E4"/>
    <w:rsid w:val="00C7098E"/>
    <w:rsid w:val="00C70DEC"/>
    <w:rsid w:val="00C71144"/>
    <w:rsid w:val="00C7151A"/>
    <w:rsid w:val="00C717E3"/>
    <w:rsid w:val="00C71F60"/>
    <w:rsid w:val="00C72241"/>
    <w:rsid w:val="00C72651"/>
    <w:rsid w:val="00C73246"/>
    <w:rsid w:val="00C73319"/>
    <w:rsid w:val="00C7398B"/>
    <w:rsid w:val="00C743BD"/>
    <w:rsid w:val="00C74B0F"/>
    <w:rsid w:val="00C74F77"/>
    <w:rsid w:val="00C74F93"/>
    <w:rsid w:val="00C750C8"/>
    <w:rsid w:val="00C7560F"/>
    <w:rsid w:val="00C75BC2"/>
    <w:rsid w:val="00C76951"/>
    <w:rsid w:val="00C76CEE"/>
    <w:rsid w:val="00C77099"/>
    <w:rsid w:val="00C775DC"/>
    <w:rsid w:val="00C800A2"/>
    <w:rsid w:val="00C8097B"/>
    <w:rsid w:val="00C80A0E"/>
    <w:rsid w:val="00C81870"/>
    <w:rsid w:val="00C818AF"/>
    <w:rsid w:val="00C81A34"/>
    <w:rsid w:val="00C8213F"/>
    <w:rsid w:val="00C821CB"/>
    <w:rsid w:val="00C8303F"/>
    <w:rsid w:val="00C83342"/>
    <w:rsid w:val="00C839DE"/>
    <w:rsid w:val="00C84E21"/>
    <w:rsid w:val="00C84EAD"/>
    <w:rsid w:val="00C85154"/>
    <w:rsid w:val="00C85377"/>
    <w:rsid w:val="00C85A70"/>
    <w:rsid w:val="00C85B1D"/>
    <w:rsid w:val="00C85B80"/>
    <w:rsid w:val="00C86131"/>
    <w:rsid w:val="00C8688F"/>
    <w:rsid w:val="00C878B9"/>
    <w:rsid w:val="00C8797A"/>
    <w:rsid w:val="00C87A82"/>
    <w:rsid w:val="00C87F08"/>
    <w:rsid w:val="00C90013"/>
    <w:rsid w:val="00C900B8"/>
    <w:rsid w:val="00C90117"/>
    <w:rsid w:val="00C90197"/>
    <w:rsid w:val="00C9057E"/>
    <w:rsid w:val="00C90C71"/>
    <w:rsid w:val="00C90CB3"/>
    <w:rsid w:val="00C91494"/>
    <w:rsid w:val="00C91A4B"/>
    <w:rsid w:val="00C91FD1"/>
    <w:rsid w:val="00C92880"/>
    <w:rsid w:val="00C92C13"/>
    <w:rsid w:val="00C92C70"/>
    <w:rsid w:val="00C92E4B"/>
    <w:rsid w:val="00C931CF"/>
    <w:rsid w:val="00C932FA"/>
    <w:rsid w:val="00C938CF"/>
    <w:rsid w:val="00C93C23"/>
    <w:rsid w:val="00C94053"/>
    <w:rsid w:val="00C94108"/>
    <w:rsid w:val="00C94256"/>
    <w:rsid w:val="00C947B3"/>
    <w:rsid w:val="00C94A10"/>
    <w:rsid w:val="00C94D97"/>
    <w:rsid w:val="00C94F9E"/>
    <w:rsid w:val="00C95057"/>
    <w:rsid w:val="00C9529A"/>
    <w:rsid w:val="00C9566F"/>
    <w:rsid w:val="00C95AAA"/>
    <w:rsid w:val="00C9624D"/>
    <w:rsid w:val="00C969DA"/>
    <w:rsid w:val="00C96D72"/>
    <w:rsid w:val="00C96EAE"/>
    <w:rsid w:val="00C9702A"/>
    <w:rsid w:val="00C97134"/>
    <w:rsid w:val="00CA06F1"/>
    <w:rsid w:val="00CA0C3A"/>
    <w:rsid w:val="00CA137C"/>
    <w:rsid w:val="00CA2C77"/>
    <w:rsid w:val="00CA2D25"/>
    <w:rsid w:val="00CA366B"/>
    <w:rsid w:val="00CA37DE"/>
    <w:rsid w:val="00CA3A12"/>
    <w:rsid w:val="00CA42E6"/>
    <w:rsid w:val="00CA444F"/>
    <w:rsid w:val="00CA457D"/>
    <w:rsid w:val="00CA51CD"/>
    <w:rsid w:val="00CA5245"/>
    <w:rsid w:val="00CA5A3C"/>
    <w:rsid w:val="00CA5AC2"/>
    <w:rsid w:val="00CA5ECF"/>
    <w:rsid w:val="00CA638B"/>
    <w:rsid w:val="00CA71F4"/>
    <w:rsid w:val="00CA7854"/>
    <w:rsid w:val="00CA7920"/>
    <w:rsid w:val="00CA7B09"/>
    <w:rsid w:val="00CA7BA3"/>
    <w:rsid w:val="00CA7DB8"/>
    <w:rsid w:val="00CA7F96"/>
    <w:rsid w:val="00CB07ED"/>
    <w:rsid w:val="00CB08E2"/>
    <w:rsid w:val="00CB12A5"/>
    <w:rsid w:val="00CB1344"/>
    <w:rsid w:val="00CB154A"/>
    <w:rsid w:val="00CB1712"/>
    <w:rsid w:val="00CB19D8"/>
    <w:rsid w:val="00CB1B35"/>
    <w:rsid w:val="00CB1CAC"/>
    <w:rsid w:val="00CB22B4"/>
    <w:rsid w:val="00CB241C"/>
    <w:rsid w:val="00CB2A9E"/>
    <w:rsid w:val="00CB2F2A"/>
    <w:rsid w:val="00CB2F5E"/>
    <w:rsid w:val="00CB3352"/>
    <w:rsid w:val="00CB4230"/>
    <w:rsid w:val="00CB507B"/>
    <w:rsid w:val="00CB5442"/>
    <w:rsid w:val="00CB56DA"/>
    <w:rsid w:val="00CB58A7"/>
    <w:rsid w:val="00CB5B1A"/>
    <w:rsid w:val="00CB5C5E"/>
    <w:rsid w:val="00CB6B22"/>
    <w:rsid w:val="00CB74A3"/>
    <w:rsid w:val="00CB7755"/>
    <w:rsid w:val="00CB7A3F"/>
    <w:rsid w:val="00CB7F5F"/>
    <w:rsid w:val="00CC088E"/>
    <w:rsid w:val="00CC0E5B"/>
    <w:rsid w:val="00CC1B39"/>
    <w:rsid w:val="00CC1BFA"/>
    <w:rsid w:val="00CC278B"/>
    <w:rsid w:val="00CC29D6"/>
    <w:rsid w:val="00CC2E9F"/>
    <w:rsid w:val="00CC31DF"/>
    <w:rsid w:val="00CC3345"/>
    <w:rsid w:val="00CC35EA"/>
    <w:rsid w:val="00CC3848"/>
    <w:rsid w:val="00CC3D40"/>
    <w:rsid w:val="00CC3F61"/>
    <w:rsid w:val="00CC3FA0"/>
    <w:rsid w:val="00CC4C36"/>
    <w:rsid w:val="00CC6D1B"/>
    <w:rsid w:val="00CC6D5E"/>
    <w:rsid w:val="00CC6EDA"/>
    <w:rsid w:val="00CC6F34"/>
    <w:rsid w:val="00CC71AB"/>
    <w:rsid w:val="00CC720D"/>
    <w:rsid w:val="00CC7A9F"/>
    <w:rsid w:val="00CC7AE5"/>
    <w:rsid w:val="00CD0200"/>
    <w:rsid w:val="00CD025E"/>
    <w:rsid w:val="00CD02D6"/>
    <w:rsid w:val="00CD0DD0"/>
    <w:rsid w:val="00CD1290"/>
    <w:rsid w:val="00CD1424"/>
    <w:rsid w:val="00CD1B52"/>
    <w:rsid w:val="00CD1C70"/>
    <w:rsid w:val="00CD263E"/>
    <w:rsid w:val="00CD2DC6"/>
    <w:rsid w:val="00CD3486"/>
    <w:rsid w:val="00CD387C"/>
    <w:rsid w:val="00CD3A5F"/>
    <w:rsid w:val="00CD3BCB"/>
    <w:rsid w:val="00CD3ECB"/>
    <w:rsid w:val="00CD3F77"/>
    <w:rsid w:val="00CD3F8B"/>
    <w:rsid w:val="00CD3FD7"/>
    <w:rsid w:val="00CD4322"/>
    <w:rsid w:val="00CD4888"/>
    <w:rsid w:val="00CD54E9"/>
    <w:rsid w:val="00CD5A28"/>
    <w:rsid w:val="00CD6990"/>
    <w:rsid w:val="00CD6ADC"/>
    <w:rsid w:val="00CD6C52"/>
    <w:rsid w:val="00CD7193"/>
    <w:rsid w:val="00CD7341"/>
    <w:rsid w:val="00CE0253"/>
    <w:rsid w:val="00CE0553"/>
    <w:rsid w:val="00CE12AA"/>
    <w:rsid w:val="00CE1FB6"/>
    <w:rsid w:val="00CE22CA"/>
    <w:rsid w:val="00CE26A8"/>
    <w:rsid w:val="00CE2B37"/>
    <w:rsid w:val="00CE2B5F"/>
    <w:rsid w:val="00CE31C9"/>
    <w:rsid w:val="00CE31D1"/>
    <w:rsid w:val="00CE32FA"/>
    <w:rsid w:val="00CE3304"/>
    <w:rsid w:val="00CE37F1"/>
    <w:rsid w:val="00CE38C8"/>
    <w:rsid w:val="00CE478C"/>
    <w:rsid w:val="00CE4ED4"/>
    <w:rsid w:val="00CE524F"/>
    <w:rsid w:val="00CE58CC"/>
    <w:rsid w:val="00CE6274"/>
    <w:rsid w:val="00CE6B77"/>
    <w:rsid w:val="00CE6D08"/>
    <w:rsid w:val="00CE7251"/>
    <w:rsid w:val="00CE73E3"/>
    <w:rsid w:val="00CE7656"/>
    <w:rsid w:val="00CE76FA"/>
    <w:rsid w:val="00CE77B6"/>
    <w:rsid w:val="00CE791F"/>
    <w:rsid w:val="00CE7A9E"/>
    <w:rsid w:val="00CF01CC"/>
    <w:rsid w:val="00CF08BD"/>
    <w:rsid w:val="00CF0A5B"/>
    <w:rsid w:val="00CF18AC"/>
    <w:rsid w:val="00CF1DFD"/>
    <w:rsid w:val="00CF1E9E"/>
    <w:rsid w:val="00CF2003"/>
    <w:rsid w:val="00CF227F"/>
    <w:rsid w:val="00CF27BF"/>
    <w:rsid w:val="00CF29DF"/>
    <w:rsid w:val="00CF2B8D"/>
    <w:rsid w:val="00CF3349"/>
    <w:rsid w:val="00CF374C"/>
    <w:rsid w:val="00CF3892"/>
    <w:rsid w:val="00CF3A1B"/>
    <w:rsid w:val="00CF3D10"/>
    <w:rsid w:val="00CF3E08"/>
    <w:rsid w:val="00CF4083"/>
    <w:rsid w:val="00CF40B8"/>
    <w:rsid w:val="00CF43F4"/>
    <w:rsid w:val="00CF456B"/>
    <w:rsid w:val="00CF4B12"/>
    <w:rsid w:val="00CF4F7E"/>
    <w:rsid w:val="00CF535D"/>
    <w:rsid w:val="00CF5A22"/>
    <w:rsid w:val="00CF67F1"/>
    <w:rsid w:val="00CF6AB5"/>
    <w:rsid w:val="00CF7073"/>
    <w:rsid w:val="00CF7A86"/>
    <w:rsid w:val="00CF7D2C"/>
    <w:rsid w:val="00CF7ECB"/>
    <w:rsid w:val="00CF7FF0"/>
    <w:rsid w:val="00D003CD"/>
    <w:rsid w:val="00D00B51"/>
    <w:rsid w:val="00D01E65"/>
    <w:rsid w:val="00D0262E"/>
    <w:rsid w:val="00D03679"/>
    <w:rsid w:val="00D038FA"/>
    <w:rsid w:val="00D03E97"/>
    <w:rsid w:val="00D041BA"/>
    <w:rsid w:val="00D04741"/>
    <w:rsid w:val="00D0477A"/>
    <w:rsid w:val="00D048AE"/>
    <w:rsid w:val="00D05745"/>
    <w:rsid w:val="00D05898"/>
    <w:rsid w:val="00D05E3D"/>
    <w:rsid w:val="00D05F99"/>
    <w:rsid w:val="00D0601C"/>
    <w:rsid w:val="00D06139"/>
    <w:rsid w:val="00D06C2E"/>
    <w:rsid w:val="00D076BB"/>
    <w:rsid w:val="00D07CC1"/>
    <w:rsid w:val="00D07DB1"/>
    <w:rsid w:val="00D100E6"/>
    <w:rsid w:val="00D107B2"/>
    <w:rsid w:val="00D110BD"/>
    <w:rsid w:val="00D110FD"/>
    <w:rsid w:val="00D1167B"/>
    <w:rsid w:val="00D11A0B"/>
    <w:rsid w:val="00D12CF9"/>
    <w:rsid w:val="00D1354F"/>
    <w:rsid w:val="00D13675"/>
    <w:rsid w:val="00D13987"/>
    <w:rsid w:val="00D13A36"/>
    <w:rsid w:val="00D141E1"/>
    <w:rsid w:val="00D14BD6"/>
    <w:rsid w:val="00D15314"/>
    <w:rsid w:val="00D15B48"/>
    <w:rsid w:val="00D15ED9"/>
    <w:rsid w:val="00D16A9E"/>
    <w:rsid w:val="00D17C95"/>
    <w:rsid w:val="00D17D6C"/>
    <w:rsid w:val="00D2063C"/>
    <w:rsid w:val="00D20BD8"/>
    <w:rsid w:val="00D2155B"/>
    <w:rsid w:val="00D22286"/>
    <w:rsid w:val="00D22360"/>
    <w:rsid w:val="00D22C90"/>
    <w:rsid w:val="00D22EED"/>
    <w:rsid w:val="00D233C1"/>
    <w:rsid w:val="00D23539"/>
    <w:rsid w:val="00D237BD"/>
    <w:rsid w:val="00D23872"/>
    <w:rsid w:val="00D23D11"/>
    <w:rsid w:val="00D244B6"/>
    <w:rsid w:val="00D24C00"/>
    <w:rsid w:val="00D24F7E"/>
    <w:rsid w:val="00D25431"/>
    <w:rsid w:val="00D256E3"/>
    <w:rsid w:val="00D257B2"/>
    <w:rsid w:val="00D25A16"/>
    <w:rsid w:val="00D2650E"/>
    <w:rsid w:val="00D2659E"/>
    <w:rsid w:val="00D266C2"/>
    <w:rsid w:val="00D26A43"/>
    <w:rsid w:val="00D26A58"/>
    <w:rsid w:val="00D2754D"/>
    <w:rsid w:val="00D27B27"/>
    <w:rsid w:val="00D27F16"/>
    <w:rsid w:val="00D30053"/>
    <w:rsid w:val="00D30D5B"/>
    <w:rsid w:val="00D313C3"/>
    <w:rsid w:val="00D32941"/>
    <w:rsid w:val="00D33AA5"/>
    <w:rsid w:val="00D33B8F"/>
    <w:rsid w:val="00D33BE9"/>
    <w:rsid w:val="00D33F93"/>
    <w:rsid w:val="00D34034"/>
    <w:rsid w:val="00D345A9"/>
    <w:rsid w:val="00D3469D"/>
    <w:rsid w:val="00D34CC7"/>
    <w:rsid w:val="00D3529E"/>
    <w:rsid w:val="00D357B9"/>
    <w:rsid w:val="00D357FF"/>
    <w:rsid w:val="00D36D19"/>
    <w:rsid w:val="00D37520"/>
    <w:rsid w:val="00D37577"/>
    <w:rsid w:val="00D37612"/>
    <w:rsid w:val="00D37CF3"/>
    <w:rsid w:val="00D4052C"/>
    <w:rsid w:val="00D40EC0"/>
    <w:rsid w:val="00D40FB7"/>
    <w:rsid w:val="00D410E4"/>
    <w:rsid w:val="00D41788"/>
    <w:rsid w:val="00D41CB9"/>
    <w:rsid w:val="00D4200C"/>
    <w:rsid w:val="00D42479"/>
    <w:rsid w:val="00D424C7"/>
    <w:rsid w:val="00D42802"/>
    <w:rsid w:val="00D42BBA"/>
    <w:rsid w:val="00D42D2A"/>
    <w:rsid w:val="00D42D91"/>
    <w:rsid w:val="00D43B2A"/>
    <w:rsid w:val="00D43CF1"/>
    <w:rsid w:val="00D43D83"/>
    <w:rsid w:val="00D43F95"/>
    <w:rsid w:val="00D442F5"/>
    <w:rsid w:val="00D4453F"/>
    <w:rsid w:val="00D4462B"/>
    <w:rsid w:val="00D447FF"/>
    <w:rsid w:val="00D4575D"/>
    <w:rsid w:val="00D46A68"/>
    <w:rsid w:val="00D46E09"/>
    <w:rsid w:val="00D47575"/>
    <w:rsid w:val="00D47B0A"/>
    <w:rsid w:val="00D47F7C"/>
    <w:rsid w:val="00D50604"/>
    <w:rsid w:val="00D50F1B"/>
    <w:rsid w:val="00D512FD"/>
    <w:rsid w:val="00D5130D"/>
    <w:rsid w:val="00D52130"/>
    <w:rsid w:val="00D5243B"/>
    <w:rsid w:val="00D5304E"/>
    <w:rsid w:val="00D533EC"/>
    <w:rsid w:val="00D536F0"/>
    <w:rsid w:val="00D53726"/>
    <w:rsid w:val="00D537E7"/>
    <w:rsid w:val="00D5411B"/>
    <w:rsid w:val="00D552F1"/>
    <w:rsid w:val="00D55BB9"/>
    <w:rsid w:val="00D560CF"/>
    <w:rsid w:val="00D56512"/>
    <w:rsid w:val="00D56A95"/>
    <w:rsid w:val="00D56B40"/>
    <w:rsid w:val="00D57741"/>
    <w:rsid w:val="00D5784F"/>
    <w:rsid w:val="00D57C22"/>
    <w:rsid w:val="00D57EF7"/>
    <w:rsid w:val="00D57F4A"/>
    <w:rsid w:val="00D6076E"/>
    <w:rsid w:val="00D60819"/>
    <w:rsid w:val="00D62BBD"/>
    <w:rsid w:val="00D62C67"/>
    <w:rsid w:val="00D62DAD"/>
    <w:rsid w:val="00D6357F"/>
    <w:rsid w:val="00D63745"/>
    <w:rsid w:val="00D64071"/>
    <w:rsid w:val="00D65832"/>
    <w:rsid w:val="00D6602F"/>
    <w:rsid w:val="00D666F4"/>
    <w:rsid w:val="00D6777C"/>
    <w:rsid w:val="00D67820"/>
    <w:rsid w:val="00D70B5D"/>
    <w:rsid w:val="00D70F16"/>
    <w:rsid w:val="00D70FD2"/>
    <w:rsid w:val="00D70FEE"/>
    <w:rsid w:val="00D716A6"/>
    <w:rsid w:val="00D72147"/>
    <w:rsid w:val="00D72617"/>
    <w:rsid w:val="00D72C4B"/>
    <w:rsid w:val="00D72D82"/>
    <w:rsid w:val="00D72F57"/>
    <w:rsid w:val="00D73240"/>
    <w:rsid w:val="00D7365E"/>
    <w:rsid w:val="00D736CD"/>
    <w:rsid w:val="00D736CE"/>
    <w:rsid w:val="00D73EDC"/>
    <w:rsid w:val="00D75644"/>
    <w:rsid w:val="00D75856"/>
    <w:rsid w:val="00D75E59"/>
    <w:rsid w:val="00D7659C"/>
    <w:rsid w:val="00D765D7"/>
    <w:rsid w:val="00D76913"/>
    <w:rsid w:val="00D76A44"/>
    <w:rsid w:val="00D776F3"/>
    <w:rsid w:val="00D77900"/>
    <w:rsid w:val="00D80083"/>
    <w:rsid w:val="00D8046E"/>
    <w:rsid w:val="00D81052"/>
    <w:rsid w:val="00D8134A"/>
    <w:rsid w:val="00D815EF"/>
    <w:rsid w:val="00D81949"/>
    <w:rsid w:val="00D81F26"/>
    <w:rsid w:val="00D820C2"/>
    <w:rsid w:val="00D822E2"/>
    <w:rsid w:val="00D82320"/>
    <w:rsid w:val="00D82D44"/>
    <w:rsid w:val="00D82E07"/>
    <w:rsid w:val="00D83A3F"/>
    <w:rsid w:val="00D83DB9"/>
    <w:rsid w:val="00D843F2"/>
    <w:rsid w:val="00D84548"/>
    <w:rsid w:val="00D848F4"/>
    <w:rsid w:val="00D84999"/>
    <w:rsid w:val="00D849E5"/>
    <w:rsid w:val="00D857D2"/>
    <w:rsid w:val="00D85C69"/>
    <w:rsid w:val="00D86231"/>
    <w:rsid w:val="00D86B32"/>
    <w:rsid w:val="00D87470"/>
    <w:rsid w:val="00D87BF1"/>
    <w:rsid w:val="00D912AB"/>
    <w:rsid w:val="00D9138A"/>
    <w:rsid w:val="00D9181E"/>
    <w:rsid w:val="00D91923"/>
    <w:rsid w:val="00D92B28"/>
    <w:rsid w:val="00D92C47"/>
    <w:rsid w:val="00D93753"/>
    <w:rsid w:val="00D94158"/>
    <w:rsid w:val="00D94B62"/>
    <w:rsid w:val="00D9593A"/>
    <w:rsid w:val="00D968D3"/>
    <w:rsid w:val="00D96C81"/>
    <w:rsid w:val="00D971F9"/>
    <w:rsid w:val="00D978D0"/>
    <w:rsid w:val="00D9797B"/>
    <w:rsid w:val="00D97C85"/>
    <w:rsid w:val="00DA0AF9"/>
    <w:rsid w:val="00DA0D5A"/>
    <w:rsid w:val="00DA1B52"/>
    <w:rsid w:val="00DA1D22"/>
    <w:rsid w:val="00DA1FE4"/>
    <w:rsid w:val="00DA21D8"/>
    <w:rsid w:val="00DA2544"/>
    <w:rsid w:val="00DA261B"/>
    <w:rsid w:val="00DA2A37"/>
    <w:rsid w:val="00DA3167"/>
    <w:rsid w:val="00DA3293"/>
    <w:rsid w:val="00DA35F6"/>
    <w:rsid w:val="00DA427E"/>
    <w:rsid w:val="00DA491A"/>
    <w:rsid w:val="00DA4CEA"/>
    <w:rsid w:val="00DA4DC3"/>
    <w:rsid w:val="00DA59DC"/>
    <w:rsid w:val="00DA5A79"/>
    <w:rsid w:val="00DA5BC0"/>
    <w:rsid w:val="00DA62DE"/>
    <w:rsid w:val="00DA6C20"/>
    <w:rsid w:val="00DA77A5"/>
    <w:rsid w:val="00DA793E"/>
    <w:rsid w:val="00DA7C0F"/>
    <w:rsid w:val="00DA7D35"/>
    <w:rsid w:val="00DB0020"/>
    <w:rsid w:val="00DB09D8"/>
    <w:rsid w:val="00DB0B32"/>
    <w:rsid w:val="00DB0E36"/>
    <w:rsid w:val="00DB124A"/>
    <w:rsid w:val="00DB1277"/>
    <w:rsid w:val="00DB15ED"/>
    <w:rsid w:val="00DB24DB"/>
    <w:rsid w:val="00DB2A6B"/>
    <w:rsid w:val="00DB2D4C"/>
    <w:rsid w:val="00DB3160"/>
    <w:rsid w:val="00DB31B1"/>
    <w:rsid w:val="00DB3DBF"/>
    <w:rsid w:val="00DB3DED"/>
    <w:rsid w:val="00DB484F"/>
    <w:rsid w:val="00DB61BC"/>
    <w:rsid w:val="00DB671C"/>
    <w:rsid w:val="00DB6829"/>
    <w:rsid w:val="00DB6AA6"/>
    <w:rsid w:val="00DB7099"/>
    <w:rsid w:val="00DB7335"/>
    <w:rsid w:val="00DB73B3"/>
    <w:rsid w:val="00DB7C96"/>
    <w:rsid w:val="00DB7DF7"/>
    <w:rsid w:val="00DC0305"/>
    <w:rsid w:val="00DC04F6"/>
    <w:rsid w:val="00DC0690"/>
    <w:rsid w:val="00DC1D53"/>
    <w:rsid w:val="00DC1D65"/>
    <w:rsid w:val="00DC22FC"/>
    <w:rsid w:val="00DC2C44"/>
    <w:rsid w:val="00DC3C05"/>
    <w:rsid w:val="00DC3C57"/>
    <w:rsid w:val="00DC3E52"/>
    <w:rsid w:val="00DC439D"/>
    <w:rsid w:val="00DC4F93"/>
    <w:rsid w:val="00DC50A7"/>
    <w:rsid w:val="00DC530C"/>
    <w:rsid w:val="00DC5501"/>
    <w:rsid w:val="00DC5770"/>
    <w:rsid w:val="00DC5D7C"/>
    <w:rsid w:val="00DC5DE4"/>
    <w:rsid w:val="00DC62DB"/>
    <w:rsid w:val="00DC6AC0"/>
    <w:rsid w:val="00DC6F63"/>
    <w:rsid w:val="00DC7154"/>
    <w:rsid w:val="00DC7187"/>
    <w:rsid w:val="00DC7689"/>
    <w:rsid w:val="00DC7A52"/>
    <w:rsid w:val="00DC7CB3"/>
    <w:rsid w:val="00DC7E8A"/>
    <w:rsid w:val="00DD0E1A"/>
    <w:rsid w:val="00DD0F78"/>
    <w:rsid w:val="00DD12DA"/>
    <w:rsid w:val="00DD1435"/>
    <w:rsid w:val="00DD15DF"/>
    <w:rsid w:val="00DD1BF3"/>
    <w:rsid w:val="00DD273C"/>
    <w:rsid w:val="00DD2C2A"/>
    <w:rsid w:val="00DD2DA9"/>
    <w:rsid w:val="00DD3217"/>
    <w:rsid w:val="00DD3F28"/>
    <w:rsid w:val="00DD4446"/>
    <w:rsid w:val="00DD4537"/>
    <w:rsid w:val="00DD4D90"/>
    <w:rsid w:val="00DD4DE1"/>
    <w:rsid w:val="00DD4E15"/>
    <w:rsid w:val="00DD4F34"/>
    <w:rsid w:val="00DD5247"/>
    <w:rsid w:val="00DD5520"/>
    <w:rsid w:val="00DD6E27"/>
    <w:rsid w:val="00DD75E6"/>
    <w:rsid w:val="00DD7C32"/>
    <w:rsid w:val="00DD7CFC"/>
    <w:rsid w:val="00DD7D8C"/>
    <w:rsid w:val="00DE1149"/>
    <w:rsid w:val="00DE138A"/>
    <w:rsid w:val="00DE1B4F"/>
    <w:rsid w:val="00DE2304"/>
    <w:rsid w:val="00DE295C"/>
    <w:rsid w:val="00DE2B95"/>
    <w:rsid w:val="00DE2C6B"/>
    <w:rsid w:val="00DE2E84"/>
    <w:rsid w:val="00DE3138"/>
    <w:rsid w:val="00DE37F8"/>
    <w:rsid w:val="00DE3C45"/>
    <w:rsid w:val="00DE400E"/>
    <w:rsid w:val="00DE41FA"/>
    <w:rsid w:val="00DE4273"/>
    <w:rsid w:val="00DE4FCB"/>
    <w:rsid w:val="00DE5D07"/>
    <w:rsid w:val="00DE631A"/>
    <w:rsid w:val="00DE6345"/>
    <w:rsid w:val="00DE6A4E"/>
    <w:rsid w:val="00DE72A7"/>
    <w:rsid w:val="00DE77A4"/>
    <w:rsid w:val="00DE7832"/>
    <w:rsid w:val="00DF00B3"/>
    <w:rsid w:val="00DF0F97"/>
    <w:rsid w:val="00DF18FC"/>
    <w:rsid w:val="00DF2669"/>
    <w:rsid w:val="00DF28D4"/>
    <w:rsid w:val="00DF3424"/>
    <w:rsid w:val="00DF3CC8"/>
    <w:rsid w:val="00DF3D64"/>
    <w:rsid w:val="00DF453A"/>
    <w:rsid w:val="00DF512C"/>
    <w:rsid w:val="00DF54EE"/>
    <w:rsid w:val="00DF569D"/>
    <w:rsid w:val="00DF5D2B"/>
    <w:rsid w:val="00DF6276"/>
    <w:rsid w:val="00DF6341"/>
    <w:rsid w:val="00DF6754"/>
    <w:rsid w:val="00DF677C"/>
    <w:rsid w:val="00DF6981"/>
    <w:rsid w:val="00DF6A36"/>
    <w:rsid w:val="00DF6A3A"/>
    <w:rsid w:val="00DF6B78"/>
    <w:rsid w:val="00DF6C12"/>
    <w:rsid w:val="00DF6F1F"/>
    <w:rsid w:val="00DF734E"/>
    <w:rsid w:val="00DF771F"/>
    <w:rsid w:val="00DF7CF4"/>
    <w:rsid w:val="00DF7E94"/>
    <w:rsid w:val="00E007EF"/>
    <w:rsid w:val="00E00E8E"/>
    <w:rsid w:val="00E01BFF"/>
    <w:rsid w:val="00E01C5D"/>
    <w:rsid w:val="00E02ECD"/>
    <w:rsid w:val="00E03163"/>
    <w:rsid w:val="00E031EF"/>
    <w:rsid w:val="00E038CE"/>
    <w:rsid w:val="00E03966"/>
    <w:rsid w:val="00E0544E"/>
    <w:rsid w:val="00E05630"/>
    <w:rsid w:val="00E06408"/>
    <w:rsid w:val="00E065D7"/>
    <w:rsid w:val="00E06DBB"/>
    <w:rsid w:val="00E0744D"/>
    <w:rsid w:val="00E07AC4"/>
    <w:rsid w:val="00E1003A"/>
    <w:rsid w:val="00E10149"/>
    <w:rsid w:val="00E1040B"/>
    <w:rsid w:val="00E108D0"/>
    <w:rsid w:val="00E10C7B"/>
    <w:rsid w:val="00E11340"/>
    <w:rsid w:val="00E116CA"/>
    <w:rsid w:val="00E122A1"/>
    <w:rsid w:val="00E129B7"/>
    <w:rsid w:val="00E13626"/>
    <w:rsid w:val="00E141E8"/>
    <w:rsid w:val="00E14350"/>
    <w:rsid w:val="00E14361"/>
    <w:rsid w:val="00E14649"/>
    <w:rsid w:val="00E14B35"/>
    <w:rsid w:val="00E1509F"/>
    <w:rsid w:val="00E15254"/>
    <w:rsid w:val="00E1534C"/>
    <w:rsid w:val="00E15A70"/>
    <w:rsid w:val="00E15C9E"/>
    <w:rsid w:val="00E16372"/>
    <w:rsid w:val="00E16AD8"/>
    <w:rsid w:val="00E16E96"/>
    <w:rsid w:val="00E178FC"/>
    <w:rsid w:val="00E17AB2"/>
    <w:rsid w:val="00E17D86"/>
    <w:rsid w:val="00E17DB9"/>
    <w:rsid w:val="00E17FFA"/>
    <w:rsid w:val="00E20085"/>
    <w:rsid w:val="00E20D55"/>
    <w:rsid w:val="00E20E4D"/>
    <w:rsid w:val="00E20ED6"/>
    <w:rsid w:val="00E21156"/>
    <w:rsid w:val="00E21358"/>
    <w:rsid w:val="00E2239F"/>
    <w:rsid w:val="00E2249B"/>
    <w:rsid w:val="00E22502"/>
    <w:rsid w:val="00E22793"/>
    <w:rsid w:val="00E22A0D"/>
    <w:rsid w:val="00E22BB6"/>
    <w:rsid w:val="00E230CA"/>
    <w:rsid w:val="00E238AF"/>
    <w:rsid w:val="00E2399D"/>
    <w:rsid w:val="00E23EDE"/>
    <w:rsid w:val="00E244F6"/>
    <w:rsid w:val="00E24528"/>
    <w:rsid w:val="00E258DB"/>
    <w:rsid w:val="00E26F86"/>
    <w:rsid w:val="00E27057"/>
    <w:rsid w:val="00E27078"/>
    <w:rsid w:val="00E27484"/>
    <w:rsid w:val="00E2771E"/>
    <w:rsid w:val="00E30024"/>
    <w:rsid w:val="00E3063E"/>
    <w:rsid w:val="00E30A0A"/>
    <w:rsid w:val="00E30C7C"/>
    <w:rsid w:val="00E31033"/>
    <w:rsid w:val="00E311EF"/>
    <w:rsid w:val="00E3156B"/>
    <w:rsid w:val="00E31B65"/>
    <w:rsid w:val="00E31DFF"/>
    <w:rsid w:val="00E32180"/>
    <w:rsid w:val="00E322C1"/>
    <w:rsid w:val="00E32DEE"/>
    <w:rsid w:val="00E32E9D"/>
    <w:rsid w:val="00E32F16"/>
    <w:rsid w:val="00E330D3"/>
    <w:rsid w:val="00E34948"/>
    <w:rsid w:val="00E355E8"/>
    <w:rsid w:val="00E35E6B"/>
    <w:rsid w:val="00E362A0"/>
    <w:rsid w:val="00E36833"/>
    <w:rsid w:val="00E369DD"/>
    <w:rsid w:val="00E36B21"/>
    <w:rsid w:val="00E371DE"/>
    <w:rsid w:val="00E37569"/>
    <w:rsid w:val="00E37870"/>
    <w:rsid w:val="00E40034"/>
    <w:rsid w:val="00E401B2"/>
    <w:rsid w:val="00E407A2"/>
    <w:rsid w:val="00E40E35"/>
    <w:rsid w:val="00E4116D"/>
    <w:rsid w:val="00E41278"/>
    <w:rsid w:val="00E41332"/>
    <w:rsid w:val="00E41E30"/>
    <w:rsid w:val="00E420E5"/>
    <w:rsid w:val="00E42E96"/>
    <w:rsid w:val="00E42F73"/>
    <w:rsid w:val="00E43515"/>
    <w:rsid w:val="00E43D70"/>
    <w:rsid w:val="00E454C5"/>
    <w:rsid w:val="00E45799"/>
    <w:rsid w:val="00E45944"/>
    <w:rsid w:val="00E460AB"/>
    <w:rsid w:val="00E4613D"/>
    <w:rsid w:val="00E466F3"/>
    <w:rsid w:val="00E468DB"/>
    <w:rsid w:val="00E477FF"/>
    <w:rsid w:val="00E47B2C"/>
    <w:rsid w:val="00E47EA4"/>
    <w:rsid w:val="00E50097"/>
    <w:rsid w:val="00E500C2"/>
    <w:rsid w:val="00E50437"/>
    <w:rsid w:val="00E5045F"/>
    <w:rsid w:val="00E51560"/>
    <w:rsid w:val="00E515B5"/>
    <w:rsid w:val="00E516C0"/>
    <w:rsid w:val="00E51821"/>
    <w:rsid w:val="00E525BA"/>
    <w:rsid w:val="00E52B1D"/>
    <w:rsid w:val="00E53FC8"/>
    <w:rsid w:val="00E54113"/>
    <w:rsid w:val="00E54170"/>
    <w:rsid w:val="00E541FE"/>
    <w:rsid w:val="00E54347"/>
    <w:rsid w:val="00E54D60"/>
    <w:rsid w:val="00E551A9"/>
    <w:rsid w:val="00E553CF"/>
    <w:rsid w:val="00E55424"/>
    <w:rsid w:val="00E55915"/>
    <w:rsid w:val="00E55BB5"/>
    <w:rsid w:val="00E55CFB"/>
    <w:rsid w:val="00E56542"/>
    <w:rsid w:val="00E5727B"/>
    <w:rsid w:val="00E576AB"/>
    <w:rsid w:val="00E57902"/>
    <w:rsid w:val="00E57AF7"/>
    <w:rsid w:val="00E60016"/>
    <w:rsid w:val="00E60648"/>
    <w:rsid w:val="00E607E2"/>
    <w:rsid w:val="00E60829"/>
    <w:rsid w:val="00E60C77"/>
    <w:rsid w:val="00E6100B"/>
    <w:rsid w:val="00E611DF"/>
    <w:rsid w:val="00E61350"/>
    <w:rsid w:val="00E616C1"/>
    <w:rsid w:val="00E61B16"/>
    <w:rsid w:val="00E6202F"/>
    <w:rsid w:val="00E62262"/>
    <w:rsid w:val="00E624A3"/>
    <w:rsid w:val="00E62BA4"/>
    <w:rsid w:val="00E6363C"/>
    <w:rsid w:val="00E641E6"/>
    <w:rsid w:val="00E64E1C"/>
    <w:rsid w:val="00E657C4"/>
    <w:rsid w:val="00E6598E"/>
    <w:rsid w:val="00E65E79"/>
    <w:rsid w:val="00E667AD"/>
    <w:rsid w:val="00E66BA2"/>
    <w:rsid w:val="00E66E5B"/>
    <w:rsid w:val="00E66E94"/>
    <w:rsid w:val="00E67416"/>
    <w:rsid w:val="00E6795C"/>
    <w:rsid w:val="00E67CCA"/>
    <w:rsid w:val="00E67F31"/>
    <w:rsid w:val="00E70488"/>
    <w:rsid w:val="00E7062D"/>
    <w:rsid w:val="00E70E85"/>
    <w:rsid w:val="00E711B0"/>
    <w:rsid w:val="00E715DE"/>
    <w:rsid w:val="00E71855"/>
    <w:rsid w:val="00E718B6"/>
    <w:rsid w:val="00E723BA"/>
    <w:rsid w:val="00E723E5"/>
    <w:rsid w:val="00E728FE"/>
    <w:rsid w:val="00E72B1B"/>
    <w:rsid w:val="00E72BEB"/>
    <w:rsid w:val="00E72F82"/>
    <w:rsid w:val="00E73004"/>
    <w:rsid w:val="00E73152"/>
    <w:rsid w:val="00E73581"/>
    <w:rsid w:val="00E7438A"/>
    <w:rsid w:val="00E74743"/>
    <w:rsid w:val="00E74E68"/>
    <w:rsid w:val="00E74E70"/>
    <w:rsid w:val="00E7523D"/>
    <w:rsid w:val="00E76004"/>
    <w:rsid w:val="00E771B4"/>
    <w:rsid w:val="00E773C5"/>
    <w:rsid w:val="00E779D0"/>
    <w:rsid w:val="00E77B8F"/>
    <w:rsid w:val="00E77E95"/>
    <w:rsid w:val="00E8048D"/>
    <w:rsid w:val="00E81759"/>
    <w:rsid w:val="00E81D87"/>
    <w:rsid w:val="00E81E97"/>
    <w:rsid w:val="00E833F7"/>
    <w:rsid w:val="00E83BDF"/>
    <w:rsid w:val="00E8433B"/>
    <w:rsid w:val="00E84E83"/>
    <w:rsid w:val="00E85213"/>
    <w:rsid w:val="00E86139"/>
    <w:rsid w:val="00E8625D"/>
    <w:rsid w:val="00E865DB"/>
    <w:rsid w:val="00E868BF"/>
    <w:rsid w:val="00E86A09"/>
    <w:rsid w:val="00E86FCC"/>
    <w:rsid w:val="00E87457"/>
    <w:rsid w:val="00E87A1D"/>
    <w:rsid w:val="00E9094A"/>
    <w:rsid w:val="00E90B74"/>
    <w:rsid w:val="00E90D09"/>
    <w:rsid w:val="00E91671"/>
    <w:rsid w:val="00E91D35"/>
    <w:rsid w:val="00E926A5"/>
    <w:rsid w:val="00E9270A"/>
    <w:rsid w:val="00E92999"/>
    <w:rsid w:val="00E92B5D"/>
    <w:rsid w:val="00E932E7"/>
    <w:rsid w:val="00E95287"/>
    <w:rsid w:val="00E962CC"/>
    <w:rsid w:val="00E9635B"/>
    <w:rsid w:val="00E963D0"/>
    <w:rsid w:val="00E970CD"/>
    <w:rsid w:val="00E974A5"/>
    <w:rsid w:val="00EA0341"/>
    <w:rsid w:val="00EA17C3"/>
    <w:rsid w:val="00EA1894"/>
    <w:rsid w:val="00EA1C7C"/>
    <w:rsid w:val="00EA1CF3"/>
    <w:rsid w:val="00EA24BA"/>
    <w:rsid w:val="00EA2734"/>
    <w:rsid w:val="00EA2CAA"/>
    <w:rsid w:val="00EA3864"/>
    <w:rsid w:val="00EA40FD"/>
    <w:rsid w:val="00EA565F"/>
    <w:rsid w:val="00EA5F27"/>
    <w:rsid w:val="00EA5F40"/>
    <w:rsid w:val="00EA6300"/>
    <w:rsid w:val="00EA64D5"/>
    <w:rsid w:val="00EA7054"/>
    <w:rsid w:val="00EA7960"/>
    <w:rsid w:val="00EA7C5E"/>
    <w:rsid w:val="00EA7CEB"/>
    <w:rsid w:val="00EA7DF8"/>
    <w:rsid w:val="00EA7F1C"/>
    <w:rsid w:val="00EB056B"/>
    <w:rsid w:val="00EB0828"/>
    <w:rsid w:val="00EB1244"/>
    <w:rsid w:val="00EB125B"/>
    <w:rsid w:val="00EB15B6"/>
    <w:rsid w:val="00EB185E"/>
    <w:rsid w:val="00EB1E25"/>
    <w:rsid w:val="00EB22EB"/>
    <w:rsid w:val="00EB2362"/>
    <w:rsid w:val="00EB2563"/>
    <w:rsid w:val="00EB3023"/>
    <w:rsid w:val="00EB3711"/>
    <w:rsid w:val="00EB3C4C"/>
    <w:rsid w:val="00EB3D06"/>
    <w:rsid w:val="00EB4387"/>
    <w:rsid w:val="00EB4916"/>
    <w:rsid w:val="00EB4A92"/>
    <w:rsid w:val="00EB4DAA"/>
    <w:rsid w:val="00EB5628"/>
    <w:rsid w:val="00EB586A"/>
    <w:rsid w:val="00EB59D0"/>
    <w:rsid w:val="00EC00C9"/>
    <w:rsid w:val="00EC0A68"/>
    <w:rsid w:val="00EC0DD9"/>
    <w:rsid w:val="00EC12DB"/>
    <w:rsid w:val="00EC1511"/>
    <w:rsid w:val="00EC1D50"/>
    <w:rsid w:val="00EC2649"/>
    <w:rsid w:val="00EC2A5E"/>
    <w:rsid w:val="00EC31ED"/>
    <w:rsid w:val="00EC3350"/>
    <w:rsid w:val="00EC342F"/>
    <w:rsid w:val="00EC37B6"/>
    <w:rsid w:val="00EC3852"/>
    <w:rsid w:val="00EC4240"/>
    <w:rsid w:val="00EC5836"/>
    <w:rsid w:val="00EC60A1"/>
    <w:rsid w:val="00EC656E"/>
    <w:rsid w:val="00EC688C"/>
    <w:rsid w:val="00EC742F"/>
    <w:rsid w:val="00EC7E98"/>
    <w:rsid w:val="00EC7FEF"/>
    <w:rsid w:val="00ED008E"/>
    <w:rsid w:val="00ED019E"/>
    <w:rsid w:val="00ED0541"/>
    <w:rsid w:val="00ED06FF"/>
    <w:rsid w:val="00ED12A5"/>
    <w:rsid w:val="00ED12E3"/>
    <w:rsid w:val="00ED1685"/>
    <w:rsid w:val="00ED168F"/>
    <w:rsid w:val="00ED16DE"/>
    <w:rsid w:val="00ED1EE0"/>
    <w:rsid w:val="00ED28FA"/>
    <w:rsid w:val="00ED3218"/>
    <w:rsid w:val="00ED34BE"/>
    <w:rsid w:val="00ED35F0"/>
    <w:rsid w:val="00ED3900"/>
    <w:rsid w:val="00ED3B39"/>
    <w:rsid w:val="00ED4856"/>
    <w:rsid w:val="00ED48F4"/>
    <w:rsid w:val="00ED4B04"/>
    <w:rsid w:val="00ED4EFB"/>
    <w:rsid w:val="00ED5144"/>
    <w:rsid w:val="00ED52D9"/>
    <w:rsid w:val="00ED57EA"/>
    <w:rsid w:val="00ED580D"/>
    <w:rsid w:val="00ED5BD4"/>
    <w:rsid w:val="00ED5F97"/>
    <w:rsid w:val="00ED69C1"/>
    <w:rsid w:val="00ED71D4"/>
    <w:rsid w:val="00ED79E1"/>
    <w:rsid w:val="00ED7EEC"/>
    <w:rsid w:val="00EE07D3"/>
    <w:rsid w:val="00EE1510"/>
    <w:rsid w:val="00EE192C"/>
    <w:rsid w:val="00EE1996"/>
    <w:rsid w:val="00EE1C01"/>
    <w:rsid w:val="00EE22AF"/>
    <w:rsid w:val="00EE22C3"/>
    <w:rsid w:val="00EE2371"/>
    <w:rsid w:val="00EE251C"/>
    <w:rsid w:val="00EE261E"/>
    <w:rsid w:val="00EE26AC"/>
    <w:rsid w:val="00EE2D0E"/>
    <w:rsid w:val="00EE39DF"/>
    <w:rsid w:val="00EE5237"/>
    <w:rsid w:val="00EE5DC3"/>
    <w:rsid w:val="00EE5FD1"/>
    <w:rsid w:val="00EE715D"/>
    <w:rsid w:val="00EE7B1C"/>
    <w:rsid w:val="00EF0171"/>
    <w:rsid w:val="00EF0A23"/>
    <w:rsid w:val="00EF1A60"/>
    <w:rsid w:val="00EF1B25"/>
    <w:rsid w:val="00EF1C2F"/>
    <w:rsid w:val="00EF1DA0"/>
    <w:rsid w:val="00EF35CC"/>
    <w:rsid w:val="00EF366A"/>
    <w:rsid w:val="00EF3CB9"/>
    <w:rsid w:val="00EF3F9C"/>
    <w:rsid w:val="00EF42FC"/>
    <w:rsid w:val="00EF4747"/>
    <w:rsid w:val="00EF482D"/>
    <w:rsid w:val="00EF4A10"/>
    <w:rsid w:val="00EF4BF8"/>
    <w:rsid w:val="00EF564E"/>
    <w:rsid w:val="00EF6054"/>
    <w:rsid w:val="00EF664B"/>
    <w:rsid w:val="00EF76A9"/>
    <w:rsid w:val="00EF78E5"/>
    <w:rsid w:val="00EF7ED8"/>
    <w:rsid w:val="00EF7F4C"/>
    <w:rsid w:val="00F00BEC"/>
    <w:rsid w:val="00F01B81"/>
    <w:rsid w:val="00F020EF"/>
    <w:rsid w:val="00F02253"/>
    <w:rsid w:val="00F027EA"/>
    <w:rsid w:val="00F02B95"/>
    <w:rsid w:val="00F03510"/>
    <w:rsid w:val="00F0353F"/>
    <w:rsid w:val="00F0369F"/>
    <w:rsid w:val="00F03C2E"/>
    <w:rsid w:val="00F04750"/>
    <w:rsid w:val="00F048A4"/>
    <w:rsid w:val="00F04A66"/>
    <w:rsid w:val="00F04B4B"/>
    <w:rsid w:val="00F04C61"/>
    <w:rsid w:val="00F0516C"/>
    <w:rsid w:val="00F05D34"/>
    <w:rsid w:val="00F05DEA"/>
    <w:rsid w:val="00F06369"/>
    <w:rsid w:val="00F063C7"/>
    <w:rsid w:val="00F067A2"/>
    <w:rsid w:val="00F068A6"/>
    <w:rsid w:val="00F06CEA"/>
    <w:rsid w:val="00F07764"/>
    <w:rsid w:val="00F07B9E"/>
    <w:rsid w:val="00F10C92"/>
    <w:rsid w:val="00F1116F"/>
    <w:rsid w:val="00F11318"/>
    <w:rsid w:val="00F1173F"/>
    <w:rsid w:val="00F123AE"/>
    <w:rsid w:val="00F1263A"/>
    <w:rsid w:val="00F129C7"/>
    <w:rsid w:val="00F12AC3"/>
    <w:rsid w:val="00F131A0"/>
    <w:rsid w:val="00F139C5"/>
    <w:rsid w:val="00F13C06"/>
    <w:rsid w:val="00F13D49"/>
    <w:rsid w:val="00F14FF3"/>
    <w:rsid w:val="00F15A71"/>
    <w:rsid w:val="00F15B11"/>
    <w:rsid w:val="00F15B77"/>
    <w:rsid w:val="00F15D98"/>
    <w:rsid w:val="00F15E64"/>
    <w:rsid w:val="00F16B30"/>
    <w:rsid w:val="00F17D69"/>
    <w:rsid w:val="00F20081"/>
    <w:rsid w:val="00F20697"/>
    <w:rsid w:val="00F21236"/>
    <w:rsid w:val="00F21405"/>
    <w:rsid w:val="00F21678"/>
    <w:rsid w:val="00F2211C"/>
    <w:rsid w:val="00F2265E"/>
    <w:rsid w:val="00F22990"/>
    <w:rsid w:val="00F239DF"/>
    <w:rsid w:val="00F245C6"/>
    <w:rsid w:val="00F24837"/>
    <w:rsid w:val="00F2575F"/>
    <w:rsid w:val="00F26648"/>
    <w:rsid w:val="00F27565"/>
    <w:rsid w:val="00F27ED6"/>
    <w:rsid w:val="00F306CE"/>
    <w:rsid w:val="00F310D4"/>
    <w:rsid w:val="00F31640"/>
    <w:rsid w:val="00F316E2"/>
    <w:rsid w:val="00F31AC9"/>
    <w:rsid w:val="00F31D5A"/>
    <w:rsid w:val="00F32114"/>
    <w:rsid w:val="00F32428"/>
    <w:rsid w:val="00F3294C"/>
    <w:rsid w:val="00F3331E"/>
    <w:rsid w:val="00F333C9"/>
    <w:rsid w:val="00F33975"/>
    <w:rsid w:val="00F33A2E"/>
    <w:rsid w:val="00F33DE9"/>
    <w:rsid w:val="00F34910"/>
    <w:rsid w:val="00F35055"/>
    <w:rsid w:val="00F35E6D"/>
    <w:rsid w:val="00F3609E"/>
    <w:rsid w:val="00F3619A"/>
    <w:rsid w:val="00F3620D"/>
    <w:rsid w:val="00F37852"/>
    <w:rsid w:val="00F37949"/>
    <w:rsid w:val="00F40041"/>
    <w:rsid w:val="00F40AAA"/>
    <w:rsid w:val="00F40BA7"/>
    <w:rsid w:val="00F40F9D"/>
    <w:rsid w:val="00F413BB"/>
    <w:rsid w:val="00F41ACD"/>
    <w:rsid w:val="00F42639"/>
    <w:rsid w:val="00F43435"/>
    <w:rsid w:val="00F437AF"/>
    <w:rsid w:val="00F43ABB"/>
    <w:rsid w:val="00F442ED"/>
    <w:rsid w:val="00F45131"/>
    <w:rsid w:val="00F45162"/>
    <w:rsid w:val="00F458F4"/>
    <w:rsid w:val="00F46288"/>
    <w:rsid w:val="00F4638B"/>
    <w:rsid w:val="00F46A31"/>
    <w:rsid w:val="00F46AC6"/>
    <w:rsid w:val="00F46CB6"/>
    <w:rsid w:val="00F4756D"/>
    <w:rsid w:val="00F47DE8"/>
    <w:rsid w:val="00F5074A"/>
    <w:rsid w:val="00F509B3"/>
    <w:rsid w:val="00F51608"/>
    <w:rsid w:val="00F523F8"/>
    <w:rsid w:val="00F52C09"/>
    <w:rsid w:val="00F52C1C"/>
    <w:rsid w:val="00F52CC7"/>
    <w:rsid w:val="00F52CEF"/>
    <w:rsid w:val="00F5343F"/>
    <w:rsid w:val="00F53465"/>
    <w:rsid w:val="00F53868"/>
    <w:rsid w:val="00F542C1"/>
    <w:rsid w:val="00F54389"/>
    <w:rsid w:val="00F54AB7"/>
    <w:rsid w:val="00F550E3"/>
    <w:rsid w:val="00F55C86"/>
    <w:rsid w:val="00F55C88"/>
    <w:rsid w:val="00F55E73"/>
    <w:rsid w:val="00F55EDA"/>
    <w:rsid w:val="00F5617A"/>
    <w:rsid w:val="00F5647B"/>
    <w:rsid w:val="00F56AA1"/>
    <w:rsid w:val="00F56C80"/>
    <w:rsid w:val="00F576BF"/>
    <w:rsid w:val="00F60092"/>
    <w:rsid w:val="00F60588"/>
    <w:rsid w:val="00F60990"/>
    <w:rsid w:val="00F60BFB"/>
    <w:rsid w:val="00F61145"/>
    <w:rsid w:val="00F61AAA"/>
    <w:rsid w:val="00F61B33"/>
    <w:rsid w:val="00F61C18"/>
    <w:rsid w:val="00F6203F"/>
    <w:rsid w:val="00F6219B"/>
    <w:rsid w:val="00F62508"/>
    <w:rsid w:val="00F626DD"/>
    <w:rsid w:val="00F637F2"/>
    <w:rsid w:val="00F63D3E"/>
    <w:rsid w:val="00F641E1"/>
    <w:rsid w:val="00F64564"/>
    <w:rsid w:val="00F64A2D"/>
    <w:rsid w:val="00F64B09"/>
    <w:rsid w:val="00F64E23"/>
    <w:rsid w:val="00F65E24"/>
    <w:rsid w:val="00F65E9D"/>
    <w:rsid w:val="00F65F4B"/>
    <w:rsid w:val="00F66078"/>
    <w:rsid w:val="00F66FDE"/>
    <w:rsid w:val="00F67038"/>
    <w:rsid w:val="00F67376"/>
    <w:rsid w:val="00F675C0"/>
    <w:rsid w:val="00F67A69"/>
    <w:rsid w:val="00F67D13"/>
    <w:rsid w:val="00F67DC1"/>
    <w:rsid w:val="00F67DDB"/>
    <w:rsid w:val="00F67E87"/>
    <w:rsid w:val="00F67FBC"/>
    <w:rsid w:val="00F70319"/>
    <w:rsid w:val="00F70859"/>
    <w:rsid w:val="00F70BFF"/>
    <w:rsid w:val="00F70C9D"/>
    <w:rsid w:val="00F7152F"/>
    <w:rsid w:val="00F71648"/>
    <w:rsid w:val="00F720DF"/>
    <w:rsid w:val="00F72173"/>
    <w:rsid w:val="00F72D42"/>
    <w:rsid w:val="00F73BE9"/>
    <w:rsid w:val="00F73CC3"/>
    <w:rsid w:val="00F73E08"/>
    <w:rsid w:val="00F74502"/>
    <w:rsid w:val="00F748D0"/>
    <w:rsid w:val="00F74CD9"/>
    <w:rsid w:val="00F75120"/>
    <w:rsid w:val="00F75266"/>
    <w:rsid w:val="00F75E61"/>
    <w:rsid w:val="00F76A47"/>
    <w:rsid w:val="00F771B6"/>
    <w:rsid w:val="00F774E9"/>
    <w:rsid w:val="00F77831"/>
    <w:rsid w:val="00F77D3F"/>
    <w:rsid w:val="00F804EE"/>
    <w:rsid w:val="00F80A7B"/>
    <w:rsid w:val="00F80E5D"/>
    <w:rsid w:val="00F80FE8"/>
    <w:rsid w:val="00F81429"/>
    <w:rsid w:val="00F817EF"/>
    <w:rsid w:val="00F81992"/>
    <w:rsid w:val="00F81E78"/>
    <w:rsid w:val="00F83916"/>
    <w:rsid w:val="00F83D63"/>
    <w:rsid w:val="00F83D73"/>
    <w:rsid w:val="00F851CE"/>
    <w:rsid w:val="00F8600E"/>
    <w:rsid w:val="00F865C4"/>
    <w:rsid w:val="00F873F7"/>
    <w:rsid w:val="00F876D2"/>
    <w:rsid w:val="00F876EE"/>
    <w:rsid w:val="00F901DD"/>
    <w:rsid w:val="00F9027B"/>
    <w:rsid w:val="00F90C14"/>
    <w:rsid w:val="00F911F7"/>
    <w:rsid w:val="00F91219"/>
    <w:rsid w:val="00F917C2"/>
    <w:rsid w:val="00F9233C"/>
    <w:rsid w:val="00F92444"/>
    <w:rsid w:val="00F92E31"/>
    <w:rsid w:val="00F930CF"/>
    <w:rsid w:val="00F9393E"/>
    <w:rsid w:val="00F93961"/>
    <w:rsid w:val="00F94469"/>
    <w:rsid w:val="00F944D6"/>
    <w:rsid w:val="00F9588F"/>
    <w:rsid w:val="00F9597D"/>
    <w:rsid w:val="00F95C88"/>
    <w:rsid w:val="00F96FD0"/>
    <w:rsid w:val="00F972B3"/>
    <w:rsid w:val="00F97342"/>
    <w:rsid w:val="00F974E0"/>
    <w:rsid w:val="00F97A78"/>
    <w:rsid w:val="00FA009D"/>
    <w:rsid w:val="00FA0B20"/>
    <w:rsid w:val="00FA112B"/>
    <w:rsid w:val="00FA1511"/>
    <w:rsid w:val="00FA17F7"/>
    <w:rsid w:val="00FA228D"/>
    <w:rsid w:val="00FA24E7"/>
    <w:rsid w:val="00FA38BA"/>
    <w:rsid w:val="00FA3955"/>
    <w:rsid w:val="00FA4489"/>
    <w:rsid w:val="00FA51F6"/>
    <w:rsid w:val="00FA5414"/>
    <w:rsid w:val="00FA5568"/>
    <w:rsid w:val="00FA5EE6"/>
    <w:rsid w:val="00FA6450"/>
    <w:rsid w:val="00FA6C43"/>
    <w:rsid w:val="00FA72A8"/>
    <w:rsid w:val="00FA792F"/>
    <w:rsid w:val="00FA7956"/>
    <w:rsid w:val="00FA79AE"/>
    <w:rsid w:val="00FB0824"/>
    <w:rsid w:val="00FB09EE"/>
    <w:rsid w:val="00FB0BC3"/>
    <w:rsid w:val="00FB15CA"/>
    <w:rsid w:val="00FB2966"/>
    <w:rsid w:val="00FB2E15"/>
    <w:rsid w:val="00FB2FCB"/>
    <w:rsid w:val="00FB349E"/>
    <w:rsid w:val="00FB4313"/>
    <w:rsid w:val="00FB4432"/>
    <w:rsid w:val="00FB46C5"/>
    <w:rsid w:val="00FB48A1"/>
    <w:rsid w:val="00FB4C9C"/>
    <w:rsid w:val="00FB5167"/>
    <w:rsid w:val="00FB5641"/>
    <w:rsid w:val="00FB5A8C"/>
    <w:rsid w:val="00FB5D1F"/>
    <w:rsid w:val="00FB5DF6"/>
    <w:rsid w:val="00FB7BFF"/>
    <w:rsid w:val="00FB7C55"/>
    <w:rsid w:val="00FC1074"/>
    <w:rsid w:val="00FC10A4"/>
    <w:rsid w:val="00FC1884"/>
    <w:rsid w:val="00FC371D"/>
    <w:rsid w:val="00FC4495"/>
    <w:rsid w:val="00FC5242"/>
    <w:rsid w:val="00FC5307"/>
    <w:rsid w:val="00FC53CE"/>
    <w:rsid w:val="00FC5745"/>
    <w:rsid w:val="00FC5D91"/>
    <w:rsid w:val="00FC5F0B"/>
    <w:rsid w:val="00FC694F"/>
    <w:rsid w:val="00FC6BB6"/>
    <w:rsid w:val="00FC6DF3"/>
    <w:rsid w:val="00FC75B6"/>
    <w:rsid w:val="00FD0C23"/>
    <w:rsid w:val="00FD17EE"/>
    <w:rsid w:val="00FD1BC3"/>
    <w:rsid w:val="00FD1C55"/>
    <w:rsid w:val="00FD2100"/>
    <w:rsid w:val="00FD2847"/>
    <w:rsid w:val="00FD3290"/>
    <w:rsid w:val="00FD4189"/>
    <w:rsid w:val="00FD436C"/>
    <w:rsid w:val="00FD446D"/>
    <w:rsid w:val="00FD4649"/>
    <w:rsid w:val="00FD4A8A"/>
    <w:rsid w:val="00FD4D74"/>
    <w:rsid w:val="00FD4DE5"/>
    <w:rsid w:val="00FD4ED6"/>
    <w:rsid w:val="00FD4F2C"/>
    <w:rsid w:val="00FD62B9"/>
    <w:rsid w:val="00FD6394"/>
    <w:rsid w:val="00FD67CD"/>
    <w:rsid w:val="00FD720A"/>
    <w:rsid w:val="00FD78EB"/>
    <w:rsid w:val="00FD7947"/>
    <w:rsid w:val="00FE00DC"/>
    <w:rsid w:val="00FE0E6C"/>
    <w:rsid w:val="00FE17BD"/>
    <w:rsid w:val="00FE1CDC"/>
    <w:rsid w:val="00FE2A3C"/>
    <w:rsid w:val="00FE2CB2"/>
    <w:rsid w:val="00FE3299"/>
    <w:rsid w:val="00FE33DD"/>
    <w:rsid w:val="00FE341D"/>
    <w:rsid w:val="00FE39ED"/>
    <w:rsid w:val="00FE4E73"/>
    <w:rsid w:val="00FE5CDF"/>
    <w:rsid w:val="00FE5F76"/>
    <w:rsid w:val="00FE6965"/>
    <w:rsid w:val="00FE7043"/>
    <w:rsid w:val="00FE70C3"/>
    <w:rsid w:val="00FE72DD"/>
    <w:rsid w:val="00FE789A"/>
    <w:rsid w:val="00FE78E6"/>
    <w:rsid w:val="00FE7B8F"/>
    <w:rsid w:val="00FE7C2D"/>
    <w:rsid w:val="00FE7DD1"/>
    <w:rsid w:val="00FE7F66"/>
    <w:rsid w:val="00FE7FED"/>
    <w:rsid w:val="00FF018E"/>
    <w:rsid w:val="00FF19C2"/>
    <w:rsid w:val="00FF1A8B"/>
    <w:rsid w:val="00FF21C3"/>
    <w:rsid w:val="00FF2297"/>
    <w:rsid w:val="00FF2564"/>
    <w:rsid w:val="00FF2684"/>
    <w:rsid w:val="00FF284D"/>
    <w:rsid w:val="00FF2AD9"/>
    <w:rsid w:val="00FF2B39"/>
    <w:rsid w:val="00FF307D"/>
    <w:rsid w:val="00FF359F"/>
    <w:rsid w:val="00FF3DCF"/>
    <w:rsid w:val="00FF492C"/>
    <w:rsid w:val="00FF49BB"/>
    <w:rsid w:val="00FF4A21"/>
    <w:rsid w:val="00FF512C"/>
    <w:rsid w:val="00FF5AA3"/>
    <w:rsid w:val="00FF5AD8"/>
    <w:rsid w:val="00FF635D"/>
    <w:rsid w:val="00FF725C"/>
    <w:rsid w:val="00FF7895"/>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4407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iPriority="7"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qFormat="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91C9E"/>
    <w:pPr>
      <w:jc w:val="both"/>
    </w:pPr>
    <w:rPr>
      <w:rFonts w:ascii="Calibri" w:hAnsi="Calibri" w:cs="Arial"/>
      <w:sz w:val="24"/>
      <w:szCs w:val="24"/>
    </w:rPr>
  </w:style>
  <w:style w:type="paragraph" w:styleId="Heading1">
    <w:name w:val="heading 1"/>
    <w:basedOn w:val="Normal"/>
    <w:next w:val="Normal"/>
    <w:uiPriority w:val="1"/>
    <w:qFormat/>
    <w:rsid w:val="001B204E"/>
    <w:pPr>
      <w:ind w:left="720" w:hanging="720"/>
      <w:outlineLvl w:val="0"/>
    </w:pPr>
    <w:rPr>
      <w:b/>
      <w:caps/>
      <w:sz w:val="32"/>
    </w:rPr>
  </w:style>
  <w:style w:type="paragraph" w:styleId="Heading2">
    <w:name w:val="heading 2"/>
    <w:next w:val="Normal"/>
    <w:link w:val="Heading2Char"/>
    <w:qFormat/>
    <w:rsid w:val="00D410E4"/>
    <w:pPr>
      <w:outlineLvl w:val="1"/>
    </w:pPr>
    <w:rPr>
      <w:rFonts w:ascii="Calibri" w:hAnsi="Calibri" w:cs="Arial"/>
      <w:b/>
      <w:i/>
      <w:sz w:val="28"/>
      <w:szCs w:val="24"/>
    </w:rPr>
  </w:style>
  <w:style w:type="paragraph" w:styleId="Heading3">
    <w:name w:val="heading 3"/>
    <w:basedOn w:val="Normal"/>
    <w:next w:val="Normal"/>
    <w:qFormat/>
    <w:rsid w:val="001F7361"/>
    <w:pPr>
      <w:outlineLvl w:val="2"/>
    </w:pPr>
    <w:rPr>
      <w:u w:val="single"/>
    </w:rPr>
  </w:style>
  <w:style w:type="paragraph" w:styleId="Heading4">
    <w:name w:val="heading 4"/>
    <w:basedOn w:val="Normal"/>
    <w:next w:val="Normal"/>
    <w:qFormat/>
    <w:rsid w:val="00124A51"/>
    <w:pPr>
      <w:keepNext/>
      <w:spacing w:before="240" w:after="60"/>
      <w:outlineLvl w:val="3"/>
    </w:pPr>
    <w:rPr>
      <w:b/>
      <w:bCs/>
      <w:i/>
      <w:sz w:val="26"/>
      <w:szCs w:val="28"/>
    </w:rPr>
  </w:style>
  <w:style w:type="paragraph" w:styleId="Heading5">
    <w:name w:val="heading 5"/>
    <w:basedOn w:val="Normal"/>
    <w:next w:val="Normal"/>
    <w:qFormat/>
    <w:rsid w:val="00124A51"/>
    <w:pPr>
      <w:spacing w:before="240" w:after="60"/>
      <w:outlineLvl w:val="4"/>
    </w:pPr>
    <w:rPr>
      <w:b/>
      <w:bCs/>
      <w:iCs/>
      <w:sz w:val="26"/>
      <w:szCs w:val="26"/>
    </w:rPr>
  </w:style>
  <w:style w:type="paragraph" w:styleId="Heading6">
    <w:name w:val="heading 6"/>
    <w:basedOn w:val="Normal"/>
    <w:next w:val="Normal"/>
    <w:qFormat/>
    <w:rsid w:val="00124A51"/>
    <w:pPr>
      <w:spacing w:before="240" w:after="60"/>
      <w:outlineLvl w:val="5"/>
    </w:pPr>
    <w:rPr>
      <w:b/>
      <w:bCs/>
      <w:i/>
    </w:rPr>
  </w:style>
  <w:style w:type="paragraph" w:styleId="Heading7">
    <w:name w:val="heading 7"/>
    <w:basedOn w:val="Normal"/>
    <w:next w:val="Normal"/>
    <w:link w:val="Heading7Char"/>
    <w:qFormat/>
    <w:rsid w:val="00124A51"/>
    <w:pPr>
      <w:keepNext/>
      <w:jc w:val="center"/>
      <w:outlineLvl w:val="6"/>
    </w:pPr>
    <w:rPr>
      <w:b/>
      <w:sz w:val="20"/>
    </w:rPr>
  </w:style>
  <w:style w:type="paragraph" w:styleId="Heading8">
    <w:name w:val="heading 8"/>
    <w:basedOn w:val="Normal"/>
    <w:next w:val="Normal"/>
    <w:link w:val="Heading8Char"/>
    <w:uiPriority w:val="7"/>
    <w:qFormat/>
    <w:rsid w:val="00124A51"/>
    <w:pPr>
      <w:keepNext/>
      <w:jc w:val="right"/>
      <w:outlineLvl w:val="7"/>
    </w:pPr>
    <w:rPr>
      <w:b/>
    </w:rPr>
  </w:style>
  <w:style w:type="paragraph" w:styleId="Heading9">
    <w:name w:val="heading 9"/>
    <w:basedOn w:val="Normal"/>
    <w:next w:val="Normal"/>
    <w:link w:val="Heading9Char"/>
    <w:qFormat/>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D410E4"/>
    <w:rPr>
      <w:rFonts w:ascii="Calibri" w:hAnsi="Calibri" w:cs="Arial"/>
      <w:b/>
      <w:i/>
      <w:sz w:val="28"/>
      <w:szCs w:val="24"/>
    </w:rPr>
  </w:style>
  <w:style w:type="character" w:customStyle="1" w:styleId="Heading7Char">
    <w:name w:val="Heading 7 Char"/>
    <w:basedOn w:val="DefaultParagraphFont"/>
    <w:link w:val="Heading7"/>
    <w:rsid w:val="00124A51"/>
    <w:rPr>
      <w:rFonts w:ascii="Arial" w:hAnsi="Arial"/>
      <w:b/>
      <w:snapToGrid w:val="0"/>
      <w:lang w:eastAsia="en-US"/>
    </w:rPr>
  </w:style>
  <w:style w:type="character" w:customStyle="1" w:styleId="Heading8Char">
    <w:name w:val="Heading 8 Char"/>
    <w:basedOn w:val="DefaultParagraphFont"/>
    <w:link w:val="Heading8"/>
    <w:rsid w:val="00124A51"/>
    <w:rPr>
      <w:b/>
      <w:snapToGrid w:val="0"/>
      <w:sz w:val="24"/>
      <w:lang w:eastAsia="en-US"/>
    </w:rPr>
  </w:style>
  <w:style w:type="character" w:customStyle="1" w:styleId="Heading9Char">
    <w:name w:val="Heading 9 Char"/>
    <w:basedOn w:val="DefaultParagraphFont"/>
    <w:link w:val="Heading9"/>
    <w:rsid w:val="00124A51"/>
    <w:rPr>
      <w:rFonts w:ascii="Arial" w:hAnsi="Arial"/>
      <w:b/>
      <w:snapToGrid w:val="0"/>
      <w:color w:val="000000"/>
      <w:lang w:eastAsia="en-US"/>
    </w:rPr>
  </w:style>
  <w:style w:type="paragraph" w:customStyle="1" w:styleId="COMexecsummbulletlist">
    <w:name w:val="COM exec summ bullet list"/>
    <w:basedOn w:val="ListParagraph"/>
    <w:link w:val="COMexecsummbulletlistChar"/>
    <w:qFormat/>
    <w:rsid w:val="00DB0020"/>
    <w:pPr>
      <w:ind w:left="1134"/>
    </w:pPr>
  </w:style>
  <w:style w:type="paragraph" w:customStyle="1" w:styleId="COMexecsummmainissuesbullets">
    <w:name w:val="COM exec summ main issues bullets"/>
    <w:basedOn w:val="ListParagraph"/>
    <w:link w:val="COMexecsummmainissuesbulletsChar"/>
    <w:qFormat/>
    <w:rsid w:val="00023AB6"/>
    <w:pPr>
      <w:numPr>
        <w:numId w:val="5"/>
      </w:numPr>
    </w:pPr>
    <w:rPr>
      <w:color w:val="0066FF"/>
    </w:rPr>
  </w:style>
  <w:style w:type="character" w:customStyle="1" w:styleId="COMexecsummbulletlistChar">
    <w:name w:val="COM exec summ bullet list Char"/>
    <w:basedOn w:val="ListParagraphChar"/>
    <w:link w:val="COMexecsummbulletlist"/>
    <w:rsid w:val="00DB0020"/>
    <w:rPr>
      <w:rFonts w:asciiTheme="minorHAnsi" w:hAnsiTheme="minorHAnsi" w:cs="Arial"/>
      <w:snapToGrid w:val="0"/>
      <w:sz w:val="24"/>
      <w:szCs w:val="24"/>
    </w:rPr>
  </w:style>
  <w:style w:type="paragraph" w:customStyle="1" w:styleId="COMH3">
    <w:name w:val="COM H3"/>
    <w:basedOn w:val="Normal"/>
    <w:next w:val="Normal"/>
    <w:link w:val="COMH3Char"/>
    <w:qFormat/>
    <w:rsid w:val="00910CFD"/>
    <w:pPr>
      <w:keepNext/>
      <w:spacing w:after="240"/>
    </w:pPr>
    <w:rPr>
      <w:b/>
      <w:iCs/>
      <w:sz w:val="28"/>
    </w:rPr>
  </w:style>
  <w:style w:type="paragraph" w:styleId="ListParagraph">
    <w:name w:val="List Paragraph"/>
    <w:aliases w:val="Numbered para,BulletPoints,Footnote,Bullet point,List Paragraph1,List Paragraph11,Recommendation,ES Paragraph,PBAC ES Paragraph,PBAC normal points,Bullet List,Figure_name,Numbered Indented Text,Bullet- First level,List NUmber,Table Legend"/>
    <w:next w:val="ListBullet"/>
    <w:link w:val="ListParagraphChar"/>
    <w:uiPriority w:val="34"/>
    <w:qFormat/>
    <w:rsid w:val="00BB00B3"/>
    <w:pPr>
      <w:numPr>
        <w:numId w:val="3"/>
      </w:numPr>
      <w:spacing w:after="120"/>
      <w:jc w:val="both"/>
    </w:pPr>
    <w:rPr>
      <w:rFonts w:asciiTheme="minorHAnsi" w:hAnsiTheme="minorHAnsi" w:cs="Arial"/>
      <w:snapToGrid w:val="0"/>
      <w:sz w:val="24"/>
      <w:szCs w:val="24"/>
    </w:rPr>
  </w:style>
  <w:style w:type="paragraph" w:styleId="ListBullet">
    <w:name w:val="List Bullet"/>
    <w:aliases w:val="zz List Bullet"/>
    <w:basedOn w:val="Normal"/>
    <w:link w:val="ListBulletChar"/>
    <w:unhideWhenUsed/>
    <w:rsid w:val="00EE1996"/>
    <w:pPr>
      <w:numPr>
        <w:numId w:val="4"/>
      </w:numPr>
      <w:contextualSpacing/>
    </w:pPr>
  </w:style>
  <w:style w:type="character" w:customStyle="1" w:styleId="ListParagraphChar">
    <w:name w:val="List Paragraph Char"/>
    <w:aliases w:val="Numbered para Char,BulletPoints Char,Footnote Char,Bullet point Char,List Paragraph1 Char,List Paragraph11 Char,Recommendation Char,ES Paragraph Char,PBAC ES Paragraph Char,PBAC normal points Char,Bullet List Char,Figure_name Char"/>
    <w:basedOn w:val="DefaultParagraphFont"/>
    <w:link w:val="ListParagraph"/>
    <w:uiPriority w:val="34"/>
    <w:qFormat/>
    <w:locked/>
    <w:rsid w:val="00BB00B3"/>
    <w:rPr>
      <w:rFonts w:asciiTheme="minorHAnsi" w:hAnsiTheme="minorHAnsi" w:cs="Arial"/>
      <w:snapToGrid w:val="0"/>
      <w:sz w:val="24"/>
      <w:szCs w:val="24"/>
    </w:rPr>
  </w:style>
  <w:style w:type="table" w:styleId="TableGrid">
    <w:name w:val="Table Grid"/>
    <w:aliases w:val="Summary box,Table Gridbeth,CMA Table Template,ASD Table,PBAC table,new style,MSD Table Grid,Lash Style Table"/>
    <w:basedOn w:val="TableNormal"/>
    <w:uiPriority w:val="59"/>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MH2-numbered">
    <w:name w:val="COM H2 - numbered"/>
    <w:basedOn w:val="Heading2"/>
    <w:link w:val="COMH2-numberedChar"/>
    <w:qFormat/>
    <w:rsid w:val="00721EA3"/>
    <w:pPr>
      <w:keepNext/>
      <w:spacing w:after="240"/>
    </w:pPr>
  </w:style>
  <w:style w:type="paragraph" w:styleId="TOC2">
    <w:name w:val="toc 2"/>
    <w:basedOn w:val="Normal"/>
    <w:next w:val="Normal"/>
    <w:autoRedefine/>
    <w:uiPriority w:val="39"/>
    <w:rsid w:val="008B3A85"/>
    <w:pPr>
      <w:tabs>
        <w:tab w:val="left" w:pos="713"/>
        <w:tab w:val="left" w:pos="880"/>
        <w:tab w:val="right" w:leader="dot" w:pos="9016"/>
      </w:tabs>
      <w:spacing w:before="40"/>
      <w:ind w:left="221"/>
      <w:jc w:val="left"/>
    </w:pPr>
    <w:rPr>
      <w:iCs/>
      <w:sz w:val="20"/>
    </w:rPr>
  </w:style>
  <w:style w:type="paragraph" w:styleId="TOC1">
    <w:name w:val="toc 1"/>
    <w:basedOn w:val="Normal"/>
    <w:next w:val="Normal"/>
    <w:autoRedefine/>
    <w:uiPriority w:val="39"/>
    <w:rsid w:val="00CF01CC"/>
    <w:pPr>
      <w:tabs>
        <w:tab w:val="left" w:pos="440"/>
        <w:tab w:val="right" w:leader="dot" w:pos="9016"/>
      </w:tabs>
      <w:spacing w:after="120"/>
      <w:jc w:val="left"/>
    </w:pPr>
    <w:rPr>
      <w:bCs/>
      <w:sz w:val="20"/>
    </w:rPr>
  </w:style>
  <w:style w:type="character" w:customStyle="1" w:styleId="COMexecsummmainissuesbulletsChar">
    <w:name w:val="COM exec summ main issues bullets Char"/>
    <w:basedOn w:val="ListParagraphChar"/>
    <w:link w:val="COMexecsummmainissuesbullets"/>
    <w:rsid w:val="00023AB6"/>
    <w:rPr>
      <w:rFonts w:asciiTheme="minorHAnsi" w:hAnsiTheme="minorHAnsi" w:cs="Arial"/>
      <w:snapToGrid w:val="0"/>
      <w:color w:val="0066FF"/>
      <w:sz w:val="24"/>
      <w:szCs w:val="24"/>
    </w:rPr>
  </w:style>
  <w:style w:type="paragraph" w:styleId="TOC3">
    <w:name w:val="toc 3"/>
    <w:basedOn w:val="Normal"/>
    <w:next w:val="Normal"/>
    <w:autoRedefine/>
    <w:uiPriority w:val="39"/>
    <w:unhideWhenUsed/>
    <w:rsid w:val="00CE6274"/>
    <w:pPr>
      <w:ind w:left="440"/>
      <w:jc w:val="left"/>
    </w:pPr>
    <w:rPr>
      <w:rFonts w:asciiTheme="minorHAnsi" w:hAnsiTheme="minorHAnsi"/>
      <w:sz w:val="20"/>
    </w:rPr>
  </w:style>
  <w:style w:type="character" w:customStyle="1" w:styleId="COMH2-numberedChar">
    <w:name w:val="COM H2 - numbered Char"/>
    <w:basedOn w:val="Heading2Char"/>
    <w:link w:val="COMH2-numbered"/>
    <w:rsid w:val="00721EA3"/>
    <w:rPr>
      <w:rFonts w:ascii="Calibri" w:hAnsi="Calibri" w:cs="Arial"/>
      <w:b/>
      <w:i/>
      <w:sz w:val="28"/>
      <w:szCs w:val="24"/>
    </w:rPr>
  </w:style>
  <w:style w:type="paragraph" w:customStyle="1" w:styleId="COMH4">
    <w:name w:val="COM H4"/>
    <w:basedOn w:val="Normal"/>
    <w:link w:val="COMH4Char"/>
    <w:qFormat/>
    <w:rsid w:val="00C042D3"/>
    <w:pPr>
      <w:spacing w:after="120"/>
    </w:pPr>
    <w:rPr>
      <w:b/>
      <w:i/>
    </w:rPr>
  </w:style>
  <w:style w:type="character" w:customStyle="1" w:styleId="COMH3Char">
    <w:name w:val="COM H3 Char"/>
    <w:basedOn w:val="DefaultParagraphFont"/>
    <w:link w:val="COMH3"/>
    <w:rsid w:val="00910CFD"/>
    <w:rPr>
      <w:rFonts w:ascii="Calibri" w:hAnsi="Calibri" w:cs="Arial"/>
      <w:b/>
      <w:iCs/>
      <w:sz w:val="28"/>
      <w:szCs w:val="24"/>
    </w:rPr>
  </w:style>
  <w:style w:type="paragraph" w:customStyle="1" w:styleId="COMbodybulletlist">
    <w:name w:val="COM body bullet list"/>
    <w:basedOn w:val="ListBullet"/>
    <w:link w:val="COMbodybulletlistChar"/>
    <w:qFormat/>
    <w:rsid w:val="00894E87"/>
  </w:style>
  <w:style w:type="character" w:customStyle="1" w:styleId="COMH4Char">
    <w:name w:val="COM H4 Char"/>
    <w:basedOn w:val="DefaultParagraphFont"/>
    <w:link w:val="COMH4"/>
    <w:rsid w:val="00C042D3"/>
    <w:rPr>
      <w:rFonts w:ascii="Calibri" w:hAnsi="Calibri" w:cs="Arial"/>
      <w:b/>
      <w:i/>
      <w:sz w:val="24"/>
      <w:szCs w:val="24"/>
    </w:rPr>
  </w:style>
  <w:style w:type="paragraph" w:customStyle="1" w:styleId="zzBulletpoints">
    <w:name w:val="zz Bullet points"/>
    <w:basedOn w:val="ListParagraph"/>
    <w:rsid w:val="00B70E8E"/>
    <w:pPr>
      <w:numPr>
        <w:numId w:val="2"/>
      </w:numPr>
      <w:contextualSpacing/>
    </w:pPr>
  </w:style>
  <w:style w:type="paragraph" w:customStyle="1" w:styleId="COMBody">
    <w:name w:val="COM Body"/>
    <w:basedOn w:val="Normal"/>
    <w:link w:val="COMBodyChar"/>
    <w:qFormat/>
    <w:rsid w:val="00894E87"/>
  </w:style>
  <w:style w:type="character" w:customStyle="1" w:styleId="ListBulletChar">
    <w:name w:val="List Bullet Char"/>
    <w:aliases w:val="zz List Bullet Char"/>
    <w:basedOn w:val="DefaultParagraphFont"/>
    <w:link w:val="ListBullet"/>
    <w:rsid w:val="00894E87"/>
    <w:rPr>
      <w:rFonts w:ascii="Calibri" w:hAnsi="Calibri" w:cs="Arial"/>
      <w:sz w:val="24"/>
      <w:szCs w:val="24"/>
    </w:rPr>
  </w:style>
  <w:style w:type="paragraph" w:styleId="Revision">
    <w:name w:val="Revision"/>
    <w:hidden/>
    <w:uiPriority w:val="99"/>
    <w:semiHidden/>
    <w:rsid w:val="00043C37"/>
    <w:rPr>
      <w:rFonts w:ascii="Arial" w:hAnsi="Arial" w:cs="Arial"/>
      <w:snapToGrid w:val="0"/>
      <w:sz w:val="22"/>
      <w:lang w:eastAsia="en-US"/>
    </w:rPr>
  </w:style>
  <w:style w:type="character" w:customStyle="1" w:styleId="COMbodybulletlistChar">
    <w:name w:val="COM body bullet list Char"/>
    <w:basedOn w:val="ListBulletChar"/>
    <w:link w:val="COMbodybulletlist"/>
    <w:rsid w:val="00894E87"/>
    <w:rPr>
      <w:rFonts w:ascii="Calibri" w:hAnsi="Calibri" w:cs="Arial"/>
      <w:sz w:val="24"/>
      <w:szCs w:val="24"/>
    </w:rPr>
  </w:style>
  <w:style w:type="table" w:customStyle="1" w:styleId="PlainTable21">
    <w:name w:val="Plain Table 21"/>
    <w:basedOn w:val="TableNormal"/>
    <w:uiPriority w:val="42"/>
    <w:rsid w:val="00FF5AD8"/>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FollowedHyperlink">
    <w:name w:val="FollowedHyperlink"/>
    <w:basedOn w:val="DefaultParagraphFont"/>
    <w:semiHidden/>
    <w:unhideWhenUsed/>
    <w:rsid w:val="00536F42"/>
    <w:rPr>
      <w:color w:val="800080" w:themeColor="followedHyperlink"/>
      <w:u w:val="single"/>
    </w:rPr>
  </w:style>
  <w:style w:type="character" w:styleId="PageNumber">
    <w:name w:val="page number"/>
    <w:basedOn w:val="DefaultParagraphFont"/>
    <w:semiHidden/>
    <w:unhideWhenUsed/>
    <w:rsid w:val="00953257"/>
  </w:style>
  <w:style w:type="character" w:customStyle="1" w:styleId="COMBodyChar">
    <w:name w:val="COM Body Char"/>
    <w:basedOn w:val="DefaultParagraphFont"/>
    <w:link w:val="COMBody"/>
    <w:rsid w:val="00894E87"/>
    <w:rPr>
      <w:rFonts w:ascii="Calibri" w:hAnsi="Calibri" w:cs="Arial"/>
      <w:sz w:val="24"/>
      <w:szCs w:val="24"/>
    </w:rPr>
  </w:style>
  <w:style w:type="paragraph" w:styleId="BalloonText">
    <w:name w:val="Balloon Text"/>
    <w:basedOn w:val="Normal"/>
    <w:link w:val="BalloonTextChar"/>
    <w:semiHidden/>
    <w:unhideWhenUsed/>
    <w:rsid w:val="00B34FE2"/>
    <w:rPr>
      <w:rFonts w:ascii="Tahoma" w:hAnsi="Tahoma" w:cs="Tahoma"/>
      <w:sz w:val="16"/>
      <w:szCs w:val="16"/>
    </w:rPr>
  </w:style>
  <w:style w:type="character" w:customStyle="1" w:styleId="BalloonTextChar">
    <w:name w:val="Balloon Text Char"/>
    <w:basedOn w:val="DefaultParagraphFont"/>
    <w:link w:val="BalloonText"/>
    <w:semiHidden/>
    <w:rsid w:val="00B34FE2"/>
    <w:rPr>
      <w:rFonts w:ascii="Tahoma" w:hAnsi="Tahoma" w:cs="Tahoma"/>
      <w:snapToGrid w:val="0"/>
      <w:sz w:val="16"/>
      <w:szCs w:val="16"/>
      <w:lang w:eastAsia="en-US"/>
    </w:rPr>
  </w:style>
  <w:style w:type="paragraph" w:customStyle="1" w:styleId="COMTabletext">
    <w:name w:val="COM Table text"/>
    <w:link w:val="COMTabletextChar"/>
    <w:qFormat/>
    <w:rsid w:val="00EE1996"/>
    <w:pPr>
      <w:keepNext/>
    </w:pPr>
    <w:rPr>
      <w:rFonts w:ascii="Arial Narrow" w:eastAsiaTheme="majorEastAsia" w:hAnsi="Arial Narrow" w:cstheme="majorBidi"/>
      <w:bCs/>
      <w:szCs w:val="24"/>
    </w:rPr>
  </w:style>
  <w:style w:type="character" w:customStyle="1" w:styleId="COMTabletextChar">
    <w:name w:val="COM Table text Char"/>
    <w:basedOn w:val="DefaultParagraphFont"/>
    <w:link w:val="COMTabletext"/>
    <w:rsid w:val="00EE1996"/>
    <w:rPr>
      <w:rFonts w:ascii="Arial Narrow" w:eastAsiaTheme="majorEastAsia" w:hAnsi="Arial Narrow" w:cstheme="majorBidi"/>
      <w:bCs/>
      <w:szCs w:val="24"/>
    </w:rPr>
  </w:style>
  <w:style w:type="paragraph" w:customStyle="1" w:styleId="COMTableheadingrow">
    <w:name w:val="COM Table heading row"/>
    <w:qFormat/>
    <w:rsid w:val="00EE1996"/>
    <w:pPr>
      <w:keepNext/>
    </w:pPr>
    <w:rPr>
      <w:rFonts w:ascii="Arial Narrow" w:eastAsiaTheme="majorEastAsia" w:hAnsi="Arial Narrow"/>
      <w:b/>
      <w:szCs w:val="24"/>
      <w:lang w:val="en-US"/>
    </w:rPr>
  </w:style>
  <w:style w:type="paragraph" w:customStyle="1" w:styleId="COMH1numbered">
    <w:name w:val="COM H1 numbered"/>
    <w:next w:val="Normal"/>
    <w:link w:val="COMH1numberedChar"/>
    <w:qFormat/>
    <w:rsid w:val="00350B59"/>
    <w:pPr>
      <w:keepNext/>
      <w:numPr>
        <w:numId w:val="13"/>
      </w:numPr>
      <w:spacing w:before="240" w:after="120"/>
      <w:outlineLvl w:val="0"/>
    </w:pPr>
    <w:rPr>
      <w:rFonts w:asciiTheme="minorHAnsi" w:hAnsiTheme="minorHAnsi" w:cs="Arial"/>
      <w:b/>
      <w:snapToGrid w:val="0"/>
      <w:sz w:val="32"/>
      <w:szCs w:val="32"/>
    </w:rPr>
  </w:style>
  <w:style w:type="paragraph" w:customStyle="1" w:styleId="COMH1-non-numbered">
    <w:name w:val="COM H1 - non-numbered"/>
    <w:next w:val="Normal"/>
    <w:link w:val="COMH1-non-numberedChar"/>
    <w:qFormat/>
    <w:rsid w:val="00603248"/>
    <w:pPr>
      <w:keepNext/>
      <w:spacing w:before="120" w:after="160"/>
      <w:ind w:left="720" w:hanging="720"/>
      <w:outlineLvl w:val="0"/>
    </w:pPr>
    <w:rPr>
      <w:rFonts w:asciiTheme="minorHAnsi" w:eastAsiaTheme="majorEastAsia" w:hAnsiTheme="minorHAnsi" w:cstheme="majorBidi"/>
      <w:b/>
      <w:spacing w:val="5"/>
      <w:kern w:val="28"/>
      <w:sz w:val="32"/>
      <w:szCs w:val="36"/>
    </w:rPr>
  </w:style>
  <w:style w:type="character" w:customStyle="1" w:styleId="COMH1-non-numberedChar">
    <w:name w:val="COM H1 - non-numbered Char"/>
    <w:basedOn w:val="DefaultParagraphFont"/>
    <w:link w:val="COMH1-non-numbered"/>
    <w:rsid w:val="00603248"/>
    <w:rPr>
      <w:rFonts w:asciiTheme="minorHAnsi" w:eastAsiaTheme="majorEastAsia" w:hAnsiTheme="minorHAnsi" w:cstheme="majorBidi"/>
      <w:b/>
      <w:spacing w:val="5"/>
      <w:kern w:val="28"/>
      <w:sz w:val="32"/>
      <w:szCs w:val="36"/>
    </w:rPr>
  </w:style>
  <w:style w:type="paragraph" w:customStyle="1" w:styleId="COMtablefigcaption">
    <w:name w:val="COM table/fig caption"/>
    <w:next w:val="COMTableheadingrow"/>
    <w:link w:val="COMtablefigcaptionChar"/>
    <w:qFormat/>
    <w:rsid w:val="005478BD"/>
    <w:pPr>
      <w:keepNext/>
    </w:pPr>
    <w:rPr>
      <w:rFonts w:ascii="Arial Narrow" w:eastAsiaTheme="majorEastAsia" w:hAnsi="Arial Narrow" w:cstheme="majorBidi"/>
      <w:b/>
      <w:bCs/>
      <w:szCs w:val="24"/>
    </w:rPr>
  </w:style>
  <w:style w:type="character" w:customStyle="1" w:styleId="COMtablefigcaptionChar">
    <w:name w:val="COM table/fig caption Char"/>
    <w:basedOn w:val="DefaultParagraphFont"/>
    <w:link w:val="COMtablefigcaption"/>
    <w:rsid w:val="005478BD"/>
    <w:rPr>
      <w:rFonts w:ascii="Arial Narrow" w:eastAsiaTheme="majorEastAsia" w:hAnsi="Arial Narrow" w:cstheme="majorBidi"/>
      <w:b/>
      <w:bCs/>
      <w:szCs w:val="24"/>
    </w:rPr>
  </w:style>
  <w:style w:type="paragraph" w:customStyle="1" w:styleId="COMexecsumnumberedpara">
    <w:name w:val="COM exec sum numbered para"/>
    <w:basedOn w:val="ListParagraph"/>
    <w:link w:val="COMexecsumnumberedparaChar"/>
    <w:qFormat/>
    <w:rsid w:val="00F637F2"/>
    <w:pPr>
      <w:numPr>
        <w:ilvl w:val="1"/>
        <w:numId w:val="13"/>
      </w:numPr>
      <w:ind w:left="720" w:hanging="720"/>
    </w:pPr>
  </w:style>
  <w:style w:type="character" w:customStyle="1" w:styleId="COMexecsumnumberedparaChar">
    <w:name w:val="COM exec sum numbered para Char"/>
    <w:basedOn w:val="ListParagraphChar"/>
    <w:link w:val="COMexecsumnumberedpara"/>
    <w:rsid w:val="00F637F2"/>
    <w:rPr>
      <w:rFonts w:asciiTheme="minorHAnsi" w:hAnsiTheme="minorHAnsi" w:cs="Arial"/>
      <w:snapToGrid w:val="0"/>
      <w:sz w:val="24"/>
      <w:szCs w:val="24"/>
    </w:rPr>
  </w:style>
  <w:style w:type="paragraph" w:customStyle="1" w:styleId="COMTablefooter">
    <w:name w:val="COM Table footer"/>
    <w:basedOn w:val="Normal"/>
    <w:next w:val="Normal"/>
    <w:link w:val="COMTablefooterChar"/>
    <w:qFormat/>
    <w:rsid w:val="00EC5836"/>
    <w:pPr>
      <w:spacing w:after="120"/>
      <w:contextualSpacing/>
    </w:pPr>
    <w:rPr>
      <w:rFonts w:ascii="Arial Narrow" w:hAnsi="Arial Narrow"/>
      <w:snapToGrid w:val="0"/>
      <w:sz w:val="18"/>
      <w:szCs w:val="22"/>
    </w:rPr>
  </w:style>
  <w:style w:type="character" w:customStyle="1" w:styleId="COMTablefooterChar">
    <w:name w:val="COM Table footer Char"/>
    <w:link w:val="COMTablefooter"/>
    <w:rsid w:val="00EC5836"/>
    <w:rPr>
      <w:rFonts w:ascii="Arial Narrow" w:hAnsi="Arial Narrow" w:cs="Arial"/>
      <w:snapToGrid w:val="0"/>
      <w:sz w:val="18"/>
      <w:szCs w:val="22"/>
    </w:rPr>
  </w:style>
  <w:style w:type="paragraph" w:customStyle="1" w:styleId="COMH2-non-numbered">
    <w:name w:val="COM H2 - non-numbered"/>
    <w:basedOn w:val="Heading2"/>
    <w:next w:val="Normal"/>
    <w:link w:val="COMH2-non-numberedChar"/>
    <w:qFormat/>
    <w:rsid w:val="00EE1996"/>
    <w:pPr>
      <w:keepNext/>
      <w:spacing w:before="120" w:after="120"/>
    </w:pPr>
    <w:rPr>
      <w:rFonts w:asciiTheme="minorHAnsi" w:eastAsiaTheme="majorEastAsia" w:hAnsiTheme="minorHAnsi" w:cstheme="majorBidi"/>
      <w:spacing w:val="5"/>
      <w:kern w:val="28"/>
      <w:szCs w:val="36"/>
    </w:rPr>
  </w:style>
  <w:style w:type="character" w:customStyle="1" w:styleId="COMH2-non-numberedChar">
    <w:name w:val="COM H2 - non-numbered Char"/>
    <w:basedOn w:val="Heading2Char"/>
    <w:link w:val="COMH2-non-numbered"/>
    <w:rsid w:val="00EE1996"/>
    <w:rPr>
      <w:rFonts w:asciiTheme="minorHAnsi" w:eastAsiaTheme="majorEastAsia" w:hAnsiTheme="minorHAnsi" w:cstheme="majorBidi"/>
      <w:b/>
      <w:i/>
      <w:snapToGrid w:val="0"/>
      <w:spacing w:val="5"/>
      <w:kern w:val="28"/>
      <w:sz w:val="28"/>
      <w:szCs w:val="36"/>
      <w:lang w:eastAsia="en-US"/>
    </w:rPr>
  </w:style>
  <w:style w:type="character" w:customStyle="1" w:styleId="COMH1numberedChar">
    <w:name w:val="COM H1 numbered Char"/>
    <w:basedOn w:val="DefaultParagraphFont"/>
    <w:link w:val="COMH1numbered"/>
    <w:rsid w:val="00350B59"/>
    <w:rPr>
      <w:rFonts w:asciiTheme="minorHAnsi" w:hAnsiTheme="minorHAnsi" w:cs="Arial"/>
      <w:b/>
      <w:snapToGrid w:val="0"/>
      <w:sz w:val="32"/>
      <w:szCs w:val="32"/>
    </w:rPr>
  </w:style>
  <w:style w:type="paragraph" w:styleId="Header">
    <w:name w:val="header"/>
    <w:aliases w:val="Page Header,Header title,he=header,cntr/bld"/>
    <w:basedOn w:val="Normal"/>
    <w:link w:val="HeaderChar"/>
    <w:unhideWhenUsed/>
    <w:qFormat/>
    <w:rsid w:val="00DD15DF"/>
    <w:pPr>
      <w:tabs>
        <w:tab w:val="center" w:pos="4513"/>
        <w:tab w:val="right" w:pos="9026"/>
      </w:tabs>
    </w:pPr>
  </w:style>
  <w:style w:type="character" w:customStyle="1" w:styleId="HeaderChar">
    <w:name w:val="Header Char"/>
    <w:aliases w:val="Page Header Char,Header title Char,he=header Char,cntr/bld Char"/>
    <w:basedOn w:val="DefaultParagraphFont"/>
    <w:link w:val="Header"/>
    <w:rsid w:val="00DD15DF"/>
    <w:rPr>
      <w:rFonts w:ascii="Calibri" w:hAnsi="Calibri" w:cs="Arial"/>
      <w:sz w:val="24"/>
      <w:szCs w:val="24"/>
    </w:rPr>
  </w:style>
  <w:style w:type="paragraph" w:styleId="Footer">
    <w:name w:val="footer"/>
    <w:basedOn w:val="Normal"/>
    <w:link w:val="FooterChar"/>
    <w:uiPriority w:val="99"/>
    <w:unhideWhenUsed/>
    <w:rsid w:val="00DD15DF"/>
    <w:pPr>
      <w:tabs>
        <w:tab w:val="center" w:pos="4513"/>
        <w:tab w:val="right" w:pos="9026"/>
      </w:tabs>
    </w:pPr>
  </w:style>
  <w:style w:type="character" w:customStyle="1" w:styleId="FooterChar">
    <w:name w:val="Footer Char"/>
    <w:basedOn w:val="DefaultParagraphFont"/>
    <w:link w:val="Footer"/>
    <w:uiPriority w:val="99"/>
    <w:rsid w:val="00DD15DF"/>
    <w:rPr>
      <w:rFonts w:ascii="Calibri" w:hAnsi="Calibri" w:cs="Arial"/>
      <w:sz w:val="24"/>
      <w:szCs w:val="24"/>
    </w:rPr>
  </w:style>
  <w:style w:type="paragraph" w:customStyle="1" w:styleId="Tabletext">
    <w:name w:val="Table text"/>
    <w:link w:val="TabletextChar"/>
    <w:qFormat/>
    <w:rsid w:val="00A85DC4"/>
    <w:pPr>
      <w:keepNext/>
      <w:spacing w:before="40" w:after="40"/>
    </w:pPr>
    <w:rPr>
      <w:rFonts w:ascii="Arial Narrow" w:eastAsia="Calibri" w:hAnsi="Arial Narrow"/>
      <w:lang w:eastAsia="en-US"/>
    </w:rPr>
  </w:style>
  <w:style w:type="character" w:customStyle="1" w:styleId="TabletextChar">
    <w:name w:val="Table text Char"/>
    <w:link w:val="Tabletext"/>
    <w:rsid w:val="00A85DC4"/>
    <w:rPr>
      <w:rFonts w:ascii="Arial Narrow" w:eastAsia="Calibri" w:hAnsi="Arial Narrow"/>
      <w:lang w:eastAsia="en-US"/>
    </w:rPr>
  </w:style>
  <w:style w:type="character" w:customStyle="1" w:styleId="Font">
    <w:name w:val="Font"/>
    <w:basedOn w:val="DefaultParagraphFont"/>
    <w:uiPriority w:val="1"/>
    <w:qFormat/>
    <w:rsid w:val="006A5AC7"/>
    <w:rPr>
      <w:rFonts w:ascii="Candara" w:hAnsi="Candara"/>
      <w:sz w:val="24"/>
    </w:rPr>
  </w:style>
  <w:style w:type="paragraph" w:customStyle="1" w:styleId="TableText0">
    <w:name w:val="Table Text"/>
    <w:link w:val="TableTextChar0"/>
    <w:qFormat/>
    <w:rsid w:val="00A17C8A"/>
    <w:pPr>
      <w:keepNext/>
    </w:pPr>
    <w:rPr>
      <w:rFonts w:ascii="Arial Narrow" w:eastAsiaTheme="majorEastAsia" w:hAnsi="Arial Narrow" w:cstheme="majorBidi"/>
      <w:bCs/>
      <w:szCs w:val="24"/>
    </w:rPr>
  </w:style>
  <w:style w:type="paragraph" w:customStyle="1" w:styleId="TableFigureCaption">
    <w:name w:val="Table/Figure Caption"/>
    <w:basedOn w:val="COMTableheadingrow"/>
    <w:next w:val="Normal"/>
    <w:link w:val="TableFigureCaptionChar"/>
    <w:qFormat/>
    <w:rsid w:val="00DA4CEA"/>
  </w:style>
  <w:style w:type="character" w:customStyle="1" w:styleId="TableFigureCaptionChar">
    <w:name w:val="Table/Figure Caption Char"/>
    <w:basedOn w:val="DefaultParagraphFont"/>
    <w:link w:val="TableFigureCaption"/>
    <w:rsid w:val="00DA4CEA"/>
    <w:rPr>
      <w:rFonts w:ascii="Arial Narrow" w:eastAsiaTheme="majorEastAsia" w:hAnsi="Arial Narrow"/>
      <w:b/>
      <w:szCs w:val="24"/>
      <w:lang w:val="en-US"/>
    </w:rPr>
  </w:style>
  <w:style w:type="paragraph" w:customStyle="1" w:styleId="TableFigureFooter">
    <w:name w:val="Table/Figure Footer"/>
    <w:basedOn w:val="Normal"/>
    <w:link w:val="TableFigureFooterChar"/>
    <w:qFormat/>
    <w:rsid w:val="00A17C8A"/>
    <w:pPr>
      <w:spacing w:after="120"/>
      <w:contextualSpacing/>
    </w:pPr>
    <w:rPr>
      <w:rFonts w:ascii="Arial Narrow" w:hAnsi="Arial Narrow"/>
      <w:snapToGrid w:val="0"/>
      <w:sz w:val="18"/>
      <w:szCs w:val="22"/>
    </w:rPr>
  </w:style>
  <w:style w:type="character" w:customStyle="1" w:styleId="TableFigureFooterChar">
    <w:name w:val="Table/Figure Footer Char"/>
    <w:link w:val="TableFigureFooter"/>
    <w:rsid w:val="00A17C8A"/>
    <w:rPr>
      <w:rFonts w:ascii="Arial Narrow" w:hAnsi="Arial Narrow" w:cs="Arial"/>
      <w:snapToGrid w:val="0"/>
      <w:sz w:val="18"/>
      <w:szCs w:val="22"/>
    </w:rPr>
  </w:style>
  <w:style w:type="character" w:customStyle="1" w:styleId="TableTextChar0">
    <w:name w:val="Table Text Char"/>
    <w:basedOn w:val="DefaultParagraphFont"/>
    <w:link w:val="TableText0"/>
    <w:rsid w:val="00A17C8A"/>
    <w:rPr>
      <w:rFonts w:ascii="Arial Narrow" w:eastAsiaTheme="majorEastAsia" w:hAnsi="Arial Narrow" w:cstheme="majorBidi"/>
      <w:bCs/>
      <w:szCs w:val="24"/>
    </w:rPr>
  </w:style>
  <w:style w:type="paragraph" w:customStyle="1" w:styleId="Default">
    <w:name w:val="Default"/>
    <w:rsid w:val="001F596F"/>
    <w:pPr>
      <w:autoSpaceDE w:val="0"/>
      <w:autoSpaceDN w:val="0"/>
      <w:adjustRightInd w:val="0"/>
    </w:pPr>
    <w:rPr>
      <w:rFonts w:ascii="Calibri" w:hAnsi="Calibri" w:cs="Calibri"/>
      <w:color w:val="000000"/>
      <w:sz w:val="24"/>
      <w:szCs w:val="24"/>
    </w:rPr>
  </w:style>
  <w:style w:type="paragraph" w:customStyle="1" w:styleId="TableFooter">
    <w:name w:val="Table Footer"/>
    <w:basedOn w:val="Normal"/>
    <w:link w:val="TableFooterChar"/>
    <w:qFormat/>
    <w:rsid w:val="00795EF8"/>
    <w:pPr>
      <w:widowControl w:val="0"/>
    </w:pPr>
    <w:rPr>
      <w:rFonts w:ascii="Arial Narrow" w:hAnsi="Arial Narrow"/>
      <w:snapToGrid w:val="0"/>
      <w:sz w:val="18"/>
      <w:szCs w:val="22"/>
      <w:lang w:eastAsia="en-US"/>
    </w:rPr>
  </w:style>
  <w:style w:type="character" w:customStyle="1" w:styleId="TableFooterChar">
    <w:name w:val="Table Footer Char"/>
    <w:link w:val="TableFooter"/>
    <w:rsid w:val="00795EF8"/>
    <w:rPr>
      <w:rFonts w:ascii="Arial Narrow" w:hAnsi="Arial Narrow" w:cs="Arial"/>
      <w:snapToGrid w:val="0"/>
      <w:sz w:val="18"/>
      <w:szCs w:val="22"/>
      <w:lang w:eastAsia="en-US"/>
    </w:rPr>
  </w:style>
  <w:style w:type="character" w:styleId="CommentReference">
    <w:name w:val="annotation reference"/>
    <w:aliases w:val="Table Title"/>
    <w:qFormat/>
    <w:rsid w:val="00795EF8"/>
    <w:rPr>
      <w:rFonts w:ascii="Arial Narrow" w:hAnsi="Arial Narrow"/>
      <w:b/>
      <w:sz w:val="20"/>
      <w:szCs w:val="16"/>
    </w:rPr>
  </w:style>
  <w:style w:type="paragraph" w:customStyle="1" w:styleId="PBACHeading1">
    <w:name w:val="PBAC Heading 1"/>
    <w:qFormat/>
    <w:rsid w:val="00795EF8"/>
    <w:pPr>
      <w:ind w:left="720" w:hanging="720"/>
    </w:pPr>
    <w:rPr>
      <w:rFonts w:ascii="Calibri" w:hAnsi="Calibri" w:cs="Arial"/>
      <w:b/>
      <w:snapToGrid w:val="0"/>
      <w:sz w:val="32"/>
      <w:szCs w:val="22"/>
      <w:lang w:eastAsia="en-US"/>
    </w:rPr>
  </w:style>
  <w:style w:type="paragraph" w:customStyle="1" w:styleId="5-SubSubSubHead">
    <w:name w:val="5-Sub Sub Sub Head"/>
    <w:basedOn w:val="Heading4"/>
    <w:qFormat/>
    <w:rsid w:val="00B80612"/>
  </w:style>
  <w:style w:type="paragraph" w:styleId="Caption">
    <w:name w:val="caption"/>
    <w:aliases w:val="Figure caption,Figure caption1 Char Char,IB Caption,Medical Caption,Medical Caption Char,Caption Char1 Char Char,Caption Char Char Char Char,Caption Char1 Char,Caption Char Char Char Char Char,Caption Char Char,Caption Char Char Char Char1,..."/>
    <w:next w:val="Normal"/>
    <w:link w:val="CaptionChar"/>
    <w:unhideWhenUsed/>
    <w:qFormat/>
    <w:rsid w:val="00AC65D4"/>
    <w:pPr>
      <w:keepNext/>
    </w:pPr>
    <w:rPr>
      <w:rFonts w:ascii="Arial Narrow" w:eastAsia="Calibri" w:hAnsi="Arial Narrow"/>
      <w:b/>
      <w:bCs/>
      <w:sz w:val="22"/>
      <w:szCs w:val="22"/>
      <w:lang w:eastAsia="en-US"/>
    </w:rPr>
  </w:style>
  <w:style w:type="character" w:customStyle="1" w:styleId="CaptionChar">
    <w:name w:val="Caption Char"/>
    <w:aliases w:val="Figure caption Char,Figure caption1 Char Char Char,IB Caption Char,Medical Caption Char1,Medical Caption Char Char,Caption Char1 Char Char Char,Caption Char Char Char Char Char1,Caption Char1 Char Char1,Caption Char Char Char Char Char Char"/>
    <w:link w:val="Caption"/>
    <w:uiPriority w:val="99"/>
    <w:locked/>
    <w:rsid w:val="00AC65D4"/>
    <w:rPr>
      <w:rFonts w:ascii="Arial Narrow" w:eastAsia="Calibri" w:hAnsi="Arial Narrow"/>
      <w:b/>
      <w:bCs/>
      <w:sz w:val="22"/>
      <w:szCs w:val="22"/>
      <w:lang w:eastAsia="en-US"/>
    </w:rPr>
  </w:style>
  <w:style w:type="paragraph" w:customStyle="1" w:styleId="CaptionFootnote">
    <w:name w:val="Caption Footnote"/>
    <w:basedOn w:val="Caption"/>
    <w:link w:val="CaptionFootnoteChar"/>
    <w:qFormat/>
    <w:rsid w:val="00AC65D4"/>
    <w:pPr>
      <w:keepNext w:val="0"/>
      <w:widowControl w:val="0"/>
      <w:spacing w:after="240"/>
      <w:contextualSpacing/>
    </w:pPr>
    <w:rPr>
      <w:rFonts w:eastAsia="SimSun"/>
      <w:b w:val="0"/>
      <w:sz w:val="18"/>
      <w:szCs w:val="18"/>
      <w:lang w:bidi="en-US"/>
    </w:rPr>
  </w:style>
  <w:style w:type="character" w:customStyle="1" w:styleId="CaptionFootnoteChar">
    <w:name w:val="Caption Footnote Char"/>
    <w:link w:val="CaptionFootnote"/>
    <w:rsid w:val="00AC65D4"/>
    <w:rPr>
      <w:rFonts w:ascii="Arial Narrow" w:eastAsia="SimSun" w:hAnsi="Arial Narrow"/>
      <w:bCs/>
      <w:sz w:val="18"/>
      <w:szCs w:val="18"/>
      <w:lang w:eastAsia="en-US" w:bidi="en-US"/>
    </w:rPr>
  </w:style>
  <w:style w:type="paragraph" w:customStyle="1" w:styleId="TableBullets">
    <w:name w:val="Table Bullets"/>
    <w:basedOn w:val="Normal"/>
    <w:uiPriority w:val="5"/>
    <w:qFormat/>
    <w:rsid w:val="00AC65D4"/>
    <w:pPr>
      <w:numPr>
        <w:numId w:val="6"/>
      </w:numPr>
      <w:jc w:val="left"/>
    </w:pPr>
    <w:rPr>
      <w:rFonts w:ascii="Arial Narrow" w:hAnsi="Arial Narrow" w:cs="Times New Roman"/>
      <w:sz w:val="20"/>
      <w:szCs w:val="22"/>
      <w:lang w:eastAsia="zh-CN" w:bidi="en-US"/>
    </w:rPr>
  </w:style>
  <w:style w:type="paragraph" w:styleId="CommentText">
    <w:name w:val="annotation text"/>
    <w:basedOn w:val="Normal"/>
    <w:link w:val="CommentTextChar"/>
    <w:uiPriority w:val="99"/>
    <w:unhideWhenUsed/>
    <w:rsid w:val="00E3063E"/>
    <w:rPr>
      <w:sz w:val="20"/>
      <w:szCs w:val="20"/>
    </w:rPr>
  </w:style>
  <w:style w:type="character" w:customStyle="1" w:styleId="CommentTextChar">
    <w:name w:val="Comment Text Char"/>
    <w:basedOn w:val="DefaultParagraphFont"/>
    <w:link w:val="CommentText"/>
    <w:uiPriority w:val="99"/>
    <w:rsid w:val="00E3063E"/>
    <w:rPr>
      <w:rFonts w:ascii="Calibri" w:hAnsi="Calibri" w:cs="Arial"/>
    </w:rPr>
  </w:style>
  <w:style w:type="paragraph" w:styleId="CommentSubject">
    <w:name w:val="annotation subject"/>
    <w:basedOn w:val="CommentText"/>
    <w:next w:val="CommentText"/>
    <w:link w:val="CommentSubjectChar"/>
    <w:semiHidden/>
    <w:unhideWhenUsed/>
    <w:rsid w:val="00E3063E"/>
    <w:rPr>
      <w:b/>
      <w:bCs/>
    </w:rPr>
  </w:style>
  <w:style w:type="character" w:customStyle="1" w:styleId="CommentSubjectChar">
    <w:name w:val="Comment Subject Char"/>
    <w:basedOn w:val="CommentTextChar"/>
    <w:link w:val="CommentSubject"/>
    <w:semiHidden/>
    <w:rsid w:val="00E3063E"/>
    <w:rPr>
      <w:rFonts w:ascii="Calibri" w:hAnsi="Calibri" w:cs="Arial"/>
      <w:b/>
      <w:bCs/>
    </w:rPr>
  </w:style>
  <w:style w:type="character" w:customStyle="1" w:styleId="Small">
    <w:name w:val="Small"/>
    <w:uiPriority w:val="4"/>
    <w:qFormat/>
    <w:rsid w:val="00C7398B"/>
    <w:rPr>
      <w:rFonts w:ascii="Candara" w:hAnsi="Candara"/>
      <w:sz w:val="20"/>
    </w:rPr>
  </w:style>
  <w:style w:type="character" w:styleId="Hyperlink">
    <w:name w:val="Hyperlink"/>
    <w:basedOn w:val="DefaultParagraphFont"/>
    <w:uiPriority w:val="99"/>
    <w:unhideWhenUsed/>
    <w:rsid w:val="00645F4E"/>
    <w:rPr>
      <w:color w:val="0000FF" w:themeColor="hyperlink"/>
      <w:u w:val="single"/>
    </w:rPr>
  </w:style>
  <w:style w:type="character" w:styleId="UnresolvedMention">
    <w:name w:val="Unresolved Mention"/>
    <w:basedOn w:val="DefaultParagraphFont"/>
    <w:uiPriority w:val="99"/>
    <w:semiHidden/>
    <w:unhideWhenUsed/>
    <w:rsid w:val="00645F4E"/>
    <w:rPr>
      <w:color w:val="605E5C"/>
      <w:shd w:val="clear" w:color="auto" w:fill="E1DFDD"/>
    </w:rPr>
  </w:style>
  <w:style w:type="paragraph" w:customStyle="1" w:styleId="Bullet1">
    <w:name w:val="Bullet 1"/>
    <w:basedOn w:val="Normal"/>
    <w:link w:val="Bullet1Char"/>
    <w:uiPriority w:val="9"/>
    <w:rsid w:val="008F3FEB"/>
    <w:pPr>
      <w:numPr>
        <w:numId w:val="7"/>
      </w:numPr>
      <w:spacing w:before="120" w:after="120"/>
      <w:jc w:val="left"/>
    </w:pPr>
    <w:rPr>
      <w:rFonts w:eastAsia="Calibri" w:cs="Times New Roman"/>
      <w:sz w:val="22"/>
      <w:szCs w:val="22"/>
      <w:lang w:eastAsia="zh-CN"/>
    </w:rPr>
  </w:style>
  <w:style w:type="character" w:customStyle="1" w:styleId="Bullet1Char">
    <w:name w:val="Bullet 1 Char"/>
    <w:link w:val="Bullet1"/>
    <w:uiPriority w:val="9"/>
    <w:rsid w:val="008F3FEB"/>
    <w:rPr>
      <w:rFonts w:ascii="Calibri" w:eastAsia="Calibri" w:hAnsi="Calibri"/>
      <w:sz w:val="22"/>
      <w:szCs w:val="22"/>
      <w:lang w:eastAsia="zh-CN"/>
    </w:rPr>
  </w:style>
  <w:style w:type="paragraph" w:customStyle="1" w:styleId="TableHeading">
    <w:name w:val="Table Heading"/>
    <w:basedOn w:val="Normal"/>
    <w:link w:val="TableHeadingChar"/>
    <w:qFormat/>
    <w:rsid w:val="00135703"/>
    <w:pPr>
      <w:keepNext/>
      <w:jc w:val="left"/>
    </w:pPr>
    <w:rPr>
      <w:rFonts w:ascii="Arial Narrow" w:eastAsiaTheme="minorHAnsi" w:hAnsi="Arial Narrow" w:cstheme="minorBidi"/>
      <w:b/>
      <w:sz w:val="20"/>
      <w:szCs w:val="22"/>
      <w:lang w:eastAsia="en-US"/>
    </w:rPr>
  </w:style>
  <w:style w:type="paragraph" w:customStyle="1" w:styleId="Tableheadingrow">
    <w:name w:val="Table heading row"/>
    <w:qFormat/>
    <w:rsid w:val="002831A4"/>
    <w:pPr>
      <w:keepNext/>
    </w:pPr>
    <w:rPr>
      <w:rFonts w:ascii="Arial Narrow" w:eastAsiaTheme="majorEastAsia" w:hAnsi="Arial Narrow"/>
      <w:b/>
      <w:szCs w:val="24"/>
      <w:lang w:val="en-US"/>
    </w:rPr>
  </w:style>
  <w:style w:type="paragraph" w:customStyle="1" w:styleId="TableHeadingCentred">
    <w:name w:val="TableHeadingCentred"/>
    <w:basedOn w:val="Normal"/>
    <w:next w:val="Normal"/>
    <w:rsid w:val="002831A4"/>
    <w:pPr>
      <w:keepNext/>
      <w:spacing w:before="40" w:after="40"/>
      <w:jc w:val="center"/>
    </w:pPr>
    <w:rPr>
      <w:rFonts w:ascii="Arial Narrow" w:hAnsi="Arial Narrow" w:cs="Times New Roman"/>
      <w:b/>
      <w:bCs/>
      <w:iCs/>
      <w:sz w:val="20"/>
      <w:szCs w:val="18"/>
      <w:lang w:eastAsia="zh-CN"/>
    </w:rPr>
  </w:style>
  <w:style w:type="character" w:customStyle="1" w:styleId="SmallSuperscript">
    <w:name w:val="Small Superscript"/>
    <w:basedOn w:val="DefaultParagraphFont"/>
    <w:uiPriority w:val="1"/>
    <w:qFormat/>
    <w:rsid w:val="006D3BC4"/>
    <w:rPr>
      <w:rFonts w:ascii="Candara" w:hAnsi="Candara"/>
      <w:sz w:val="20"/>
      <w:vertAlign w:val="superscript"/>
    </w:rPr>
  </w:style>
  <w:style w:type="paragraph" w:customStyle="1" w:styleId="4-SubsectSubhead">
    <w:name w:val="4-Subsect Subhead"/>
    <w:basedOn w:val="Heading3"/>
    <w:next w:val="Normal"/>
    <w:link w:val="4-SubsectSubheadChar"/>
    <w:qFormat/>
    <w:rsid w:val="0084326D"/>
    <w:pPr>
      <w:keepNext/>
      <w:keepLines/>
      <w:spacing w:before="160" w:after="120"/>
    </w:pPr>
    <w:rPr>
      <w:rFonts w:asciiTheme="minorHAnsi" w:eastAsiaTheme="majorEastAsia" w:hAnsiTheme="minorHAnsi" w:cstheme="majorBidi"/>
      <w:b/>
      <w:color w:val="000000" w:themeColor="text1"/>
      <w:sz w:val="28"/>
      <w:szCs w:val="28"/>
      <w:u w:val="none"/>
    </w:rPr>
  </w:style>
  <w:style w:type="character" w:customStyle="1" w:styleId="4-SubsectSubheadChar">
    <w:name w:val="4-Subsect Subhead Char"/>
    <w:basedOn w:val="DefaultParagraphFont"/>
    <w:link w:val="4-SubsectSubhead"/>
    <w:rsid w:val="0084326D"/>
    <w:rPr>
      <w:rFonts w:asciiTheme="minorHAnsi" w:eastAsiaTheme="majorEastAsia" w:hAnsiTheme="minorHAnsi" w:cstheme="majorBidi"/>
      <w:b/>
      <w:color w:val="000000" w:themeColor="text1"/>
      <w:sz w:val="28"/>
      <w:szCs w:val="28"/>
    </w:rPr>
  </w:style>
  <w:style w:type="paragraph" w:customStyle="1" w:styleId="Table">
    <w:name w:val="Table"/>
    <w:basedOn w:val="Normal"/>
    <w:link w:val="TableChar"/>
    <w:qFormat/>
    <w:rsid w:val="0084326D"/>
    <w:pPr>
      <w:jc w:val="left"/>
    </w:pPr>
    <w:rPr>
      <w:rFonts w:ascii="Candara" w:eastAsiaTheme="majorEastAsia" w:hAnsi="Candara" w:cstheme="majorBidi"/>
      <w:sz w:val="20"/>
      <w:szCs w:val="22"/>
      <w:lang w:eastAsia="en-US" w:bidi="en-US"/>
    </w:rPr>
  </w:style>
  <w:style w:type="character" w:customStyle="1" w:styleId="TableChar">
    <w:name w:val="Table Char"/>
    <w:basedOn w:val="DefaultParagraphFont"/>
    <w:link w:val="Table"/>
    <w:locked/>
    <w:rsid w:val="0084326D"/>
    <w:rPr>
      <w:rFonts w:ascii="Candara" w:eastAsiaTheme="majorEastAsia" w:hAnsi="Candara" w:cstheme="majorBidi"/>
      <w:szCs w:val="22"/>
      <w:lang w:eastAsia="en-US" w:bidi="en-US"/>
    </w:rPr>
  </w:style>
  <w:style w:type="paragraph" w:customStyle="1" w:styleId="TableCentre">
    <w:name w:val="Table Centre"/>
    <w:basedOn w:val="Table"/>
    <w:qFormat/>
    <w:rsid w:val="0084326D"/>
    <w:pPr>
      <w:jc w:val="center"/>
    </w:pPr>
  </w:style>
  <w:style w:type="character" w:styleId="LineNumber">
    <w:name w:val="line number"/>
    <w:basedOn w:val="DefaultParagraphFont"/>
    <w:semiHidden/>
    <w:unhideWhenUsed/>
    <w:rsid w:val="006717B3"/>
  </w:style>
  <w:style w:type="character" w:customStyle="1" w:styleId="SubtitleChar">
    <w:name w:val="Subtitle Char"/>
    <w:link w:val="Subtitle"/>
    <w:rsid w:val="00F54389"/>
    <w:rPr>
      <w:lang w:eastAsia="en-US"/>
    </w:rPr>
  </w:style>
  <w:style w:type="paragraph" w:styleId="Subtitle">
    <w:name w:val="Subtitle"/>
    <w:basedOn w:val="Normal"/>
    <w:link w:val="SubtitleChar"/>
    <w:qFormat/>
    <w:rsid w:val="00F54389"/>
    <w:rPr>
      <w:rFonts w:ascii="Times New Roman" w:hAnsi="Times New Roman" w:cs="Times New Roman"/>
      <w:sz w:val="20"/>
      <w:szCs w:val="20"/>
      <w:lang w:eastAsia="en-US"/>
    </w:rPr>
  </w:style>
  <w:style w:type="character" w:customStyle="1" w:styleId="SubtitleChar1">
    <w:name w:val="Subtitle Char1"/>
    <w:basedOn w:val="DefaultParagraphFont"/>
    <w:rsid w:val="00F54389"/>
    <w:rPr>
      <w:rFonts w:asciiTheme="minorHAnsi" w:eastAsiaTheme="minorEastAsia" w:hAnsiTheme="minorHAnsi" w:cstheme="minorBidi"/>
      <w:color w:val="5A5A5A" w:themeColor="text1" w:themeTint="A5"/>
      <w:spacing w:val="15"/>
      <w:sz w:val="22"/>
      <w:szCs w:val="22"/>
    </w:rPr>
  </w:style>
  <w:style w:type="paragraph" w:customStyle="1" w:styleId="Numbering">
    <w:name w:val="Numbering"/>
    <w:basedOn w:val="Bullet1"/>
    <w:qFormat/>
    <w:rsid w:val="005718FB"/>
    <w:pPr>
      <w:numPr>
        <w:numId w:val="10"/>
      </w:numPr>
    </w:pPr>
  </w:style>
  <w:style w:type="paragraph" w:customStyle="1" w:styleId="NormalBulletList">
    <w:name w:val="Normal Bullet List"/>
    <w:basedOn w:val="Normal"/>
    <w:uiPriority w:val="3"/>
    <w:qFormat/>
    <w:rsid w:val="003C49A7"/>
    <w:pPr>
      <w:numPr>
        <w:numId w:val="11"/>
      </w:numPr>
      <w:spacing w:before="120" w:after="120" w:line="360" w:lineRule="auto"/>
      <w:jc w:val="left"/>
    </w:pPr>
    <w:rPr>
      <w:rFonts w:eastAsia="Calibri" w:cs="Times New Roman"/>
      <w:sz w:val="22"/>
      <w:szCs w:val="22"/>
      <w:lang w:eastAsia="en-US"/>
    </w:rPr>
  </w:style>
  <w:style w:type="paragraph" w:customStyle="1" w:styleId="Commentitalics">
    <w:name w:val="Comment (italics)"/>
    <w:basedOn w:val="Normal"/>
    <w:next w:val="Normal"/>
    <w:qFormat/>
    <w:rsid w:val="00B90EDF"/>
    <w:rPr>
      <w:i/>
    </w:rPr>
  </w:style>
  <w:style w:type="paragraph" w:customStyle="1" w:styleId="pf0">
    <w:name w:val="pf0"/>
    <w:basedOn w:val="Normal"/>
    <w:rsid w:val="0061051F"/>
    <w:pPr>
      <w:spacing w:before="100" w:beforeAutospacing="1" w:after="100" w:afterAutospacing="1"/>
      <w:jc w:val="left"/>
    </w:pPr>
    <w:rPr>
      <w:rFonts w:ascii="Times New Roman" w:hAnsi="Times New Roman" w:cs="Times New Roman"/>
    </w:rPr>
  </w:style>
  <w:style w:type="character" w:customStyle="1" w:styleId="cf01">
    <w:name w:val="cf01"/>
    <w:basedOn w:val="DefaultParagraphFont"/>
    <w:rsid w:val="0061051F"/>
    <w:rPr>
      <w:rFonts w:ascii="Segoe UI" w:hAnsi="Segoe UI" w:cs="Segoe UI" w:hint="default"/>
      <w:i/>
      <w:iCs/>
      <w:sz w:val="18"/>
      <w:szCs w:val="18"/>
    </w:rPr>
  </w:style>
  <w:style w:type="paragraph" w:customStyle="1" w:styleId="Covancedirections">
    <w:name w:val="Covance directions"/>
    <w:basedOn w:val="Normal"/>
    <w:qFormat/>
    <w:rsid w:val="00B70155"/>
    <w:pPr>
      <w:jc w:val="left"/>
    </w:pPr>
    <w:rPr>
      <w:rFonts w:eastAsia="Calibri"/>
      <w:i/>
      <w:color w:val="00B050"/>
      <w:sz w:val="20"/>
      <w:szCs w:val="20"/>
      <w:shd w:val="clear" w:color="auto" w:fill="FFFFFF"/>
      <w:lang w:eastAsia="zh-CN"/>
    </w:rPr>
  </w:style>
  <w:style w:type="paragraph" w:customStyle="1" w:styleId="2-SectionHeading">
    <w:name w:val="2-Section Heading"/>
    <w:qFormat/>
    <w:rsid w:val="000844DE"/>
    <w:pPr>
      <w:keepNext/>
      <w:spacing w:before="240" w:after="120"/>
      <w:ind w:left="720" w:hanging="720"/>
      <w:outlineLvl w:val="0"/>
    </w:pPr>
    <w:rPr>
      <w:rFonts w:asciiTheme="minorHAnsi" w:hAnsiTheme="minorHAnsi" w:cs="Arial"/>
      <w:b/>
      <w:snapToGrid w:val="0"/>
      <w:sz w:val="32"/>
      <w:szCs w:val="32"/>
    </w:rPr>
  </w:style>
  <w:style w:type="paragraph" w:customStyle="1" w:styleId="ExecSumBodyText">
    <w:name w:val="Exec Sum Body Text"/>
    <w:basedOn w:val="Normal"/>
    <w:link w:val="ExecSumBodyTextChar"/>
    <w:qFormat/>
    <w:rsid w:val="000844DE"/>
    <w:pPr>
      <w:spacing w:after="120"/>
      <w:ind w:left="720" w:hanging="720"/>
    </w:pPr>
    <w:rPr>
      <w:rFonts w:asciiTheme="minorHAnsi" w:hAnsiTheme="minorHAnsi"/>
      <w:snapToGrid w:val="0"/>
    </w:rPr>
  </w:style>
  <w:style w:type="character" w:customStyle="1" w:styleId="ExecSumBodyTextChar">
    <w:name w:val="Exec Sum Body Text Char"/>
    <w:basedOn w:val="DefaultParagraphFont"/>
    <w:link w:val="ExecSumBodyText"/>
    <w:rsid w:val="00F83D73"/>
    <w:rPr>
      <w:rFonts w:asciiTheme="minorHAnsi" w:hAnsiTheme="minorHAnsi" w:cs="Arial"/>
      <w:snapToGrid w:val="0"/>
      <w:sz w:val="24"/>
      <w:szCs w:val="24"/>
    </w:rPr>
  </w:style>
  <w:style w:type="character" w:customStyle="1" w:styleId="TableHeadingChar">
    <w:name w:val="Table Heading Char"/>
    <w:link w:val="TableHeading"/>
    <w:rsid w:val="00185040"/>
    <w:rPr>
      <w:rFonts w:ascii="Arial Narrow" w:eastAsiaTheme="minorHAnsi" w:hAnsi="Arial Narrow" w:cstheme="minorBidi"/>
      <w:b/>
      <w:szCs w:val="22"/>
      <w:lang w:eastAsia="en-US"/>
    </w:rPr>
  </w:style>
  <w:style w:type="character" w:customStyle="1" w:styleId="UnresolvedMention1">
    <w:name w:val="Unresolved Mention1"/>
    <w:basedOn w:val="DefaultParagraphFont"/>
    <w:uiPriority w:val="99"/>
    <w:semiHidden/>
    <w:unhideWhenUsed/>
    <w:rsid w:val="00DA491A"/>
    <w:rPr>
      <w:color w:val="605E5C"/>
      <w:shd w:val="clear" w:color="auto" w:fill="E1DFDD"/>
    </w:rPr>
  </w:style>
  <w:style w:type="character" w:customStyle="1" w:styleId="COMBodyChar0">
    <w:name w:val="COMBody Char"/>
    <w:basedOn w:val="DefaultParagraphFont"/>
    <w:link w:val="COMBody0"/>
    <w:locked/>
    <w:rsid w:val="00DA491A"/>
    <w:rPr>
      <w:rFonts w:ascii="Calibri" w:hAnsi="Calibri" w:cs="Arial"/>
      <w:sz w:val="24"/>
    </w:rPr>
  </w:style>
  <w:style w:type="paragraph" w:customStyle="1" w:styleId="COMBody0">
    <w:name w:val="COMBody"/>
    <w:basedOn w:val="Normal"/>
    <w:link w:val="COMBodyChar0"/>
    <w:qFormat/>
    <w:rsid w:val="00DA491A"/>
    <w:pPr>
      <w:widowControl w:val="0"/>
      <w:snapToGrid w:val="0"/>
    </w:pPr>
    <w:rPr>
      <w:szCs w:val="20"/>
    </w:rPr>
  </w:style>
  <w:style w:type="paragraph" w:customStyle="1" w:styleId="NormalBulletList2">
    <w:name w:val="Normal Bullet List 2"/>
    <w:basedOn w:val="Normal"/>
    <w:qFormat/>
    <w:rsid w:val="002174B1"/>
    <w:pPr>
      <w:numPr>
        <w:ilvl w:val="1"/>
        <w:numId w:val="21"/>
      </w:numPr>
      <w:spacing w:before="120" w:line="360" w:lineRule="auto"/>
      <w:ind w:left="709" w:hanging="357"/>
      <w:jc w:val="left"/>
    </w:pPr>
    <w:rPr>
      <w:rFonts w:cs="Times New Roman"/>
      <w:sz w:val="22"/>
      <w:szCs w:val="22"/>
      <w:lang w:eastAsia="en-US"/>
    </w:rPr>
  </w:style>
  <w:style w:type="paragraph" w:customStyle="1" w:styleId="Bulletpoints">
    <w:name w:val="Bullet points"/>
    <w:basedOn w:val="Normal"/>
    <w:rsid w:val="002F6665"/>
    <w:pPr>
      <w:spacing w:after="120"/>
      <w:ind w:left="720"/>
      <w:contextualSpacing/>
    </w:pPr>
    <w:rPr>
      <w:snapToGrid w:val="0"/>
    </w:rPr>
  </w:style>
  <w:style w:type="paragraph" w:customStyle="1" w:styleId="3-SubsectionHeading">
    <w:name w:val="3-Subsection Heading"/>
    <w:basedOn w:val="Heading2"/>
    <w:next w:val="Normal"/>
    <w:link w:val="3-SubsectionHeadingChar"/>
    <w:qFormat/>
    <w:rsid w:val="00804745"/>
    <w:pPr>
      <w:keepNext/>
      <w:spacing w:before="120" w:after="120"/>
      <w:jc w:val="both"/>
      <w:outlineLvl w:val="9"/>
    </w:pPr>
    <w:rPr>
      <w:rFonts w:asciiTheme="minorHAnsi" w:eastAsiaTheme="majorEastAsia" w:hAnsiTheme="minorHAnsi" w:cstheme="majorBidi"/>
      <w:spacing w:val="5"/>
      <w:kern w:val="28"/>
      <w:szCs w:val="36"/>
      <w:lang w:eastAsia="en-US"/>
    </w:rPr>
  </w:style>
  <w:style w:type="character" w:customStyle="1" w:styleId="3-SubsectionHeadingChar">
    <w:name w:val="3-Subsection Heading Char"/>
    <w:basedOn w:val="Heading2Char"/>
    <w:link w:val="3-SubsectionHeading"/>
    <w:rsid w:val="00804745"/>
    <w:rPr>
      <w:rFonts w:asciiTheme="minorHAnsi" w:eastAsiaTheme="majorEastAsia" w:hAnsiTheme="minorHAnsi" w:cstheme="majorBidi"/>
      <w:b/>
      <w:i/>
      <w:spacing w:val="5"/>
      <w:kern w:val="28"/>
      <w:sz w:val="28"/>
      <w:szCs w:val="36"/>
      <w:lang w:eastAsia="en-US"/>
    </w:rPr>
  </w:style>
  <w:style w:type="paragraph" w:styleId="NoSpacing">
    <w:name w:val="No Spacing"/>
    <w:uiPriority w:val="1"/>
    <w:qFormat/>
    <w:rsid w:val="00804745"/>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99914">
      <w:bodyDiv w:val="1"/>
      <w:marLeft w:val="0"/>
      <w:marRight w:val="0"/>
      <w:marTop w:val="0"/>
      <w:marBottom w:val="0"/>
      <w:divBdr>
        <w:top w:val="none" w:sz="0" w:space="0" w:color="auto"/>
        <w:left w:val="none" w:sz="0" w:space="0" w:color="auto"/>
        <w:bottom w:val="none" w:sz="0" w:space="0" w:color="auto"/>
        <w:right w:val="none" w:sz="0" w:space="0" w:color="auto"/>
      </w:divBdr>
    </w:div>
    <w:div w:id="30303742">
      <w:bodyDiv w:val="1"/>
      <w:marLeft w:val="0"/>
      <w:marRight w:val="0"/>
      <w:marTop w:val="0"/>
      <w:marBottom w:val="0"/>
      <w:divBdr>
        <w:top w:val="none" w:sz="0" w:space="0" w:color="auto"/>
        <w:left w:val="none" w:sz="0" w:space="0" w:color="auto"/>
        <w:bottom w:val="none" w:sz="0" w:space="0" w:color="auto"/>
        <w:right w:val="none" w:sz="0" w:space="0" w:color="auto"/>
      </w:divBdr>
      <w:divsChild>
        <w:div w:id="1513490613">
          <w:marLeft w:val="360"/>
          <w:marRight w:val="0"/>
          <w:marTop w:val="200"/>
          <w:marBottom w:val="0"/>
          <w:divBdr>
            <w:top w:val="none" w:sz="0" w:space="0" w:color="auto"/>
            <w:left w:val="none" w:sz="0" w:space="0" w:color="auto"/>
            <w:bottom w:val="none" w:sz="0" w:space="0" w:color="auto"/>
            <w:right w:val="none" w:sz="0" w:space="0" w:color="auto"/>
          </w:divBdr>
        </w:div>
        <w:div w:id="809178298">
          <w:marLeft w:val="360"/>
          <w:marRight w:val="0"/>
          <w:marTop w:val="200"/>
          <w:marBottom w:val="0"/>
          <w:divBdr>
            <w:top w:val="none" w:sz="0" w:space="0" w:color="auto"/>
            <w:left w:val="none" w:sz="0" w:space="0" w:color="auto"/>
            <w:bottom w:val="none" w:sz="0" w:space="0" w:color="auto"/>
            <w:right w:val="none" w:sz="0" w:space="0" w:color="auto"/>
          </w:divBdr>
        </w:div>
        <w:div w:id="1823813934">
          <w:marLeft w:val="1080"/>
          <w:marRight w:val="0"/>
          <w:marTop w:val="100"/>
          <w:marBottom w:val="0"/>
          <w:divBdr>
            <w:top w:val="none" w:sz="0" w:space="0" w:color="auto"/>
            <w:left w:val="none" w:sz="0" w:space="0" w:color="auto"/>
            <w:bottom w:val="none" w:sz="0" w:space="0" w:color="auto"/>
            <w:right w:val="none" w:sz="0" w:space="0" w:color="auto"/>
          </w:divBdr>
        </w:div>
        <w:div w:id="1662854789">
          <w:marLeft w:val="1080"/>
          <w:marRight w:val="0"/>
          <w:marTop w:val="100"/>
          <w:marBottom w:val="0"/>
          <w:divBdr>
            <w:top w:val="none" w:sz="0" w:space="0" w:color="auto"/>
            <w:left w:val="none" w:sz="0" w:space="0" w:color="auto"/>
            <w:bottom w:val="none" w:sz="0" w:space="0" w:color="auto"/>
            <w:right w:val="none" w:sz="0" w:space="0" w:color="auto"/>
          </w:divBdr>
        </w:div>
        <w:div w:id="1146750214">
          <w:marLeft w:val="1800"/>
          <w:marRight w:val="0"/>
          <w:marTop w:val="100"/>
          <w:marBottom w:val="0"/>
          <w:divBdr>
            <w:top w:val="none" w:sz="0" w:space="0" w:color="auto"/>
            <w:left w:val="none" w:sz="0" w:space="0" w:color="auto"/>
            <w:bottom w:val="none" w:sz="0" w:space="0" w:color="auto"/>
            <w:right w:val="none" w:sz="0" w:space="0" w:color="auto"/>
          </w:divBdr>
        </w:div>
        <w:div w:id="1608928984">
          <w:marLeft w:val="1800"/>
          <w:marRight w:val="0"/>
          <w:marTop w:val="100"/>
          <w:marBottom w:val="0"/>
          <w:divBdr>
            <w:top w:val="none" w:sz="0" w:space="0" w:color="auto"/>
            <w:left w:val="none" w:sz="0" w:space="0" w:color="auto"/>
            <w:bottom w:val="none" w:sz="0" w:space="0" w:color="auto"/>
            <w:right w:val="none" w:sz="0" w:space="0" w:color="auto"/>
          </w:divBdr>
        </w:div>
        <w:div w:id="1120107943">
          <w:marLeft w:val="1800"/>
          <w:marRight w:val="0"/>
          <w:marTop w:val="100"/>
          <w:marBottom w:val="0"/>
          <w:divBdr>
            <w:top w:val="none" w:sz="0" w:space="0" w:color="auto"/>
            <w:left w:val="none" w:sz="0" w:space="0" w:color="auto"/>
            <w:bottom w:val="none" w:sz="0" w:space="0" w:color="auto"/>
            <w:right w:val="none" w:sz="0" w:space="0" w:color="auto"/>
          </w:divBdr>
        </w:div>
        <w:div w:id="612981886">
          <w:marLeft w:val="1800"/>
          <w:marRight w:val="0"/>
          <w:marTop w:val="100"/>
          <w:marBottom w:val="0"/>
          <w:divBdr>
            <w:top w:val="none" w:sz="0" w:space="0" w:color="auto"/>
            <w:left w:val="none" w:sz="0" w:space="0" w:color="auto"/>
            <w:bottom w:val="none" w:sz="0" w:space="0" w:color="auto"/>
            <w:right w:val="none" w:sz="0" w:space="0" w:color="auto"/>
          </w:divBdr>
        </w:div>
        <w:div w:id="1014527807">
          <w:marLeft w:val="1800"/>
          <w:marRight w:val="0"/>
          <w:marTop w:val="100"/>
          <w:marBottom w:val="0"/>
          <w:divBdr>
            <w:top w:val="none" w:sz="0" w:space="0" w:color="auto"/>
            <w:left w:val="none" w:sz="0" w:space="0" w:color="auto"/>
            <w:bottom w:val="none" w:sz="0" w:space="0" w:color="auto"/>
            <w:right w:val="none" w:sz="0" w:space="0" w:color="auto"/>
          </w:divBdr>
        </w:div>
        <w:div w:id="1515152131">
          <w:marLeft w:val="1800"/>
          <w:marRight w:val="0"/>
          <w:marTop w:val="100"/>
          <w:marBottom w:val="0"/>
          <w:divBdr>
            <w:top w:val="none" w:sz="0" w:space="0" w:color="auto"/>
            <w:left w:val="none" w:sz="0" w:space="0" w:color="auto"/>
            <w:bottom w:val="none" w:sz="0" w:space="0" w:color="auto"/>
            <w:right w:val="none" w:sz="0" w:space="0" w:color="auto"/>
          </w:divBdr>
        </w:div>
      </w:divsChild>
    </w:div>
    <w:div w:id="100999308">
      <w:bodyDiv w:val="1"/>
      <w:marLeft w:val="0"/>
      <w:marRight w:val="0"/>
      <w:marTop w:val="0"/>
      <w:marBottom w:val="0"/>
      <w:divBdr>
        <w:top w:val="none" w:sz="0" w:space="0" w:color="auto"/>
        <w:left w:val="none" w:sz="0" w:space="0" w:color="auto"/>
        <w:bottom w:val="none" w:sz="0" w:space="0" w:color="auto"/>
        <w:right w:val="none" w:sz="0" w:space="0" w:color="auto"/>
      </w:divBdr>
    </w:div>
    <w:div w:id="111094126">
      <w:bodyDiv w:val="1"/>
      <w:marLeft w:val="0"/>
      <w:marRight w:val="0"/>
      <w:marTop w:val="0"/>
      <w:marBottom w:val="0"/>
      <w:divBdr>
        <w:top w:val="none" w:sz="0" w:space="0" w:color="auto"/>
        <w:left w:val="none" w:sz="0" w:space="0" w:color="auto"/>
        <w:bottom w:val="none" w:sz="0" w:space="0" w:color="auto"/>
        <w:right w:val="none" w:sz="0" w:space="0" w:color="auto"/>
      </w:divBdr>
    </w:div>
    <w:div w:id="121578584">
      <w:bodyDiv w:val="1"/>
      <w:marLeft w:val="0"/>
      <w:marRight w:val="0"/>
      <w:marTop w:val="0"/>
      <w:marBottom w:val="0"/>
      <w:divBdr>
        <w:top w:val="none" w:sz="0" w:space="0" w:color="auto"/>
        <w:left w:val="none" w:sz="0" w:space="0" w:color="auto"/>
        <w:bottom w:val="none" w:sz="0" w:space="0" w:color="auto"/>
        <w:right w:val="none" w:sz="0" w:space="0" w:color="auto"/>
      </w:divBdr>
    </w:div>
    <w:div w:id="316298999">
      <w:bodyDiv w:val="1"/>
      <w:marLeft w:val="0"/>
      <w:marRight w:val="0"/>
      <w:marTop w:val="0"/>
      <w:marBottom w:val="0"/>
      <w:divBdr>
        <w:top w:val="none" w:sz="0" w:space="0" w:color="auto"/>
        <w:left w:val="none" w:sz="0" w:space="0" w:color="auto"/>
        <w:bottom w:val="none" w:sz="0" w:space="0" w:color="auto"/>
        <w:right w:val="none" w:sz="0" w:space="0" w:color="auto"/>
      </w:divBdr>
    </w:div>
    <w:div w:id="514002068">
      <w:bodyDiv w:val="1"/>
      <w:marLeft w:val="0"/>
      <w:marRight w:val="0"/>
      <w:marTop w:val="0"/>
      <w:marBottom w:val="0"/>
      <w:divBdr>
        <w:top w:val="none" w:sz="0" w:space="0" w:color="auto"/>
        <w:left w:val="none" w:sz="0" w:space="0" w:color="auto"/>
        <w:bottom w:val="none" w:sz="0" w:space="0" w:color="auto"/>
        <w:right w:val="none" w:sz="0" w:space="0" w:color="auto"/>
      </w:divBdr>
      <w:divsChild>
        <w:div w:id="1823154102">
          <w:marLeft w:val="360"/>
          <w:marRight w:val="0"/>
          <w:marTop w:val="200"/>
          <w:marBottom w:val="0"/>
          <w:divBdr>
            <w:top w:val="none" w:sz="0" w:space="0" w:color="auto"/>
            <w:left w:val="none" w:sz="0" w:space="0" w:color="auto"/>
            <w:bottom w:val="none" w:sz="0" w:space="0" w:color="auto"/>
            <w:right w:val="none" w:sz="0" w:space="0" w:color="auto"/>
          </w:divBdr>
        </w:div>
        <w:div w:id="1931700334">
          <w:marLeft w:val="360"/>
          <w:marRight w:val="0"/>
          <w:marTop w:val="200"/>
          <w:marBottom w:val="0"/>
          <w:divBdr>
            <w:top w:val="none" w:sz="0" w:space="0" w:color="auto"/>
            <w:left w:val="none" w:sz="0" w:space="0" w:color="auto"/>
            <w:bottom w:val="none" w:sz="0" w:space="0" w:color="auto"/>
            <w:right w:val="none" w:sz="0" w:space="0" w:color="auto"/>
          </w:divBdr>
        </w:div>
        <w:div w:id="1780369333">
          <w:marLeft w:val="360"/>
          <w:marRight w:val="0"/>
          <w:marTop w:val="200"/>
          <w:marBottom w:val="0"/>
          <w:divBdr>
            <w:top w:val="none" w:sz="0" w:space="0" w:color="auto"/>
            <w:left w:val="none" w:sz="0" w:space="0" w:color="auto"/>
            <w:bottom w:val="none" w:sz="0" w:space="0" w:color="auto"/>
            <w:right w:val="none" w:sz="0" w:space="0" w:color="auto"/>
          </w:divBdr>
        </w:div>
        <w:div w:id="121311577">
          <w:marLeft w:val="360"/>
          <w:marRight w:val="0"/>
          <w:marTop w:val="200"/>
          <w:marBottom w:val="0"/>
          <w:divBdr>
            <w:top w:val="none" w:sz="0" w:space="0" w:color="auto"/>
            <w:left w:val="none" w:sz="0" w:space="0" w:color="auto"/>
            <w:bottom w:val="none" w:sz="0" w:space="0" w:color="auto"/>
            <w:right w:val="none" w:sz="0" w:space="0" w:color="auto"/>
          </w:divBdr>
        </w:div>
      </w:divsChild>
    </w:div>
    <w:div w:id="794325483">
      <w:bodyDiv w:val="1"/>
      <w:marLeft w:val="0"/>
      <w:marRight w:val="0"/>
      <w:marTop w:val="0"/>
      <w:marBottom w:val="0"/>
      <w:divBdr>
        <w:top w:val="none" w:sz="0" w:space="0" w:color="auto"/>
        <w:left w:val="none" w:sz="0" w:space="0" w:color="auto"/>
        <w:bottom w:val="none" w:sz="0" w:space="0" w:color="auto"/>
        <w:right w:val="none" w:sz="0" w:space="0" w:color="auto"/>
      </w:divBdr>
      <w:divsChild>
        <w:div w:id="1710491930">
          <w:marLeft w:val="1080"/>
          <w:marRight w:val="0"/>
          <w:marTop w:val="100"/>
          <w:marBottom w:val="0"/>
          <w:divBdr>
            <w:top w:val="none" w:sz="0" w:space="0" w:color="auto"/>
            <w:left w:val="none" w:sz="0" w:space="0" w:color="auto"/>
            <w:bottom w:val="none" w:sz="0" w:space="0" w:color="auto"/>
            <w:right w:val="none" w:sz="0" w:space="0" w:color="auto"/>
          </w:divBdr>
        </w:div>
      </w:divsChild>
    </w:div>
    <w:div w:id="831333547">
      <w:bodyDiv w:val="1"/>
      <w:marLeft w:val="0"/>
      <w:marRight w:val="0"/>
      <w:marTop w:val="0"/>
      <w:marBottom w:val="0"/>
      <w:divBdr>
        <w:top w:val="none" w:sz="0" w:space="0" w:color="auto"/>
        <w:left w:val="none" w:sz="0" w:space="0" w:color="auto"/>
        <w:bottom w:val="none" w:sz="0" w:space="0" w:color="auto"/>
        <w:right w:val="none" w:sz="0" w:space="0" w:color="auto"/>
      </w:divBdr>
    </w:div>
    <w:div w:id="852693076">
      <w:bodyDiv w:val="1"/>
      <w:marLeft w:val="0"/>
      <w:marRight w:val="0"/>
      <w:marTop w:val="0"/>
      <w:marBottom w:val="0"/>
      <w:divBdr>
        <w:top w:val="none" w:sz="0" w:space="0" w:color="auto"/>
        <w:left w:val="none" w:sz="0" w:space="0" w:color="auto"/>
        <w:bottom w:val="none" w:sz="0" w:space="0" w:color="auto"/>
        <w:right w:val="none" w:sz="0" w:space="0" w:color="auto"/>
      </w:divBdr>
      <w:divsChild>
        <w:div w:id="1590037212">
          <w:marLeft w:val="360"/>
          <w:marRight w:val="0"/>
          <w:marTop w:val="200"/>
          <w:marBottom w:val="0"/>
          <w:divBdr>
            <w:top w:val="none" w:sz="0" w:space="0" w:color="auto"/>
            <w:left w:val="none" w:sz="0" w:space="0" w:color="auto"/>
            <w:bottom w:val="none" w:sz="0" w:space="0" w:color="auto"/>
            <w:right w:val="none" w:sz="0" w:space="0" w:color="auto"/>
          </w:divBdr>
        </w:div>
        <w:div w:id="2010984974">
          <w:marLeft w:val="360"/>
          <w:marRight w:val="0"/>
          <w:marTop w:val="200"/>
          <w:marBottom w:val="0"/>
          <w:divBdr>
            <w:top w:val="none" w:sz="0" w:space="0" w:color="auto"/>
            <w:left w:val="none" w:sz="0" w:space="0" w:color="auto"/>
            <w:bottom w:val="none" w:sz="0" w:space="0" w:color="auto"/>
            <w:right w:val="none" w:sz="0" w:space="0" w:color="auto"/>
          </w:divBdr>
        </w:div>
        <w:div w:id="1824003787">
          <w:marLeft w:val="360"/>
          <w:marRight w:val="0"/>
          <w:marTop w:val="200"/>
          <w:marBottom w:val="0"/>
          <w:divBdr>
            <w:top w:val="none" w:sz="0" w:space="0" w:color="auto"/>
            <w:left w:val="none" w:sz="0" w:space="0" w:color="auto"/>
            <w:bottom w:val="none" w:sz="0" w:space="0" w:color="auto"/>
            <w:right w:val="none" w:sz="0" w:space="0" w:color="auto"/>
          </w:divBdr>
        </w:div>
        <w:div w:id="1728726125">
          <w:marLeft w:val="360"/>
          <w:marRight w:val="0"/>
          <w:marTop w:val="200"/>
          <w:marBottom w:val="0"/>
          <w:divBdr>
            <w:top w:val="none" w:sz="0" w:space="0" w:color="auto"/>
            <w:left w:val="none" w:sz="0" w:space="0" w:color="auto"/>
            <w:bottom w:val="none" w:sz="0" w:space="0" w:color="auto"/>
            <w:right w:val="none" w:sz="0" w:space="0" w:color="auto"/>
          </w:divBdr>
        </w:div>
      </w:divsChild>
    </w:div>
    <w:div w:id="873466167">
      <w:bodyDiv w:val="1"/>
      <w:marLeft w:val="0"/>
      <w:marRight w:val="0"/>
      <w:marTop w:val="0"/>
      <w:marBottom w:val="0"/>
      <w:divBdr>
        <w:top w:val="none" w:sz="0" w:space="0" w:color="auto"/>
        <w:left w:val="none" w:sz="0" w:space="0" w:color="auto"/>
        <w:bottom w:val="none" w:sz="0" w:space="0" w:color="auto"/>
        <w:right w:val="none" w:sz="0" w:space="0" w:color="auto"/>
      </w:divBdr>
      <w:divsChild>
        <w:div w:id="1886066913">
          <w:marLeft w:val="360"/>
          <w:marRight w:val="0"/>
          <w:marTop w:val="200"/>
          <w:marBottom w:val="0"/>
          <w:divBdr>
            <w:top w:val="none" w:sz="0" w:space="0" w:color="auto"/>
            <w:left w:val="none" w:sz="0" w:space="0" w:color="auto"/>
            <w:bottom w:val="none" w:sz="0" w:space="0" w:color="auto"/>
            <w:right w:val="none" w:sz="0" w:space="0" w:color="auto"/>
          </w:divBdr>
        </w:div>
        <w:div w:id="174265920">
          <w:marLeft w:val="360"/>
          <w:marRight w:val="0"/>
          <w:marTop w:val="200"/>
          <w:marBottom w:val="0"/>
          <w:divBdr>
            <w:top w:val="none" w:sz="0" w:space="0" w:color="auto"/>
            <w:left w:val="none" w:sz="0" w:space="0" w:color="auto"/>
            <w:bottom w:val="none" w:sz="0" w:space="0" w:color="auto"/>
            <w:right w:val="none" w:sz="0" w:space="0" w:color="auto"/>
          </w:divBdr>
        </w:div>
        <w:div w:id="1683630004">
          <w:marLeft w:val="1080"/>
          <w:marRight w:val="0"/>
          <w:marTop w:val="100"/>
          <w:marBottom w:val="0"/>
          <w:divBdr>
            <w:top w:val="none" w:sz="0" w:space="0" w:color="auto"/>
            <w:left w:val="none" w:sz="0" w:space="0" w:color="auto"/>
            <w:bottom w:val="none" w:sz="0" w:space="0" w:color="auto"/>
            <w:right w:val="none" w:sz="0" w:space="0" w:color="auto"/>
          </w:divBdr>
        </w:div>
      </w:divsChild>
    </w:div>
    <w:div w:id="913583443">
      <w:bodyDiv w:val="1"/>
      <w:marLeft w:val="0"/>
      <w:marRight w:val="0"/>
      <w:marTop w:val="0"/>
      <w:marBottom w:val="0"/>
      <w:divBdr>
        <w:top w:val="none" w:sz="0" w:space="0" w:color="auto"/>
        <w:left w:val="none" w:sz="0" w:space="0" w:color="auto"/>
        <w:bottom w:val="none" w:sz="0" w:space="0" w:color="auto"/>
        <w:right w:val="none" w:sz="0" w:space="0" w:color="auto"/>
      </w:divBdr>
    </w:div>
    <w:div w:id="1041398122">
      <w:bodyDiv w:val="1"/>
      <w:marLeft w:val="0"/>
      <w:marRight w:val="0"/>
      <w:marTop w:val="0"/>
      <w:marBottom w:val="0"/>
      <w:divBdr>
        <w:top w:val="none" w:sz="0" w:space="0" w:color="auto"/>
        <w:left w:val="none" w:sz="0" w:space="0" w:color="auto"/>
        <w:bottom w:val="none" w:sz="0" w:space="0" w:color="auto"/>
        <w:right w:val="none" w:sz="0" w:space="0" w:color="auto"/>
      </w:divBdr>
      <w:divsChild>
        <w:div w:id="1306469984">
          <w:marLeft w:val="360"/>
          <w:marRight w:val="0"/>
          <w:marTop w:val="200"/>
          <w:marBottom w:val="0"/>
          <w:divBdr>
            <w:top w:val="none" w:sz="0" w:space="0" w:color="auto"/>
            <w:left w:val="none" w:sz="0" w:space="0" w:color="auto"/>
            <w:bottom w:val="none" w:sz="0" w:space="0" w:color="auto"/>
            <w:right w:val="none" w:sz="0" w:space="0" w:color="auto"/>
          </w:divBdr>
        </w:div>
        <w:div w:id="671296353">
          <w:marLeft w:val="1080"/>
          <w:marRight w:val="0"/>
          <w:marTop w:val="100"/>
          <w:marBottom w:val="0"/>
          <w:divBdr>
            <w:top w:val="none" w:sz="0" w:space="0" w:color="auto"/>
            <w:left w:val="none" w:sz="0" w:space="0" w:color="auto"/>
            <w:bottom w:val="none" w:sz="0" w:space="0" w:color="auto"/>
            <w:right w:val="none" w:sz="0" w:space="0" w:color="auto"/>
          </w:divBdr>
        </w:div>
      </w:divsChild>
    </w:div>
    <w:div w:id="1059749188">
      <w:bodyDiv w:val="1"/>
      <w:marLeft w:val="0"/>
      <w:marRight w:val="0"/>
      <w:marTop w:val="0"/>
      <w:marBottom w:val="0"/>
      <w:divBdr>
        <w:top w:val="none" w:sz="0" w:space="0" w:color="auto"/>
        <w:left w:val="none" w:sz="0" w:space="0" w:color="auto"/>
        <w:bottom w:val="none" w:sz="0" w:space="0" w:color="auto"/>
        <w:right w:val="none" w:sz="0" w:space="0" w:color="auto"/>
      </w:divBdr>
    </w:div>
    <w:div w:id="1154754881">
      <w:bodyDiv w:val="1"/>
      <w:marLeft w:val="0"/>
      <w:marRight w:val="0"/>
      <w:marTop w:val="0"/>
      <w:marBottom w:val="0"/>
      <w:divBdr>
        <w:top w:val="none" w:sz="0" w:space="0" w:color="auto"/>
        <w:left w:val="none" w:sz="0" w:space="0" w:color="auto"/>
        <w:bottom w:val="none" w:sz="0" w:space="0" w:color="auto"/>
        <w:right w:val="none" w:sz="0" w:space="0" w:color="auto"/>
      </w:divBdr>
    </w:div>
    <w:div w:id="1173183840">
      <w:bodyDiv w:val="1"/>
      <w:marLeft w:val="0"/>
      <w:marRight w:val="0"/>
      <w:marTop w:val="0"/>
      <w:marBottom w:val="0"/>
      <w:divBdr>
        <w:top w:val="none" w:sz="0" w:space="0" w:color="auto"/>
        <w:left w:val="none" w:sz="0" w:space="0" w:color="auto"/>
        <w:bottom w:val="none" w:sz="0" w:space="0" w:color="auto"/>
        <w:right w:val="none" w:sz="0" w:space="0" w:color="auto"/>
      </w:divBdr>
      <w:divsChild>
        <w:div w:id="574321363">
          <w:marLeft w:val="0"/>
          <w:marRight w:val="0"/>
          <w:marTop w:val="0"/>
          <w:marBottom w:val="0"/>
          <w:divBdr>
            <w:top w:val="none" w:sz="0" w:space="0" w:color="auto"/>
            <w:left w:val="none" w:sz="0" w:space="0" w:color="auto"/>
            <w:bottom w:val="none" w:sz="0" w:space="0" w:color="auto"/>
            <w:right w:val="none" w:sz="0" w:space="0" w:color="auto"/>
          </w:divBdr>
          <w:divsChild>
            <w:div w:id="114407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093063">
      <w:bodyDiv w:val="1"/>
      <w:marLeft w:val="0"/>
      <w:marRight w:val="0"/>
      <w:marTop w:val="0"/>
      <w:marBottom w:val="0"/>
      <w:divBdr>
        <w:top w:val="none" w:sz="0" w:space="0" w:color="auto"/>
        <w:left w:val="none" w:sz="0" w:space="0" w:color="auto"/>
        <w:bottom w:val="none" w:sz="0" w:space="0" w:color="auto"/>
        <w:right w:val="none" w:sz="0" w:space="0" w:color="auto"/>
      </w:divBdr>
    </w:div>
    <w:div w:id="1227960595">
      <w:bodyDiv w:val="1"/>
      <w:marLeft w:val="0"/>
      <w:marRight w:val="0"/>
      <w:marTop w:val="0"/>
      <w:marBottom w:val="0"/>
      <w:divBdr>
        <w:top w:val="none" w:sz="0" w:space="0" w:color="auto"/>
        <w:left w:val="none" w:sz="0" w:space="0" w:color="auto"/>
        <w:bottom w:val="none" w:sz="0" w:space="0" w:color="auto"/>
        <w:right w:val="none" w:sz="0" w:space="0" w:color="auto"/>
      </w:divBdr>
    </w:div>
    <w:div w:id="1244216312">
      <w:bodyDiv w:val="1"/>
      <w:marLeft w:val="0"/>
      <w:marRight w:val="0"/>
      <w:marTop w:val="0"/>
      <w:marBottom w:val="0"/>
      <w:divBdr>
        <w:top w:val="none" w:sz="0" w:space="0" w:color="auto"/>
        <w:left w:val="none" w:sz="0" w:space="0" w:color="auto"/>
        <w:bottom w:val="none" w:sz="0" w:space="0" w:color="auto"/>
        <w:right w:val="none" w:sz="0" w:space="0" w:color="auto"/>
      </w:divBdr>
    </w:div>
    <w:div w:id="1320108768">
      <w:bodyDiv w:val="1"/>
      <w:marLeft w:val="0"/>
      <w:marRight w:val="0"/>
      <w:marTop w:val="0"/>
      <w:marBottom w:val="0"/>
      <w:divBdr>
        <w:top w:val="none" w:sz="0" w:space="0" w:color="auto"/>
        <w:left w:val="none" w:sz="0" w:space="0" w:color="auto"/>
        <w:bottom w:val="none" w:sz="0" w:space="0" w:color="auto"/>
        <w:right w:val="none" w:sz="0" w:space="0" w:color="auto"/>
      </w:divBdr>
    </w:div>
    <w:div w:id="1493250810">
      <w:bodyDiv w:val="1"/>
      <w:marLeft w:val="0"/>
      <w:marRight w:val="0"/>
      <w:marTop w:val="0"/>
      <w:marBottom w:val="0"/>
      <w:divBdr>
        <w:top w:val="none" w:sz="0" w:space="0" w:color="auto"/>
        <w:left w:val="none" w:sz="0" w:space="0" w:color="auto"/>
        <w:bottom w:val="none" w:sz="0" w:space="0" w:color="auto"/>
        <w:right w:val="none" w:sz="0" w:space="0" w:color="auto"/>
      </w:divBdr>
      <w:divsChild>
        <w:div w:id="419065774">
          <w:marLeft w:val="360"/>
          <w:marRight w:val="0"/>
          <w:marTop w:val="200"/>
          <w:marBottom w:val="0"/>
          <w:divBdr>
            <w:top w:val="none" w:sz="0" w:space="0" w:color="auto"/>
            <w:left w:val="none" w:sz="0" w:space="0" w:color="auto"/>
            <w:bottom w:val="none" w:sz="0" w:space="0" w:color="auto"/>
            <w:right w:val="none" w:sz="0" w:space="0" w:color="auto"/>
          </w:divBdr>
        </w:div>
        <w:div w:id="993068985">
          <w:marLeft w:val="360"/>
          <w:marRight w:val="0"/>
          <w:marTop w:val="200"/>
          <w:marBottom w:val="0"/>
          <w:divBdr>
            <w:top w:val="none" w:sz="0" w:space="0" w:color="auto"/>
            <w:left w:val="none" w:sz="0" w:space="0" w:color="auto"/>
            <w:bottom w:val="none" w:sz="0" w:space="0" w:color="auto"/>
            <w:right w:val="none" w:sz="0" w:space="0" w:color="auto"/>
          </w:divBdr>
        </w:div>
      </w:divsChild>
    </w:div>
    <w:div w:id="1838154640">
      <w:bodyDiv w:val="1"/>
      <w:marLeft w:val="0"/>
      <w:marRight w:val="0"/>
      <w:marTop w:val="0"/>
      <w:marBottom w:val="0"/>
      <w:divBdr>
        <w:top w:val="none" w:sz="0" w:space="0" w:color="auto"/>
        <w:left w:val="none" w:sz="0" w:space="0" w:color="auto"/>
        <w:bottom w:val="none" w:sz="0" w:space="0" w:color="auto"/>
        <w:right w:val="none" w:sz="0" w:space="0" w:color="auto"/>
      </w:divBdr>
    </w:div>
    <w:div w:id="1953391969">
      <w:bodyDiv w:val="1"/>
      <w:marLeft w:val="0"/>
      <w:marRight w:val="0"/>
      <w:marTop w:val="0"/>
      <w:marBottom w:val="0"/>
      <w:divBdr>
        <w:top w:val="none" w:sz="0" w:space="0" w:color="auto"/>
        <w:left w:val="none" w:sz="0" w:space="0" w:color="auto"/>
        <w:bottom w:val="none" w:sz="0" w:space="0" w:color="auto"/>
        <w:right w:val="none" w:sz="0" w:space="0" w:color="auto"/>
      </w:divBdr>
    </w:div>
    <w:div w:id="2010793023">
      <w:bodyDiv w:val="1"/>
      <w:marLeft w:val="0"/>
      <w:marRight w:val="0"/>
      <w:marTop w:val="0"/>
      <w:marBottom w:val="0"/>
      <w:divBdr>
        <w:top w:val="none" w:sz="0" w:space="0" w:color="auto"/>
        <w:left w:val="none" w:sz="0" w:space="0" w:color="auto"/>
        <w:bottom w:val="none" w:sz="0" w:space="0" w:color="auto"/>
        <w:right w:val="none" w:sz="0" w:space="0" w:color="auto"/>
      </w:divBdr>
      <w:divsChild>
        <w:div w:id="908074263">
          <w:marLeft w:val="360"/>
          <w:marRight w:val="0"/>
          <w:marTop w:val="200"/>
          <w:marBottom w:val="0"/>
          <w:divBdr>
            <w:top w:val="none" w:sz="0" w:space="0" w:color="auto"/>
            <w:left w:val="none" w:sz="0" w:space="0" w:color="auto"/>
            <w:bottom w:val="none" w:sz="0" w:space="0" w:color="auto"/>
            <w:right w:val="none" w:sz="0" w:space="0" w:color="auto"/>
          </w:divBdr>
        </w:div>
        <w:div w:id="828860714">
          <w:marLeft w:val="1080"/>
          <w:marRight w:val="0"/>
          <w:marTop w:val="100"/>
          <w:marBottom w:val="0"/>
          <w:divBdr>
            <w:top w:val="none" w:sz="0" w:space="0" w:color="auto"/>
            <w:left w:val="none" w:sz="0" w:space="0" w:color="auto"/>
            <w:bottom w:val="none" w:sz="0" w:space="0" w:color="auto"/>
            <w:right w:val="none" w:sz="0" w:space="0" w:color="auto"/>
          </w:divBdr>
        </w:div>
        <w:div w:id="201207471">
          <w:marLeft w:val="1080"/>
          <w:marRight w:val="0"/>
          <w:marTop w:val="100"/>
          <w:marBottom w:val="0"/>
          <w:divBdr>
            <w:top w:val="none" w:sz="0" w:space="0" w:color="auto"/>
            <w:left w:val="none" w:sz="0" w:space="0" w:color="auto"/>
            <w:bottom w:val="none" w:sz="0" w:space="0" w:color="auto"/>
            <w:right w:val="none" w:sz="0" w:space="0" w:color="auto"/>
          </w:divBdr>
        </w:div>
      </w:divsChild>
    </w:div>
    <w:div w:id="20249336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4.png"/><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E83014-4E88-420D-9D25-5F827ED8DA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52</Pages>
  <Words>22508</Words>
  <Characters>128296</Characters>
  <Application>Microsoft Office Word</Application>
  <DocSecurity>0</DocSecurity>
  <Lines>1069</Lines>
  <Paragraphs>301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150503</CharactersWithSpaces>
  <SharedDoc>false</SharedDoc>
  <HLinks>
    <vt:vector size="450" baseType="variant">
      <vt:variant>
        <vt:i4>2621555</vt:i4>
      </vt:variant>
      <vt:variant>
        <vt:i4>561</vt:i4>
      </vt:variant>
      <vt:variant>
        <vt:i4>0</vt:i4>
      </vt:variant>
      <vt:variant>
        <vt:i4>5</vt:i4>
      </vt:variant>
      <vt:variant>
        <vt:lpwstr>http://www.sign.ac.uk/</vt:lpwstr>
      </vt:variant>
      <vt:variant>
        <vt:lpwstr/>
      </vt:variant>
      <vt:variant>
        <vt:i4>1048626</vt:i4>
      </vt:variant>
      <vt:variant>
        <vt:i4>440</vt:i4>
      </vt:variant>
      <vt:variant>
        <vt:i4>0</vt:i4>
      </vt:variant>
      <vt:variant>
        <vt:i4>5</vt:i4>
      </vt:variant>
      <vt:variant>
        <vt:lpwstr/>
      </vt:variant>
      <vt:variant>
        <vt:lpwstr>_Toc107927690</vt:lpwstr>
      </vt:variant>
      <vt:variant>
        <vt:i4>1114162</vt:i4>
      </vt:variant>
      <vt:variant>
        <vt:i4>434</vt:i4>
      </vt:variant>
      <vt:variant>
        <vt:i4>0</vt:i4>
      </vt:variant>
      <vt:variant>
        <vt:i4>5</vt:i4>
      </vt:variant>
      <vt:variant>
        <vt:lpwstr/>
      </vt:variant>
      <vt:variant>
        <vt:lpwstr>_Toc107927689</vt:lpwstr>
      </vt:variant>
      <vt:variant>
        <vt:i4>1114162</vt:i4>
      </vt:variant>
      <vt:variant>
        <vt:i4>428</vt:i4>
      </vt:variant>
      <vt:variant>
        <vt:i4>0</vt:i4>
      </vt:variant>
      <vt:variant>
        <vt:i4>5</vt:i4>
      </vt:variant>
      <vt:variant>
        <vt:lpwstr/>
      </vt:variant>
      <vt:variant>
        <vt:lpwstr>_Toc107927688</vt:lpwstr>
      </vt:variant>
      <vt:variant>
        <vt:i4>1114162</vt:i4>
      </vt:variant>
      <vt:variant>
        <vt:i4>422</vt:i4>
      </vt:variant>
      <vt:variant>
        <vt:i4>0</vt:i4>
      </vt:variant>
      <vt:variant>
        <vt:i4>5</vt:i4>
      </vt:variant>
      <vt:variant>
        <vt:lpwstr/>
      </vt:variant>
      <vt:variant>
        <vt:lpwstr>_Toc107927687</vt:lpwstr>
      </vt:variant>
      <vt:variant>
        <vt:i4>1114162</vt:i4>
      </vt:variant>
      <vt:variant>
        <vt:i4>416</vt:i4>
      </vt:variant>
      <vt:variant>
        <vt:i4>0</vt:i4>
      </vt:variant>
      <vt:variant>
        <vt:i4>5</vt:i4>
      </vt:variant>
      <vt:variant>
        <vt:lpwstr/>
      </vt:variant>
      <vt:variant>
        <vt:lpwstr>_Toc107927686</vt:lpwstr>
      </vt:variant>
      <vt:variant>
        <vt:i4>1114162</vt:i4>
      </vt:variant>
      <vt:variant>
        <vt:i4>410</vt:i4>
      </vt:variant>
      <vt:variant>
        <vt:i4>0</vt:i4>
      </vt:variant>
      <vt:variant>
        <vt:i4>5</vt:i4>
      </vt:variant>
      <vt:variant>
        <vt:lpwstr/>
      </vt:variant>
      <vt:variant>
        <vt:lpwstr>_Toc107927685</vt:lpwstr>
      </vt:variant>
      <vt:variant>
        <vt:i4>1114162</vt:i4>
      </vt:variant>
      <vt:variant>
        <vt:i4>404</vt:i4>
      </vt:variant>
      <vt:variant>
        <vt:i4>0</vt:i4>
      </vt:variant>
      <vt:variant>
        <vt:i4>5</vt:i4>
      </vt:variant>
      <vt:variant>
        <vt:lpwstr/>
      </vt:variant>
      <vt:variant>
        <vt:lpwstr>_Toc107927684</vt:lpwstr>
      </vt:variant>
      <vt:variant>
        <vt:i4>1114162</vt:i4>
      </vt:variant>
      <vt:variant>
        <vt:i4>398</vt:i4>
      </vt:variant>
      <vt:variant>
        <vt:i4>0</vt:i4>
      </vt:variant>
      <vt:variant>
        <vt:i4>5</vt:i4>
      </vt:variant>
      <vt:variant>
        <vt:lpwstr/>
      </vt:variant>
      <vt:variant>
        <vt:lpwstr>_Toc107927683</vt:lpwstr>
      </vt:variant>
      <vt:variant>
        <vt:i4>1114162</vt:i4>
      </vt:variant>
      <vt:variant>
        <vt:i4>392</vt:i4>
      </vt:variant>
      <vt:variant>
        <vt:i4>0</vt:i4>
      </vt:variant>
      <vt:variant>
        <vt:i4>5</vt:i4>
      </vt:variant>
      <vt:variant>
        <vt:lpwstr/>
      </vt:variant>
      <vt:variant>
        <vt:lpwstr>_Toc107927682</vt:lpwstr>
      </vt:variant>
      <vt:variant>
        <vt:i4>1114162</vt:i4>
      </vt:variant>
      <vt:variant>
        <vt:i4>386</vt:i4>
      </vt:variant>
      <vt:variant>
        <vt:i4>0</vt:i4>
      </vt:variant>
      <vt:variant>
        <vt:i4>5</vt:i4>
      </vt:variant>
      <vt:variant>
        <vt:lpwstr/>
      </vt:variant>
      <vt:variant>
        <vt:lpwstr>_Toc107927681</vt:lpwstr>
      </vt:variant>
      <vt:variant>
        <vt:i4>1114162</vt:i4>
      </vt:variant>
      <vt:variant>
        <vt:i4>380</vt:i4>
      </vt:variant>
      <vt:variant>
        <vt:i4>0</vt:i4>
      </vt:variant>
      <vt:variant>
        <vt:i4>5</vt:i4>
      </vt:variant>
      <vt:variant>
        <vt:lpwstr/>
      </vt:variant>
      <vt:variant>
        <vt:lpwstr>_Toc107927680</vt:lpwstr>
      </vt:variant>
      <vt:variant>
        <vt:i4>1966130</vt:i4>
      </vt:variant>
      <vt:variant>
        <vt:i4>374</vt:i4>
      </vt:variant>
      <vt:variant>
        <vt:i4>0</vt:i4>
      </vt:variant>
      <vt:variant>
        <vt:i4>5</vt:i4>
      </vt:variant>
      <vt:variant>
        <vt:lpwstr/>
      </vt:variant>
      <vt:variant>
        <vt:lpwstr>_Toc107927679</vt:lpwstr>
      </vt:variant>
      <vt:variant>
        <vt:i4>1966130</vt:i4>
      </vt:variant>
      <vt:variant>
        <vt:i4>368</vt:i4>
      </vt:variant>
      <vt:variant>
        <vt:i4>0</vt:i4>
      </vt:variant>
      <vt:variant>
        <vt:i4>5</vt:i4>
      </vt:variant>
      <vt:variant>
        <vt:lpwstr/>
      </vt:variant>
      <vt:variant>
        <vt:lpwstr>_Toc107927678</vt:lpwstr>
      </vt:variant>
      <vt:variant>
        <vt:i4>1966130</vt:i4>
      </vt:variant>
      <vt:variant>
        <vt:i4>362</vt:i4>
      </vt:variant>
      <vt:variant>
        <vt:i4>0</vt:i4>
      </vt:variant>
      <vt:variant>
        <vt:i4>5</vt:i4>
      </vt:variant>
      <vt:variant>
        <vt:lpwstr/>
      </vt:variant>
      <vt:variant>
        <vt:lpwstr>_Toc107927677</vt:lpwstr>
      </vt:variant>
      <vt:variant>
        <vt:i4>1966130</vt:i4>
      </vt:variant>
      <vt:variant>
        <vt:i4>356</vt:i4>
      </vt:variant>
      <vt:variant>
        <vt:i4>0</vt:i4>
      </vt:variant>
      <vt:variant>
        <vt:i4>5</vt:i4>
      </vt:variant>
      <vt:variant>
        <vt:lpwstr/>
      </vt:variant>
      <vt:variant>
        <vt:lpwstr>_Toc107927676</vt:lpwstr>
      </vt:variant>
      <vt:variant>
        <vt:i4>1966130</vt:i4>
      </vt:variant>
      <vt:variant>
        <vt:i4>350</vt:i4>
      </vt:variant>
      <vt:variant>
        <vt:i4>0</vt:i4>
      </vt:variant>
      <vt:variant>
        <vt:i4>5</vt:i4>
      </vt:variant>
      <vt:variant>
        <vt:lpwstr/>
      </vt:variant>
      <vt:variant>
        <vt:lpwstr>_Toc107927675</vt:lpwstr>
      </vt:variant>
      <vt:variant>
        <vt:i4>1966130</vt:i4>
      </vt:variant>
      <vt:variant>
        <vt:i4>344</vt:i4>
      </vt:variant>
      <vt:variant>
        <vt:i4>0</vt:i4>
      </vt:variant>
      <vt:variant>
        <vt:i4>5</vt:i4>
      </vt:variant>
      <vt:variant>
        <vt:lpwstr/>
      </vt:variant>
      <vt:variant>
        <vt:lpwstr>_Toc107927674</vt:lpwstr>
      </vt:variant>
      <vt:variant>
        <vt:i4>1966130</vt:i4>
      </vt:variant>
      <vt:variant>
        <vt:i4>338</vt:i4>
      </vt:variant>
      <vt:variant>
        <vt:i4>0</vt:i4>
      </vt:variant>
      <vt:variant>
        <vt:i4>5</vt:i4>
      </vt:variant>
      <vt:variant>
        <vt:lpwstr/>
      </vt:variant>
      <vt:variant>
        <vt:lpwstr>_Toc107927673</vt:lpwstr>
      </vt:variant>
      <vt:variant>
        <vt:i4>1966130</vt:i4>
      </vt:variant>
      <vt:variant>
        <vt:i4>332</vt:i4>
      </vt:variant>
      <vt:variant>
        <vt:i4>0</vt:i4>
      </vt:variant>
      <vt:variant>
        <vt:i4>5</vt:i4>
      </vt:variant>
      <vt:variant>
        <vt:lpwstr/>
      </vt:variant>
      <vt:variant>
        <vt:lpwstr>_Toc107927672</vt:lpwstr>
      </vt:variant>
      <vt:variant>
        <vt:i4>1966130</vt:i4>
      </vt:variant>
      <vt:variant>
        <vt:i4>326</vt:i4>
      </vt:variant>
      <vt:variant>
        <vt:i4>0</vt:i4>
      </vt:variant>
      <vt:variant>
        <vt:i4>5</vt:i4>
      </vt:variant>
      <vt:variant>
        <vt:lpwstr/>
      </vt:variant>
      <vt:variant>
        <vt:lpwstr>_Toc107927671</vt:lpwstr>
      </vt:variant>
      <vt:variant>
        <vt:i4>1966130</vt:i4>
      </vt:variant>
      <vt:variant>
        <vt:i4>320</vt:i4>
      </vt:variant>
      <vt:variant>
        <vt:i4>0</vt:i4>
      </vt:variant>
      <vt:variant>
        <vt:i4>5</vt:i4>
      </vt:variant>
      <vt:variant>
        <vt:lpwstr/>
      </vt:variant>
      <vt:variant>
        <vt:lpwstr>_Toc107927670</vt:lpwstr>
      </vt:variant>
      <vt:variant>
        <vt:i4>2031666</vt:i4>
      </vt:variant>
      <vt:variant>
        <vt:i4>314</vt:i4>
      </vt:variant>
      <vt:variant>
        <vt:i4>0</vt:i4>
      </vt:variant>
      <vt:variant>
        <vt:i4>5</vt:i4>
      </vt:variant>
      <vt:variant>
        <vt:lpwstr/>
      </vt:variant>
      <vt:variant>
        <vt:lpwstr>_Toc107927669</vt:lpwstr>
      </vt:variant>
      <vt:variant>
        <vt:i4>2031666</vt:i4>
      </vt:variant>
      <vt:variant>
        <vt:i4>308</vt:i4>
      </vt:variant>
      <vt:variant>
        <vt:i4>0</vt:i4>
      </vt:variant>
      <vt:variant>
        <vt:i4>5</vt:i4>
      </vt:variant>
      <vt:variant>
        <vt:lpwstr/>
      </vt:variant>
      <vt:variant>
        <vt:lpwstr>_Toc107927668</vt:lpwstr>
      </vt:variant>
      <vt:variant>
        <vt:i4>2031666</vt:i4>
      </vt:variant>
      <vt:variant>
        <vt:i4>302</vt:i4>
      </vt:variant>
      <vt:variant>
        <vt:i4>0</vt:i4>
      </vt:variant>
      <vt:variant>
        <vt:i4>5</vt:i4>
      </vt:variant>
      <vt:variant>
        <vt:lpwstr/>
      </vt:variant>
      <vt:variant>
        <vt:lpwstr>_Toc107927667</vt:lpwstr>
      </vt:variant>
      <vt:variant>
        <vt:i4>2031666</vt:i4>
      </vt:variant>
      <vt:variant>
        <vt:i4>296</vt:i4>
      </vt:variant>
      <vt:variant>
        <vt:i4>0</vt:i4>
      </vt:variant>
      <vt:variant>
        <vt:i4>5</vt:i4>
      </vt:variant>
      <vt:variant>
        <vt:lpwstr/>
      </vt:variant>
      <vt:variant>
        <vt:lpwstr>_Toc107927666</vt:lpwstr>
      </vt:variant>
      <vt:variant>
        <vt:i4>2031666</vt:i4>
      </vt:variant>
      <vt:variant>
        <vt:i4>290</vt:i4>
      </vt:variant>
      <vt:variant>
        <vt:i4>0</vt:i4>
      </vt:variant>
      <vt:variant>
        <vt:i4>5</vt:i4>
      </vt:variant>
      <vt:variant>
        <vt:lpwstr/>
      </vt:variant>
      <vt:variant>
        <vt:lpwstr>_Toc107927665</vt:lpwstr>
      </vt:variant>
      <vt:variant>
        <vt:i4>2031666</vt:i4>
      </vt:variant>
      <vt:variant>
        <vt:i4>284</vt:i4>
      </vt:variant>
      <vt:variant>
        <vt:i4>0</vt:i4>
      </vt:variant>
      <vt:variant>
        <vt:i4>5</vt:i4>
      </vt:variant>
      <vt:variant>
        <vt:lpwstr/>
      </vt:variant>
      <vt:variant>
        <vt:lpwstr>_Toc107927664</vt:lpwstr>
      </vt:variant>
      <vt:variant>
        <vt:i4>2031666</vt:i4>
      </vt:variant>
      <vt:variant>
        <vt:i4>278</vt:i4>
      </vt:variant>
      <vt:variant>
        <vt:i4>0</vt:i4>
      </vt:variant>
      <vt:variant>
        <vt:i4>5</vt:i4>
      </vt:variant>
      <vt:variant>
        <vt:lpwstr/>
      </vt:variant>
      <vt:variant>
        <vt:lpwstr>_Toc107927663</vt:lpwstr>
      </vt:variant>
      <vt:variant>
        <vt:i4>2031666</vt:i4>
      </vt:variant>
      <vt:variant>
        <vt:i4>272</vt:i4>
      </vt:variant>
      <vt:variant>
        <vt:i4>0</vt:i4>
      </vt:variant>
      <vt:variant>
        <vt:i4>5</vt:i4>
      </vt:variant>
      <vt:variant>
        <vt:lpwstr/>
      </vt:variant>
      <vt:variant>
        <vt:lpwstr>_Toc107927662</vt:lpwstr>
      </vt:variant>
      <vt:variant>
        <vt:i4>2031666</vt:i4>
      </vt:variant>
      <vt:variant>
        <vt:i4>266</vt:i4>
      </vt:variant>
      <vt:variant>
        <vt:i4>0</vt:i4>
      </vt:variant>
      <vt:variant>
        <vt:i4>5</vt:i4>
      </vt:variant>
      <vt:variant>
        <vt:lpwstr/>
      </vt:variant>
      <vt:variant>
        <vt:lpwstr>_Toc107927661</vt:lpwstr>
      </vt:variant>
      <vt:variant>
        <vt:i4>2031666</vt:i4>
      </vt:variant>
      <vt:variant>
        <vt:i4>260</vt:i4>
      </vt:variant>
      <vt:variant>
        <vt:i4>0</vt:i4>
      </vt:variant>
      <vt:variant>
        <vt:i4>5</vt:i4>
      </vt:variant>
      <vt:variant>
        <vt:lpwstr/>
      </vt:variant>
      <vt:variant>
        <vt:lpwstr>_Toc107927660</vt:lpwstr>
      </vt:variant>
      <vt:variant>
        <vt:i4>1835058</vt:i4>
      </vt:variant>
      <vt:variant>
        <vt:i4>254</vt:i4>
      </vt:variant>
      <vt:variant>
        <vt:i4>0</vt:i4>
      </vt:variant>
      <vt:variant>
        <vt:i4>5</vt:i4>
      </vt:variant>
      <vt:variant>
        <vt:lpwstr/>
      </vt:variant>
      <vt:variant>
        <vt:lpwstr>_Toc107927659</vt:lpwstr>
      </vt:variant>
      <vt:variant>
        <vt:i4>1835058</vt:i4>
      </vt:variant>
      <vt:variant>
        <vt:i4>248</vt:i4>
      </vt:variant>
      <vt:variant>
        <vt:i4>0</vt:i4>
      </vt:variant>
      <vt:variant>
        <vt:i4>5</vt:i4>
      </vt:variant>
      <vt:variant>
        <vt:lpwstr/>
      </vt:variant>
      <vt:variant>
        <vt:lpwstr>_Toc107927658</vt:lpwstr>
      </vt:variant>
      <vt:variant>
        <vt:i4>1835058</vt:i4>
      </vt:variant>
      <vt:variant>
        <vt:i4>242</vt:i4>
      </vt:variant>
      <vt:variant>
        <vt:i4>0</vt:i4>
      </vt:variant>
      <vt:variant>
        <vt:i4>5</vt:i4>
      </vt:variant>
      <vt:variant>
        <vt:lpwstr/>
      </vt:variant>
      <vt:variant>
        <vt:lpwstr>_Toc107927657</vt:lpwstr>
      </vt:variant>
      <vt:variant>
        <vt:i4>1835058</vt:i4>
      </vt:variant>
      <vt:variant>
        <vt:i4>236</vt:i4>
      </vt:variant>
      <vt:variant>
        <vt:i4>0</vt:i4>
      </vt:variant>
      <vt:variant>
        <vt:i4>5</vt:i4>
      </vt:variant>
      <vt:variant>
        <vt:lpwstr/>
      </vt:variant>
      <vt:variant>
        <vt:lpwstr>_Toc107927656</vt:lpwstr>
      </vt:variant>
      <vt:variant>
        <vt:i4>1835058</vt:i4>
      </vt:variant>
      <vt:variant>
        <vt:i4>230</vt:i4>
      </vt:variant>
      <vt:variant>
        <vt:i4>0</vt:i4>
      </vt:variant>
      <vt:variant>
        <vt:i4>5</vt:i4>
      </vt:variant>
      <vt:variant>
        <vt:lpwstr/>
      </vt:variant>
      <vt:variant>
        <vt:lpwstr>_Toc107927655</vt:lpwstr>
      </vt:variant>
      <vt:variant>
        <vt:i4>1835058</vt:i4>
      </vt:variant>
      <vt:variant>
        <vt:i4>224</vt:i4>
      </vt:variant>
      <vt:variant>
        <vt:i4>0</vt:i4>
      </vt:variant>
      <vt:variant>
        <vt:i4>5</vt:i4>
      </vt:variant>
      <vt:variant>
        <vt:lpwstr/>
      </vt:variant>
      <vt:variant>
        <vt:lpwstr>_Toc107927654</vt:lpwstr>
      </vt:variant>
      <vt:variant>
        <vt:i4>1835058</vt:i4>
      </vt:variant>
      <vt:variant>
        <vt:i4>218</vt:i4>
      </vt:variant>
      <vt:variant>
        <vt:i4>0</vt:i4>
      </vt:variant>
      <vt:variant>
        <vt:i4>5</vt:i4>
      </vt:variant>
      <vt:variant>
        <vt:lpwstr/>
      </vt:variant>
      <vt:variant>
        <vt:lpwstr>_Toc107927653</vt:lpwstr>
      </vt:variant>
      <vt:variant>
        <vt:i4>1835058</vt:i4>
      </vt:variant>
      <vt:variant>
        <vt:i4>212</vt:i4>
      </vt:variant>
      <vt:variant>
        <vt:i4>0</vt:i4>
      </vt:variant>
      <vt:variant>
        <vt:i4>5</vt:i4>
      </vt:variant>
      <vt:variant>
        <vt:lpwstr/>
      </vt:variant>
      <vt:variant>
        <vt:lpwstr>_Toc107927652</vt:lpwstr>
      </vt:variant>
      <vt:variant>
        <vt:i4>1835058</vt:i4>
      </vt:variant>
      <vt:variant>
        <vt:i4>206</vt:i4>
      </vt:variant>
      <vt:variant>
        <vt:i4>0</vt:i4>
      </vt:variant>
      <vt:variant>
        <vt:i4>5</vt:i4>
      </vt:variant>
      <vt:variant>
        <vt:lpwstr/>
      </vt:variant>
      <vt:variant>
        <vt:lpwstr>_Toc107927651</vt:lpwstr>
      </vt:variant>
      <vt:variant>
        <vt:i4>1835058</vt:i4>
      </vt:variant>
      <vt:variant>
        <vt:i4>200</vt:i4>
      </vt:variant>
      <vt:variant>
        <vt:i4>0</vt:i4>
      </vt:variant>
      <vt:variant>
        <vt:i4>5</vt:i4>
      </vt:variant>
      <vt:variant>
        <vt:lpwstr/>
      </vt:variant>
      <vt:variant>
        <vt:lpwstr>_Toc107927650</vt:lpwstr>
      </vt:variant>
      <vt:variant>
        <vt:i4>1900594</vt:i4>
      </vt:variant>
      <vt:variant>
        <vt:i4>194</vt:i4>
      </vt:variant>
      <vt:variant>
        <vt:i4>0</vt:i4>
      </vt:variant>
      <vt:variant>
        <vt:i4>5</vt:i4>
      </vt:variant>
      <vt:variant>
        <vt:lpwstr/>
      </vt:variant>
      <vt:variant>
        <vt:lpwstr>_Toc107927649</vt:lpwstr>
      </vt:variant>
      <vt:variant>
        <vt:i4>1900594</vt:i4>
      </vt:variant>
      <vt:variant>
        <vt:i4>188</vt:i4>
      </vt:variant>
      <vt:variant>
        <vt:i4>0</vt:i4>
      </vt:variant>
      <vt:variant>
        <vt:i4>5</vt:i4>
      </vt:variant>
      <vt:variant>
        <vt:lpwstr/>
      </vt:variant>
      <vt:variant>
        <vt:lpwstr>_Toc107927648</vt:lpwstr>
      </vt:variant>
      <vt:variant>
        <vt:i4>1900594</vt:i4>
      </vt:variant>
      <vt:variant>
        <vt:i4>182</vt:i4>
      </vt:variant>
      <vt:variant>
        <vt:i4>0</vt:i4>
      </vt:variant>
      <vt:variant>
        <vt:i4>5</vt:i4>
      </vt:variant>
      <vt:variant>
        <vt:lpwstr/>
      </vt:variant>
      <vt:variant>
        <vt:lpwstr>_Toc107927647</vt:lpwstr>
      </vt:variant>
      <vt:variant>
        <vt:i4>1900594</vt:i4>
      </vt:variant>
      <vt:variant>
        <vt:i4>176</vt:i4>
      </vt:variant>
      <vt:variant>
        <vt:i4>0</vt:i4>
      </vt:variant>
      <vt:variant>
        <vt:i4>5</vt:i4>
      </vt:variant>
      <vt:variant>
        <vt:lpwstr/>
      </vt:variant>
      <vt:variant>
        <vt:lpwstr>_Toc107927646</vt:lpwstr>
      </vt:variant>
      <vt:variant>
        <vt:i4>1900594</vt:i4>
      </vt:variant>
      <vt:variant>
        <vt:i4>170</vt:i4>
      </vt:variant>
      <vt:variant>
        <vt:i4>0</vt:i4>
      </vt:variant>
      <vt:variant>
        <vt:i4>5</vt:i4>
      </vt:variant>
      <vt:variant>
        <vt:lpwstr/>
      </vt:variant>
      <vt:variant>
        <vt:lpwstr>_Toc107927645</vt:lpwstr>
      </vt:variant>
      <vt:variant>
        <vt:i4>1900594</vt:i4>
      </vt:variant>
      <vt:variant>
        <vt:i4>164</vt:i4>
      </vt:variant>
      <vt:variant>
        <vt:i4>0</vt:i4>
      </vt:variant>
      <vt:variant>
        <vt:i4>5</vt:i4>
      </vt:variant>
      <vt:variant>
        <vt:lpwstr/>
      </vt:variant>
      <vt:variant>
        <vt:lpwstr>_Toc107927644</vt:lpwstr>
      </vt:variant>
      <vt:variant>
        <vt:i4>1900594</vt:i4>
      </vt:variant>
      <vt:variant>
        <vt:i4>158</vt:i4>
      </vt:variant>
      <vt:variant>
        <vt:i4>0</vt:i4>
      </vt:variant>
      <vt:variant>
        <vt:i4>5</vt:i4>
      </vt:variant>
      <vt:variant>
        <vt:lpwstr/>
      </vt:variant>
      <vt:variant>
        <vt:lpwstr>_Toc107927643</vt:lpwstr>
      </vt:variant>
      <vt:variant>
        <vt:i4>1900594</vt:i4>
      </vt:variant>
      <vt:variant>
        <vt:i4>152</vt:i4>
      </vt:variant>
      <vt:variant>
        <vt:i4>0</vt:i4>
      </vt:variant>
      <vt:variant>
        <vt:i4>5</vt:i4>
      </vt:variant>
      <vt:variant>
        <vt:lpwstr/>
      </vt:variant>
      <vt:variant>
        <vt:lpwstr>_Toc107927642</vt:lpwstr>
      </vt:variant>
      <vt:variant>
        <vt:i4>1900594</vt:i4>
      </vt:variant>
      <vt:variant>
        <vt:i4>146</vt:i4>
      </vt:variant>
      <vt:variant>
        <vt:i4>0</vt:i4>
      </vt:variant>
      <vt:variant>
        <vt:i4>5</vt:i4>
      </vt:variant>
      <vt:variant>
        <vt:lpwstr/>
      </vt:variant>
      <vt:variant>
        <vt:lpwstr>_Toc107927641</vt:lpwstr>
      </vt:variant>
      <vt:variant>
        <vt:i4>1900594</vt:i4>
      </vt:variant>
      <vt:variant>
        <vt:i4>140</vt:i4>
      </vt:variant>
      <vt:variant>
        <vt:i4>0</vt:i4>
      </vt:variant>
      <vt:variant>
        <vt:i4>5</vt:i4>
      </vt:variant>
      <vt:variant>
        <vt:lpwstr/>
      </vt:variant>
      <vt:variant>
        <vt:lpwstr>_Toc107927640</vt:lpwstr>
      </vt:variant>
      <vt:variant>
        <vt:i4>1703986</vt:i4>
      </vt:variant>
      <vt:variant>
        <vt:i4>134</vt:i4>
      </vt:variant>
      <vt:variant>
        <vt:i4>0</vt:i4>
      </vt:variant>
      <vt:variant>
        <vt:i4>5</vt:i4>
      </vt:variant>
      <vt:variant>
        <vt:lpwstr/>
      </vt:variant>
      <vt:variant>
        <vt:lpwstr>_Toc107927639</vt:lpwstr>
      </vt:variant>
      <vt:variant>
        <vt:i4>1703986</vt:i4>
      </vt:variant>
      <vt:variant>
        <vt:i4>128</vt:i4>
      </vt:variant>
      <vt:variant>
        <vt:i4>0</vt:i4>
      </vt:variant>
      <vt:variant>
        <vt:i4>5</vt:i4>
      </vt:variant>
      <vt:variant>
        <vt:lpwstr/>
      </vt:variant>
      <vt:variant>
        <vt:lpwstr>_Toc107927638</vt:lpwstr>
      </vt:variant>
      <vt:variant>
        <vt:i4>1703986</vt:i4>
      </vt:variant>
      <vt:variant>
        <vt:i4>122</vt:i4>
      </vt:variant>
      <vt:variant>
        <vt:i4>0</vt:i4>
      </vt:variant>
      <vt:variant>
        <vt:i4>5</vt:i4>
      </vt:variant>
      <vt:variant>
        <vt:lpwstr/>
      </vt:variant>
      <vt:variant>
        <vt:lpwstr>_Toc107927637</vt:lpwstr>
      </vt:variant>
      <vt:variant>
        <vt:i4>1703986</vt:i4>
      </vt:variant>
      <vt:variant>
        <vt:i4>116</vt:i4>
      </vt:variant>
      <vt:variant>
        <vt:i4>0</vt:i4>
      </vt:variant>
      <vt:variant>
        <vt:i4>5</vt:i4>
      </vt:variant>
      <vt:variant>
        <vt:lpwstr/>
      </vt:variant>
      <vt:variant>
        <vt:lpwstr>_Toc107927636</vt:lpwstr>
      </vt:variant>
      <vt:variant>
        <vt:i4>1703986</vt:i4>
      </vt:variant>
      <vt:variant>
        <vt:i4>110</vt:i4>
      </vt:variant>
      <vt:variant>
        <vt:i4>0</vt:i4>
      </vt:variant>
      <vt:variant>
        <vt:i4>5</vt:i4>
      </vt:variant>
      <vt:variant>
        <vt:lpwstr/>
      </vt:variant>
      <vt:variant>
        <vt:lpwstr>_Toc107927635</vt:lpwstr>
      </vt:variant>
      <vt:variant>
        <vt:i4>1703986</vt:i4>
      </vt:variant>
      <vt:variant>
        <vt:i4>104</vt:i4>
      </vt:variant>
      <vt:variant>
        <vt:i4>0</vt:i4>
      </vt:variant>
      <vt:variant>
        <vt:i4>5</vt:i4>
      </vt:variant>
      <vt:variant>
        <vt:lpwstr/>
      </vt:variant>
      <vt:variant>
        <vt:lpwstr>_Toc107927634</vt:lpwstr>
      </vt:variant>
      <vt:variant>
        <vt:i4>1703986</vt:i4>
      </vt:variant>
      <vt:variant>
        <vt:i4>98</vt:i4>
      </vt:variant>
      <vt:variant>
        <vt:i4>0</vt:i4>
      </vt:variant>
      <vt:variant>
        <vt:i4>5</vt:i4>
      </vt:variant>
      <vt:variant>
        <vt:lpwstr/>
      </vt:variant>
      <vt:variant>
        <vt:lpwstr>_Toc107927633</vt:lpwstr>
      </vt:variant>
      <vt:variant>
        <vt:i4>1703986</vt:i4>
      </vt:variant>
      <vt:variant>
        <vt:i4>92</vt:i4>
      </vt:variant>
      <vt:variant>
        <vt:i4>0</vt:i4>
      </vt:variant>
      <vt:variant>
        <vt:i4>5</vt:i4>
      </vt:variant>
      <vt:variant>
        <vt:lpwstr/>
      </vt:variant>
      <vt:variant>
        <vt:lpwstr>_Toc107927632</vt:lpwstr>
      </vt:variant>
      <vt:variant>
        <vt:i4>1703986</vt:i4>
      </vt:variant>
      <vt:variant>
        <vt:i4>86</vt:i4>
      </vt:variant>
      <vt:variant>
        <vt:i4>0</vt:i4>
      </vt:variant>
      <vt:variant>
        <vt:i4>5</vt:i4>
      </vt:variant>
      <vt:variant>
        <vt:lpwstr/>
      </vt:variant>
      <vt:variant>
        <vt:lpwstr>_Toc107927631</vt:lpwstr>
      </vt:variant>
      <vt:variant>
        <vt:i4>1703986</vt:i4>
      </vt:variant>
      <vt:variant>
        <vt:i4>80</vt:i4>
      </vt:variant>
      <vt:variant>
        <vt:i4>0</vt:i4>
      </vt:variant>
      <vt:variant>
        <vt:i4>5</vt:i4>
      </vt:variant>
      <vt:variant>
        <vt:lpwstr/>
      </vt:variant>
      <vt:variant>
        <vt:lpwstr>_Toc107927630</vt:lpwstr>
      </vt:variant>
      <vt:variant>
        <vt:i4>1769522</vt:i4>
      </vt:variant>
      <vt:variant>
        <vt:i4>74</vt:i4>
      </vt:variant>
      <vt:variant>
        <vt:i4>0</vt:i4>
      </vt:variant>
      <vt:variant>
        <vt:i4>5</vt:i4>
      </vt:variant>
      <vt:variant>
        <vt:lpwstr/>
      </vt:variant>
      <vt:variant>
        <vt:lpwstr>_Toc107927629</vt:lpwstr>
      </vt:variant>
      <vt:variant>
        <vt:i4>1769522</vt:i4>
      </vt:variant>
      <vt:variant>
        <vt:i4>68</vt:i4>
      </vt:variant>
      <vt:variant>
        <vt:i4>0</vt:i4>
      </vt:variant>
      <vt:variant>
        <vt:i4>5</vt:i4>
      </vt:variant>
      <vt:variant>
        <vt:lpwstr/>
      </vt:variant>
      <vt:variant>
        <vt:lpwstr>_Toc107927628</vt:lpwstr>
      </vt:variant>
      <vt:variant>
        <vt:i4>1769522</vt:i4>
      </vt:variant>
      <vt:variant>
        <vt:i4>62</vt:i4>
      </vt:variant>
      <vt:variant>
        <vt:i4>0</vt:i4>
      </vt:variant>
      <vt:variant>
        <vt:i4>5</vt:i4>
      </vt:variant>
      <vt:variant>
        <vt:lpwstr/>
      </vt:variant>
      <vt:variant>
        <vt:lpwstr>_Toc107927627</vt:lpwstr>
      </vt:variant>
      <vt:variant>
        <vt:i4>1769522</vt:i4>
      </vt:variant>
      <vt:variant>
        <vt:i4>56</vt:i4>
      </vt:variant>
      <vt:variant>
        <vt:i4>0</vt:i4>
      </vt:variant>
      <vt:variant>
        <vt:i4>5</vt:i4>
      </vt:variant>
      <vt:variant>
        <vt:lpwstr/>
      </vt:variant>
      <vt:variant>
        <vt:lpwstr>_Toc107927626</vt:lpwstr>
      </vt:variant>
      <vt:variant>
        <vt:i4>1769522</vt:i4>
      </vt:variant>
      <vt:variant>
        <vt:i4>50</vt:i4>
      </vt:variant>
      <vt:variant>
        <vt:i4>0</vt:i4>
      </vt:variant>
      <vt:variant>
        <vt:i4>5</vt:i4>
      </vt:variant>
      <vt:variant>
        <vt:lpwstr/>
      </vt:variant>
      <vt:variant>
        <vt:lpwstr>_Toc107927625</vt:lpwstr>
      </vt:variant>
      <vt:variant>
        <vt:i4>1769522</vt:i4>
      </vt:variant>
      <vt:variant>
        <vt:i4>44</vt:i4>
      </vt:variant>
      <vt:variant>
        <vt:i4>0</vt:i4>
      </vt:variant>
      <vt:variant>
        <vt:i4>5</vt:i4>
      </vt:variant>
      <vt:variant>
        <vt:lpwstr/>
      </vt:variant>
      <vt:variant>
        <vt:lpwstr>_Toc107927624</vt:lpwstr>
      </vt:variant>
      <vt:variant>
        <vt:i4>1769522</vt:i4>
      </vt:variant>
      <vt:variant>
        <vt:i4>38</vt:i4>
      </vt:variant>
      <vt:variant>
        <vt:i4>0</vt:i4>
      </vt:variant>
      <vt:variant>
        <vt:i4>5</vt:i4>
      </vt:variant>
      <vt:variant>
        <vt:lpwstr/>
      </vt:variant>
      <vt:variant>
        <vt:lpwstr>_Toc107927623</vt:lpwstr>
      </vt:variant>
      <vt:variant>
        <vt:i4>1769522</vt:i4>
      </vt:variant>
      <vt:variant>
        <vt:i4>32</vt:i4>
      </vt:variant>
      <vt:variant>
        <vt:i4>0</vt:i4>
      </vt:variant>
      <vt:variant>
        <vt:i4>5</vt:i4>
      </vt:variant>
      <vt:variant>
        <vt:lpwstr/>
      </vt:variant>
      <vt:variant>
        <vt:lpwstr>_Toc107927622</vt:lpwstr>
      </vt:variant>
      <vt:variant>
        <vt:i4>1769522</vt:i4>
      </vt:variant>
      <vt:variant>
        <vt:i4>26</vt:i4>
      </vt:variant>
      <vt:variant>
        <vt:i4>0</vt:i4>
      </vt:variant>
      <vt:variant>
        <vt:i4>5</vt:i4>
      </vt:variant>
      <vt:variant>
        <vt:lpwstr/>
      </vt:variant>
      <vt:variant>
        <vt:lpwstr>_Toc107927621</vt:lpwstr>
      </vt:variant>
      <vt:variant>
        <vt:i4>1769522</vt:i4>
      </vt:variant>
      <vt:variant>
        <vt:i4>20</vt:i4>
      </vt:variant>
      <vt:variant>
        <vt:i4>0</vt:i4>
      </vt:variant>
      <vt:variant>
        <vt:i4>5</vt:i4>
      </vt:variant>
      <vt:variant>
        <vt:lpwstr/>
      </vt:variant>
      <vt:variant>
        <vt:lpwstr>_Toc107927620</vt:lpwstr>
      </vt:variant>
      <vt:variant>
        <vt:i4>1572914</vt:i4>
      </vt:variant>
      <vt:variant>
        <vt:i4>14</vt:i4>
      </vt:variant>
      <vt:variant>
        <vt:i4>0</vt:i4>
      </vt:variant>
      <vt:variant>
        <vt:i4>5</vt:i4>
      </vt:variant>
      <vt:variant>
        <vt:lpwstr/>
      </vt:variant>
      <vt:variant>
        <vt:lpwstr>_Toc107927619</vt:lpwstr>
      </vt:variant>
      <vt:variant>
        <vt:i4>1572914</vt:i4>
      </vt:variant>
      <vt:variant>
        <vt:i4>8</vt:i4>
      </vt:variant>
      <vt:variant>
        <vt:i4>0</vt:i4>
      </vt:variant>
      <vt:variant>
        <vt:i4>5</vt:i4>
      </vt:variant>
      <vt:variant>
        <vt:lpwstr/>
      </vt:variant>
      <vt:variant>
        <vt:lpwstr>_Toc107927618</vt:lpwstr>
      </vt:variant>
      <vt:variant>
        <vt:i4>1572914</vt:i4>
      </vt:variant>
      <vt:variant>
        <vt:i4>2</vt:i4>
      </vt:variant>
      <vt:variant>
        <vt:i4>0</vt:i4>
      </vt:variant>
      <vt:variant>
        <vt:i4>5</vt:i4>
      </vt:variant>
      <vt:variant>
        <vt:lpwstr/>
      </vt:variant>
      <vt:variant>
        <vt:lpwstr>_Toc107927617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2023-02-27T05:54:00Z</dcterms:created>
  <dcterms:modified xsi:type="dcterms:W3CDTF">2023-02-27T05:54:00Z</dcterms:modified>
</cp:coreProperties>
</file>