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2DE5" w14:textId="734D9298" w:rsidR="0023252A" w:rsidRPr="00C33F3B" w:rsidRDefault="00C33F3B" w:rsidP="00C33F3B">
      <w:pPr>
        <w:pStyle w:val="Title"/>
        <w:ind w:left="720" w:hanging="720"/>
        <w:rPr>
          <w:rFonts w:asciiTheme="minorHAnsi" w:hAnsiTheme="minorHAnsi" w:cstheme="minorHAnsi"/>
          <w:sz w:val="36"/>
          <w:szCs w:val="36"/>
        </w:rPr>
      </w:pPr>
      <w:r>
        <w:rPr>
          <w:rFonts w:asciiTheme="minorHAnsi" w:hAnsiTheme="minorHAnsi" w:cstheme="minorHAnsi"/>
          <w:sz w:val="36"/>
          <w:szCs w:val="36"/>
        </w:rPr>
        <w:t>OOS SEMAGLUTIDE,</w:t>
      </w:r>
      <w:r>
        <w:rPr>
          <w:rFonts w:asciiTheme="minorHAnsi" w:hAnsiTheme="minorHAnsi" w:cstheme="minorHAnsi"/>
          <w:sz w:val="36"/>
          <w:szCs w:val="36"/>
        </w:rPr>
        <w:br/>
      </w:r>
      <w:r w:rsidRPr="00C33F3B">
        <w:rPr>
          <w:rFonts w:asciiTheme="minorHAnsi" w:hAnsiTheme="minorHAnsi" w:cstheme="minorHAnsi"/>
          <w:sz w:val="36"/>
          <w:szCs w:val="36"/>
        </w:rPr>
        <w:t>Solution for injection 2 mg in 1.5 mL pre-filled pen</w:t>
      </w:r>
      <w:r>
        <w:rPr>
          <w:rFonts w:asciiTheme="minorHAnsi" w:hAnsiTheme="minorHAnsi" w:cstheme="minorHAnsi"/>
          <w:sz w:val="36"/>
          <w:szCs w:val="36"/>
        </w:rPr>
        <w:t xml:space="preserve"> </w:t>
      </w:r>
      <w:r w:rsidRPr="00C33F3B">
        <w:rPr>
          <w:rFonts w:asciiTheme="minorHAnsi" w:hAnsiTheme="minorHAnsi" w:cstheme="minorHAnsi"/>
          <w:sz w:val="36"/>
          <w:szCs w:val="36"/>
        </w:rPr>
        <w:t xml:space="preserve">(s19A); </w:t>
      </w:r>
      <w:r>
        <w:rPr>
          <w:rFonts w:asciiTheme="minorHAnsi" w:hAnsiTheme="minorHAnsi" w:cstheme="minorHAnsi"/>
          <w:sz w:val="36"/>
          <w:szCs w:val="36"/>
        </w:rPr>
        <w:br/>
      </w:r>
      <w:r w:rsidRPr="00C33F3B">
        <w:rPr>
          <w:rFonts w:asciiTheme="minorHAnsi" w:hAnsiTheme="minorHAnsi" w:cstheme="minorHAnsi"/>
          <w:sz w:val="36"/>
          <w:szCs w:val="36"/>
        </w:rPr>
        <w:t>Solution for injection 4 mg in 3 mL pre-filled pen (s19A)</w:t>
      </w:r>
      <w:r>
        <w:rPr>
          <w:rFonts w:asciiTheme="minorHAnsi" w:hAnsiTheme="minorHAnsi" w:cstheme="minorHAnsi"/>
          <w:sz w:val="36"/>
          <w:szCs w:val="36"/>
        </w:rPr>
        <w:t>,</w:t>
      </w:r>
      <w:r>
        <w:rPr>
          <w:rFonts w:asciiTheme="minorHAnsi" w:hAnsiTheme="minorHAnsi" w:cstheme="minorHAnsi"/>
          <w:sz w:val="36"/>
          <w:szCs w:val="36"/>
        </w:rPr>
        <w:br/>
      </w:r>
      <w:r w:rsidRPr="00C33F3B">
        <w:rPr>
          <w:rFonts w:asciiTheme="minorHAnsi" w:hAnsiTheme="minorHAnsi" w:cstheme="minorHAnsi"/>
          <w:sz w:val="36"/>
          <w:szCs w:val="36"/>
        </w:rPr>
        <w:t>Ozempic® (UK)</w:t>
      </w:r>
      <w:r>
        <w:rPr>
          <w:rFonts w:asciiTheme="minorHAnsi" w:hAnsiTheme="minorHAnsi" w:cstheme="minorHAnsi"/>
          <w:sz w:val="36"/>
          <w:szCs w:val="36"/>
        </w:rPr>
        <w:t>,</w:t>
      </w:r>
      <w:r>
        <w:rPr>
          <w:rFonts w:asciiTheme="minorHAnsi" w:hAnsiTheme="minorHAnsi" w:cstheme="minorHAnsi"/>
          <w:sz w:val="36"/>
          <w:szCs w:val="36"/>
        </w:rPr>
        <w:br/>
      </w:r>
      <w:r w:rsidRPr="00C33F3B">
        <w:rPr>
          <w:rFonts w:asciiTheme="minorHAnsi" w:hAnsiTheme="minorHAnsi" w:cstheme="minorHAnsi"/>
          <w:sz w:val="36"/>
          <w:szCs w:val="36"/>
        </w:rPr>
        <w:t xml:space="preserve">Medsurge Healthcare Pty Ltd </w:t>
      </w:r>
      <w:r w:rsidR="0023252A" w:rsidRPr="0023252A">
        <w:t xml:space="preserve">Purpose </w:t>
      </w:r>
    </w:p>
    <w:p w14:paraId="3388AC54" w14:textId="557E4180" w:rsidR="005931EB" w:rsidRPr="007F04F4" w:rsidRDefault="005931EB" w:rsidP="005931EB">
      <w:pPr>
        <w:pStyle w:val="2-SectionHeading"/>
      </w:pPr>
      <w:r>
        <w:t>Purpose</w:t>
      </w:r>
    </w:p>
    <w:p w14:paraId="17A19A10" w14:textId="76429128" w:rsidR="0023252A" w:rsidRPr="00FF4C84" w:rsidRDefault="0023252A" w:rsidP="00FF4C84">
      <w:pPr>
        <w:pStyle w:val="3-BodyText"/>
        <w:rPr>
          <w:rFonts w:cs="Calibri"/>
          <w:szCs w:val="22"/>
        </w:rPr>
      </w:pPr>
      <w:r w:rsidRPr="0023252A">
        <w:rPr>
          <w:szCs w:val="22"/>
        </w:rPr>
        <w:t>To seek the PBAC’s advice on the temporary PBS listing of section 19A (s19A) product</w:t>
      </w:r>
      <w:r>
        <w:rPr>
          <w:szCs w:val="22"/>
        </w:rPr>
        <w:t>s</w:t>
      </w:r>
      <w:r w:rsidRPr="0023252A">
        <w:rPr>
          <w:szCs w:val="22"/>
        </w:rPr>
        <w:t xml:space="preserve"> </w:t>
      </w:r>
      <w:r w:rsidRPr="00FF4C84">
        <w:rPr>
          <w:rFonts w:cstheme="minorHAnsi"/>
        </w:rPr>
        <w:t>sponsored</w:t>
      </w:r>
      <w:r w:rsidRPr="0023252A">
        <w:rPr>
          <w:szCs w:val="22"/>
        </w:rPr>
        <w:t xml:space="preserve"> by </w:t>
      </w:r>
      <w:r>
        <w:rPr>
          <w:szCs w:val="22"/>
        </w:rPr>
        <w:t>Medsurge Healthcare</w:t>
      </w:r>
      <w:r w:rsidRPr="0023252A">
        <w:rPr>
          <w:szCs w:val="22"/>
        </w:rPr>
        <w:t xml:space="preserve"> Pty Ltd (</w:t>
      </w:r>
      <w:r>
        <w:rPr>
          <w:szCs w:val="22"/>
        </w:rPr>
        <w:t>Medsurge</w:t>
      </w:r>
      <w:r w:rsidRPr="0023252A">
        <w:rPr>
          <w:szCs w:val="22"/>
        </w:rPr>
        <w:t xml:space="preserve">) to manage the shortage of PBS subsidised </w:t>
      </w:r>
      <w:proofErr w:type="spellStart"/>
      <w:r>
        <w:rPr>
          <w:szCs w:val="22"/>
        </w:rPr>
        <w:t>semaglutide</w:t>
      </w:r>
      <w:proofErr w:type="spellEnd"/>
      <w:r>
        <w:rPr>
          <w:szCs w:val="22"/>
        </w:rPr>
        <w:t xml:space="preserve"> injections (Ozempic)</w:t>
      </w:r>
      <w:r w:rsidRPr="0023252A">
        <w:rPr>
          <w:szCs w:val="22"/>
        </w:rPr>
        <w:t>. The s19A product</w:t>
      </w:r>
      <w:r>
        <w:rPr>
          <w:szCs w:val="22"/>
        </w:rPr>
        <w:t>s</w:t>
      </w:r>
      <w:r w:rsidRPr="0023252A">
        <w:rPr>
          <w:szCs w:val="22"/>
        </w:rPr>
        <w:t xml:space="preserve"> detailed below ha</w:t>
      </w:r>
      <w:r w:rsidR="00F457A2">
        <w:rPr>
          <w:szCs w:val="22"/>
        </w:rPr>
        <w:t>ve</w:t>
      </w:r>
      <w:r w:rsidRPr="0023252A">
        <w:rPr>
          <w:szCs w:val="22"/>
        </w:rPr>
        <w:t xml:space="preserve"> been approved for supply under subsection 19</w:t>
      </w:r>
      <w:proofErr w:type="gramStart"/>
      <w:r w:rsidRPr="0023252A">
        <w:rPr>
          <w:szCs w:val="22"/>
        </w:rPr>
        <w:t>A(</w:t>
      </w:r>
      <w:proofErr w:type="gramEnd"/>
      <w:r w:rsidRPr="0023252A">
        <w:rPr>
          <w:szCs w:val="22"/>
        </w:rPr>
        <w:t xml:space="preserve">1) of the </w:t>
      </w:r>
      <w:r w:rsidRPr="0023252A">
        <w:rPr>
          <w:i/>
          <w:szCs w:val="22"/>
        </w:rPr>
        <w:t xml:space="preserve">Therapeutic Goods Act 1989 </w:t>
      </w:r>
      <w:r w:rsidRPr="0023252A">
        <w:rPr>
          <w:szCs w:val="22"/>
        </w:rPr>
        <w:t xml:space="preserve">until the date mentioned in </w:t>
      </w:r>
      <w:r w:rsidRPr="0023252A">
        <w:rPr>
          <w:szCs w:val="22"/>
        </w:rPr>
        <w:fldChar w:fldCharType="begin"/>
      </w:r>
      <w:r w:rsidRPr="0023252A">
        <w:rPr>
          <w:szCs w:val="22"/>
        </w:rPr>
        <w:instrText xml:space="preserve"> REF _Ref92270114 \h  \* MERGEFORMAT </w:instrText>
      </w:r>
      <w:r w:rsidRPr="0023252A">
        <w:rPr>
          <w:szCs w:val="22"/>
        </w:rPr>
      </w:r>
      <w:r w:rsidRPr="0023252A">
        <w:rPr>
          <w:szCs w:val="22"/>
        </w:rPr>
        <w:fldChar w:fldCharType="separate"/>
      </w:r>
      <w:r w:rsidR="00536D72" w:rsidRPr="00536D72">
        <w:rPr>
          <w:szCs w:val="22"/>
        </w:rPr>
        <w:t>Table 1</w:t>
      </w:r>
      <w:r w:rsidRPr="0023252A">
        <w:rPr>
          <w:szCs w:val="22"/>
        </w:rPr>
        <w:fldChar w:fldCharType="end"/>
      </w:r>
      <w:r w:rsidRPr="0023252A">
        <w:rPr>
          <w:szCs w:val="22"/>
        </w:rPr>
        <w:t>.</w:t>
      </w:r>
    </w:p>
    <w:p w14:paraId="183DB9E6" w14:textId="324877E3" w:rsidR="0023252A" w:rsidRPr="0092014D" w:rsidRDefault="0023252A" w:rsidP="00FF4C84">
      <w:pPr>
        <w:pStyle w:val="3-BodyText"/>
        <w:numPr>
          <w:ilvl w:val="0"/>
          <w:numId w:val="0"/>
        </w:numPr>
        <w:spacing w:after="0"/>
        <w:rPr>
          <w:rFonts w:ascii="Arial Narrow" w:hAnsi="Arial Narrow"/>
          <w:b/>
          <w:sz w:val="20"/>
        </w:rPr>
      </w:pPr>
      <w:bookmarkStart w:id="0" w:name="_Ref92270114"/>
      <w:r w:rsidRPr="0092014D">
        <w:rPr>
          <w:rFonts w:ascii="Arial Narrow" w:hAnsi="Arial Narrow"/>
          <w:b/>
          <w:sz w:val="20"/>
        </w:rPr>
        <w:t xml:space="preserve">Table </w:t>
      </w:r>
      <w:r w:rsidRPr="0092014D">
        <w:rPr>
          <w:rFonts w:ascii="Arial Narrow" w:hAnsi="Arial Narrow"/>
          <w:b/>
          <w:sz w:val="20"/>
        </w:rPr>
        <w:fldChar w:fldCharType="begin"/>
      </w:r>
      <w:r w:rsidRPr="0092014D">
        <w:rPr>
          <w:rFonts w:ascii="Arial Narrow" w:hAnsi="Arial Narrow"/>
          <w:b/>
          <w:sz w:val="20"/>
        </w:rPr>
        <w:instrText xml:space="preserve"> SEQ Table \* ARABIC </w:instrText>
      </w:r>
      <w:r w:rsidRPr="0092014D">
        <w:rPr>
          <w:rFonts w:ascii="Arial Narrow" w:hAnsi="Arial Narrow"/>
          <w:b/>
          <w:sz w:val="20"/>
        </w:rPr>
        <w:fldChar w:fldCharType="separate"/>
      </w:r>
      <w:r w:rsidR="00536D72">
        <w:rPr>
          <w:rFonts w:ascii="Arial Narrow" w:hAnsi="Arial Narrow"/>
          <w:b/>
          <w:noProof/>
          <w:sz w:val="20"/>
        </w:rPr>
        <w:t>1</w:t>
      </w:r>
      <w:r w:rsidRPr="0092014D">
        <w:rPr>
          <w:rFonts w:ascii="Arial Narrow" w:hAnsi="Arial Narrow"/>
          <w:b/>
          <w:sz w:val="20"/>
        </w:rPr>
        <w:fldChar w:fldCharType="end"/>
      </w:r>
      <w:bookmarkEnd w:id="0"/>
      <w:r w:rsidRPr="0092014D">
        <w:rPr>
          <w:rFonts w:ascii="Arial Narrow" w:hAnsi="Arial Narrow"/>
          <w:b/>
          <w:sz w:val="20"/>
        </w:rPr>
        <w:t>: Listed product in shortage and s19A product</w:t>
      </w:r>
    </w:p>
    <w:tbl>
      <w:tblPr>
        <w:tblStyle w:val="TableGrid"/>
        <w:tblW w:w="5000" w:type="pct"/>
        <w:tblLook w:val="04A0" w:firstRow="1" w:lastRow="0" w:firstColumn="1" w:lastColumn="0" w:noHBand="0" w:noVBand="1"/>
      </w:tblPr>
      <w:tblGrid>
        <w:gridCol w:w="2801"/>
        <w:gridCol w:w="3415"/>
        <w:gridCol w:w="2800"/>
      </w:tblGrid>
      <w:tr w:rsidR="0023252A" w:rsidRPr="00370ADE" w14:paraId="65FA9B16" w14:textId="77777777" w:rsidTr="00DA4377">
        <w:trPr>
          <w:trHeight w:val="229"/>
        </w:trPr>
        <w:tc>
          <w:tcPr>
            <w:tcW w:w="3446" w:type="pct"/>
            <w:gridSpan w:val="2"/>
          </w:tcPr>
          <w:p w14:paraId="131174A4" w14:textId="77777777" w:rsidR="0023252A" w:rsidRDefault="0023252A" w:rsidP="009F718C">
            <w:pPr>
              <w:pStyle w:val="In-tableHeading"/>
              <w:keepNext w:val="0"/>
              <w:widowControl w:val="0"/>
            </w:pPr>
            <w:r>
              <w:t>Listed product in shortage</w:t>
            </w:r>
          </w:p>
        </w:tc>
        <w:tc>
          <w:tcPr>
            <w:tcW w:w="1554" w:type="pct"/>
          </w:tcPr>
          <w:p w14:paraId="1FB46104" w14:textId="77777777" w:rsidR="0023252A" w:rsidRDefault="0023252A" w:rsidP="009F718C">
            <w:pPr>
              <w:pStyle w:val="In-tableHeading"/>
              <w:keepNext w:val="0"/>
              <w:widowControl w:val="0"/>
            </w:pPr>
            <w:r>
              <w:t>Reported shortage</w:t>
            </w:r>
          </w:p>
        </w:tc>
      </w:tr>
      <w:tr w:rsidR="0023252A" w:rsidRPr="00370ADE" w14:paraId="21FE5381" w14:textId="77777777" w:rsidTr="00DA4377">
        <w:trPr>
          <w:trHeight w:val="371"/>
        </w:trPr>
        <w:tc>
          <w:tcPr>
            <w:tcW w:w="1553" w:type="pct"/>
          </w:tcPr>
          <w:p w14:paraId="5A1C8384" w14:textId="2574C7A8" w:rsidR="0023252A" w:rsidRPr="009C5FC9" w:rsidRDefault="0023252A" w:rsidP="009F718C">
            <w:pPr>
              <w:pStyle w:val="In-tableHeading"/>
              <w:keepNext w:val="0"/>
              <w:widowControl w:val="0"/>
              <w:rPr>
                <w:b w:val="0"/>
                <w:bCs/>
              </w:rPr>
            </w:pPr>
            <w:r w:rsidRPr="0023252A">
              <w:rPr>
                <w:b w:val="0"/>
                <w:bCs/>
              </w:rPr>
              <w:t xml:space="preserve">Ozempic </w:t>
            </w:r>
            <w:r w:rsidRPr="008326CC">
              <w:rPr>
                <w:b w:val="0"/>
                <w:bCs/>
                <w:vertAlign w:val="superscript"/>
              </w:rPr>
              <w:t>®</w:t>
            </w:r>
          </w:p>
        </w:tc>
        <w:tc>
          <w:tcPr>
            <w:tcW w:w="1894" w:type="pct"/>
          </w:tcPr>
          <w:p w14:paraId="3AFAA7D8" w14:textId="7F11971E" w:rsidR="0023252A" w:rsidRDefault="0023252A" w:rsidP="009F718C">
            <w:pPr>
              <w:pStyle w:val="In-tableHeading"/>
              <w:keepNext w:val="0"/>
              <w:widowControl w:val="0"/>
              <w:rPr>
                <w:b w:val="0"/>
                <w:bCs/>
              </w:rPr>
            </w:pPr>
            <w:proofErr w:type="spellStart"/>
            <w:r w:rsidRPr="0023252A">
              <w:rPr>
                <w:b w:val="0"/>
                <w:bCs/>
              </w:rPr>
              <w:t>Semaglutide</w:t>
            </w:r>
            <w:proofErr w:type="spellEnd"/>
            <w:r w:rsidRPr="0023252A">
              <w:rPr>
                <w:b w:val="0"/>
                <w:bCs/>
              </w:rPr>
              <w:t xml:space="preserve">, </w:t>
            </w:r>
            <w:r>
              <w:rPr>
                <w:b w:val="0"/>
                <w:bCs/>
              </w:rPr>
              <w:t>s</w:t>
            </w:r>
            <w:r w:rsidRPr="0023252A">
              <w:rPr>
                <w:b w:val="0"/>
                <w:bCs/>
              </w:rPr>
              <w:t>olution for injection 2 mg in 1.5 mL pre-filled pen (injection)</w:t>
            </w:r>
          </w:p>
          <w:p w14:paraId="2261C83D" w14:textId="77777777" w:rsidR="0023252A" w:rsidRDefault="0023252A" w:rsidP="009F718C">
            <w:pPr>
              <w:pStyle w:val="In-tableHeading"/>
              <w:keepNext w:val="0"/>
              <w:widowControl w:val="0"/>
              <w:rPr>
                <w:b w:val="0"/>
                <w:bCs/>
              </w:rPr>
            </w:pPr>
          </w:p>
          <w:p w14:paraId="12EE47B5" w14:textId="6CCECD33" w:rsidR="0023252A" w:rsidRPr="00DA0EAF" w:rsidRDefault="0023252A" w:rsidP="009F718C">
            <w:pPr>
              <w:pStyle w:val="In-tableHeading"/>
              <w:keepNext w:val="0"/>
              <w:widowControl w:val="0"/>
              <w:rPr>
                <w:b w:val="0"/>
                <w:bCs/>
              </w:rPr>
            </w:pPr>
            <w:proofErr w:type="spellStart"/>
            <w:r>
              <w:rPr>
                <w:b w:val="0"/>
                <w:bCs/>
              </w:rPr>
              <w:t>Semaglutide</w:t>
            </w:r>
            <w:proofErr w:type="spellEnd"/>
            <w:r>
              <w:rPr>
                <w:b w:val="0"/>
                <w:bCs/>
              </w:rPr>
              <w:t>, s</w:t>
            </w:r>
            <w:r w:rsidRPr="0023252A">
              <w:rPr>
                <w:b w:val="0"/>
                <w:bCs/>
              </w:rPr>
              <w:t>olution for injection 4 mg in 3 mL pre-filled pen</w:t>
            </w:r>
            <w:r>
              <w:rPr>
                <w:b w:val="0"/>
                <w:bCs/>
              </w:rPr>
              <w:t xml:space="preserve"> (injection</w:t>
            </w:r>
          </w:p>
        </w:tc>
        <w:tc>
          <w:tcPr>
            <w:tcW w:w="1554" w:type="pct"/>
          </w:tcPr>
          <w:p w14:paraId="5A419BAE" w14:textId="7ED4397F" w:rsidR="0023252A" w:rsidRPr="009C5FC9" w:rsidRDefault="0023252A" w:rsidP="009F718C">
            <w:pPr>
              <w:pStyle w:val="In-tableHeading"/>
              <w:keepNext w:val="0"/>
              <w:widowControl w:val="0"/>
              <w:rPr>
                <w:b w:val="0"/>
                <w:bCs/>
              </w:rPr>
            </w:pPr>
            <w:r>
              <w:rPr>
                <w:b w:val="0"/>
                <w:bCs/>
              </w:rPr>
              <w:t>15 April 2022 to 31 December 2022</w:t>
            </w:r>
          </w:p>
        </w:tc>
      </w:tr>
      <w:tr w:rsidR="0023252A" w:rsidRPr="00370ADE" w14:paraId="42139F52" w14:textId="77777777" w:rsidTr="00DA4377">
        <w:trPr>
          <w:trHeight w:val="229"/>
        </w:trPr>
        <w:tc>
          <w:tcPr>
            <w:tcW w:w="3446" w:type="pct"/>
            <w:gridSpan w:val="2"/>
          </w:tcPr>
          <w:p w14:paraId="34D647EB" w14:textId="77777777" w:rsidR="0023252A" w:rsidRPr="00370ADE" w:rsidRDefault="0023252A" w:rsidP="009F718C">
            <w:pPr>
              <w:pStyle w:val="In-tableHeading"/>
              <w:keepNext w:val="0"/>
              <w:widowControl w:val="0"/>
            </w:pPr>
            <w:r>
              <w:t>s19A product</w:t>
            </w:r>
          </w:p>
        </w:tc>
        <w:tc>
          <w:tcPr>
            <w:tcW w:w="1554" w:type="pct"/>
          </w:tcPr>
          <w:p w14:paraId="1B91C3DC" w14:textId="77777777" w:rsidR="0023252A" w:rsidRPr="00370ADE" w:rsidRDefault="0023252A" w:rsidP="009F718C">
            <w:pPr>
              <w:pStyle w:val="In-tableHeading"/>
              <w:keepNext w:val="0"/>
              <w:widowControl w:val="0"/>
            </w:pPr>
            <w:r>
              <w:t>s19A expiry</w:t>
            </w:r>
          </w:p>
        </w:tc>
      </w:tr>
      <w:tr w:rsidR="0023252A" w14:paraId="79FD8A66" w14:textId="77777777" w:rsidTr="00DA4377">
        <w:trPr>
          <w:trHeight w:val="509"/>
        </w:trPr>
        <w:tc>
          <w:tcPr>
            <w:tcW w:w="1553" w:type="pct"/>
          </w:tcPr>
          <w:p w14:paraId="05D3E2D0" w14:textId="6459C003" w:rsidR="0023252A" w:rsidRPr="004E312C" w:rsidRDefault="0023252A" w:rsidP="009F718C">
            <w:pPr>
              <w:pStyle w:val="In-tableHeading"/>
              <w:keepNext w:val="0"/>
              <w:widowControl w:val="0"/>
              <w:rPr>
                <w:b w:val="0"/>
                <w:bCs/>
              </w:rPr>
            </w:pPr>
            <w:r>
              <w:rPr>
                <w:b w:val="0"/>
                <w:bCs/>
              </w:rPr>
              <w:t>Ozempic</w:t>
            </w:r>
            <w:r w:rsidRPr="008326CC">
              <w:rPr>
                <w:b w:val="0"/>
                <w:bCs/>
                <w:vertAlign w:val="superscript"/>
              </w:rPr>
              <w:t>®</w:t>
            </w:r>
            <w:r>
              <w:rPr>
                <w:b w:val="0"/>
                <w:bCs/>
                <w:vertAlign w:val="superscript"/>
              </w:rPr>
              <w:t xml:space="preserve"> </w:t>
            </w:r>
            <w:r w:rsidRPr="0023252A">
              <w:rPr>
                <w:b w:val="0"/>
                <w:bCs/>
              </w:rPr>
              <w:t>(UK)</w:t>
            </w:r>
          </w:p>
        </w:tc>
        <w:tc>
          <w:tcPr>
            <w:tcW w:w="1894" w:type="pct"/>
          </w:tcPr>
          <w:p w14:paraId="22373193" w14:textId="397FFD04" w:rsidR="0023252A" w:rsidRDefault="0023252A" w:rsidP="009F718C">
            <w:pPr>
              <w:pStyle w:val="In-tableHeading"/>
              <w:keepNext w:val="0"/>
              <w:widowControl w:val="0"/>
              <w:rPr>
                <w:b w:val="0"/>
                <w:bCs/>
              </w:rPr>
            </w:pPr>
            <w:proofErr w:type="spellStart"/>
            <w:r>
              <w:rPr>
                <w:b w:val="0"/>
                <w:bCs/>
              </w:rPr>
              <w:t>Semaglutide</w:t>
            </w:r>
            <w:proofErr w:type="spellEnd"/>
            <w:r>
              <w:rPr>
                <w:b w:val="0"/>
                <w:bCs/>
              </w:rPr>
              <w:t xml:space="preserve">, </w:t>
            </w:r>
            <w:r w:rsidRPr="0023252A">
              <w:rPr>
                <w:b w:val="0"/>
                <w:bCs/>
              </w:rPr>
              <w:t>0.25 mg solution for injection in pre-filled pen</w:t>
            </w:r>
          </w:p>
          <w:p w14:paraId="49B9B69C" w14:textId="77777777" w:rsidR="0023252A" w:rsidRDefault="0023252A" w:rsidP="009F718C">
            <w:pPr>
              <w:pStyle w:val="In-tableHeading"/>
              <w:keepNext w:val="0"/>
              <w:widowControl w:val="0"/>
              <w:rPr>
                <w:b w:val="0"/>
                <w:bCs/>
              </w:rPr>
            </w:pPr>
          </w:p>
          <w:p w14:paraId="2CB0E6C2" w14:textId="24684004" w:rsidR="0023252A" w:rsidRPr="00DA0EAF" w:rsidRDefault="0023252A" w:rsidP="009F718C">
            <w:pPr>
              <w:pStyle w:val="In-tableHeading"/>
              <w:keepNext w:val="0"/>
              <w:widowControl w:val="0"/>
              <w:rPr>
                <w:b w:val="0"/>
                <w:bCs/>
              </w:rPr>
            </w:pPr>
            <w:proofErr w:type="spellStart"/>
            <w:r>
              <w:rPr>
                <w:b w:val="0"/>
                <w:bCs/>
              </w:rPr>
              <w:t>Semaglutide</w:t>
            </w:r>
            <w:proofErr w:type="spellEnd"/>
            <w:r>
              <w:rPr>
                <w:b w:val="0"/>
                <w:bCs/>
              </w:rPr>
              <w:t xml:space="preserve">, </w:t>
            </w:r>
            <w:r w:rsidRPr="0023252A">
              <w:rPr>
                <w:b w:val="0"/>
                <w:bCs/>
              </w:rPr>
              <w:t>1 mg solution for injection pre-filled pen</w:t>
            </w:r>
          </w:p>
        </w:tc>
        <w:tc>
          <w:tcPr>
            <w:tcW w:w="1554" w:type="pct"/>
          </w:tcPr>
          <w:p w14:paraId="199165DD" w14:textId="7693E87C" w:rsidR="0023252A" w:rsidRPr="00F617E3" w:rsidRDefault="0023252A" w:rsidP="009F718C">
            <w:pPr>
              <w:pStyle w:val="In-tableHeading"/>
              <w:keepNext w:val="0"/>
              <w:widowControl w:val="0"/>
              <w:rPr>
                <w:b w:val="0"/>
              </w:rPr>
            </w:pPr>
            <w:r>
              <w:rPr>
                <w:b w:val="0"/>
              </w:rPr>
              <w:t>31 October 2022</w:t>
            </w:r>
          </w:p>
        </w:tc>
      </w:tr>
    </w:tbl>
    <w:p w14:paraId="2E0A96BC" w14:textId="77777777" w:rsidR="00933EBE" w:rsidRPr="007F04F4" w:rsidRDefault="00933EBE" w:rsidP="00933EBE">
      <w:pPr>
        <w:pStyle w:val="2-SectionHeading"/>
      </w:pPr>
      <w:r w:rsidRPr="007F04F4">
        <w:t>Background</w:t>
      </w:r>
    </w:p>
    <w:p w14:paraId="67456B1C" w14:textId="7C0F6EA6" w:rsidR="00933EBE" w:rsidRPr="00C62C96" w:rsidRDefault="00933EBE" w:rsidP="00933EBE">
      <w:pPr>
        <w:pStyle w:val="3-BodyText"/>
        <w:rPr>
          <w:rFonts w:cstheme="minorHAnsi"/>
          <w:bCs/>
        </w:rPr>
      </w:pPr>
      <w:proofErr w:type="spellStart"/>
      <w:r>
        <w:rPr>
          <w:rFonts w:cstheme="minorHAnsi"/>
        </w:rPr>
        <w:t>Semaglutide</w:t>
      </w:r>
      <w:proofErr w:type="spellEnd"/>
      <w:r>
        <w:rPr>
          <w:rFonts w:cstheme="minorHAnsi"/>
        </w:rPr>
        <w:t xml:space="preserve"> is a </w:t>
      </w:r>
      <w:r w:rsidRPr="00B17709">
        <w:rPr>
          <w:rFonts w:cstheme="minorHAnsi"/>
        </w:rPr>
        <w:t>GLP-1 analog</w:t>
      </w:r>
      <w:r w:rsidR="009D3634">
        <w:rPr>
          <w:rFonts w:cstheme="minorHAnsi"/>
        </w:rPr>
        <w:t>ue</w:t>
      </w:r>
      <w:r>
        <w:rPr>
          <w:rFonts w:cstheme="minorHAnsi"/>
        </w:rPr>
        <w:t xml:space="preserve"> </w:t>
      </w:r>
      <w:r w:rsidRPr="007F04F4">
        <w:rPr>
          <w:rFonts w:cstheme="minorHAnsi"/>
        </w:rPr>
        <w:t xml:space="preserve">used in the treatment of </w:t>
      </w:r>
      <w:r>
        <w:rPr>
          <w:rFonts w:cstheme="minorHAnsi"/>
        </w:rPr>
        <w:t>type 2 diabetes, available</w:t>
      </w:r>
      <w:r w:rsidR="00DF16BB">
        <w:rPr>
          <w:rFonts w:cstheme="minorHAnsi"/>
        </w:rPr>
        <w:t xml:space="preserve"> on the PBS</w:t>
      </w:r>
      <w:r>
        <w:rPr>
          <w:rFonts w:cstheme="minorHAnsi"/>
        </w:rPr>
        <w:t xml:space="preserve"> for use in combination with metformin and/or sulfonylurea or with insulin</w:t>
      </w:r>
      <w:r w:rsidRPr="007F04F4">
        <w:rPr>
          <w:rFonts w:cstheme="minorHAnsi"/>
        </w:rPr>
        <w:t>.</w:t>
      </w:r>
    </w:p>
    <w:p w14:paraId="6D2AEF94" w14:textId="3CA206DD" w:rsidR="00933EBE" w:rsidRPr="00232F91" w:rsidRDefault="00933EBE" w:rsidP="00232F91">
      <w:pPr>
        <w:pStyle w:val="3-BodyText"/>
        <w:rPr>
          <w:rFonts w:cstheme="minorHAnsi"/>
          <w:bCs/>
        </w:rPr>
      </w:pPr>
      <w:r>
        <w:rPr>
          <w:rFonts w:cstheme="minorHAnsi"/>
        </w:rPr>
        <w:t>Novo Nordisk Pharmaceuticals Pty Ltd</w:t>
      </w:r>
      <w:r w:rsidR="00AB2F30">
        <w:rPr>
          <w:rFonts w:cstheme="minorHAnsi"/>
        </w:rPr>
        <w:t xml:space="preserve"> (Novo Nordisk)</w:t>
      </w:r>
      <w:r>
        <w:rPr>
          <w:rFonts w:cstheme="minorHAnsi"/>
        </w:rPr>
        <w:t xml:space="preserve">, the sponsor of the only PBS listed </w:t>
      </w:r>
      <w:proofErr w:type="spellStart"/>
      <w:r>
        <w:rPr>
          <w:rFonts w:cstheme="minorHAnsi"/>
        </w:rPr>
        <w:t>semaglutide</w:t>
      </w:r>
      <w:proofErr w:type="spellEnd"/>
      <w:r>
        <w:rPr>
          <w:rFonts w:cstheme="minorHAnsi"/>
        </w:rPr>
        <w:t xml:space="preserve"> product</w:t>
      </w:r>
      <w:r w:rsidRPr="007F04F4">
        <w:rPr>
          <w:rFonts w:cstheme="minorHAnsi"/>
        </w:rPr>
        <w:t xml:space="preserve">, </w:t>
      </w:r>
      <w:r w:rsidRPr="00F50551">
        <w:rPr>
          <w:rFonts w:cstheme="minorHAnsi"/>
        </w:rPr>
        <w:t>Ozempic</w:t>
      </w:r>
      <w:r w:rsidRPr="007F04F4">
        <w:rPr>
          <w:rFonts w:cstheme="minorHAnsi"/>
        </w:rPr>
        <w:t xml:space="preserve">®, </w:t>
      </w:r>
      <w:r>
        <w:rPr>
          <w:rFonts w:cstheme="minorHAnsi"/>
        </w:rPr>
        <w:t>has notified the TGA of a shortage due to an unexpected increase in consumer demand</w:t>
      </w:r>
      <w:r w:rsidR="000C2DB8">
        <w:rPr>
          <w:rFonts w:cstheme="minorHAnsi"/>
        </w:rPr>
        <w:t>,</w:t>
      </w:r>
      <w:r>
        <w:rPr>
          <w:rFonts w:cstheme="minorHAnsi"/>
        </w:rPr>
        <w:t xml:space="preserve"> due to </w:t>
      </w:r>
      <w:r w:rsidR="000C2DB8">
        <w:rPr>
          <w:rFonts w:cstheme="minorHAnsi"/>
        </w:rPr>
        <w:t xml:space="preserve">off-label </w:t>
      </w:r>
      <w:r>
        <w:rPr>
          <w:rFonts w:cstheme="minorHAnsi"/>
        </w:rPr>
        <w:t>prescribing for obesity management. The TGA and the sponsor have published a joint statement advising prescriber</w:t>
      </w:r>
      <w:r w:rsidR="000C2DB8">
        <w:rPr>
          <w:rFonts w:cstheme="minorHAnsi"/>
        </w:rPr>
        <w:t>s</w:t>
      </w:r>
      <w:r>
        <w:rPr>
          <w:rFonts w:cstheme="minorHAnsi"/>
        </w:rPr>
        <w:t xml:space="preserve"> to limit prescribing to patients with type 2 diabetes.</w:t>
      </w:r>
      <w:r w:rsidR="00A93BC1">
        <w:rPr>
          <w:rFonts w:cstheme="minorHAnsi"/>
        </w:rPr>
        <w:t xml:space="preserve"> </w:t>
      </w:r>
      <w:r w:rsidRPr="00232F91">
        <w:rPr>
          <w:rFonts w:cstheme="minorHAnsi"/>
        </w:rPr>
        <w:t>There has been limited availability of Ozempic in Australia since 15 April 2022 and this has in turn recently cause</w:t>
      </w:r>
      <w:r w:rsidR="00A93BC1">
        <w:rPr>
          <w:rFonts w:cstheme="minorHAnsi"/>
        </w:rPr>
        <w:t>d</w:t>
      </w:r>
      <w:r w:rsidRPr="00232F91">
        <w:rPr>
          <w:rFonts w:cstheme="minorHAnsi"/>
        </w:rPr>
        <w:t xml:space="preserve"> a shortage of another PBS listed GLP-1 analog</w:t>
      </w:r>
      <w:r w:rsidR="009D3634">
        <w:rPr>
          <w:rFonts w:cstheme="minorHAnsi"/>
        </w:rPr>
        <w:t>ue</w:t>
      </w:r>
      <w:r w:rsidRPr="00232F91">
        <w:rPr>
          <w:rFonts w:cstheme="minorHAnsi"/>
        </w:rPr>
        <w:t xml:space="preserve">, dulaglutide (Trulicity®). </w:t>
      </w:r>
    </w:p>
    <w:p w14:paraId="2335FBE0" w14:textId="50BFD360" w:rsidR="00933EBE" w:rsidRPr="00C62C96" w:rsidRDefault="00933EBE" w:rsidP="00933EBE">
      <w:pPr>
        <w:pStyle w:val="3-BodyText"/>
        <w:rPr>
          <w:rFonts w:cstheme="minorHAnsi"/>
          <w:bCs/>
        </w:rPr>
      </w:pPr>
      <w:r>
        <w:rPr>
          <w:rFonts w:cstheme="minorHAnsi"/>
        </w:rPr>
        <w:lastRenderedPageBreak/>
        <w:t xml:space="preserve">Ozempic is available in two forms, the first contains a 2 mg </w:t>
      </w:r>
      <w:r w:rsidR="00DF16BB">
        <w:rPr>
          <w:rFonts w:cstheme="minorHAnsi"/>
        </w:rPr>
        <w:t xml:space="preserve">solution </w:t>
      </w:r>
      <w:r>
        <w:rPr>
          <w:rFonts w:cstheme="minorHAnsi"/>
        </w:rPr>
        <w:t>in a 1.5 mL pre-filled pen</w:t>
      </w:r>
      <w:r w:rsidR="00232F91">
        <w:rPr>
          <w:rFonts w:cstheme="minorHAnsi"/>
        </w:rPr>
        <w:t xml:space="preserve"> (for dose escalation and maintenance therapy)</w:t>
      </w:r>
      <w:r>
        <w:rPr>
          <w:rFonts w:cstheme="minorHAnsi"/>
        </w:rPr>
        <w:t xml:space="preserve"> and the second is </w:t>
      </w:r>
      <w:r w:rsidR="00DF16BB">
        <w:rPr>
          <w:rFonts w:cstheme="minorHAnsi"/>
        </w:rPr>
        <w:t xml:space="preserve">a </w:t>
      </w:r>
      <w:r>
        <w:rPr>
          <w:rFonts w:cstheme="minorHAnsi"/>
        </w:rPr>
        <w:t>4 mg</w:t>
      </w:r>
      <w:r w:rsidR="00DF16BB">
        <w:rPr>
          <w:rFonts w:cstheme="minorHAnsi"/>
        </w:rPr>
        <w:t xml:space="preserve"> solution</w:t>
      </w:r>
      <w:r>
        <w:rPr>
          <w:rFonts w:cstheme="minorHAnsi"/>
        </w:rPr>
        <w:t xml:space="preserve"> in a 3 mL pre-filled pen</w:t>
      </w:r>
      <w:r w:rsidR="00232F91">
        <w:rPr>
          <w:rFonts w:cstheme="minorHAnsi"/>
        </w:rPr>
        <w:t xml:space="preserve"> (for maintenance therapy only)</w:t>
      </w:r>
      <w:r>
        <w:rPr>
          <w:rFonts w:cstheme="minorHAnsi"/>
        </w:rPr>
        <w:t>.</w:t>
      </w:r>
    </w:p>
    <w:p w14:paraId="58BC6A52" w14:textId="7A58CA83" w:rsidR="005A6288" w:rsidRPr="00221A83" w:rsidRDefault="00933EBE" w:rsidP="00221A83">
      <w:pPr>
        <w:pStyle w:val="3-BodyText"/>
        <w:rPr>
          <w:rFonts w:cstheme="minorHAnsi"/>
        </w:rPr>
      </w:pPr>
      <w:r w:rsidRPr="007F04F4">
        <w:rPr>
          <w:rFonts w:cstheme="minorHAnsi"/>
        </w:rPr>
        <w:t xml:space="preserve">From 1 January 2021 to 31 December 2021, </w:t>
      </w:r>
      <w:r>
        <w:rPr>
          <w:rFonts w:cstheme="minorHAnsi"/>
        </w:rPr>
        <w:t>491,185</w:t>
      </w:r>
      <w:r w:rsidRPr="007F04F4">
        <w:rPr>
          <w:rFonts w:cstheme="minorHAnsi"/>
        </w:rPr>
        <w:t xml:space="preserve"> scripts of</w:t>
      </w:r>
      <w:r>
        <w:rPr>
          <w:rFonts w:cstheme="minorHAnsi"/>
        </w:rPr>
        <w:t xml:space="preserve"> Ozempic</w:t>
      </w:r>
      <w:r w:rsidR="0067686D">
        <w:rPr>
          <w:rFonts w:cstheme="minorHAnsi"/>
        </w:rPr>
        <w:t xml:space="preserve"> </w:t>
      </w:r>
      <w:r w:rsidRPr="007F04F4">
        <w:rPr>
          <w:rFonts w:cstheme="minorHAnsi"/>
        </w:rPr>
        <w:t xml:space="preserve">were dispensed under the PBS and the average monthly script volume was </w:t>
      </w:r>
      <w:r>
        <w:rPr>
          <w:rFonts w:cstheme="minorHAnsi"/>
        </w:rPr>
        <w:t>23,375 (the current year-to-date average is 48,933 scripts/month) for the 3 mL pen and 17,557 for the 1.5 mL pen (the current year-to-date average is 35,863 scripts/month)</w:t>
      </w:r>
      <w:r w:rsidRPr="007F04F4">
        <w:rPr>
          <w:rFonts w:cstheme="minorHAnsi"/>
        </w:rPr>
        <w:t>. The total PBS and R</w:t>
      </w:r>
      <w:r w:rsidR="005A6288">
        <w:rPr>
          <w:rFonts w:cstheme="minorHAnsi"/>
        </w:rPr>
        <w:t>P</w:t>
      </w:r>
      <w:r w:rsidRPr="007F04F4">
        <w:rPr>
          <w:rFonts w:cstheme="minorHAnsi"/>
        </w:rPr>
        <w:t>B</w:t>
      </w:r>
      <w:r w:rsidR="005A6288">
        <w:rPr>
          <w:rFonts w:cstheme="minorHAnsi"/>
        </w:rPr>
        <w:t>S</w:t>
      </w:r>
      <w:r w:rsidRPr="007F04F4">
        <w:rPr>
          <w:rFonts w:cstheme="minorHAnsi"/>
        </w:rPr>
        <w:t xml:space="preserve"> expenditure for </w:t>
      </w:r>
      <w:r>
        <w:rPr>
          <w:rFonts w:cstheme="minorHAnsi"/>
        </w:rPr>
        <w:t>the 2021 calendar year was</w:t>
      </w:r>
      <w:r w:rsidRPr="007F04F4">
        <w:rPr>
          <w:rFonts w:cstheme="minorHAnsi"/>
        </w:rPr>
        <w:t xml:space="preserve"> $</w:t>
      </w:r>
      <w:r>
        <w:rPr>
          <w:rFonts w:cstheme="minorHAnsi"/>
        </w:rPr>
        <w:t>49.33 million and the year-to-date expenditure up until 30 June 2022 was $56.81 million.</w:t>
      </w:r>
    </w:p>
    <w:p w14:paraId="204926E7" w14:textId="79FA1D91" w:rsidR="00933EBE" w:rsidRPr="00F07893" w:rsidRDefault="00933EBE" w:rsidP="00933EBE">
      <w:pPr>
        <w:pStyle w:val="3-BodyText"/>
        <w:rPr>
          <w:rFonts w:cstheme="minorHAnsi"/>
        </w:rPr>
      </w:pPr>
      <w:r>
        <w:rPr>
          <w:rFonts w:cstheme="minorHAnsi"/>
        </w:rPr>
        <w:t>Table</w:t>
      </w:r>
      <w:r w:rsidR="00232F91">
        <w:rPr>
          <w:rFonts w:cstheme="minorHAnsi"/>
        </w:rPr>
        <w:t>s</w:t>
      </w:r>
      <w:r>
        <w:rPr>
          <w:rFonts w:cstheme="minorHAnsi"/>
        </w:rPr>
        <w:t xml:space="preserve"> </w:t>
      </w:r>
      <w:r w:rsidR="00A60BCC">
        <w:rPr>
          <w:rFonts w:cstheme="minorHAnsi"/>
        </w:rPr>
        <w:t>2</w:t>
      </w:r>
      <w:r w:rsidR="00232F91">
        <w:rPr>
          <w:rFonts w:cstheme="minorHAnsi"/>
        </w:rPr>
        <w:t xml:space="preserve"> and</w:t>
      </w:r>
      <w:r>
        <w:rPr>
          <w:rFonts w:cstheme="minorHAnsi"/>
        </w:rPr>
        <w:t xml:space="preserve"> </w:t>
      </w:r>
      <w:r w:rsidR="00A60BCC">
        <w:rPr>
          <w:rFonts w:cstheme="minorHAnsi"/>
        </w:rPr>
        <w:t>3</w:t>
      </w:r>
      <w:r w:rsidR="00232F91">
        <w:rPr>
          <w:rFonts w:cstheme="minorHAnsi"/>
        </w:rPr>
        <w:t xml:space="preserve"> </w:t>
      </w:r>
      <w:r>
        <w:rPr>
          <w:rFonts w:cstheme="minorHAnsi"/>
        </w:rPr>
        <w:t xml:space="preserve">below </w:t>
      </w:r>
      <w:r w:rsidRPr="007F04F4">
        <w:rPr>
          <w:rFonts w:cstheme="minorHAnsi"/>
        </w:rPr>
        <w:t xml:space="preserve">shows the </w:t>
      </w:r>
      <w:r w:rsidR="00221A83">
        <w:rPr>
          <w:rFonts w:cstheme="minorHAnsi"/>
        </w:rPr>
        <w:t>prescription volume and expenditure</w:t>
      </w:r>
      <w:r w:rsidRPr="007F04F4">
        <w:rPr>
          <w:rFonts w:cstheme="minorHAnsi"/>
        </w:rPr>
        <w:t xml:space="preserve"> for </w:t>
      </w:r>
      <w:r w:rsidR="00141094">
        <w:rPr>
          <w:rFonts w:cstheme="minorHAnsi"/>
        </w:rPr>
        <w:t xml:space="preserve">both forms of Ozempic for </w:t>
      </w:r>
      <w:r w:rsidRPr="007F04F4">
        <w:rPr>
          <w:rFonts w:cstheme="minorHAnsi"/>
        </w:rPr>
        <w:t>each patient category</w:t>
      </w:r>
      <w:r w:rsidR="00221A83">
        <w:rPr>
          <w:rFonts w:cstheme="minorHAnsi"/>
        </w:rPr>
        <w:t xml:space="preserve"> </w:t>
      </w:r>
      <w:r w:rsidR="000C2DB8">
        <w:rPr>
          <w:rFonts w:cstheme="minorHAnsi"/>
        </w:rPr>
        <w:t xml:space="preserve">for </w:t>
      </w:r>
      <w:r w:rsidR="00232F91">
        <w:rPr>
          <w:rFonts w:cstheme="minorHAnsi"/>
        </w:rPr>
        <w:t>the</w:t>
      </w:r>
      <w:r w:rsidR="0067686D">
        <w:rPr>
          <w:rFonts w:cstheme="minorHAnsi"/>
        </w:rPr>
        <w:t xml:space="preserve"> </w:t>
      </w:r>
      <w:r w:rsidR="00221A83">
        <w:rPr>
          <w:rFonts w:cstheme="minorHAnsi"/>
        </w:rPr>
        <w:t>2021</w:t>
      </w:r>
      <w:r w:rsidR="00232F91">
        <w:rPr>
          <w:rFonts w:cstheme="minorHAnsi"/>
        </w:rPr>
        <w:t xml:space="preserve"> calendar year and the year-to-date (until 30 June 2022) respectively</w:t>
      </w:r>
      <w:r w:rsidRPr="007F04F4">
        <w:rPr>
          <w:rFonts w:cstheme="minorHAnsi"/>
        </w:rPr>
        <w:t xml:space="preserve">. </w:t>
      </w:r>
      <w:bookmarkStart w:id="1" w:name="_Ref95471384"/>
    </w:p>
    <w:p w14:paraId="31661C8C" w14:textId="5DD53701" w:rsidR="00933EBE" w:rsidRPr="00D80206" w:rsidRDefault="00933EBE" w:rsidP="00933EBE">
      <w:pPr>
        <w:pStyle w:val="TableFigureHeading"/>
        <w:keepLines/>
      </w:pPr>
      <w:r w:rsidRPr="00D80206">
        <w:t xml:space="preserve">Table </w:t>
      </w:r>
      <w:bookmarkEnd w:id="1"/>
      <w:r w:rsidR="00A60BCC">
        <w:t>2</w:t>
      </w:r>
      <w:r w:rsidRPr="00D80206">
        <w:t>:</w:t>
      </w:r>
      <w:r>
        <w:t xml:space="preserve"> </w:t>
      </w:r>
      <w:r w:rsidRPr="00D80206">
        <w:t xml:space="preserve">Patient category share of prescriptions for </w:t>
      </w:r>
      <w:r>
        <w:t xml:space="preserve">Ozempic (item codes 12075M and 12080T </w:t>
      </w:r>
      <w:r w:rsidRPr="00D80206">
        <w:t>from 1 January 2021 to 31 December 2021.</w:t>
      </w:r>
    </w:p>
    <w:tbl>
      <w:tblPr>
        <w:tblStyle w:val="TableGrid"/>
        <w:tblpPr w:leftFromText="181" w:rightFromText="181" w:vertAnchor="text" w:horzAnchor="margin" w:tblpY="1"/>
        <w:tblW w:w="9459" w:type="dxa"/>
        <w:tblLook w:val="04A0" w:firstRow="1" w:lastRow="0" w:firstColumn="1" w:lastColumn="0" w:noHBand="0" w:noVBand="1"/>
      </w:tblPr>
      <w:tblGrid>
        <w:gridCol w:w="1115"/>
        <w:gridCol w:w="1129"/>
        <w:gridCol w:w="1192"/>
        <w:gridCol w:w="1337"/>
        <w:gridCol w:w="1322"/>
        <w:gridCol w:w="1031"/>
        <w:gridCol w:w="1031"/>
        <w:gridCol w:w="1302"/>
      </w:tblGrid>
      <w:tr w:rsidR="00221A83" w:rsidRPr="00ED2D37" w14:paraId="26959B23" w14:textId="296514EC" w:rsidTr="005931EB">
        <w:trPr>
          <w:trHeight w:val="113"/>
        </w:trPr>
        <w:tc>
          <w:tcPr>
            <w:tcW w:w="1115" w:type="dxa"/>
            <w:vMerge w:val="restart"/>
          </w:tcPr>
          <w:p w14:paraId="3561FC47" w14:textId="77777777" w:rsidR="00221A83" w:rsidRPr="005931EB" w:rsidRDefault="00221A83" w:rsidP="0031725D">
            <w:pPr>
              <w:pStyle w:val="TableFigureHeading"/>
              <w:keepLines/>
              <w:rPr>
                <w:szCs w:val="20"/>
              </w:rPr>
            </w:pPr>
          </w:p>
        </w:tc>
        <w:tc>
          <w:tcPr>
            <w:tcW w:w="4980" w:type="dxa"/>
            <w:gridSpan w:val="4"/>
          </w:tcPr>
          <w:p w14:paraId="0B180C55" w14:textId="77777777" w:rsidR="00221A83" w:rsidRPr="005931EB" w:rsidRDefault="00221A83" w:rsidP="0031725D">
            <w:pPr>
              <w:pStyle w:val="TableFigureHeading"/>
              <w:keepLines/>
              <w:rPr>
                <w:szCs w:val="20"/>
              </w:rPr>
            </w:pPr>
            <w:r w:rsidRPr="005931EB">
              <w:rPr>
                <w:szCs w:val="20"/>
              </w:rPr>
              <w:t>PBS</w:t>
            </w:r>
          </w:p>
        </w:tc>
        <w:tc>
          <w:tcPr>
            <w:tcW w:w="2062" w:type="dxa"/>
            <w:gridSpan w:val="2"/>
          </w:tcPr>
          <w:p w14:paraId="349DD8DE" w14:textId="77777777" w:rsidR="00221A83" w:rsidRPr="005931EB" w:rsidRDefault="00221A83" w:rsidP="0031725D">
            <w:pPr>
              <w:pStyle w:val="TableFigureHeading"/>
              <w:keepLines/>
              <w:rPr>
                <w:szCs w:val="20"/>
              </w:rPr>
            </w:pPr>
            <w:r w:rsidRPr="005931EB">
              <w:rPr>
                <w:szCs w:val="20"/>
              </w:rPr>
              <w:t>RPBS</w:t>
            </w:r>
          </w:p>
        </w:tc>
        <w:tc>
          <w:tcPr>
            <w:tcW w:w="1302" w:type="dxa"/>
          </w:tcPr>
          <w:p w14:paraId="25E06D30" w14:textId="77777777" w:rsidR="00221A83" w:rsidRPr="005931EB" w:rsidRDefault="00221A83" w:rsidP="0031725D">
            <w:pPr>
              <w:pStyle w:val="TableFigureHeading"/>
              <w:keepLines/>
              <w:rPr>
                <w:szCs w:val="20"/>
              </w:rPr>
            </w:pPr>
          </w:p>
        </w:tc>
      </w:tr>
      <w:tr w:rsidR="00221A83" w:rsidRPr="00ED2D37" w14:paraId="2EF35CC3" w14:textId="2DC9A0E8" w:rsidTr="005931EB">
        <w:trPr>
          <w:trHeight w:val="113"/>
        </w:trPr>
        <w:tc>
          <w:tcPr>
            <w:tcW w:w="1115" w:type="dxa"/>
            <w:vMerge/>
          </w:tcPr>
          <w:p w14:paraId="546D4310" w14:textId="77777777" w:rsidR="00221A83" w:rsidRPr="005931EB" w:rsidRDefault="00221A83" w:rsidP="0031725D">
            <w:pPr>
              <w:pStyle w:val="TableFigureHeading"/>
              <w:keepLines/>
              <w:rPr>
                <w:szCs w:val="20"/>
              </w:rPr>
            </w:pPr>
          </w:p>
        </w:tc>
        <w:tc>
          <w:tcPr>
            <w:tcW w:w="1129" w:type="dxa"/>
          </w:tcPr>
          <w:p w14:paraId="7EB2A33C" w14:textId="77777777" w:rsidR="00221A83" w:rsidRPr="005931EB" w:rsidRDefault="00221A83" w:rsidP="0031725D">
            <w:pPr>
              <w:pStyle w:val="TableFigureHeading"/>
              <w:keepLines/>
              <w:rPr>
                <w:szCs w:val="20"/>
              </w:rPr>
            </w:pPr>
            <w:r w:rsidRPr="005931EB">
              <w:rPr>
                <w:szCs w:val="20"/>
              </w:rPr>
              <w:t xml:space="preserve">General – Ordinary </w:t>
            </w:r>
          </w:p>
        </w:tc>
        <w:tc>
          <w:tcPr>
            <w:tcW w:w="1192" w:type="dxa"/>
          </w:tcPr>
          <w:p w14:paraId="262D409D" w14:textId="77777777" w:rsidR="00221A83" w:rsidRPr="005931EB" w:rsidRDefault="00221A83" w:rsidP="0031725D">
            <w:pPr>
              <w:pStyle w:val="TableFigureHeading"/>
              <w:keepLines/>
              <w:rPr>
                <w:szCs w:val="20"/>
              </w:rPr>
            </w:pPr>
            <w:r w:rsidRPr="005931EB">
              <w:rPr>
                <w:szCs w:val="20"/>
              </w:rPr>
              <w:t>General – Safety Net</w:t>
            </w:r>
          </w:p>
        </w:tc>
        <w:tc>
          <w:tcPr>
            <w:tcW w:w="1337" w:type="dxa"/>
          </w:tcPr>
          <w:p w14:paraId="31149EC7" w14:textId="77777777" w:rsidR="00221A83" w:rsidRPr="005931EB" w:rsidRDefault="00221A83" w:rsidP="0031725D">
            <w:pPr>
              <w:pStyle w:val="TableFigureHeading"/>
              <w:keepLines/>
              <w:rPr>
                <w:szCs w:val="20"/>
              </w:rPr>
            </w:pPr>
            <w:r w:rsidRPr="005931EB">
              <w:rPr>
                <w:szCs w:val="20"/>
              </w:rPr>
              <w:t xml:space="preserve">Concessional-Ordinary </w:t>
            </w:r>
          </w:p>
        </w:tc>
        <w:tc>
          <w:tcPr>
            <w:tcW w:w="1322" w:type="dxa"/>
          </w:tcPr>
          <w:p w14:paraId="7F1C06AA" w14:textId="77777777" w:rsidR="00221A83" w:rsidRPr="005931EB" w:rsidRDefault="00221A83" w:rsidP="0031725D">
            <w:pPr>
              <w:pStyle w:val="TableFigureHeading"/>
              <w:keepLines/>
              <w:rPr>
                <w:szCs w:val="20"/>
              </w:rPr>
            </w:pPr>
            <w:r w:rsidRPr="005931EB">
              <w:rPr>
                <w:szCs w:val="20"/>
              </w:rPr>
              <w:t xml:space="preserve">Concessional – Free Safety Net </w:t>
            </w:r>
          </w:p>
        </w:tc>
        <w:tc>
          <w:tcPr>
            <w:tcW w:w="1031" w:type="dxa"/>
          </w:tcPr>
          <w:p w14:paraId="258A9A60" w14:textId="77777777" w:rsidR="00221A83" w:rsidRPr="005931EB" w:rsidRDefault="00221A83" w:rsidP="0031725D">
            <w:pPr>
              <w:pStyle w:val="TableFigureHeading"/>
              <w:keepLines/>
              <w:rPr>
                <w:szCs w:val="20"/>
              </w:rPr>
            </w:pPr>
            <w:r w:rsidRPr="005931EB">
              <w:rPr>
                <w:szCs w:val="20"/>
              </w:rPr>
              <w:t xml:space="preserve">RPBS – Ordinary </w:t>
            </w:r>
          </w:p>
        </w:tc>
        <w:tc>
          <w:tcPr>
            <w:tcW w:w="1031" w:type="dxa"/>
          </w:tcPr>
          <w:p w14:paraId="51511730" w14:textId="77777777" w:rsidR="00221A83" w:rsidRPr="005931EB" w:rsidRDefault="00221A83" w:rsidP="0031725D">
            <w:pPr>
              <w:pStyle w:val="TableFigureHeading"/>
              <w:keepLines/>
              <w:rPr>
                <w:szCs w:val="20"/>
              </w:rPr>
            </w:pPr>
            <w:r w:rsidRPr="005931EB">
              <w:rPr>
                <w:szCs w:val="20"/>
              </w:rPr>
              <w:t xml:space="preserve">RPBS – Safety Net </w:t>
            </w:r>
          </w:p>
        </w:tc>
        <w:tc>
          <w:tcPr>
            <w:tcW w:w="1302" w:type="dxa"/>
          </w:tcPr>
          <w:p w14:paraId="2B2EAF49" w14:textId="72686BAE" w:rsidR="00221A83" w:rsidRPr="005931EB" w:rsidRDefault="00221A83" w:rsidP="0031725D">
            <w:pPr>
              <w:pStyle w:val="TableFigureHeading"/>
              <w:keepLines/>
              <w:rPr>
                <w:szCs w:val="20"/>
              </w:rPr>
            </w:pPr>
            <w:r w:rsidRPr="005931EB">
              <w:rPr>
                <w:szCs w:val="20"/>
              </w:rPr>
              <w:t>Total</w:t>
            </w:r>
          </w:p>
        </w:tc>
      </w:tr>
      <w:tr w:rsidR="00221A83" w:rsidRPr="00ED2D37" w14:paraId="3EF3FCF8" w14:textId="3907568A" w:rsidTr="005931EB">
        <w:trPr>
          <w:trHeight w:val="113"/>
        </w:trPr>
        <w:tc>
          <w:tcPr>
            <w:tcW w:w="1115" w:type="dxa"/>
            <w:shd w:val="clear" w:color="auto" w:fill="auto"/>
          </w:tcPr>
          <w:p w14:paraId="493A73E4" w14:textId="77777777" w:rsidR="00221A83" w:rsidRPr="005931EB" w:rsidRDefault="00221A83" w:rsidP="0031725D">
            <w:pPr>
              <w:pStyle w:val="TableFigureHeading"/>
              <w:keepLines/>
              <w:rPr>
                <w:color w:val="333333"/>
                <w:szCs w:val="20"/>
              </w:rPr>
            </w:pPr>
            <w:r w:rsidRPr="005931EB">
              <w:rPr>
                <w:szCs w:val="20"/>
              </w:rPr>
              <w:t>Services</w:t>
            </w:r>
          </w:p>
        </w:tc>
        <w:tc>
          <w:tcPr>
            <w:tcW w:w="1129" w:type="dxa"/>
          </w:tcPr>
          <w:p w14:paraId="627CBD81" w14:textId="77777777" w:rsidR="00221A83" w:rsidRPr="005931EB" w:rsidRDefault="00221A83" w:rsidP="0031725D">
            <w:pPr>
              <w:pStyle w:val="TableFigureHeading"/>
              <w:keepLines/>
              <w:jc w:val="right"/>
              <w:rPr>
                <w:rFonts w:cs="Arial"/>
                <w:b w:val="0"/>
                <w:bCs w:val="0"/>
                <w:color w:val="000000"/>
                <w:szCs w:val="20"/>
              </w:rPr>
            </w:pPr>
            <w:r w:rsidRPr="005931EB">
              <w:rPr>
                <w:rFonts w:cs="Arial"/>
                <w:b w:val="0"/>
                <w:bCs w:val="0"/>
                <w:color w:val="000000"/>
                <w:szCs w:val="20"/>
              </w:rPr>
              <w:t>175,268</w:t>
            </w:r>
          </w:p>
        </w:tc>
        <w:tc>
          <w:tcPr>
            <w:tcW w:w="1192" w:type="dxa"/>
          </w:tcPr>
          <w:p w14:paraId="667EE93C" w14:textId="77777777" w:rsidR="00221A83" w:rsidRPr="005931EB" w:rsidRDefault="00221A83" w:rsidP="0031725D">
            <w:pPr>
              <w:pStyle w:val="TableFigureHeading"/>
              <w:keepLines/>
              <w:jc w:val="right"/>
              <w:rPr>
                <w:rFonts w:cs="Arial"/>
                <w:b w:val="0"/>
                <w:bCs w:val="0"/>
                <w:color w:val="000000"/>
                <w:szCs w:val="20"/>
              </w:rPr>
            </w:pPr>
            <w:r w:rsidRPr="005931EB">
              <w:rPr>
                <w:rFonts w:cs="Arial"/>
                <w:b w:val="0"/>
                <w:bCs w:val="0"/>
                <w:color w:val="000000"/>
                <w:szCs w:val="20"/>
              </w:rPr>
              <w:t>18,324</w:t>
            </w:r>
          </w:p>
        </w:tc>
        <w:tc>
          <w:tcPr>
            <w:tcW w:w="1337" w:type="dxa"/>
          </w:tcPr>
          <w:p w14:paraId="2DC687CD" w14:textId="77777777" w:rsidR="00221A83" w:rsidRPr="005931EB" w:rsidRDefault="00221A83" w:rsidP="0031725D">
            <w:pPr>
              <w:pStyle w:val="TableFigureHeading"/>
              <w:keepLines/>
              <w:jc w:val="right"/>
              <w:rPr>
                <w:rFonts w:cs="Arial"/>
                <w:b w:val="0"/>
                <w:bCs w:val="0"/>
                <w:color w:val="000000"/>
                <w:szCs w:val="20"/>
              </w:rPr>
            </w:pPr>
            <w:r w:rsidRPr="005931EB">
              <w:rPr>
                <w:rFonts w:cs="Arial"/>
                <w:b w:val="0"/>
                <w:bCs w:val="0"/>
                <w:color w:val="000000"/>
                <w:szCs w:val="20"/>
              </w:rPr>
              <w:t>128,859</w:t>
            </w:r>
          </w:p>
        </w:tc>
        <w:tc>
          <w:tcPr>
            <w:tcW w:w="1322" w:type="dxa"/>
          </w:tcPr>
          <w:p w14:paraId="3454979E" w14:textId="77777777" w:rsidR="00221A83" w:rsidRPr="005931EB" w:rsidRDefault="00221A83" w:rsidP="0031725D">
            <w:pPr>
              <w:pStyle w:val="TableFigureHeading"/>
              <w:keepLines/>
              <w:jc w:val="right"/>
              <w:rPr>
                <w:rFonts w:cs="Arial"/>
                <w:b w:val="0"/>
                <w:bCs w:val="0"/>
                <w:color w:val="000000"/>
                <w:szCs w:val="20"/>
              </w:rPr>
            </w:pPr>
            <w:r w:rsidRPr="005931EB">
              <w:rPr>
                <w:rFonts w:cs="Arial"/>
                <w:b w:val="0"/>
                <w:bCs w:val="0"/>
                <w:color w:val="000000"/>
                <w:szCs w:val="20"/>
              </w:rPr>
              <w:t>100,419</w:t>
            </w:r>
          </w:p>
        </w:tc>
        <w:tc>
          <w:tcPr>
            <w:tcW w:w="1031" w:type="dxa"/>
          </w:tcPr>
          <w:p w14:paraId="1630B100" w14:textId="77777777" w:rsidR="00221A83" w:rsidRPr="005931EB" w:rsidRDefault="00221A83" w:rsidP="0031725D">
            <w:pPr>
              <w:pStyle w:val="TableFigureHeading"/>
              <w:keepLines/>
              <w:jc w:val="right"/>
              <w:rPr>
                <w:rFonts w:cs="Arial"/>
                <w:b w:val="0"/>
                <w:bCs w:val="0"/>
                <w:color w:val="000000"/>
                <w:szCs w:val="20"/>
              </w:rPr>
            </w:pPr>
            <w:r w:rsidRPr="005931EB">
              <w:rPr>
                <w:rFonts w:cs="Arial"/>
                <w:b w:val="0"/>
                <w:bCs w:val="0"/>
                <w:color w:val="000000"/>
                <w:szCs w:val="20"/>
              </w:rPr>
              <w:t>3,174</w:t>
            </w:r>
          </w:p>
        </w:tc>
        <w:tc>
          <w:tcPr>
            <w:tcW w:w="1031" w:type="dxa"/>
          </w:tcPr>
          <w:p w14:paraId="6502FEC0" w14:textId="77777777" w:rsidR="00221A83" w:rsidRPr="005931EB" w:rsidRDefault="00221A83" w:rsidP="0031725D">
            <w:pPr>
              <w:pStyle w:val="TableFigureHeading"/>
              <w:keepLines/>
              <w:jc w:val="right"/>
              <w:rPr>
                <w:rFonts w:cs="Arial"/>
                <w:b w:val="0"/>
                <w:bCs w:val="0"/>
                <w:color w:val="000000"/>
                <w:szCs w:val="20"/>
              </w:rPr>
            </w:pPr>
            <w:r w:rsidRPr="005931EB">
              <w:rPr>
                <w:rFonts w:cs="Arial"/>
                <w:b w:val="0"/>
                <w:bCs w:val="0"/>
                <w:color w:val="000000"/>
                <w:szCs w:val="20"/>
              </w:rPr>
              <w:t>3,317</w:t>
            </w:r>
          </w:p>
        </w:tc>
        <w:tc>
          <w:tcPr>
            <w:tcW w:w="1302" w:type="dxa"/>
          </w:tcPr>
          <w:p w14:paraId="698FCFDC" w14:textId="6748E894" w:rsidR="00221A83" w:rsidRPr="005931EB" w:rsidRDefault="00221A83" w:rsidP="0031725D">
            <w:pPr>
              <w:pStyle w:val="TableFigureHeading"/>
              <w:keepLines/>
              <w:jc w:val="right"/>
              <w:rPr>
                <w:rFonts w:cs="Arial"/>
                <w:b w:val="0"/>
                <w:bCs w:val="0"/>
                <w:color w:val="000000"/>
                <w:szCs w:val="20"/>
              </w:rPr>
            </w:pPr>
            <w:r w:rsidRPr="005931EB">
              <w:rPr>
                <w:rFonts w:cs="Arial"/>
                <w:b w:val="0"/>
                <w:bCs w:val="0"/>
                <w:color w:val="000000"/>
                <w:szCs w:val="20"/>
              </w:rPr>
              <w:t>429,361</w:t>
            </w:r>
          </w:p>
        </w:tc>
      </w:tr>
      <w:tr w:rsidR="00221A83" w:rsidRPr="00ED2D37" w14:paraId="23C6231B" w14:textId="4D26220F" w:rsidTr="005931EB">
        <w:trPr>
          <w:trHeight w:val="113"/>
        </w:trPr>
        <w:tc>
          <w:tcPr>
            <w:tcW w:w="1115" w:type="dxa"/>
            <w:shd w:val="clear" w:color="auto" w:fill="auto"/>
          </w:tcPr>
          <w:p w14:paraId="313C7B2E" w14:textId="77777777" w:rsidR="00221A83" w:rsidRPr="005931EB" w:rsidRDefault="00221A83" w:rsidP="0031725D">
            <w:pPr>
              <w:pStyle w:val="TableFigureHeading"/>
              <w:keepLines/>
              <w:rPr>
                <w:color w:val="333333"/>
                <w:szCs w:val="20"/>
              </w:rPr>
            </w:pPr>
            <w:r w:rsidRPr="005931EB">
              <w:rPr>
                <w:szCs w:val="20"/>
              </w:rPr>
              <w:t>Benefit ($)</w:t>
            </w:r>
          </w:p>
        </w:tc>
        <w:tc>
          <w:tcPr>
            <w:tcW w:w="1129" w:type="dxa"/>
          </w:tcPr>
          <w:p w14:paraId="784E5951" w14:textId="77777777" w:rsidR="00221A83" w:rsidRPr="005931EB" w:rsidRDefault="00221A83" w:rsidP="0031725D">
            <w:pPr>
              <w:pStyle w:val="TableFigureHeading"/>
              <w:keepLines/>
              <w:jc w:val="right"/>
              <w:rPr>
                <w:b w:val="0"/>
                <w:bCs w:val="0"/>
                <w:color w:val="000000" w:themeColor="text1"/>
                <w:szCs w:val="20"/>
              </w:rPr>
            </w:pPr>
            <w:r w:rsidRPr="005931EB">
              <w:rPr>
                <w:rFonts w:cs="Arial"/>
                <w:b w:val="0"/>
                <w:bCs w:val="0"/>
                <w:color w:val="000000"/>
                <w:szCs w:val="20"/>
              </w:rPr>
              <w:t>$16,348,002</w:t>
            </w:r>
          </w:p>
        </w:tc>
        <w:tc>
          <w:tcPr>
            <w:tcW w:w="1192" w:type="dxa"/>
          </w:tcPr>
          <w:p w14:paraId="70C56ECF" w14:textId="77777777" w:rsidR="00221A83" w:rsidRPr="005931EB" w:rsidRDefault="00221A83" w:rsidP="0031725D">
            <w:pPr>
              <w:pStyle w:val="TableFigureHeading"/>
              <w:keepLines/>
              <w:jc w:val="right"/>
              <w:rPr>
                <w:b w:val="0"/>
                <w:bCs w:val="0"/>
                <w:color w:val="000000" w:themeColor="text1"/>
                <w:szCs w:val="20"/>
              </w:rPr>
            </w:pPr>
            <w:r w:rsidRPr="005931EB">
              <w:rPr>
                <w:rFonts w:cs="Arial"/>
                <w:b w:val="0"/>
                <w:bCs w:val="0"/>
                <w:color w:val="000000"/>
                <w:szCs w:val="20"/>
              </w:rPr>
              <w:t>$2,350,272</w:t>
            </w:r>
          </w:p>
        </w:tc>
        <w:tc>
          <w:tcPr>
            <w:tcW w:w="1337" w:type="dxa"/>
          </w:tcPr>
          <w:p w14:paraId="6138FB1A" w14:textId="77777777" w:rsidR="00221A83" w:rsidRPr="005931EB" w:rsidRDefault="00221A83" w:rsidP="0031725D">
            <w:pPr>
              <w:pStyle w:val="TableFigureHeading"/>
              <w:keepLines/>
              <w:jc w:val="right"/>
              <w:rPr>
                <w:b w:val="0"/>
                <w:bCs w:val="0"/>
                <w:color w:val="000000" w:themeColor="text1"/>
                <w:szCs w:val="20"/>
              </w:rPr>
            </w:pPr>
            <w:r w:rsidRPr="005931EB">
              <w:rPr>
                <w:rFonts w:cs="Arial"/>
                <w:b w:val="0"/>
                <w:bCs w:val="0"/>
                <w:color w:val="000000"/>
                <w:szCs w:val="20"/>
              </w:rPr>
              <w:t>$16,370,210</w:t>
            </w:r>
          </w:p>
        </w:tc>
        <w:tc>
          <w:tcPr>
            <w:tcW w:w="1322" w:type="dxa"/>
          </w:tcPr>
          <w:p w14:paraId="6205F0AE" w14:textId="77777777" w:rsidR="00221A83" w:rsidRPr="005931EB" w:rsidRDefault="00221A83" w:rsidP="0031725D">
            <w:pPr>
              <w:pStyle w:val="TableFigureHeading"/>
              <w:keepLines/>
              <w:jc w:val="right"/>
              <w:rPr>
                <w:b w:val="0"/>
                <w:bCs w:val="0"/>
                <w:color w:val="000000" w:themeColor="text1"/>
                <w:szCs w:val="20"/>
              </w:rPr>
            </w:pPr>
            <w:r w:rsidRPr="005931EB">
              <w:rPr>
                <w:rFonts w:cs="Arial"/>
                <w:b w:val="0"/>
                <w:bCs w:val="0"/>
                <w:color w:val="000000"/>
                <w:szCs w:val="20"/>
              </w:rPr>
              <w:t>$13,410,159</w:t>
            </w:r>
          </w:p>
        </w:tc>
        <w:tc>
          <w:tcPr>
            <w:tcW w:w="1031" w:type="dxa"/>
          </w:tcPr>
          <w:p w14:paraId="2BACC5B1" w14:textId="77777777" w:rsidR="00221A83" w:rsidRPr="005931EB" w:rsidRDefault="00221A83" w:rsidP="0031725D">
            <w:pPr>
              <w:pStyle w:val="TableFigureHeading"/>
              <w:keepLines/>
              <w:jc w:val="right"/>
              <w:rPr>
                <w:b w:val="0"/>
                <w:bCs w:val="0"/>
                <w:color w:val="000000" w:themeColor="text1"/>
                <w:szCs w:val="20"/>
              </w:rPr>
            </w:pPr>
            <w:r w:rsidRPr="005931EB">
              <w:rPr>
                <w:rFonts w:cs="Arial"/>
                <w:b w:val="0"/>
                <w:bCs w:val="0"/>
                <w:color w:val="000000"/>
                <w:szCs w:val="20"/>
              </w:rPr>
              <w:t>$403,104</w:t>
            </w:r>
          </w:p>
        </w:tc>
        <w:tc>
          <w:tcPr>
            <w:tcW w:w="1031" w:type="dxa"/>
          </w:tcPr>
          <w:p w14:paraId="1E28F184" w14:textId="77777777" w:rsidR="00221A83" w:rsidRPr="005931EB" w:rsidRDefault="00221A83" w:rsidP="0031725D">
            <w:pPr>
              <w:pStyle w:val="TableFigureHeading"/>
              <w:keepLines/>
              <w:jc w:val="right"/>
              <w:rPr>
                <w:b w:val="0"/>
                <w:bCs w:val="0"/>
                <w:color w:val="000000" w:themeColor="text1"/>
                <w:szCs w:val="20"/>
              </w:rPr>
            </w:pPr>
            <w:r w:rsidRPr="005931EB">
              <w:rPr>
                <w:rFonts w:cs="Arial"/>
                <w:b w:val="0"/>
                <w:bCs w:val="0"/>
                <w:color w:val="000000"/>
                <w:szCs w:val="20"/>
              </w:rPr>
              <w:t>$444,964</w:t>
            </w:r>
          </w:p>
        </w:tc>
        <w:tc>
          <w:tcPr>
            <w:tcW w:w="1302" w:type="dxa"/>
          </w:tcPr>
          <w:p w14:paraId="4AF56BF2" w14:textId="14E1AAD7" w:rsidR="00221A83" w:rsidRPr="005931EB" w:rsidRDefault="00221A83" w:rsidP="005931EB">
            <w:pPr>
              <w:pStyle w:val="TableFigureHeading"/>
              <w:keepLines/>
              <w:jc w:val="right"/>
              <w:rPr>
                <w:rFonts w:cs="Arial"/>
                <w:b w:val="0"/>
                <w:bCs w:val="0"/>
                <w:color w:val="000000"/>
                <w:szCs w:val="20"/>
              </w:rPr>
            </w:pPr>
            <w:r w:rsidRPr="005931EB">
              <w:rPr>
                <w:rFonts w:cs="Arial"/>
                <w:b w:val="0"/>
                <w:bCs w:val="0"/>
                <w:color w:val="000000"/>
                <w:szCs w:val="20"/>
              </w:rPr>
              <w:t>$49,326,711</w:t>
            </w:r>
          </w:p>
        </w:tc>
      </w:tr>
    </w:tbl>
    <w:p w14:paraId="5C2FAC1E" w14:textId="77777777" w:rsidR="00FD3CB3" w:rsidRDefault="00FD3CB3" w:rsidP="00232F91">
      <w:pPr>
        <w:pStyle w:val="TableFigureHeading"/>
        <w:keepLines/>
      </w:pPr>
    </w:p>
    <w:p w14:paraId="13349E87" w14:textId="7DCAB4CC" w:rsidR="00232F91" w:rsidRPr="00D80206" w:rsidRDefault="00232F91" w:rsidP="00232F91">
      <w:pPr>
        <w:pStyle w:val="TableFigureHeading"/>
        <w:keepLines/>
      </w:pPr>
      <w:r w:rsidRPr="00D80206">
        <w:t xml:space="preserve">Table </w:t>
      </w:r>
      <w:r w:rsidR="00A60BCC">
        <w:t>3</w:t>
      </w:r>
      <w:r w:rsidRPr="00D80206">
        <w:t>:</w:t>
      </w:r>
      <w:r>
        <w:t xml:space="preserve"> </w:t>
      </w:r>
      <w:r w:rsidRPr="00D80206">
        <w:t xml:space="preserve">Patient category share of prescriptions for </w:t>
      </w:r>
      <w:r>
        <w:t xml:space="preserve">Ozempic (item codes 12075M and 12080T </w:t>
      </w:r>
      <w:r w:rsidRPr="00D80206">
        <w:t>from 1 January 202</w:t>
      </w:r>
      <w:r>
        <w:t>2</w:t>
      </w:r>
      <w:r w:rsidRPr="00D80206">
        <w:t xml:space="preserve"> to </w:t>
      </w:r>
      <w:r>
        <w:t>30 June 2022</w:t>
      </w:r>
      <w:r w:rsidRPr="00D80206">
        <w:t>.</w:t>
      </w:r>
    </w:p>
    <w:tbl>
      <w:tblPr>
        <w:tblStyle w:val="TableGrid"/>
        <w:tblpPr w:leftFromText="181" w:rightFromText="181" w:vertAnchor="text" w:horzAnchor="margin" w:tblpY="1"/>
        <w:tblW w:w="9459" w:type="dxa"/>
        <w:tblLook w:val="04A0" w:firstRow="1" w:lastRow="0" w:firstColumn="1" w:lastColumn="0" w:noHBand="0" w:noVBand="1"/>
      </w:tblPr>
      <w:tblGrid>
        <w:gridCol w:w="1117"/>
        <w:gridCol w:w="1129"/>
        <w:gridCol w:w="1180"/>
        <w:gridCol w:w="1337"/>
        <w:gridCol w:w="1324"/>
        <w:gridCol w:w="1033"/>
        <w:gridCol w:w="1033"/>
        <w:gridCol w:w="1306"/>
      </w:tblGrid>
      <w:tr w:rsidR="00232F91" w:rsidRPr="00ED2D37" w14:paraId="63B196B0" w14:textId="77777777" w:rsidTr="005931EB">
        <w:trPr>
          <w:trHeight w:val="113"/>
        </w:trPr>
        <w:tc>
          <w:tcPr>
            <w:tcW w:w="1117" w:type="dxa"/>
            <w:vMerge w:val="restart"/>
          </w:tcPr>
          <w:p w14:paraId="64B26E98" w14:textId="77777777" w:rsidR="00232F91" w:rsidRPr="005931EB" w:rsidRDefault="00232F91" w:rsidP="00C913E7">
            <w:pPr>
              <w:pStyle w:val="TableFigureHeading"/>
              <w:keepLines/>
              <w:rPr>
                <w:szCs w:val="20"/>
              </w:rPr>
            </w:pPr>
          </w:p>
        </w:tc>
        <w:tc>
          <w:tcPr>
            <w:tcW w:w="4970" w:type="dxa"/>
            <w:gridSpan w:val="4"/>
          </w:tcPr>
          <w:p w14:paraId="2C4996FC" w14:textId="77777777" w:rsidR="00232F91" w:rsidRPr="005931EB" w:rsidRDefault="00232F91" w:rsidP="00C913E7">
            <w:pPr>
              <w:pStyle w:val="TableFigureHeading"/>
              <w:keepLines/>
              <w:rPr>
                <w:szCs w:val="20"/>
              </w:rPr>
            </w:pPr>
            <w:r w:rsidRPr="005931EB">
              <w:rPr>
                <w:szCs w:val="20"/>
              </w:rPr>
              <w:t>PBS</w:t>
            </w:r>
          </w:p>
        </w:tc>
        <w:tc>
          <w:tcPr>
            <w:tcW w:w="2066" w:type="dxa"/>
            <w:gridSpan w:val="2"/>
          </w:tcPr>
          <w:p w14:paraId="1E320C41" w14:textId="77777777" w:rsidR="00232F91" w:rsidRPr="005931EB" w:rsidRDefault="00232F91" w:rsidP="00C913E7">
            <w:pPr>
              <w:pStyle w:val="TableFigureHeading"/>
              <w:keepLines/>
              <w:rPr>
                <w:szCs w:val="20"/>
              </w:rPr>
            </w:pPr>
            <w:r w:rsidRPr="005931EB">
              <w:rPr>
                <w:szCs w:val="20"/>
              </w:rPr>
              <w:t>RPBS</w:t>
            </w:r>
          </w:p>
        </w:tc>
        <w:tc>
          <w:tcPr>
            <w:tcW w:w="1306" w:type="dxa"/>
          </w:tcPr>
          <w:p w14:paraId="010CD0C4" w14:textId="77777777" w:rsidR="00232F91" w:rsidRPr="005931EB" w:rsidRDefault="00232F91" w:rsidP="00C913E7">
            <w:pPr>
              <w:pStyle w:val="TableFigureHeading"/>
              <w:keepLines/>
              <w:rPr>
                <w:szCs w:val="20"/>
              </w:rPr>
            </w:pPr>
          </w:p>
        </w:tc>
      </w:tr>
      <w:tr w:rsidR="00232F91" w:rsidRPr="00ED2D37" w14:paraId="056D80AE" w14:textId="77777777" w:rsidTr="005931EB">
        <w:trPr>
          <w:trHeight w:val="113"/>
        </w:trPr>
        <w:tc>
          <w:tcPr>
            <w:tcW w:w="1117" w:type="dxa"/>
            <w:vMerge/>
          </w:tcPr>
          <w:p w14:paraId="2EEED394" w14:textId="77777777" w:rsidR="00232F91" w:rsidRPr="005931EB" w:rsidRDefault="00232F91" w:rsidP="00C913E7">
            <w:pPr>
              <w:pStyle w:val="TableFigureHeading"/>
              <w:keepLines/>
              <w:rPr>
                <w:szCs w:val="20"/>
              </w:rPr>
            </w:pPr>
          </w:p>
        </w:tc>
        <w:tc>
          <w:tcPr>
            <w:tcW w:w="1129" w:type="dxa"/>
          </w:tcPr>
          <w:p w14:paraId="1B379A74" w14:textId="77777777" w:rsidR="00232F91" w:rsidRPr="005931EB" w:rsidRDefault="00232F91" w:rsidP="00C913E7">
            <w:pPr>
              <w:pStyle w:val="TableFigureHeading"/>
              <w:keepLines/>
              <w:rPr>
                <w:szCs w:val="20"/>
              </w:rPr>
            </w:pPr>
            <w:r w:rsidRPr="005931EB">
              <w:rPr>
                <w:szCs w:val="20"/>
              </w:rPr>
              <w:t xml:space="preserve">General – Ordinary </w:t>
            </w:r>
          </w:p>
        </w:tc>
        <w:tc>
          <w:tcPr>
            <w:tcW w:w="1180" w:type="dxa"/>
          </w:tcPr>
          <w:p w14:paraId="3F2D04C5" w14:textId="77777777" w:rsidR="00232F91" w:rsidRPr="005931EB" w:rsidRDefault="00232F91" w:rsidP="00C913E7">
            <w:pPr>
              <w:pStyle w:val="TableFigureHeading"/>
              <w:keepLines/>
              <w:rPr>
                <w:szCs w:val="20"/>
              </w:rPr>
            </w:pPr>
            <w:r w:rsidRPr="005931EB">
              <w:rPr>
                <w:szCs w:val="20"/>
              </w:rPr>
              <w:t>General – Safety Net</w:t>
            </w:r>
          </w:p>
        </w:tc>
        <w:tc>
          <w:tcPr>
            <w:tcW w:w="1337" w:type="dxa"/>
          </w:tcPr>
          <w:p w14:paraId="3D1CCEFC" w14:textId="77777777" w:rsidR="00232F91" w:rsidRPr="005931EB" w:rsidRDefault="00232F91" w:rsidP="00C913E7">
            <w:pPr>
              <w:pStyle w:val="TableFigureHeading"/>
              <w:keepLines/>
              <w:rPr>
                <w:szCs w:val="20"/>
              </w:rPr>
            </w:pPr>
            <w:r w:rsidRPr="005931EB">
              <w:rPr>
                <w:szCs w:val="20"/>
              </w:rPr>
              <w:t xml:space="preserve">Concessional-Ordinary </w:t>
            </w:r>
          </w:p>
        </w:tc>
        <w:tc>
          <w:tcPr>
            <w:tcW w:w="1324" w:type="dxa"/>
          </w:tcPr>
          <w:p w14:paraId="153D7616" w14:textId="77777777" w:rsidR="00232F91" w:rsidRPr="005931EB" w:rsidRDefault="00232F91" w:rsidP="00C913E7">
            <w:pPr>
              <w:pStyle w:val="TableFigureHeading"/>
              <w:keepLines/>
              <w:rPr>
                <w:szCs w:val="20"/>
              </w:rPr>
            </w:pPr>
            <w:r w:rsidRPr="005931EB">
              <w:rPr>
                <w:szCs w:val="20"/>
              </w:rPr>
              <w:t xml:space="preserve">Concessional – Free Safety Net </w:t>
            </w:r>
          </w:p>
        </w:tc>
        <w:tc>
          <w:tcPr>
            <w:tcW w:w="1033" w:type="dxa"/>
          </w:tcPr>
          <w:p w14:paraId="71E7E9FA" w14:textId="77777777" w:rsidR="00232F91" w:rsidRPr="005931EB" w:rsidRDefault="00232F91" w:rsidP="00C913E7">
            <w:pPr>
              <w:pStyle w:val="TableFigureHeading"/>
              <w:keepLines/>
              <w:rPr>
                <w:szCs w:val="20"/>
              </w:rPr>
            </w:pPr>
            <w:r w:rsidRPr="005931EB">
              <w:rPr>
                <w:szCs w:val="20"/>
              </w:rPr>
              <w:t xml:space="preserve">RPBS – Ordinary </w:t>
            </w:r>
          </w:p>
        </w:tc>
        <w:tc>
          <w:tcPr>
            <w:tcW w:w="1033" w:type="dxa"/>
          </w:tcPr>
          <w:p w14:paraId="690820AA" w14:textId="77777777" w:rsidR="00232F91" w:rsidRPr="005931EB" w:rsidRDefault="00232F91" w:rsidP="00C913E7">
            <w:pPr>
              <w:pStyle w:val="TableFigureHeading"/>
              <w:keepLines/>
              <w:rPr>
                <w:szCs w:val="20"/>
              </w:rPr>
            </w:pPr>
            <w:r w:rsidRPr="005931EB">
              <w:rPr>
                <w:szCs w:val="20"/>
              </w:rPr>
              <w:t xml:space="preserve">RPBS – Safety Net </w:t>
            </w:r>
          </w:p>
        </w:tc>
        <w:tc>
          <w:tcPr>
            <w:tcW w:w="1306" w:type="dxa"/>
          </w:tcPr>
          <w:p w14:paraId="77DA1BE8" w14:textId="77777777" w:rsidR="00232F91" w:rsidRPr="005931EB" w:rsidRDefault="00232F91" w:rsidP="00C913E7">
            <w:pPr>
              <w:pStyle w:val="TableFigureHeading"/>
              <w:keepLines/>
              <w:rPr>
                <w:szCs w:val="20"/>
              </w:rPr>
            </w:pPr>
            <w:r w:rsidRPr="005931EB">
              <w:rPr>
                <w:szCs w:val="20"/>
              </w:rPr>
              <w:t>Total</w:t>
            </w:r>
          </w:p>
        </w:tc>
      </w:tr>
      <w:tr w:rsidR="001D7A65" w:rsidRPr="00ED2D37" w14:paraId="4E558CD7" w14:textId="77777777" w:rsidTr="005931EB">
        <w:trPr>
          <w:trHeight w:val="113"/>
        </w:trPr>
        <w:tc>
          <w:tcPr>
            <w:tcW w:w="1117" w:type="dxa"/>
            <w:shd w:val="clear" w:color="auto" w:fill="auto"/>
          </w:tcPr>
          <w:p w14:paraId="54EE4E2E" w14:textId="77777777" w:rsidR="001D7A65" w:rsidRPr="005931EB" w:rsidRDefault="001D7A65" w:rsidP="001D7A65">
            <w:pPr>
              <w:pStyle w:val="TableFigureHeading"/>
              <w:keepLines/>
              <w:rPr>
                <w:color w:val="333333"/>
                <w:szCs w:val="20"/>
              </w:rPr>
            </w:pPr>
            <w:r w:rsidRPr="005931EB">
              <w:rPr>
                <w:szCs w:val="20"/>
              </w:rPr>
              <w:t>Services</w:t>
            </w:r>
          </w:p>
        </w:tc>
        <w:tc>
          <w:tcPr>
            <w:tcW w:w="1129" w:type="dxa"/>
          </w:tcPr>
          <w:p w14:paraId="553A12AD" w14:textId="45687EEE" w:rsidR="001D7A65" w:rsidRPr="005931EB" w:rsidRDefault="001D7A65" w:rsidP="001D7A65">
            <w:pPr>
              <w:pStyle w:val="TableFigureHeading"/>
              <w:keepLines/>
              <w:jc w:val="right"/>
              <w:rPr>
                <w:rFonts w:cs="Arial"/>
                <w:b w:val="0"/>
                <w:bCs w:val="0"/>
                <w:color w:val="000000" w:themeColor="text1"/>
                <w:szCs w:val="20"/>
              </w:rPr>
            </w:pPr>
            <w:r w:rsidRPr="005931EB">
              <w:rPr>
                <w:rFonts w:cs="Arial"/>
                <w:b w:val="0"/>
                <w:bCs w:val="0"/>
                <w:szCs w:val="20"/>
              </w:rPr>
              <w:t>224,089</w:t>
            </w:r>
          </w:p>
        </w:tc>
        <w:tc>
          <w:tcPr>
            <w:tcW w:w="1180" w:type="dxa"/>
          </w:tcPr>
          <w:p w14:paraId="2FEB5A21" w14:textId="53F14E33" w:rsidR="001D7A65" w:rsidRPr="005931EB" w:rsidRDefault="001D7A65" w:rsidP="001D7A65">
            <w:pPr>
              <w:pStyle w:val="TableFigureHeading"/>
              <w:keepLines/>
              <w:jc w:val="right"/>
              <w:rPr>
                <w:rFonts w:cs="Arial"/>
                <w:b w:val="0"/>
                <w:bCs w:val="0"/>
                <w:color w:val="000000" w:themeColor="text1"/>
                <w:szCs w:val="20"/>
              </w:rPr>
            </w:pPr>
            <w:r w:rsidRPr="005931EB">
              <w:rPr>
                <w:rFonts w:cs="Arial"/>
                <w:b w:val="0"/>
                <w:bCs w:val="0"/>
                <w:szCs w:val="20"/>
              </w:rPr>
              <w:t>6,601</w:t>
            </w:r>
          </w:p>
        </w:tc>
        <w:tc>
          <w:tcPr>
            <w:tcW w:w="1337" w:type="dxa"/>
          </w:tcPr>
          <w:p w14:paraId="72ED7150" w14:textId="3BCBBD27" w:rsidR="001D7A65" w:rsidRPr="005931EB" w:rsidRDefault="001D7A65" w:rsidP="001D7A65">
            <w:pPr>
              <w:pStyle w:val="TableFigureHeading"/>
              <w:keepLines/>
              <w:jc w:val="right"/>
              <w:rPr>
                <w:rFonts w:cs="Arial"/>
                <w:b w:val="0"/>
                <w:bCs w:val="0"/>
                <w:color w:val="000000" w:themeColor="text1"/>
                <w:szCs w:val="20"/>
              </w:rPr>
            </w:pPr>
            <w:r w:rsidRPr="005931EB">
              <w:rPr>
                <w:rFonts w:cs="Arial"/>
                <w:b w:val="0"/>
                <w:bCs w:val="0"/>
                <w:szCs w:val="20"/>
              </w:rPr>
              <w:t>227,666</w:t>
            </w:r>
          </w:p>
        </w:tc>
        <w:tc>
          <w:tcPr>
            <w:tcW w:w="1324" w:type="dxa"/>
          </w:tcPr>
          <w:p w14:paraId="1A20F54A" w14:textId="1437D645" w:rsidR="001D7A65" w:rsidRPr="005931EB" w:rsidRDefault="001D7A65" w:rsidP="001D7A65">
            <w:pPr>
              <w:pStyle w:val="TableFigureHeading"/>
              <w:keepLines/>
              <w:jc w:val="right"/>
              <w:rPr>
                <w:rFonts w:cs="Arial"/>
                <w:b w:val="0"/>
                <w:bCs w:val="0"/>
                <w:color w:val="000000" w:themeColor="text1"/>
                <w:szCs w:val="20"/>
              </w:rPr>
            </w:pPr>
            <w:r w:rsidRPr="005931EB">
              <w:rPr>
                <w:rFonts w:cs="Arial"/>
                <w:b w:val="0"/>
                <w:bCs w:val="0"/>
                <w:szCs w:val="20"/>
              </w:rPr>
              <w:t>39,008</w:t>
            </w:r>
          </w:p>
        </w:tc>
        <w:tc>
          <w:tcPr>
            <w:tcW w:w="1033" w:type="dxa"/>
          </w:tcPr>
          <w:p w14:paraId="7D6EC8A8" w14:textId="206F9291" w:rsidR="001D7A65" w:rsidRPr="005931EB" w:rsidRDefault="001D7A65" w:rsidP="001D7A65">
            <w:pPr>
              <w:pStyle w:val="TableFigureHeading"/>
              <w:keepLines/>
              <w:jc w:val="right"/>
              <w:rPr>
                <w:rFonts w:cs="Arial"/>
                <w:b w:val="0"/>
                <w:bCs w:val="0"/>
                <w:color w:val="000000" w:themeColor="text1"/>
                <w:szCs w:val="20"/>
              </w:rPr>
            </w:pPr>
            <w:r w:rsidRPr="005931EB">
              <w:rPr>
                <w:rFonts w:cs="Arial"/>
                <w:b w:val="0"/>
                <w:bCs w:val="0"/>
                <w:szCs w:val="20"/>
              </w:rPr>
              <w:t>6,543</w:t>
            </w:r>
          </w:p>
        </w:tc>
        <w:tc>
          <w:tcPr>
            <w:tcW w:w="1033" w:type="dxa"/>
          </w:tcPr>
          <w:p w14:paraId="1E14DEC0" w14:textId="5AFB176B" w:rsidR="001D7A65" w:rsidRPr="005931EB" w:rsidRDefault="001D7A65" w:rsidP="001D7A65">
            <w:pPr>
              <w:pStyle w:val="TableFigureHeading"/>
              <w:keepLines/>
              <w:jc w:val="right"/>
              <w:rPr>
                <w:rFonts w:cs="Arial"/>
                <w:b w:val="0"/>
                <w:bCs w:val="0"/>
                <w:color w:val="000000" w:themeColor="text1"/>
                <w:szCs w:val="20"/>
              </w:rPr>
            </w:pPr>
            <w:r w:rsidRPr="005931EB">
              <w:rPr>
                <w:rFonts w:cs="Arial"/>
                <w:b w:val="0"/>
                <w:bCs w:val="0"/>
                <w:szCs w:val="20"/>
              </w:rPr>
              <w:t>1,423</w:t>
            </w:r>
          </w:p>
        </w:tc>
        <w:tc>
          <w:tcPr>
            <w:tcW w:w="1306" w:type="dxa"/>
          </w:tcPr>
          <w:p w14:paraId="21B24032" w14:textId="3AAD8E9C" w:rsidR="001D7A65" w:rsidRPr="005931EB" w:rsidRDefault="001D7A65" w:rsidP="001D7A65">
            <w:pPr>
              <w:pStyle w:val="TableFigureHeading"/>
              <w:keepLines/>
              <w:jc w:val="right"/>
              <w:rPr>
                <w:rFonts w:cs="Arial"/>
                <w:b w:val="0"/>
                <w:bCs w:val="0"/>
                <w:color w:val="000000"/>
                <w:szCs w:val="20"/>
              </w:rPr>
            </w:pPr>
            <w:r w:rsidRPr="005931EB">
              <w:rPr>
                <w:rFonts w:cs="Arial"/>
                <w:b w:val="0"/>
                <w:bCs w:val="0"/>
                <w:szCs w:val="20"/>
              </w:rPr>
              <w:t>505,330</w:t>
            </w:r>
          </w:p>
        </w:tc>
      </w:tr>
      <w:tr w:rsidR="00232F91" w:rsidRPr="00ED2D37" w14:paraId="230A0233" w14:textId="77777777" w:rsidTr="005931EB">
        <w:trPr>
          <w:trHeight w:val="113"/>
        </w:trPr>
        <w:tc>
          <w:tcPr>
            <w:tcW w:w="1117" w:type="dxa"/>
            <w:shd w:val="clear" w:color="auto" w:fill="auto"/>
          </w:tcPr>
          <w:p w14:paraId="4308E34E" w14:textId="77777777" w:rsidR="00232F91" w:rsidRPr="005931EB" w:rsidRDefault="00232F91" w:rsidP="00232F91">
            <w:pPr>
              <w:pStyle w:val="TableFigureHeading"/>
              <w:keepLines/>
              <w:rPr>
                <w:color w:val="333333"/>
                <w:szCs w:val="20"/>
              </w:rPr>
            </w:pPr>
            <w:r w:rsidRPr="005931EB">
              <w:rPr>
                <w:szCs w:val="20"/>
              </w:rPr>
              <w:t>Benefit ($)</w:t>
            </w:r>
          </w:p>
        </w:tc>
        <w:tc>
          <w:tcPr>
            <w:tcW w:w="1129" w:type="dxa"/>
          </w:tcPr>
          <w:p w14:paraId="470500F3" w14:textId="18B0F669" w:rsidR="00232F91" w:rsidRPr="005931EB" w:rsidRDefault="00232F91" w:rsidP="00232F91">
            <w:pPr>
              <w:pStyle w:val="TableFigureHeading"/>
              <w:keepLines/>
              <w:jc w:val="right"/>
              <w:rPr>
                <w:rFonts w:cs="Arial"/>
                <w:b w:val="0"/>
                <w:bCs w:val="0"/>
                <w:color w:val="000000"/>
                <w:szCs w:val="20"/>
              </w:rPr>
            </w:pPr>
            <w:r w:rsidRPr="005931EB">
              <w:rPr>
                <w:rFonts w:cs="Arial"/>
                <w:b w:val="0"/>
                <w:bCs w:val="0"/>
                <w:color w:val="000000"/>
                <w:szCs w:val="20"/>
              </w:rPr>
              <w:t>$20,740,411</w:t>
            </w:r>
          </w:p>
        </w:tc>
        <w:tc>
          <w:tcPr>
            <w:tcW w:w="1180" w:type="dxa"/>
          </w:tcPr>
          <w:p w14:paraId="26024D69" w14:textId="57E9D650" w:rsidR="00232F91" w:rsidRPr="005931EB" w:rsidRDefault="00232F91" w:rsidP="00232F91">
            <w:pPr>
              <w:pStyle w:val="TableFigureHeading"/>
              <w:keepLines/>
              <w:jc w:val="right"/>
              <w:rPr>
                <w:rFonts w:cs="Arial"/>
                <w:b w:val="0"/>
                <w:bCs w:val="0"/>
                <w:color w:val="000000"/>
                <w:szCs w:val="20"/>
              </w:rPr>
            </w:pPr>
            <w:r w:rsidRPr="005931EB">
              <w:rPr>
                <w:rFonts w:cs="Arial"/>
                <w:b w:val="0"/>
                <w:bCs w:val="0"/>
                <w:color w:val="000000"/>
                <w:szCs w:val="20"/>
              </w:rPr>
              <w:t>$855,362</w:t>
            </w:r>
          </w:p>
        </w:tc>
        <w:tc>
          <w:tcPr>
            <w:tcW w:w="1337" w:type="dxa"/>
          </w:tcPr>
          <w:p w14:paraId="41607489" w14:textId="40CF8F6F" w:rsidR="00232F91" w:rsidRPr="005931EB" w:rsidRDefault="00232F91" w:rsidP="00232F91">
            <w:pPr>
              <w:pStyle w:val="TableFigureHeading"/>
              <w:keepLines/>
              <w:jc w:val="right"/>
              <w:rPr>
                <w:rFonts w:cs="Arial"/>
                <w:b w:val="0"/>
                <w:bCs w:val="0"/>
                <w:color w:val="000000"/>
                <w:szCs w:val="20"/>
              </w:rPr>
            </w:pPr>
            <w:r w:rsidRPr="005931EB">
              <w:rPr>
                <w:rFonts w:cs="Arial"/>
                <w:b w:val="0"/>
                <w:bCs w:val="0"/>
                <w:color w:val="000000"/>
                <w:szCs w:val="20"/>
              </w:rPr>
              <w:t>$28,948,517</w:t>
            </w:r>
          </w:p>
        </w:tc>
        <w:tc>
          <w:tcPr>
            <w:tcW w:w="1324" w:type="dxa"/>
          </w:tcPr>
          <w:p w14:paraId="2C6378DF" w14:textId="75BE5D07" w:rsidR="00232F91" w:rsidRPr="005931EB" w:rsidRDefault="00232F91" w:rsidP="00232F91">
            <w:pPr>
              <w:pStyle w:val="TableFigureHeading"/>
              <w:keepLines/>
              <w:jc w:val="right"/>
              <w:rPr>
                <w:rFonts w:cs="Arial"/>
                <w:b w:val="0"/>
                <w:bCs w:val="0"/>
                <w:color w:val="000000"/>
                <w:szCs w:val="20"/>
              </w:rPr>
            </w:pPr>
            <w:r w:rsidRPr="005931EB">
              <w:rPr>
                <w:rFonts w:cs="Arial"/>
                <w:b w:val="0"/>
                <w:bCs w:val="0"/>
                <w:color w:val="000000"/>
                <w:szCs w:val="20"/>
              </w:rPr>
              <w:t>$5,247,057</w:t>
            </w:r>
          </w:p>
        </w:tc>
        <w:tc>
          <w:tcPr>
            <w:tcW w:w="1033" w:type="dxa"/>
          </w:tcPr>
          <w:p w14:paraId="7F20D953" w14:textId="2303CF3B" w:rsidR="00232F91" w:rsidRPr="005931EB" w:rsidRDefault="00232F91" w:rsidP="00232F91">
            <w:pPr>
              <w:pStyle w:val="TableFigureHeading"/>
              <w:keepLines/>
              <w:jc w:val="right"/>
              <w:rPr>
                <w:rFonts w:cs="Arial"/>
                <w:b w:val="0"/>
                <w:bCs w:val="0"/>
                <w:color w:val="000000"/>
                <w:szCs w:val="20"/>
              </w:rPr>
            </w:pPr>
            <w:r w:rsidRPr="005931EB">
              <w:rPr>
                <w:rFonts w:cs="Arial"/>
                <w:b w:val="0"/>
                <w:bCs w:val="0"/>
                <w:color w:val="000000"/>
                <w:szCs w:val="20"/>
              </w:rPr>
              <w:t>$828,855</w:t>
            </w:r>
          </w:p>
        </w:tc>
        <w:tc>
          <w:tcPr>
            <w:tcW w:w="1033" w:type="dxa"/>
          </w:tcPr>
          <w:p w14:paraId="2A3E4EF2" w14:textId="6431BD4F" w:rsidR="00232F91" w:rsidRPr="005931EB" w:rsidRDefault="00232F91" w:rsidP="00232F91">
            <w:pPr>
              <w:pStyle w:val="TableFigureHeading"/>
              <w:keepLines/>
              <w:jc w:val="right"/>
              <w:rPr>
                <w:rFonts w:cs="Arial"/>
                <w:b w:val="0"/>
                <w:bCs w:val="0"/>
                <w:color w:val="000000"/>
                <w:szCs w:val="20"/>
              </w:rPr>
            </w:pPr>
            <w:r w:rsidRPr="005931EB">
              <w:rPr>
                <w:rFonts w:cs="Arial"/>
                <w:b w:val="0"/>
                <w:bCs w:val="0"/>
                <w:color w:val="000000"/>
                <w:szCs w:val="20"/>
              </w:rPr>
              <w:t>$192,205</w:t>
            </w:r>
          </w:p>
        </w:tc>
        <w:tc>
          <w:tcPr>
            <w:tcW w:w="1306" w:type="dxa"/>
          </w:tcPr>
          <w:p w14:paraId="33677541" w14:textId="63386659" w:rsidR="00232F91" w:rsidRPr="005931EB" w:rsidRDefault="00232F91" w:rsidP="005931EB">
            <w:pPr>
              <w:pStyle w:val="TableFigureHeading"/>
              <w:keepLines/>
              <w:jc w:val="right"/>
              <w:rPr>
                <w:rFonts w:cs="Arial"/>
                <w:b w:val="0"/>
                <w:bCs w:val="0"/>
                <w:color w:val="000000"/>
                <w:szCs w:val="20"/>
              </w:rPr>
            </w:pPr>
            <w:r w:rsidRPr="005931EB">
              <w:rPr>
                <w:rFonts w:cs="Arial"/>
                <w:b w:val="0"/>
                <w:bCs w:val="0"/>
                <w:color w:val="000000"/>
                <w:szCs w:val="20"/>
              </w:rPr>
              <w:t>$56,812,407</w:t>
            </w:r>
          </w:p>
        </w:tc>
      </w:tr>
    </w:tbl>
    <w:p w14:paraId="033D8799" w14:textId="197E5463" w:rsidR="00933EBE" w:rsidRPr="005931EB" w:rsidRDefault="00933EBE" w:rsidP="00933EBE">
      <w:pPr>
        <w:pStyle w:val="3-BodyText"/>
        <w:keepNext/>
        <w:keepLines/>
        <w:numPr>
          <w:ilvl w:val="0"/>
          <w:numId w:val="0"/>
        </w:numPr>
        <w:rPr>
          <w:rStyle w:val="Hyperlink"/>
          <w:rFonts w:ascii="Arial Narrow" w:hAnsi="Arial Narrow"/>
          <w:sz w:val="18"/>
          <w:szCs w:val="18"/>
        </w:rPr>
      </w:pPr>
      <w:r w:rsidRPr="005931EB">
        <w:rPr>
          <w:rFonts w:ascii="Arial Narrow" w:hAnsi="Arial Narrow"/>
          <w:sz w:val="18"/>
          <w:szCs w:val="18"/>
        </w:rPr>
        <w:t>Source: Medicare statistics website (</w:t>
      </w:r>
      <w:hyperlink r:id="rId8" w:history="1">
        <w:r w:rsidRPr="005931EB">
          <w:rPr>
            <w:rStyle w:val="Hyperlink"/>
            <w:rFonts w:ascii="Arial Narrow" w:hAnsi="Arial Narrow"/>
            <w:sz w:val="18"/>
            <w:szCs w:val="18"/>
          </w:rPr>
          <w:t>http://medicarestatistics.humanservices.gov.au/statistics/pbs_item.jsp</w:t>
        </w:r>
      </w:hyperlink>
      <w:r w:rsidRPr="005931EB">
        <w:rPr>
          <w:rStyle w:val="Hyperlink"/>
          <w:rFonts w:ascii="Arial Narrow" w:hAnsi="Arial Narrow"/>
          <w:sz w:val="18"/>
          <w:szCs w:val="18"/>
        </w:rPr>
        <w:t>)</w:t>
      </w:r>
    </w:p>
    <w:p w14:paraId="1FC75FE0" w14:textId="77777777" w:rsidR="00DF16BB" w:rsidRPr="00DF16BB" w:rsidRDefault="00DF16BB" w:rsidP="00DF16BB">
      <w:pPr>
        <w:pStyle w:val="3-BodyText"/>
        <w:rPr>
          <w:rFonts w:eastAsiaTheme="majorEastAsia"/>
        </w:rPr>
      </w:pPr>
      <w:r>
        <w:rPr>
          <w:rFonts w:cstheme="minorHAnsi"/>
        </w:rPr>
        <w:t>T</w:t>
      </w:r>
      <w:r w:rsidRPr="00AF558D">
        <w:rPr>
          <w:rFonts w:cstheme="minorHAnsi"/>
        </w:rPr>
        <w:t xml:space="preserve">he TGA has </w:t>
      </w:r>
      <w:r>
        <w:rPr>
          <w:rFonts w:cstheme="minorHAnsi"/>
        </w:rPr>
        <w:t xml:space="preserve">provided </w:t>
      </w:r>
      <w:r w:rsidRPr="00AF558D">
        <w:rPr>
          <w:rFonts w:cstheme="minorHAnsi"/>
        </w:rPr>
        <w:t>approv</w:t>
      </w:r>
      <w:r>
        <w:rPr>
          <w:rFonts w:cstheme="minorHAnsi"/>
        </w:rPr>
        <w:t>al</w:t>
      </w:r>
      <w:r w:rsidRPr="00AF558D">
        <w:rPr>
          <w:rFonts w:cstheme="minorHAnsi"/>
        </w:rPr>
        <w:t xml:space="preserve"> </w:t>
      </w:r>
      <w:r>
        <w:rPr>
          <w:rFonts w:cstheme="minorHAnsi"/>
        </w:rPr>
        <w:t>for</w:t>
      </w:r>
      <w:r w:rsidRPr="00AF558D">
        <w:rPr>
          <w:rFonts w:cstheme="minorHAnsi"/>
        </w:rPr>
        <w:t xml:space="preserve"> </w:t>
      </w:r>
      <w:r>
        <w:rPr>
          <w:rFonts w:cstheme="minorHAnsi"/>
        </w:rPr>
        <w:t xml:space="preserve">the short-term import and supply of the UK approved version of Ozempic to assist with the local product shortages. </w:t>
      </w:r>
    </w:p>
    <w:p w14:paraId="6A87A251" w14:textId="3B5DFD33" w:rsidR="00933EBE" w:rsidRPr="002D429D" w:rsidRDefault="00933EBE" w:rsidP="00F50551">
      <w:pPr>
        <w:pStyle w:val="2-SectionHeading"/>
        <w:keepNext w:val="0"/>
        <w:widowControl w:val="0"/>
        <w:rPr>
          <w:rFonts w:eastAsiaTheme="majorEastAsia"/>
        </w:rPr>
      </w:pPr>
      <w:r w:rsidRPr="008C50E4">
        <w:rPr>
          <w:rFonts w:eastAsiaTheme="majorEastAsia"/>
        </w:rPr>
        <w:t>Requested Listing</w:t>
      </w:r>
    </w:p>
    <w:p w14:paraId="56C14B33" w14:textId="5FD4F9EE" w:rsidR="005A6288" w:rsidRDefault="00933EBE" w:rsidP="00FF4C84">
      <w:pPr>
        <w:pStyle w:val="3-BodyText"/>
        <w:rPr>
          <w:rFonts w:cstheme="minorHAnsi"/>
        </w:rPr>
      </w:pPr>
      <w:r w:rsidRPr="00C60D2E">
        <w:rPr>
          <w:rFonts w:cstheme="minorHAnsi"/>
        </w:rPr>
        <w:t>The s19A product</w:t>
      </w:r>
      <w:r w:rsidR="005A6288">
        <w:rPr>
          <w:rFonts w:cstheme="minorHAnsi"/>
        </w:rPr>
        <w:t>s</w:t>
      </w:r>
      <w:r w:rsidRPr="00C60D2E">
        <w:rPr>
          <w:rFonts w:cstheme="minorHAnsi"/>
        </w:rPr>
        <w:t xml:space="preserve"> and the PBS listed product</w:t>
      </w:r>
      <w:r w:rsidR="005A6288">
        <w:rPr>
          <w:rFonts w:cstheme="minorHAnsi"/>
        </w:rPr>
        <w:t>s</w:t>
      </w:r>
      <w:r w:rsidRPr="00C60D2E">
        <w:rPr>
          <w:rFonts w:cstheme="minorHAnsi"/>
        </w:rPr>
        <w:t xml:space="preserve"> in shortage ha</w:t>
      </w:r>
      <w:r>
        <w:rPr>
          <w:rFonts w:cstheme="minorHAnsi"/>
        </w:rPr>
        <w:t>ve</w:t>
      </w:r>
      <w:r w:rsidRPr="00C60D2E">
        <w:rPr>
          <w:rFonts w:cstheme="minorHAnsi"/>
        </w:rPr>
        <w:t xml:space="preserve"> the same</w:t>
      </w:r>
      <w:r>
        <w:rPr>
          <w:rFonts w:cstheme="minorHAnsi"/>
        </w:rPr>
        <w:t xml:space="preserve"> drug</w:t>
      </w:r>
      <w:r w:rsidRPr="00C60D2E">
        <w:rPr>
          <w:rFonts w:cstheme="minorHAnsi"/>
        </w:rPr>
        <w:t xml:space="preserve"> form and </w:t>
      </w:r>
      <w:r>
        <w:rPr>
          <w:rFonts w:cstheme="minorHAnsi"/>
        </w:rPr>
        <w:t xml:space="preserve">pricing quantity. </w:t>
      </w:r>
      <w:r w:rsidR="005A6288">
        <w:rPr>
          <w:rFonts w:cstheme="minorHAnsi"/>
        </w:rPr>
        <w:t xml:space="preserve">Medsurge has requested a limited temporary listing for </w:t>
      </w:r>
      <w:r w:rsidR="00C77939" w:rsidRPr="00C77939">
        <w:rPr>
          <w:rFonts w:cstheme="minorHAnsi"/>
        </w:rPr>
        <w:t>&lt; 500</w:t>
      </w:r>
      <w:r w:rsidR="005A6288">
        <w:rPr>
          <w:rFonts w:cstheme="minorHAnsi"/>
        </w:rPr>
        <w:t xml:space="preserve"> packs of the </w:t>
      </w:r>
      <w:r w:rsidR="00520003" w:rsidRPr="00520003">
        <w:rPr>
          <w:rFonts w:cstheme="minorHAnsi"/>
        </w:rPr>
        <w:t>0.25 mg solution for injection in pre-filled pen</w:t>
      </w:r>
      <w:r w:rsidR="00520003">
        <w:rPr>
          <w:rFonts w:cstheme="minorHAnsi"/>
        </w:rPr>
        <w:t xml:space="preserve"> </w:t>
      </w:r>
      <w:r w:rsidR="005A6288">
        <w:rPr>
          <w:rFonts w:cstheme="minorHAnsi"/>
        </w:rPr>
        <w:t xml:space="preserve">and </w:t>
      </w:r>
      <w:r w:rsidR="00C77939">
        <w:rPr>
          <w:rFonts w:cstheme="minorHAnsi"/>
        </w:rPr>
        <w:t>&lt;</w:t>
      </w:r>
      <w:r w:rsidR="00C77939" w:rsidRPr="00C77939">
        <w:rPr>
          <w:rFonts w:cstheme="minorHAnsi"/>
        </w:rPr>
        <w:t xml:space="preserve"> 500</w:t>
      </w:r>
      <w:r w:rsidR="005A6288">
        <w:rPr>
          <w:rFonts w:cstheme="minorHAnsi"/>
        </w:rPr>
        <w:t xml:space="preserve"> packs of the </w:t>
      </w:r>
      <w:r w:rsidR="00520003" w:rsidRPr="00520003">
        <w:rPr>
          <w:rFonts w:cstheme="minorHAnsi"/>
        </w:rPr>
        <w:t>1 mg solution for injection pre-filled pen</w:t>
      </w:r>
      <w:r w:rsidR="005A6288">
        <w:rPr>
          <w:rFonts w:cstheme="minorHAnsi"/>
        </w:rPr>
        <w:t>.</w:t>
      </w:r>
    </w:p>
    <w:p w14:paraId="5AD97346" w14:textId="3CBD75AD" w:rsidR="000C2DB8" w:rsidRDefault="000C2DB8" w:rsidP="00FF4C84">
      <w:pPr>
        <w:pStyle w:val="3-BodyText"/>
        <w:rPr>
          <w:rFonts w:cstheme="minorHAnsi"/>
        </w:rPr>
      </w:pPr>
      <w:r>
        <w:rPr>
          <w:rFonts w:cstheme="minorHAnsi"/>
        </w:rPr>
        <w:t xml:space="preserve">It is noted that the volume of packs the s19A sponsor </w:t>
      </w:r>
      <w:proofErr w:type="gramStart"/>
      <w:r>
        <w:rPr>
          <w:rFonts w:cstheme="minorHAnsi"/>
        </w:rPr>
        <w:t>is able to</w:t>
      </w:r>
      <w:proofErr w:type="gramEnd"/>
      <w:r>
        <w:rPr>
          <w:rFonts w:cstheme="minorHAnsi"/>
        </w:rPr>
        <w:t xml:space="preserve"> supply will account for around 1% of the PBS market. The sponsor has also requested a</w:t>
      </w:r>
      <w:r w:rsidR="00562462">
        <w:rPr>
          <w:rFonts w:cstheme="minorHAnsi"/>
        </w:rPr>
        <w:t xml:space="preserve">n </w:t>
      </w:r>
      <w:r>
        <w:rPr>
          <w:rFonts w:cstheme="minorHAnsi"/>
        </w:rPr>
        <w:t xml:space="preserve">increase </w:t>
      </w:r>
      <w:r w:rsidR="00BE0344">
        <w:rPr>
          <w:rFonts w:cstheme="minorHAnsi"/>
        </w:rPr>
        <w:t>of a</w:t>
      </w:r>
      <w:r w:rsidR="009D3634">
        <w:rPr>
          <w:rFonts w:cstheme="minorHAnsi"/>
        </w:rPr>
        <w:t xml:space="preserve">pproximately </w:t>
      </w:r>
      <w:proofErr w:type="gramStart"/>
      <w:r w:rsidR="00784B98" w:rsidRPr="00536D72">
        <w:rPr>
          <w:rFonts w:cstheme="minorHAnsi"/>
          <w:color w:val="000000"/>
          <w:w w:val="15"/>
          <w:shd w:val="solid" w:color="000000" w:fill="000000"/>
          <w:fitText w:val="-20" w:id="-1416445184"/>
          <w14:textFill>
            <w14:solidFill>
              <w14:srgbClr w14:val="000000">
                <w14:alpha w14:val="100000"/>
              </w14:srgbClr>
            </w14:solidFill>
          </w14:textFill>
        </w:rPr>
        <w:t xml:space="preserve">|  </w:t>
      </w:r>
      <w:r w:rsidR="00784B98" w:rsidRPr="00536D72">
        <w:rPr>
          <w:rFonts w:cstheme="minorHAnsi"/>
          <w:color w:val="000000"/>
          <w:spacing w:val="-69"/>
          <w:w w:val="15"/>
          <w:shd w:val="solid" w:color="000000" w:fill="000000"/>
          <w:fitText w:val="-20" w:id="-1416445184"/>
          <w14:textFill>
            <w14:solidFill>
              <w14:srgbClr w14:val="000000">
                <w14:alpha w14:val="100000"/>
              </w14:srgbClr>
            </w14:solidFill>
          </w14:textFill>
        </w:rPr>
        <w:t>|</w:t>
      </w:r>
      <w:proofErr w:type="gramEnd"/>
      <w:r w:rsidR="00BE0344">
        <w:rPr>
          <w:rFonts w:cstheme="minorHAnsi"/>
        </w:rPr>
        <w:t xml:space="preserve">% </w:t>
      </w:r>
      <w:r>
        <w:rPr>
          <w:rFonts w:cstheme="minorHAnsi"/>
        </w:rPr>
        <w:t>in the AEMP for the s19A products ($111.44 for the ARTG products compared to $</w:t>
      </w:r>
      <w:r w:rsidR="00784B98" w:rsidRPr="00536D72">
        <w:rPr>
          <w:rFonts w:cstheme="minorHAnsi"/>
          <w:color w:val="000000"/>
          <w:w w:val="15"/>
          <w:shd w:val="solid" w:color="000000" w:fill="000000"/>
          <w:fitText w:val="-20" w:id="-1416445183"/>
          <w14:textFill>
            <w14:solidFill>
              <w14:srgbClr w14:val="000000">
                <w14:alpha w14:val="100000"/>
              </w14:srgbClr>
            </w14:solidFill>
          </w14:textFill>
        </w:rPr>
        <w:t xml:space="preserve">|  </w:t>
      </w:r>
      <w:r w:rsidR="00784B98" w:rsidRPr="00536D72">
        <w:rPr>
          <w:rFonts w:cstheme="minorHAnsi"/>
          <w:color w:val="000000"/>
          <w:spacing w:val="-69"/>
          <w:w w:val="15"/>
          <w:shd w:val="solid" w:color="000000" w:fill="000000"/>
          <w:fitText w:val="-20" w:id="-1416445183"/>
          <w14:textFill>
            <w14:solidFill>
              <w14:srgbClr w14:val="000000">
                <w14:alpha w14:val="100000"/>
              </w14:srgbClr>
            </w14:solidFill>
          </w14:textFill>
        </w:rPr>
        <w:t>|</w:t>
      </w:r>
      <w:r>
        <w:rPr>
          <w:rFonts w:cstheme="minorHAnsi"/>
        </w:rPr>
        <w:t xml:space="preserve"> for the s19A products). </w:t>
      </w:r>
      <w:r w:rsidR="00590E19">
        <w:rPr>
          <w:rFonts w:cstheme="minorHAnsi"/>
        </w:rPr>
        <w:t xml:space="preserve">It is also noted that $111.44 is the published price for Ozempic, which is subject to Special Pricing </w:t>
      </w:r>
      <w:r w:rsidR="00590E19" w:rsidRPr="00590E19">
        <w:rPr>
          <w:rFonts w:cstheme="minorHAnsi"/>
        </w:rPr>
        <w:t>Arrangement</w:t>
      </w:r>
      <w:r w:rsidR="00590E19">
        <w:rPr>
          <w:rFonts w:cstheme="minorHAnsi"/>
        </w:rPr>
        <w:t>s.</w:t>
      </w:r>
    </w:p>
    <w:p w14:paraId="4ED108DE" w14:textId="19360D8E" w:rsidR="00933EBE" w:rsidRPr="00E05224" w:rsidRDefault="00933EBE" w:rsidP="00F50551">
      <w:pPr>
        <w:pStyle w:val="3-BodyText"/>
        <w:keepNext/>
        <w:keepLines/>
        <w:widowControl w:val="0"/>
        <w:ind w:left="567" w:hanging="567"/>
        <w:rPr>
          <w:rFonts w:ascii="Arial Narrow" w:hAnsi="Arial Narrow"/>
          <w:sz w:val="20"/>
          <w:szCs w:val="20"/>
        </w:rPr>
      </w:pPr>
      <w:r w:rsidRPr="00F92BB7">
        <w:rPr>
          <w:rFonts w:cstheme="minorHAnsi"/>
        </w:rPr>
        <w:lastRenderedPageBreak/>
        <w:t xml:space="preserve">The </w:t>
      </w:r>
      <w:r>
        <w:rPr>
          <w:rFonts w:cstheme="minorHAnsi"/>
        </w:rPr>
        <w:t xml:space="preserve">details of </w:t>
      </w:r>
      <w:r w:rsidR="001D7A65">
        <w:rPr>
          <w:rFonts w:cstheme="minorHAnsi"/>
        </w:rPr>
        <w:t xml:space="preserve">the </w:t>
      </w:r>
      <w:r>
        <w:rPr>
          <w:rFonts w:cstheme="minorHAnsi"/>
        </w:rPr>
        <w:t>request</w:t>
      </w:r>
      <w:r w:rsidR="001D7A65">
        <w:rPr>
          <w:rFonts w:cstheme="minorHAnsi"/>
        </w:rPr>
        <w:t>ed listing</w:t>
      </w:r>
      <w:r>
        <w:rPr>
          <w:rFonts w:cstheme="minorHAnsi"/>
        </w:rPr>
        <w:t xml:space="preserve"> are set out in </w:t>
      </w:r>
      <w:r w:rsidR="00A60BCC">
        <w:rPr>
          <w:rFonts w:cstheme="minorHAnsi"/>
        </w:rPr>
        <w:t>T</w:t>
      </w:r>
      <w:r>
        <w:rPr>
          <w:rFonts w:cstheme="minorHAnsi"/>
        </w:rPr>
        <w:t xml:space="preserve">able </w:t>
      </w:r>
      <w:r w:rsidR="00A60BCC">
        <w:rPr>
          <w:rFonts w:cstheme="minorHAnsi"/>
        </w:rPr>
        <w:t>4</w:t>
      </w:r>
      <w:r>
        <w:rPr>
          <w:rFonts w:cstheme="minorHAnsi"/>
        </w:rPr>
        <w:t>.</w:t>
      </w:r>
      <w:bookmarkStart w:id="2" w:name="_Ref95471850"/>
    </w:p>
    <w:p w14:paraId="444E0DFB" w14:textId="2CF88EA8" w:rsidR="00933EBE" w:rsidRPr="0011524C" w:rsidRDefault="00933EBE" w:rsidP="00FF4C84">
      <w:pPr>
        <w:pStyle w:val="3-BodyText"/>
        <w:keepNext/>
        <w:keepLines/>
        <w:widowControl w:val="0"/>
        <w:numPr>
          <w:ilvl w:val="0"/>
          <w:numId w:val="0"/>
        </w:numPr>
        <w:spacing w:after="0"/>
        <w:ind w:left="720" w:hanging="720"/>
        <w:rPr>
          <w:rFonts w:ascii="Arial Narrow" w:hAnsi="Arial Narrow"/>
          <w:b/>
          <w:sz w:val="20"/>
        </w:rPr>
      </w:pPr>
      <w:r>
        <w:rPr>
          <w:rFonts w:ascii="Arial Narrow" w:hAnsi="Arial Narrow"/>
          <w:b/>
          <w:sz w:val="20"/>
        </w:rPr>
        <w:t xml:space="preserve">Table </w:t>
      </w:r>
      <w:r w:rsidR="00A60BCC">
        <w:rPr>
          <w:rFonts w:ascii="Arial Narrow" w:hAnsi="Arial Narrow"/>
          <w:b/>
          <w:sz w:val="20"/>
        </w:rPr>
        <w:t>4</w:t>
      </w:r>
      <w:r w:rsidRPr="004566D2">
        <w:rPr>
          <w:rFonts w:ascii="Arial Narrow" w:hAnsi="Arial Narrow"/>
          <w:b/>
          <w:sz w:val="20"/>
        </w:rPr>
        <w:t xml:space="preserve">: </w:t>
      </w:r>
      <w:r>
        <w:rPr>
          <w:rFonts w:ascii="Arial Narrow" w:hAnsi="Arial Narrow"/>
          <w:b/>
          <w:sz w:val="20"/>
        </w:rPr>
        <w:t>Details of requested s</w:t>
      </w:r>
      <w:r w:rsidRPr="004566D2">
        <w:rPr>
          <w:rFonts w:ascii="Arial Narrow" w:hAnsi="Arial Narrow"/>
          <w:b/>
          <w:sz w:val="20"/>
        </w:rPr>
        <w:t>19A</w:t>
      </w:r>
      <w:r>
        <w:rPr>
          <w:rFonts w:ascii="Arial Narrow" w:hAnsi="Arial Narrow"/>
          <w:b/>
          <w:sz w:val="20"/>
        </w:rPr>
        <w:t xml:space="preserve">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0"/>
        <w:gridCol w:w="1383"/>
        <w:gridCol w:w="1619"/>
        <w:gridCol w:w="1416"/>
        <w:gridCol w:w="1520"/>
        <w:gridCol w:w="1468"/>
      </w:tblGrid>
      <w:tr w:rsidR="00933EBE" w:rsidRPr="004566D2" w14:paraId="19DF1433" w14:textId="77777777" w:rsidTr="00DA4377">
        <w:trPr>
          <w:trHeight w:val="397"/>
        </w:trPr>
        <w:tc>
          <w:tcPr>
            <w:tcW w:w="893" w:type="pct"/>
            <w:tcMar>
              <w:top w:w="0" w:type="dxa"/>
              <w:left w:w="108" w:type="dxa"/>
              <w:bottom w:w="0" w:type="dxa"/>
              <w:right w:w="108" w:type="dxa"/>
            </w:tcMar>
            <w:hideMark/>
          </w:tcPr>
          <w:p w14:paraId="017B2E27" w14:textId="77777777" w:rsidR="00933EBE" w:rsidRPr="004566D2" w:rsidRDefault="00933EBE" w:rsidP="00F50551">
            <w:pPr>
              <w:keepNext/>
              <w:keepLines/>
              <w:widowControl w:val="0"/>
              <w:rPr>
                <w:rFonts w:ascii="Arial Narrow" w:hAnsi="Arial Narrow" w:cs="Arial"/>
                <w:b/>
                <w:snapToGrid w:val="0"/>
                <w:sz w:val="20"/>
                <w:szCs w:val="20"/>
              </w:rPr>
            </w:pPr>
            <w:r w:rsidRPr="004566D2">
              <w:rPr>
                <w:rFonts w:ascii="Arial Narrow" w:hAnsi="Arial Narrow" w:cs="Arial"/>
                <w:b/>
                <w:snapToGrid w:val="0"/>
                <w:sz w:val="20"/>
                <w:szCs w:val="20"/>
              </w:rPr>
              <w:t>Out of Stock</w:t>
            </w:r>
          </w:p>
        </w:tc>
        <w:tc>
          <w:tcPr>
            <w:tcW w:w="767" w:type="pct"/>
            <w:tcMar>
              <w:top w:w="0" w:type="dxa"/>
              <w:left w:w="108" w:type="dxa"/>
              <w:bottom w:w="0" w:type="dxa"/>
              <w:right w:w="108" w:type="dxa"/>
            </w:tcMar>
            <w:hideMark/>
          </w:tcPr>
          <w:p w14:paraId="6DA64B15" w14:textId="77777777" w:rsidR="00933EBE" w:rsidRPr="004566D2" w:rsidRDefault="00933EBE" w:rsidP="00F50551">
            <w:pPr>
              <w:keepNext/>
              <w:keepLines/>
              <w:widowControl w:val="0"/>
              <w:rPr>
                <w:rFonts w:ascii="Arial Narrow" w:hAnsi="Arial Narrow" w:cs="Arial"/>
                <w:b/>
                <w:snapToGrid w:val="0"/>
                <w:sz w:val="20"/>
                <w:szCs w:val="20"/>
              </w:rPr>
            </w:pPr>
            <w:r w:rsidRPr="004566D2">
              <w:rPr>
                <w:rFonts w:ascii="Arial Narrow" w:hAnsi="Arial Narrow" w:cs="Arial"/>
                <w:b/>
                <w:snapToGrid w:val="0"/>
                <w:sz w:val="20"/>
                <w:szCs w:val="20"/>
              </w:rPr>
              <w:t>AEMP</w:t>
            </w:r>
            <w:r>
              <w:rPr>
                <w:rFonts w:ascii="Arial Narrow" w:hAnsi="Arial Narrow" w:cs="Arial"/>
                <w:b/>
                <w:snapToGrid w:val="0"/>
                <w:sz w:val="20"/>
                <w:szCs w:val="20"/>
              </w:rPr>
              <w:t xml:space="preserve"> (Current listing)</w:t>
            </w:r>
          </w:p>
        </w:tc>
        <w:tc>
          <w:tcPr>
            <w:tcW w:w="898" w:type="pct"/>
            <w:tcMar>
              <w:top w:w="0" w:type="dxa"/>
              <w:left w:w="108" w:type="dxa"/>
              <w:bottom w:w="0" w:type="dxa"/>
              <w:right w:w="108" w:type="dxa"/>
            </w:tcMar>
            <w:hideMark/>
          </w:tcPr>
          <w:p w14:paraId="1F9B5852" w14:textId="77777777" w:rsidR="00933EBE" w:rsidRPr="004566D2" w:rsidRDefault="00933EBE" w:rsidP="00F50551">
            <w:pPr>
              <w:keepNext/>
              <w:keepLines/>
              <w:widowControl w:val="0"/>
              <w:rPr>
                <w:rFonts w:ascii="Arial Narrow" w:hAnsi="Arial Narrow" w:cs="Arial"/>
                <w:b/>
                <w:snapToGrid w:val="0"/>
                <w:sz w:val="20"/>
                <w:szCs w:val="20"/>
              </w:rPr>
            </w:pPr>
            <w:r>
              <w:rPr>
                <w:rFonts w:ascii="Arial Narrow" w:hAnsi="Arial Narrow" w:cs="Arial"/>
                <w:b/>
                <w:snapToGrid w:val="0"/>
                <w:sz w:val="20"/>
                <w:szCs w:val="20"/>
              </w:rPr>
              <w:t>s</w:t>
            </w:r>
            <w:r w:rsidRPr="004566D2">
              <w:rPr>
                <w:rFonts w:ascii="Arial Narrow" w:hAnsi="Arial Narrow" w:cs="Arial"/>
                <w:b/>
                <w:snapToGrid w:val="0"/>
                <w:sz w:val="20"/>
                <w:szCs w:val="20"/>
              </w:rPr>
              <w:t>19A product</w:t>
            </w:r>
            <w:r>
              <w:rPr>
                <w:rFonts w:ascii="Arial Narrow" w:hAnsi="Arial Narrow" w:cs="Arial"/>
                <w:b/>
                <w:snapToGrid w:val="0"/>
                <w:sz w:val="20"/>
                <w:szCs w:val="20"/>
              </w:rPr>
              <w:t>s</w:t>
            </w:r>
          </w:p>
        </w:tc>
        <w:tc>
          <w:tcPr>
            <w:tcW w:w="785" w:type="pct"/>
            <w:tcMar>
              <w:top w:w="0" w:type="dxa"/>
              <w:left w:w="108" w:type="dxa"/>
              <w:bottom w:w="0" w:type="dxa"/>
              <w:right w:w="108" w:type="dxa"/>
            </w:tcMar>
            <w:hideMark/>
          </w:tcPr>
          <w:p w14:paraId="25981230" w14:textId="77777777" w:rsidR="00933EBE" w:rsidRPr="004566D2" w:rsidRDefault="00933EBE" w:rsidP="00F50551">
            <w:pPr>
              <w:keepNext/>
              <w:keepLines/>
              <w:widowControl w:val="0"/>
              <w:rPr>
                <w:rFonts w:ascii="Arial Narrow" w:hAnsi="Arial Narrow" w:cs="Arial"/>
                <w:b/>
                <w:snapToGrid w:val="0"/>
                <w:sz w:val="20"/>
                <w:szCs w:val="20"/>
              </w:rPr>
            </w:pPr>
            <w:r>
              <w:rPr>
                <w:rFonts w:ascii="Arial Narrow" w:hAnsi="Arial Narrow" w:cs="Arial"/>
                <w:b/>
                <w:snapToGrid w:val="0"/>
                <w:sz w:val="20"/>
                <w:szCs w:val="20"/>
              </w:rPr>
              <w:t>s</w:t>
            </w:r>
            <w:r w:rsidRPr="004566D2">
              <w:rPr>
                <w:rFonts w:ascii="Arial Narrow" w:hAnsi="Arial Narrow" w:cs="Arial"/>
                <w:b/>
                <w:snapToGrid w:val="0"/>
                <w:sz w:val="20"/>
                <w:szCs w:val="20"/>
              </w:rPr>
              <w:t>19A expiry</w:t>
            </w:r>
          </w:p>
        </w:tc>
        <w:tc>
          <w:tcPr>
            <w:tcW w:w="843" w:type="pct"/>
            <w:tcMar>
              <w:top w:w="0" w:type="dxa"/>
              <w:left w:w="108" w:type="dxa"/>
              <w:bottom w:w="0" w:type="dxa"/>
              <w:right w:w="108" w:type="dxa"/>
            </w:tcMar>
            <w:hideMark/>
          </w:tcPr>
          <w:p w14:paraId="55FE9174" w14:textId="77777777" w:rsidR="00933EBE" w:rsidRPr="004566D2" w:rsidRDefault="00933EBE" w:rsidP="00F50551">
            <w:pPr>
              <w:keepNext/>
              <w:keepLines/>
              <w:widowControl w:val="0"/>
              <w:rPr>
                <w:rFonts w:ascii="Arial Narrow" w:hAnsi="Arial Narrow" w:cs="Arial"/>
                <w:b/>
                <w:snapToGrid w:val="0"/>
                <w:sz w:val="20"/>
                <w:szCs w:val="20"/>
              </w:rPr>
            </w:pPr>
            <w:r w:rsidRPr="004566D2">
              <w:rPr>
                <w:rFonts w:ascii="Arial Narrow" w:hAnsi="Arial Narrow" w:cs="Arial"/>
                <w:b/>
                <w:snapToGrid w:val="0"/>
                <w:sz w:val="20"/>
                <w:szCs w:val="20"/>
              </w:rPr>
              <w:t>Requested AEMP</w:t>
            </w:r>
            <w:r>
              <w:rPr>
                <w:rFonts w:ascii="Arial Narrow" w:hAnsi="Arial Narrow" w:cs="Arial"/>
                <w:b/>
                <w:snapToGrid w:val="0"/>
                <w:sz w:val="20"/>
                <w:szCs w:val="20"/>
              </w:rPr>
              <w:t>s</w:t>
            </w:r>
          </w:p>
        </w:tc>
        <w:tc>
          <w:tcPr>
            <w:tcW w:w="814" w:type="pct"/>
            <w:tcMar>
              <w:top w:w="0" w:type="dxa"/>
              <w:left w:w="108" w:type="dxa"/>
              <w:bottom w:w="0" w:type="dxa"/>
              <w:right w:w="108" w:type="dxa"/>
            </w:tcMar>
            <w:hideMark/>
          </w:tcPr>
          <w:p w14:paraId="221EFD10" w14:textId="77777777" w:rsidR="00933EBE" w:rsidRPr="004566D2" w:rsidRDefault="00933EBE" w:rsidP="00F50551">
            <w:pPr>
              <w:keepNext/>
              <w:keepLines/>
              <w:widowControl w:val="0"/>
              <w:rPr>
                <w:rFonts w:ascii="Arial Narrow" w:hAnsi="Arial Narrow" w:cs="Arial"/>
                <w:b/>
                <w:snapToGrid w:val="0"/>
                <w:sz w:val="20"/>
                <w:szCs w:val="20"/>
              </w:rPr>
            </w:pPr>
            <w:r>
              <w:rPr>
                <w:rFonts w:ascii="Arial Narrow" w:hAnsi="Arial Narrow" w:cs="Arial"/>
                <w:b/>
                <w:snapToGrid w:val="0"/>
                <w:sz w:val="20"/>
                <w:szCs w:val="20"/>
              </w:rPr>
              <w:t>Estimated financial impact</w:t>
            </w:r>
          </w:p>
        </w:tc>
      </w:tr>
      <w:tr w:rsidR="00933EBE" w:rsidRPr="00F7524A" w14:paraId="4E4F4751" w14:textId="77777777" w:rsidTr="00DA4377">
        <w:trPr>
          <w:trHeight w:val="629"/>
        </w:trPr>
        <w:tc>
          <w:tcPr>
            <w:tcW w:w="893" w:type="pct"/>
            <w:tcMar>
              <w:top w:w="0" w:type="dxa"/>
              <w:left w:w="108" w:type="dxa"/>
              <w:bottom w:w="0" w:type="dxa"/>
              <w:right w:w="108" w:type="dxa"/>
            </w:tcMar>
            <w:hideMark/>
          </w:tcPr>
          <w:p w14:paraId="1E16A3A6" w14:textId="77777777" w:rsidR="00933EBE" w:rsidRPr="004566D2" w:rsidRDefault="00933EBE" w:rsidP="00F50551">
            <w:pPr>
              <w:keepNext/>
              <w:keepLines/>
              <w:widowControl w:val="0"/>
              <w:jc w:val="left"/>
              <w:rPr>
                <w:rFonts w:ascii="Arial Narrow" w:hAnsi="Arial Narrow" w:cs="Arial"/>
                <w:snapToGrid w:val="0"/>
                <w:sz w:val="20"/>
                <w:szCs w:val="20"/>
              </w:rPr>
            </w:pPr>
            <w:proofErr w:type="spellStart"/>
            <w:proofErr w:type="gramStart"/>
            <w:r>
              <w:rPr>
                <w:rFonts w:ascii="Arial Narrow" w:hAnsi="Arial Narrow" w:cs="Arial"/>
                <w:snapToGrid w:val="0"/>
                <w:sz w:val="20"/>
                <w:szCs w:val="20"/>
              </w:rPr>
              <w:t>Semaglutide</w:t>
            </w:r>
            <w:proofErr w:type="spellEnd"/>
            <w:r>
              <w:rPr>
                <w:rFonts w:ascii="Arial Narrow" w:hAnsi="Arial Narrow" w:cs="Arial"/>
                <w:snapToGrid w:val="0"/>
                <w:sz w:val="20"/>
                <w:szCs w:val="20"/>
              </w:rPr>
              <w:t xml:space="preserve">, </w:t>
            </w:r>
            <w:r w:rsidRPr="00B36409">
              <w:rPr>
                <w:rFonts w:ascii="Arial Narrow" w:hAnsi="Arial Narrow" w:cs="Arial"/>
                <w:snapToGrid w:val="0"/>
                <w:sz w:val="20"/>
                <w:szCs w:val="20"/>
              </w:rPr>
              <w:t xml:space="preserve"> </w:t>
            </w:r>
            <w:r w:rsidRPr="00E05224">
              <w:rPr>
                <w:rFonts w:ascii="Arial Narrow" w:hAnsi="Arial Narrow" w:cs="Arial"/>
                <w:snapToGrid w:val="0"/>
                <w:sz w:val="20"/>
                <w:szCs w:val="20"/>
              </w:rPr>
              <w:t>Solution</w:t>
            </w:r>
            <w:proofErr w:type="gramEnd"/>
            <w:r w:rsidRPr="00E05224">
              <w:rPr>
                <w:rFonts w:ascii="Arial Narrow" w:hAnsi="Arial Narrow" w:cs="Arial"/>
                <w:snapToGrid w:val="0"/>
                <w:sz w:val="20"/>
                <w:szCs w:val="20"/>
              </w:rPr>
              <w:t xml:space="preserve"> for injection 2 mg in 1.5 mL pre-filled pen (injection)</w:t>
            </w:r>
            <w:r>
              <w:rPr>
                <w:rFonts w:ascii="Arial Narrow" w:hAnsi="Arial Narrow" w:cs="Arial"/>
                <w:snapToGrid w:val="0"/>
                <w:sz w:val="20"/>
                <w:szCs w:val="20"/>
              </w:rPr>
              <w:t>, Ozempic</w:t>
            </w:r>
          </w:p>
        </w:tc>
        <w:tc>
          <w:tcPr>
            <w:tcW w:w="767" w:type="pct"/>
            <w:tcMar>
              <w:top w:w="0" w:type="dxa"/>
              <w:left w:w="108" w:type="dxa"/>
              <w:bottom w:w="0" w:type="dxa"/>
              <w:right w:w="108" w:type="dxa"/>
            </w:tcMar>
          </w:tcPr>
          <w:p w14:paraId="6590D6D8" w14:textId="77777777" w:rsidR="00933EBE" w:rsidRDefault="00933EBE" w:rsidP="00F50551">
            <w:pPr>
              <w:keepNext/>
              <w:keepLines/>
              <w:widowControl w:val="0"/>
              <w:jc w:val="right"/>
              <w:rPr>
                <w:rFonts w:ascii="Arial Narrow" w:hAnsi="Arial Narrow" w:cs="Arial"/>
                <w:snapToGrid w:val="0"/>
                <w:sz w:val="20"/>
                <w:szCs w:val="20"/>
              </w:rPr>
            </w:pPr>
            <w:r>
              <w:rPr>
                <w:rFonts w:ascii="Arial Narrow" w:hAnsi="Arial Narrow" w:cs="Arial"/>
                <w:snapToGrid w:val="0"/>
                <w:sz w:val="20"/>
                <w:szCs w:val="20"/>
              </w:rPr>
              <w:t>$111.44</w:t>
            </w:r>
          </w:p>
          <w:p w14:paraId="008EF783" w14:textId="77777777" w:rsidR="00933EBE" w:rsidRDefault="00933EBE" w:rsidP="00F50551">
            <w:pPr>
              <w:keepNext/>
              <w:keepLines/>
              <w:widowControl w:val="0"/>
              <w:jc w:val="right"/>
              <w:rPr>
                <w:rFonts w:ascii="Arial Narrow" w:hAnsi="Arial Narrow" w:cs="Arial"/>
                <w:snapToGrid w:val="0"/>
                <w:sz w:val="20"/>
                <w:szCs w:val="20"/>
              </w:rPr>
            </w:pPr>
          </w:p>
          <w:p w14:paraId="07BA044E" w14:textId="77777777" w:rsidR="00933EBE" w:rsidRPr="004566D2" w:rsidRDefault="00933EBE" w:rsidP="00F50551">
            <w:pPr>
              <w:keepNext/>
              <w:keepLines/>
              <w:widowControl w:val="0"/>
              <w:jc w:val="right"/>
              <w:rPr>
                <w:rFonts w:ascii="Arial Narrow" w:hAnsi="Arial Narrow" w:cs="Arial"/>
                <w:snapToGrid w:val="0"/>
                <w:sz w:val="20"/>
                <w:szCs w:val="20"/>
              </w:rPr>
            </w:pPr>
          </w:p>
        </w:tc>
        <w:tc>
          <w:tcPr>
            <w:tcW w:w="898" w:type="pct"/>
            <w:shd w:val="clear" w:color="auto" w:fill="auto"/>
            <w:tcMar>
              <w:top w:w="0" w:type="dxa"/>
              <w:left w:w="108" w:type="dxa"/>
              <w:bottom w:w="0" w:type="dxa"/>
              <w:right w:w="108" w:type="dxa"/>
            </w:tcMar>
          </w:tcPr>
          <w:p w14:paraId="0643E228" w14:textId="77777777" w:rsidR="00933EBE" w:rsidRPr="00E05224" w:rsidRDefault="00933EBE" w:rsidP="00F50551">
            <w:pPr>
              <w:keepNext/>
              <w:keepLines/>
              <w:widowControl w:val="0"/>
              <w:jc w:val="left"/>
              <w:rPr>
                <w:rFonts w:ascii="Arial Narrow" w:hAnsi="Arial Narrow" w:cs="Arial"/>
                <w:snapToGrid w:val="0"/>
                <w:sz w:val="20"/>
                <w:szCs w:val="20"/>
              </w:rPr>
            </w:pPr>
            <w:bookmarkStart w:id="3" w:name="_Hlk111641750"/>
            <w:r w:rsidRPr="00E05224">
              <w:rPr>
                <w:rFonts w:ascii="Arial Narrow" w:hAnsi="Arial Narrow" w:cs="Arial"/>
                <w:snapToGrid w:val="0"/>
                <w:sz w:val="20"/>
                <w:szCs w:val="20"/>
              </w:rPr>
              <w:t xml:space="preserve">Ozempic </w:t>
            </w:r>
            <w:bookmarkStart w:id="4" w:name="_Hlk112745508"/>
            <w:r w:rsidRPr="00E05224">
              <w:rPr>
                <w:rFonts w:ascii="Arial Narrow" w:hAnsi="Arial Narrow" w:cs="Arial"/>
                <w:snapToGrid w:val="0"/>
                <w:sz w:val="20"/>
                <w:szCs w:val="20"/>
              </w:rPr>
              <w:t>0.25 mg solution for injection in pre-filled pen</w:t>
            </w:r>
          </w:p>
          <w:bookmarkEnd w:id="4"/>
          <w:p w14:paraId="7547D1E3" w14:textId="77777777" w:rsidR="00933EBE" w:rsidRPr="004566D2" w:rsidRDefault="00933EBE" w:rsidP="00F50551">
            <w:pPr>
              <w:keepNext/>
              <w:keepLines/>
              <w:widowControl w:val="0"/>
              <w:jc w:val="left"/>
              <w:rPr>
                <w:rFonts w:ascii="Arial Narrow" w:hAnsi="Arial Narrow" w:cs="Arial"/>
                <w:snapToGrid w:val="0"/>
                <w:sz w:val="20"/>
                <w:szCs w:val="20"/>
              </w:rPr>
            </w:pPr>
            <w:r w:rsidRPr="00E05224">
              <w:rPr>
                <w:rFonts w:ascii="Arial Narrow" w:hAnsi="Arial Narrow" w:cs="Arial"/>
                <w:snapToGrid w:val="0"/>
                <w:sz w:val="20"/>
                <w:szCs w:val="20"/>
              </w:rPr>
              <w:t>(UK)</w:t>
            </w:r>
            <w:bookmarkEnd w:id="3"/>
          </w:p>
        </w:tc>
        <w:tc>
          <w:tcPr>
            <w:tcW w:w="785" w:type="pct"/>
            <w:shd w:val="clear" w:color="auto" w:fill="auto"/>
            <w:tcMar>
              <w:top w:w="0" w:type="dxa"/>
              <w:left w:w="108" w:type="dxa"/>
              <w:bottom w:w="0" w:type="dxa"/>
              <w:right w:w="108" w:type="dxa"/>
            </w:tcMar>
          </w:tcPr>
          <w:p w14:paraId="5F4BE03F" w14:textId="77777777" w:rsidR="00933EBE" w:rsidRPr="004566D2" w:rsidRDefault="00933EBE" w:rsidP="00F50551">
            <w:pPr>
              <w:keepNext/>
              <w:keepLines/>
              <w:widowControl w:val="0"/>
              <w:jc w:val="right"/>
              <w:rPr>
                <w:rFonts w:ascii="Arial Narrow" w:hAnsi="Arial Narrow" w:cs="Arial"/>
                <w:snapToGrid w:val="0"/>
                <w:sz w:val="20"/>
                <w:szCs w:val="20"/>
              </w:rPr>
            </w:pPr>
            <w:r w:rsidRPr="00B36409">
              <w:rPr>
                <w:rFonts w:ascii="Arial Narrow" w:hAnsi="Arial Narrow" w:cs="Arial"/>
                <w:snapToGrid w:val="0"/>
                <w:sz w:val="20"/>
                <w:szCs w:val="20"/>
              </w:rPr>
              <w:t xml:space="preserve">31 </w:t>
            </w:r>
            <w:r>
              <w:rPr>
                <w:rFonts w:ascii="Arial Narrow" w:hAnsi="Arial Narrow" w:cs="Arial"/>
                <w:snapToGrid w:val="0"/>
                <w:sz w:val="20"/>
                <w:szCs w:val="20"/>
              </w:rPr>
              <w:t>October</w:t>
            </w:r>
            <w:r w:rsidRPr="00B36409">
              <w:rPr>
                <w:rFonts w:ascii="Arial Narrow" w:hAnsi="Arial Narrow" w:cs="Arial"/>
                <w:snapToGrid w:val="0"/>
                <w:sz w:val="20"/>
                <w:szCs w:val="20"/>
              </w:rPr>
              <w:t xml:space="preserve"> 202</w:t>
            </w:r>
            <w:r>
              <w:rPr>
                <w:rFonts w:ascii="Arial Narrow" w:hAnsi="Arial Narrow" w:cs="Arial"/>
                <w:snapToGrid w:val="0"/>
                <w:sz w:val="20"/>
                <w:szCs w:val="20"/>
              </w:rPr>
              <w:t>2</w:t>
            </w:r>
          </w:p>
        </w:tc>
        <w:tc>
          <w:tcPr>
            <w:tcW w:w="843" w:type="pct"/>
            <w:shd w:val="clear" w:color="auto" w:fill="auto"/>
            <w:tcMar>
              <w:top w:w="0" w:type="dxa"/>
              <w:left w:w="108" w:type="dxa"/>
              <w:bottom w:w="0" w:type="dxa"/>
              <w:right w:w="108" w:type="dxa"/>
            </w:tcMar>
          </w:tcPr>
          <w:p w14:paraId="7CE6ACF8" w14:textId="4294EFD9" w:rsidR="00933EBE" w:rsidRPr="00784B98" w:rsidRDefault="00933EBE" w:rsidP="00F50551">
            <w:pPr>
              <w:keepNext/>
              <w:keepLines/>
              <w:widowControl w:val="0"/>
              <w:jc w:val="right"/>
              <w:rPr>
                <w:rFonts w:ascii="Arial Narrow" w:hAnsi="Arial Narrow" w:cs="Arial"/>
                <w:snapToGrid w:val="0"/>
                <w:sz w:val="20"/>
                <w:szCs w:val="20"/>
              </w:rPr>
            </w:pPr>
            <w:r w:rsidRPr="00784B98">
              <w:rPr>
                <w:rFonts w:ascii="Arial Narrow" w:hAnsi="Arial Narrow" w:cs="Arial"/>
                <w:snapToGrid w:val="0"/>
                <w:sz w:val="20"/>
                <w:szCs w:val="20"/>
              </w:rPr>
              <w:t>$</w:t>
            </w:r>
            <w:r w:rsidR="00784B98" w:rsidRPr="00784B98">
              <w:rPr>
                <w:rFonts w:ascii="Arial Narrow" w:hAnsi="Arial Narrow" w:cs="Arial"/>
                <w:snapToGrid w:val="0"/>
                <w:color w:val="000000"/>
                <w:sz w:val="20"/>
                <w:szCs w:val="20"/>
                <w:shd w:val="solid" w:color="000000" w:fill="000000"/>
                <w14:textFill>
                  <w14:solidFill>
                    <w14:srgbClr w14:val="000000">
                      <w14:alpha w14:val="100000"/>
                    </w14:srgbClr>
                  </w14:solidFill>
                </w14:textFill>
              </w:rPr>
              <w:t>|</w:t>
            </w:r>
            <w:r w:rsidR="00784B98" w:rsidRPr="00784B98">
              <w:rPr>
                <w:rFonts w:ascii="Arial Narrow" w:hAnsi="Arial Narrow" w:cs="Arial"/>
                <w:snapToGrid w:val="0"/>
                <w:sz w:val="20"/>
                <w:szCs w:val="20"/>
              </w:rPr>
              <w:t xml:space="preserve"> </w:t>
            </w:r>
          </w:p>
          <w:p w14:paraId="3886AF5D" w14:textId="77777777" w:rsidR="00933EBE" w:rsidRPr="00784B98" w:rsidRDefault="00933EBE" w:rsidP="00F50551">
            <w:pPr>
              <w:keepNext/>
              <w:keepLines/>
              <w:widowControl w:val="0"/>
              <w:jc w:val="right"/>
              <w:rPr>
                <w:rFonts w:ascii="Arial Narrow" w:hAnsi="Arial Narrow" w:cs="Arial"/>
                <w:snapToGrid w:val="0"/>
                <w:sz w:val="20"/>
                <w:szCs w:val="20"/>
              </w:rPr>
            </w:pPr>
          </w:p>
        </w:tc>
        <w:tc>
          <w:tcPr>
            <w:tcW w:w="814" w:type="pct"/>
            <w:shd w:val="clear" w:color="auto" w:fill="auto"/>
            <w:tcMar>
              <w:top w:w="0" w:type="dxa"/>
              <w:left w:w="108" w:type="dxa"/>
              <w:bottom w:w="0" w:type="dxa"/>
              <w:right w:w="108" w:type="dxa"/>
            </w:tcMar>
          </w:tcPr>
          <w:p w14:paraId="220253A3" w14:textId="30FCDCAB" w:rsidR="00933EBE" w:rsidRPr="00784B98" w:rsidRDefault="005A6288" w:rsidP="00F50551">
            <w:pPr>
              <w:keepNext/>
              <w:keepLines/>
              <w:widowControl w:val="0"/>
              <w:jc w:val="right"/>
              <w:rPr>
                <w:rFonts w:ascii="Arial Narrow" w:hAnsi="Arial Narrow" w:cs="Arial"/>
                <w:sz w:val="20"/>
                <w:szCs w:val="20"/>
                <w:vertAlign w:val="superscript"/>
              </w:rPr>
            </w:pPr>
            <w:r w:rsidRPr="00784B98">
              <w:rPr>
                <w:rFonts w:ascii="Arial Narrow" w:hAnsi="Arial Narrow" w:cs="Arial"/>
                <w:sz w:val="20"/>
                <w:szCs w:val="20"/>
              </w:rPr>
              <w:t>$</w:t>
            </w:r>
            <w:r w:rsidR="00784B98" w:rsidRPr="00784B98">
              <w:rPr>
                <w:rFonts w:ascii="Arial Narrow" w:hAnsi="Arial Narrow" w:cs="Arial"/>
                <w:color w:val="000000"/>
                <w:sz w:val="20"/>
                <w:szCs w:val="20"/>
                <w:shd w:val="solid" w:color="000000" w:fill="000000"/>
                <w14:textFill>
                  <w14:solidFill>
                    <w14:srgbClr w14:val="000000">
                      <w14:alpha w14:val="100000"/>
                    </w14:srgbClr>
                  </w14:solidFill>
                </w14:textFill>
              </w:rPr>
              <w:t>|</w:t>
            </w:r>
            <w:r w:rsidR="005931EB" w:rsidRPr="00784B98">
              <w:rPr>
                <w:rFonts w:ascii="Arial Narrow" w:hAnsi="Arial Narrow" w:cs="Arial"/>
                <w:sz w:val="20"/>
                <w:szCs w:val="20"/>
                <w:vertAlign w:val="superscript"/>
              </w:rPr>
              <w:t>1</w:t>
            </w:r>
          </w:p>
        </w:tc>
      </w:tr>
      <w:tr w:rsidR="00933EBE" w:rsidRPr="00C53C71" w14:paraId="77C24D4F" w14:textId="77777777" w:rsidTr="00DA4377">
        <w:trPr>
          <w:trHeight w:val="629"/>
        </w:trPr>
        <w:tc>
          <w:tcPr>
            <w:tcW w:w="893" w:type="pct"/>
            <w:tcMar>
              <w:top w:w="0" w:type="dxa"/>
              <w:left w:w="108" w:type="dxa"/>
              <w:bottom w:w="0" w:type="dxa"/>
              <w:right w:w="108" w:type="dxa"/>
            </w:tcMar>
          </w:tcPr>
          <w:p w14:paraId="526FC39E" w14:textId="77777777" w:rsidR="00933EBE" w:rsidRPr="00B36409" w:rsidRDefault="00933EBE" w:rsidP="00F50551">
            <w:pPr>
              <w:keepNext/>
              <w:keepLines/>
              <w:widowControl w:val="0"/>
              <w:jc w:val="left"/>
              <w:rPr>
                <w:rFonts w:ascii="Arial Narrow" w:hAnsi="Arial Narrow" w:cs="Arial"/>
                <w:snapToGrid w:val="0"/>
                <w:sz w:val="20"/>
                <w:szCs w:val="20"/>
              </w:rPr>
            </w:pPr>
            <w:proofErr w:type="spellStart"/>
            <w:r>
              <w:rPr>
                <w:rFonts w:ascii="Arial Narrow" w:hAnsi="Arial Narrow" w:cs="Arial"/>
                <w:snapToGrid w:val="0"/>
                <w:sz w:val="20"/>
                <w:szCs w:val="20"/>
              </w:rPr>
              <w:t>Semaglutide</w:t>
            </w:r>
            <w:proofErr w:type="spellEnd"/>
            <w:r>
              <w:rPr>
                <w:rFonts w:ascii="Arial Narrow" w:hAnsi="Arial Narrow" w:cs="Arial"/>
                <w:snapToGrid w:val="0"/>
                <w:sz w:val="20"/>
                <w:szCs w:val="20"/>
              </w:rPr>
              <w:t xml:space="preserve">, </w:t>
            </w:r>
            <w:r w:rsidRPr="00E05224">
              <w:rPr>
                <w:rFonts w:ascii="Arial Narrow" w:hAnsi="Arial Narrow" w:cs="Arial"/>
                <w:snapToGrid w:val="0"/>
                <w:sz w:val="20"/>
                <w:szCs w:val="20"/>
              </w:rPr>
              <w:t>Solution for injection 4 mg in 3 mL pre-filled pen (injection)</w:t>
            </w:r>
            <w:r>
              <w:rPr>
                <w:rFonts w:ascii="Arial Narrow" w:hAnsi="Arial Narrow" w:cs="Arial"/>
                <w:snapToGrid w:val="0"/>
                <w:sz w:val="20"/>
                <w:szCs w:val="20"/>
              </w:rPr>
              <w:t>, Ozempic</w:t>
            </w:r>
          </w:p>
        </w:tc>
        <w:tc>
          <w:tcPr>
            <w:tcW w:w="767" w:type="pct"/>
            <w:tcMar>
              <w:top w:w="0" w:type="dxa"/>
              <w:left w:w="108" w:type="dxa"/>
              <w:bottom w:w="0" w:type="dxa"/>
              <w:right w:w="108" w:type="dxa"/>
            </w:tcMar>
          </w:tcPr>
          <w:p w14:paraId="24B07265" w14:textId="77777777" w:rsidR="00933EBE" w:rsidRDefault="00933EBE" w:rsidP="00F50551">
            <w:pPr>
              <w:keepNext/>
              <w:keepLines/>
              <w:widowControl w:val="0"/>
              <w:jc w:val="right"/>
              <w:rPr>
                <w:rFonts w:ascii="Arial Narrow" w:hAnsi="Arial Narrow" w:cs="Arial"/>
                <w:snapToGrid w:val="0"/>
                <w:sz w:val="20"/>
                <w:szCs w:val="20"/>
              </w:rPr>
            </w:pPr>
            <w:r>
              <w:rPr>
                <w:rFonts w:ascii="Arial Narrow" w:hAnsi="Arial Narrow" w:cs="Arial"/>
                <w:snapToGrid w:val="0"/>
                <w:sz w:val="20"/>
                <w:szCs w:val="20"/>
              </w:rPr>
              <w:t>$111.44</w:t>
            </w:r>
          </w:p>
        </w:tc>
        <w:tc>
          <w:tcPr>
            <w:tcW w:w="898" w:type="pct"/>
            <w:shd w:val="clear" w:color="auto" w:fill="auto"/>
            <w:tcMar>
              <w:top w:w="0" w:type="dxa"/>
              <w:left w:w="108" w:type="dxa"/>
              <w:bottom w:w="0" w:type="dxa"/>
              <w:right w:w="108" w:type="dxa"/>
            </w:tcMar>
          </w:tcPr>
          <w:p w14:paraId="2021590C" w14:textId="77777777" w:rsidR="00933EBE" w:rsidRPr="00A803DE" w:rsidRDefault="00933EBE" w:rsidP="00F50551">
            <w:pPr>
              <w:keepNext/>
              <w:keepLines/>
              <w:widowControl w:val="0"/>
              <w:jc w:val="left"/>
              <w:rPr>
                <w:rFonts w:ascii="Arial Narrow" w:hAnsi="Arial Narrow" w:cs="Arial"/>
                <w:snapToGrid w:val="0"/>
                <w:sz w:val="20"/>
                <w:szCs w:val="20"/>
              </w:rPr>
            </w:pPr>
            <w:r w:rsidRPr="00E05224">
              <w:rPr>
                <w:rFonts w:ascii="Arial Narrow" w:hAnsi="Arial Narrow" w:cs="Arial"/>
                <w:snapToGrid w:val="0"/>
                <w:sz w:val="20"/>
                <w:szCs w:val="20"/>
              </w:rPr>
              <w:t xml:space="preserve">Ozempic </w:t>
            </w:r>
            <w:bookmarkStart w:id="5" w:name="_Hlk110351514"/>
            <w:r w:rsidRPr="00E05224">
              <w:rPr>
                <w:rFonts w:ascii="Arial Narrow" w:hAnsi="Arial Narrow" w:cs="Arial"/>
                <w:snapToGrid w:val="0"/>
                <w:sz w:val="20"/>
                <w:szCs w:val="20"/>
              </w:rPr>
              <w:t>1 mg solution for injection pre-filled pen (UK)</w:t>
            </w:r>
            <w:bookmarkEnd w:id="5"/>
          </w:p>
        </w:tc>
        <w:tc>
          <w:tcPr>
            <w:tcW w:w="785" w:type="pct"/>
            <w:shd w:val="clear" w:color="auto" w:fill="auto"/>
            <w:tcMar>
              <w:top w:w="0" w:type="dxa"/>
              <w:left w:w="108" w:type="dxa"/>
              <w:bottom w:w="0" w:type="dxa"/>
              <w:right w:w="108" w:type="dxa"/>
            </w:tcMar>
          </w:tcPr>
          <w:p w14:paraId="3A61D85B" w14:textId="77777777" w:rsidR="00933EBE" w:rsidRPr="002A33F4" w:rsidRDefault="00933EBE" w:rsidP="00F50551">
            <w:pPr>
              <w:keepNext/>
              <w:keepLines/>
              <w:widowControl w:val="0"/>
              <w:jc w:val="right"/>
              <w:rPr>
                <w:rFonts w:ascii="Arial Narrow" w:hAnsi="Arial Narrow" w:cs="Arial"/>
                <w:snapToGrid w:val="0"/>
                <w:sz w:val="20"/>
                <w:szCs w:val="20"/>
              </w:rPr>
            </w:pPr>
            <w:r w:rsidRPr="00B36409">
              <w:rPr>
                <w:rFonts w:ascii="Arial Narrow" w:hAnsi="Arial Narrow" w:cs="Arial"/>
                <w:snapToGrid w:val="0"/>
                <w:sz w:val="20"/>
                <w:szCs w:val="20"/>
              </w:rPr>
              <w:t xml:space="preserve">31 </w:t>
            </w:r>
            <w:r>
              <w:rPr>
                <w:rFonts w:ascii="Arial Narrow" w:hAnsi="Arial Narrow" w:cs="Arial"/>
                <w:snapToGrid w:val="0"/>
                <w:sz w:val="20"/>
                <w:szCs w:val="20"/>
              </w:rPr>
              <w:t>October</w:t>
            </w:r>
            <w:r w:rsidRPr="00B36409">
              <w:rPr>
                <w:rFonts w:ascii="Arial Narrow" w:hAnsi="Arial Narrow" w:cs="Arial"/>
                <w:snapToGrid w:val="0"/>
                <w:sz w:val="20"/>
                <w:szCs w:val="20"/>
              </w:rPr>
              <w:t xml:space="preserve"> 202</w:t>
            </w:r>
            <w:r>
              <w:rPr>
                <w:rFonts w:ascii="Arial Narrow" w:hAnsi="Arial Narrow" w:cs="Arial"/>
                <w:snapToGrid w:val="0"/>
                <w:sz w:val="20"/>
                <w:szCs w:val="20"/>
              </w:rPr>
              <w:t>2</w:t>
            </w:r>
          </w:p>
        </w:tc>
        <w:tc>
          <w:tcPr>
            <w:tcW w:w="843" w:type="pct"/>
            <w:shd w:val="clear" w:color="auto" w:fill="auto"/>
            <w:tcMar>
              <w:top w:w="0" w:type="dxa"/>
              <w:left w:w="108" w:type="dxa"/>
              <w:bottom w:w="0" w:type="dxa"/>
              <w:right w:w="108" w:type="dxa"/>
            </w:tcMar>
          </w:tcPr>
          <w:p w14:paraId="56B60156" w14:textId="0B6E81C5" w:rsidR="00933EBE" w:rsidRPr="00784B98" w:rsidRDefault="00933EBE" w:rsidP="00F50551">
            <w:pPr>
              <w:keepNext/>
              <w:keepLines/>
              <w:widowControl w:val="0"/>
              <w:jc w:val="right"/>
              <w:rPr>
                <w:rFonts w:ascii="Arial Narrow" w:hAnsi="Arial Narrow" w:cs="Arial"/>
                <w:snapToGrid w:val="0"/>
                <w:sz w:val="20"/>
                <w:szCs w:val="20"/>
              </w:rPr>
            </w:pPr>
            <w:r w:rsidRPr="00784B98">
              <w:rPr>
                <w:rFonts w:ascii="Arial Narrow" w:hAnsi="Arial Narrow" w:cs="Arial"/>
                <w:snapToGrid w:val="0"/>
                <w:sz w:val="20"/>
                <w:szCs w:val="20"/>
              </w:rPr>
              <w:t>$</w:t>
            </w:r>
            <w:r w:rsidR="00784B98" w:rsidRPr="00784B98">
              <w:rPr>
                <w:rFonts w:ascii="Arial Narrow" w:hAnsi="Arial Narrow" w:cs="Arial"/>
                <w:snapToGrid w:val="0"/>
                <w:color w:val="000000"/>
                <w:sz w:val="20"/>
                <w:szCs w:val="20"/>
                <w:shd w:val="solid" w:color="000000" w:fill="000000"/>
                <w14:textFill>
                  <w14:solidFill>
                    <w14:srgbClr w14:val="000000">
                      <w14:alpha w14:val="100000"/>
                    </w14:srgbClr>
                  </w14:solidFill>
                </w14:textFill>
              </w:rPr>
              <w:t>|</w:t>
            </w:r>
          </w:p>
        </w:tc>
        <w:tc>
          <w:tcPr>
            <w:tcW w:w="814" w:type="pct"/>
            <w:shd w:val="clear" w:color="auto" w:fill="auto"/>
            <w:tcMar>
              <w:top w:w="0" w:type="dxa"/>
              <w:left w:w="108" w:type="dxa"/>
              <w:bottom w:w="0" w:type="dxa"/>
              <w:right w:w="108" w:type="dxa"/>
            </w:tcMar>
          </w:tcPr>
          <w:p w14:paraId="1F5E17C3" w14:textId="6AF25BC0" w:rsidR="00933EBE" w:rsidRPr="00784B98" w:rsidRDefault="005A6288" w:rsidP="00F50551">
            <w:pPr>
              <w:keepNext/>
              <w:keepLines/>
              <w:widowControl w:val="0"/>
              <w:jc w:val="right"/>
              <w:rPr>
                <w:rFonts w:ascii="Arial Narrow" w:hAnsi="Arial Narrow" w:cs="Arial"/>
                <w:sz w:val="20"/>
                <w:szCs w:val="20"/>
                <w:vertAlign w:val="superscript"/>
              </w:rPr>
            </w:pPr>
            <w:r w:rsidRPr="00784B98">
              <w:rPr>
                <w:rFonts w:ascii="Arial Narrow" w:hAnsi="Arial Narrow" w:cs="Arial"/>
                <w:sz w:val="20"/>
                <w:szCs w:val="20"/>
              </w:rPr>
              <w:t>$</w:t>
            </w:r>
            <w:r w:rsidR="00784B98" w:rsidRPr="00784B98">
              <w:rPr>
                <w:rFonts w:ascii="Arial Narrow" w:hAnsi="Arial Narrow" w:cs="Arial"/>
                <w:color w:val="000000"/>
                <w:sz w:val="20"/>
                <w:szCs w:val="20"/>
                <w:shd w:val="solid" w:color="000000" w:fill="000000"/>
                <w14:textFill>
                  <w14:solidFill>
                    <w14:srgbClr w14:val="000000">
                      <w14:alpha w14:val="100000"/>
                    </w14:srgbClr>
                  </w14:solidFill>
                </w14:textFill>
              </w:rPr>
              <w:t>|</w:t>
            </w:r>
            <w:r w:rsidR="005931EB" w:rsidRPr="00784B98">
              <w:rPr>
                <w:rFonts w:ascii="Arial Narrow" w:hAnsi="Arial Narrow" w:cs="Arial"/>
                <w:sz w:val="20"/>
                <w:szCs w:val="20"/>
                <w:vertAlign w:val="superscript"/>
              </w:rPr>
              <w:t>1</w:t>
            </w:r>
          </w:p>
        </w:tc>
      </w:tr>
    </w:tbl>
    <w:bookmarkEnd w:id="2"/>
    <w:p w14:paraId="2803B22F" w14:textId="77777777" w:rsidR="005931EB" w:rsidRPr="009A6D58" w:rsidRDefault="005931EB" w:rsidP="005931EB">
      <w:pPr>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4089B315" w14:textId="29228FAF" w:rsidR="005931EB" w:rsidRDefault="005931EB" w:rsidP="005931EB">
      <w:pPr>
        <w:rPr>
          <w:rFonts w:ascii="Arial Narrow" w:hAnsi="Arial Narrow" w:cs="Arial"/>
          <w:i/>
          <w:sz w:val="18"/>
          <w:szCs w:val="18"/>
          <w:lang w:eastAsia="en-AU"/>
        </w:rPr>
      </w:pPr>
      <w:r w:rsidRPr="009A6D58">
        <w:rPr>
          <w:rFonts w:ascii="Arial Narrow" w:hAnsi="Arial Narrow" w:cs="Arial"/>
          <w:i/>
          <w:sz w:val="18"/>
          <w:szCs w:val="18"/>
          <w:vertAlign w:val="superscript"/>
          <w:lang w:eastAsia="en-AU"/>
        </w:rPr>
        <w:t>1</w:t>
      </w:r>
      <w:r>
        <w:rPr>
          <w:rFonts w:ascii="Arial Narrow" w:hAnsi="Arial Narrow" w:cs="Arial"/>
          <w:i/>
          <w:sz w:val="18"/>
          <w:szCs w:val="18"/>
          <w:lang w:eastAsia="en-AU"/>
        </w:rPr>
        <w:t xml:space="preserve"> </w:t>
      </w:r>
      <w:r w:rsidRPr="005931EB">
        <w:rPr>
          <w:rFonts w:ascii="Arial Narrow" w:hAnsi="Arial Narrow" w:cs="Arial"/>
          <w:i/>
          <w:sz w:val="18"/>
          <w:szCs w:val="18"/>
          <w:lang w:eastAsia="en-AU"/>
        </w:rPr>
        <w:t>$0 to &lt; $10 million</w:t>
      </w:r>
    </w:p>
    <w:p w14:paraId="1051B839" w14:textId="5BFFDB02" w:rsidR="00933EBE" w:rsidRPr="00082E87" w:rsidRDefault="00933EBE" w:rsidP="00933EBE">
      <w:pPr>
        <w:pStyle w:val="2-SectionHeading"/>
        <w:rPr>
          <w:rFonts w:eastAsiaTheme="majorEastAsia"/>
        </w:rPr>
      </w:pPr>
      <w:r w:rsidRPr="00082E87">
        <w:rPr>
          <w:rFonts w:eastAsiaTheme="majorEastAsia"/>
        </w:rPr>
        <w:t>PBAC advice</w:t>
      </w:r>
    </w:p>
    <w:p w14:paraId="4FFAB73D" w14:textId="6230BB48" w:rsidR="00A83679" w:rsidRPr="00A83679" w:rsidRDefault="00A83679" w:rsidP="00A83679">
      <w:pPr>
        <w:pStyle w:val="3-BodyText"/>
        <w:rPr>
          <w:bCs/>
          <w:lang w:val="en-GB"/>
        </w:rPr>
      </w:pPr>
      <w:r w:rsidRPr="00A83679">
        <w:rPr>
          <w:lang w:val="en-GB"/>
        </w:rPr>
        <w:t>The PBAC recommended the temporary listing of the s19A product</w:t>
      </w:r>
      <w:r>
        <w:rPr>
          <w:lang w:val="en-GB"/>
        </w:rPr>
        <w:t xml:space="preserve">s </w:t>
      </w:r>
      <w:r w:rsidRPr="00A83679">
        <w:rPr>
          <w:bCs/>
          <w:lang w:val="en-GB"/>
        </w:rPr>
        <w:t>Ozempic 0.25 mg solution for injection in pre-filled pen</w:t>
      </w:r>
      <w:r>
        <w:rPr>
          <w:bCs/>
          <w:lang w:val="en-GB"/>
        </w:rPr>
        <w:t xml:space="preserve"> </w:t>
      </w:r>
      <w:r w:rsidRPr="00A83679">
        <w:rPr>
          <w:bCs/>
          <w:lang w:val="en-GB"/>
        </w:rPr>
        <w:t>(UK) and Ozempic 1 mg solution for injection pre-filled pen (UK)</w:t>
      </w:r>
      <w:r>
        <w:rPr>
          <w:bCs/>
          <w:lang w:val="en-GB"/>
        </w:rPr>
        <w:t xml:space="preserve"> </w:t>
      </w:r>
      <w:r w:rsidRPr="00A83679">
        <w:rPr>
          <w:lang w:val="en-GB"/>
        </w:rPr>
        <w:t>on the PBS</w:t>
      </w:r>
      <w:r>
        <w:rPr>
          <w:lang w:val="en-GB"/>
        </w:rPr>
        <w:t xml:space="preserve"> at the same </w:t>
      </w:r>
      <w:r w:rsidR="00590E19">
        <w:rPr>
          <w:lang w:val="en-GB"/>
        </w:rPr>
        <w:t xml:space="preserve">ex-manufacturer price </w:t>
      </w:r>
      <w:r>
        <w:rPr>
          <w:lang w:val="en-GB"/>
        </w:rPr>
        <w:t>as</w:t>
      </w:r>
      <w:r w:rsidRPr="00A83679">
        <w:rPr>
          <w:lang w:val="en-GB"/>
        </w:rPr>
        <w:t xml:space="preserve"> </w:t>
      </w:r>
      <w:r>
        <w:rPr>
          <w:lang w:val="en-GB"/>
        </w:rPr>
        <w:t>the two forms</w:t>
      </w:r>
      <w:r w:rsidR="00CB1E23">
        <w:rPr>
          <w:lang w:val="en-GB"/>
        </w:rPr>
        <w:t xml:space="preserve"> of </w:t>
      </w:r>
      <w:r w:rsidR="00012004">
        <w:rPr>
          <w:lang w:val="en-GB"/>
        </w:rPr>
        <w:t xml:space="preserve">PBS-listed </w:t>
      </w:r>
      <w:proofErr w:type="spellStart"/>
      <w:r w:rsidR="00CB1E23">
        <w:rPr>
          <w:lang w:val="en-GB"/>
        </w:rPr>
        <w:t>semaglutide</w:t>
      </w:r>
      <w:proofErr w:type="spellEnd"/>
      <w:r w:rsidR="00CB1E23">
        <w:rPr>
          <w:lang w:val="en-GB"/>
        </w:rPr>
        <w:t xml:space="preserve"> which are</w:t>
      </w:r>
      <w:r>
        <w:rPr>
          <w:lang w:val="en-GB"/>
        </w:rPr>
        <w:t xml:space="preserve"> </w:t>
      </w:r>
      <w:r w:rsidRPr="00A83679">
        <w:rPr>
          <w:lang w:val="en-GB"/>
        </w:rPr>
        <w:t>current</w:t>
      </w:r>
      <w:r>
        <w:rPr>
          <w:lang w:val="en-GB"/>
        </w:rPr>
        <w:t>ly in</w:t>
      </w:r>
      <w:r w:rsidRPr="00A83679">
        <w:rPr>
          <w:lang w:val="en-GB"/>
        </w:rPr>
        <w:t xml:space="preserve"> shortage. </w:t>
      </w:r>
    </w:p>
    <w:p w14:paraId="60546E5C" w14:textId="5E050DA2" w:rsidR="00A83679" w:rsidRDefault="00A83679" w:rsidP="00A83679">
      <w:pPr>
        <w:pStyle w:val="3-BodyText"/>
        <w:rPr>
          <w:bCs/>
          <w:lang w:val="en-GB"/>
        </w:rPr>
      </w:pPr>
      <w:r w:rsidRPr="00A83679">
        <w:rPr>
          <w:bCs/>
          <w:lang w:val="en-GB"/>
        </w:rPr>
        <w:t xml:space="preserve">The PBAC considered that there is a clinical need to maintain supply of </w:t>
      </w:r>
      <w:proofErr w:type="spellStart"/>
      <w:r w:rsidR="00CB1E23">
        <w:rPr>
          <w:bCs/>
          <w:lang w:val="en-GB"/>
        </w:rPr>
        <w:t>semaglutide</w:t>
      </w:r>
      <w:proofErr w:type="spellEnd"/>
      <w:r w:rsidR="00CB1E23">
        <w:rPr>
          <w:bCs/>
          <w:lang w:val="en-GB"/>
        </w:rPr>
        <w:t xml:space="preserve"> </w:t>
      </w:r>
      <w:r w:rsidRPr="00A83679">
        <w:rPr>
          <w:bCs/>
          <w:lang w:val="en-GB"/>
        </w:rPr>
        <w:t>on the PBS. The PBAC considered that the temporary listing should apply for the duration of the subsection 19</w:t>
      </w:r>
      <w:proofErr w:type="gramStart"/>
      <w:r w:rsidRPr="00A83679">
        <w:rPr>
          <w:bCs/>
          <w:lang w:val="en-GB"/>
        </w:rPr>
        <w:t>A(</w:t>
      </w:r>
      <w:proofErr w:type="gramEnd"/>
      <w:r w:rsidRPr="00A83679">
        <w:rPr>
          <w:bCs/>
          <w:lang w:val="en-GB"/>
        </w:rPr>
        <w:t xml:space="preserve">1) approval. </w:t>
      </w:r>
    </w:p>
    <w:p w14:paraId="0D841031" w14:textId="652746FB" w:rsidR="00AB2F30" w:rsidRDefault="00E51C12" w:rsidP="00A83679">
      <w:pPr>
        <w:pStyle w:val="3-BodyText"/>
        <w:rPr>
          <w:bCs/>
          <w:lang w:val="en-GB"/>
        </w:rPr>
      </w:pPr>
      <w:r>
        <w:rPr>
          <w:bCs/>
          <w:lang w:val="en-GB"/>
        </w:rPr>
        <w:t>T</w:t>
      </w:r>
      <w:r w:rsidR="00CB1E23">
        <w:rPr>
          <w:bCs/>
          <w:lang w:val="en-GB"/>
        </w:rPr>
        <w:t xml:space="preserve">he PBAC </w:t>
      </w:r>
      <w:r>
        <w:rPr>
          <w:bCs/>
          <w:lang w:val="en-GB"/>
        </w:rPr>
        <w:t>noted</w:t>
      </w:r>
      <w:r w:rsidR="00CB1E23">
        <w:rPr>
          <w:bCs/>
          <w:lang w:val="en-GB"/>
        </w:rPr>
        <w:t xml:space="preserve"> </w:t>
      </w:r>
      <w:r w:rsidR="00012004">
        <w:rPr>
          <w:bCs/>
          <w:lang w:val="en-GB"/>
        </w:rPr>
        <w:t xml:space="preserve">reports that the </w:t>
      </w:r>
      <w:r w:rsidR="00CB1E23">
        <w:rPr>
          <w:bCs/>
          <w:lang w:val="en-GB"/>
        </w:rPr>
        <w:t>increase in consumer demand</w:t>
      </w:r>
      <w:r>
        <w:rPr>
          <w:bCs/>
          <w:lang w:val="en-GB"/>
        </w:rPr>
        <w:t xml:space="preserve"> for </w:t>
      </w:r>
      <w:proofErr w:type="spellStart"/>
      <w:r>
        <w:rPr>
          <w:bCs/>
          <w:lang w:val="en-GB"/>
        </w:rPr>
        <w:t>semaglutide</w:t>
      </w:r>
      <w:proofErr w:type="spellEnd"/>
      <w:r w:rsidR="00CB1E23">
        <w:rPr>
          <w:bCs/>
          <w:lang w:val="en-GB"/>
        </w:rPr>
        <w:t xml:space="preserve"> </w:t>
      </w:r>
      <w:r w:rsidR="00AB2F30">
        <w:rPr>
          <w:bCs/>
          <w:lang w:val="en-GB"/>
        </w:rPr>
        <w:t>has been</w:t>
      </w:r>
      <w:r w:rsidR="00CB1E23">
        <w:rPr>
          <w:bCs/>
          <w:lang w:val="en-GB"/>
        </w:rPr>
        <w:t xml:space="preserve"> drive</w:t>
      </w:r>
      <w:r>
        <w:rPr>
          <w:bCs/>
          <w:lang w:val="en-GB"/>
        </w:rPr>
        <w:t>n</w:t>
      </w:r>
      <w:r w:rsidR="00CB1E23">
        <w:rPr>
          <w:bCs/>
          <w:lang w:val="en-GB"/>
        </w:rPr>
        <w:t xml:space="preserve"> by off-label prescribing for obesity management</w:t>
      </w:r>
      <w:r w:rsidR="00300B26">
        <w:rPr>
          <w:bCs/>
          <w:lang w:val="en-GB"/>
        </w:rPr>
        <w:t xml:space="preserve"> and</w:t>
      </w:r>
      <w:r w:rsidR="00AB2F30">
        <w:rPr>
          <w:bCs/>
          <w:lang w:val="en-GB"/>
        </w:rPr>
        <w:t xml:space="preserve"> th</w:t>
      </w:r>
      <w:r w:rsidR="0062662E">
        <w:rPr>
          <w:bCs/>
          <w:lang w:val="en-GB"/>
        </w:rPr>
        <w:t>is has resulted in</w:t>
      </w:r>
      <w:r w:rsidR="0062662E" w:rsidRPr="0062662E">
        <w:rPr>
          <w:bCs/>
          <w:lang w:val="en-GB"/>
        </w:rPr>
        <w:t xml:space="preserve"> the current shortages</w:t>
      </w:r>
      <w:r w:rsidR="00AB2F30">
        <w:rPr>
          <w:bCs/>
          <w:lang w:val="en-GB"/>
        </w:rPr>
        <w:t xml:space="preserve">. </w:t>
      </w:r>
    </w:p>
    <w:p w14:paraId="5B82F5A4" w14:textId="29937702" w:rsidR="00300B26" w:rsidRDefault="00E51C12" w:rsidP="00A83679">
      <w:pPr>
        <w:pStyle w:val="3-BodyText"/>
        <w:rPr>
          <w:bCs/>
          <w:lang w:val="en-GB"/>
        </w:rPr>
      </w:pPr>
      <w:r w:rsidRPr="00E51C12">
        <w:rPr>
          <w:bCs/>
          <w:lang w:val="en-GB"/>
        </w:rPr>
        <w:t xml:space="preserve">The PBAC did not </w:t>
      </w:r>
      <w:r w:rsidR="00300B26">
        <w:rPr>
          <w:bCs/>
          <w:lang w:val="en-GB"/>
        </w:rPr>
        <w:t>support</w:t>
      </w:r>
      <w:r w:rsidRPr="00E51C12">
        <w:rPr>
          <w:bCs/>
          <w:lang w:val="en-GB"/>
        </w:rPr>
        <w:t xml:space="preserve"> listing at the requested price</w:t>
      </w:r>
      <w:r w:rsidRPr="00E51C12">
        <w:t xml:space="preserve"> </w:t>
      </w:r>
      <w:r>
        <w:t xml:space="preserve">as it </w:t>
      </w:r>
      <w:r w:rsidRPr="00E51C12">
        <w:rPr>
          <w:bCs/>
          <w:lang w:val="en-GB"/>
        </w:rPr>
        <w:t>considered that the s19A listing should</w:t>
      </w:r>
      <w:r w:rsidR="002B25B3">
        <w:rPr>
          <w:bCs/>
          <w:lang w:val="en-GB"/>
        </w:rPr>
        <w:t xml:space="preserve"> not</w:t>
      </w:r>
      <w:r w:rsidRPr="00E51C12">
        <w:rPr>
          <w:bCs/>
          <w:lang w:val="en-GB"/>
        </w:rPr>
        <w:t xml:space="preserve"> come at</w:t>
      </w:r>
      <w:r w:rsidR="005361B6">
        <w:rPr>
          <w:bCs/>
          <w:lang w:val="en-GB"/>
        </w:rPr>
        <w:t xml:space="preserve"> an increased</w:t>
      </w:r>
      <w:r w:rsidRPr="00E51C12">
        <w:rPr>
          <w:bCs/>
          <w:lang w:val="en-GB"/>
        </w:rPr>
        <w:t xml:space="preserve"> cost. </w:t>
      </w:r>
    </w:p>
    <w:p w14:paraId="02E8E48F" w14:textId="57674F82" w:rsidR="00CB1E23" w:rsidRPr="00A83679" w:rsidRDefault="00300B26" w:rsidP="00A83679">
      <w:pPr>
        <w:pStyle w:val="3-BodyText"/>
        <w:rPr>
          <w:bCs/>
          <w:lang w:val="en-GB"/>
        </w:rPr>
      </w:pPr>
      <w:r>
        <w:rPr>
          <w:bCs/>
          <w:lang w:val="en-GB"/>
        </w:rPr>
        <w:t xml:space="preserve">The PBAC </w:t>
      </w:r>
      <w:r w:rsidR="00E51C12">
        <w:rPr>
          <w:bCs/>
          <w:lang w:val="en-GB"/>
        </w:rPr>
        <w:t xml:space="preserve">noted </w:t>
      </w:r>
      <w:r>
        <w:rPr>
          <w:bCs/>
          <w:lang w:val="en-GB"/>
        </w:rPr>
        <w:t xml:space="preserve">that </w:t>
      </w:r>
      <w:r w:rsidR="00590E19">
        <w:rPr>
          <w:bCs/>
          <w:lang w:val="en-GB"/>
        </w:rPr>
        <w:t xml:space="preserve">while the s19A sponsor is not Novo Nordisk, </w:t>
      </w:r>
      <w:r>
        <w:rPr>
          <w:bCs/>
          <w:lang w:val="en-GB"/>
        </w:rPr>
        <w:t xml:space="preserve">the s19A product </w:t>
      </w:r>
      <w:r w:rsidR="00AB2F30">
        <w:rPr>
          <w:bCs/>
          <w:lang w:val="en-GB"/>
        </w:rPr>
        <w:t>would be</w:t>
      </w:r>
      <w:r>
        <w:rPr>
          <w:bCs/>
          <w:lang w:val="en-GB"/>
        </w:rPr>
        <w:t xml:space="preserve"> sourced from </w:t>
      </w:r>
      <w:r w:rsidR="00CC7CA8">
        <w:rPr>
          <w:bCs/>
          <w:lang w:val="en-GB"/>
        </w:rPr>
        <w:t>the same manufacturer</w:t>
      </w:r>
      <w:r w:rsidR="00AA3F29">
        <w:rPr>
          <w:bCs/>
          <w:lang w:val="en-GB"/>
        </w:rPr>
        <w:t xml:space="preserve"> </w:t>
      </w:r>
      <w:r w:rsidR="0062662E">
        <w:rPr>
          <w:bCs/>
          <w:lang w:val="en-GB"/>
        </w:rPr>
        <w:t xml:space="preserve">and that </w:t>
      </w:r>
      <w:r w:rsidR="00E51C12">
        <w:rPr>
          <w:bCs/>
          <w:lang w:val="en-GB"/>
        </w:rPr>
        <w:t>the</w:t>
      </w:r>
      <w:r>
        <w:rPr>
          <w:bCs/>
          <w:lang w:val="en-GB"/>
        </w:rPr>
        <w:t xml:space="preserve"> requested price did not appear well justified from a cost of goods perspective.</w:t>
      </w:r>
      <w:r w:rsidR="00AB2F30">
        <w:rPr>
          <w:bCs/>
          <w:lang w:val="en-GB"/>
        </w:rPr>
        <w:t xml:space="preserve"> </w:t>
      </w:r>
      <w:r>
        <w:rPr>
          <w:bCs/>
          <w:lang w:val="en-GB"/>
        </w:rPr>
        <w:t xml:space="preserve"> </w:t>
      </w:r>
      <w:r w:rsidR="00E51C12">
        <w:rPr>
          <w:bCs/>
          <w:lang w:val="en-GB"/>
        </w:rPr>
        <w:t xml:space="preserve"> </w:t>
      </w:r>
    </w:p>
    <w:p w14:paraId="221A990A" w14:textId="5016C854" w:rsidR="00A83679" w:rsidRPr="00CB1E23" w:rsidRDefault="00A83679" w:rsidP="00CB1E23">
      <w:pPr>
        <w:pStyle w:val="3-BodyText"/>
        <w:rPr>
          <w:bCs/>
          <w:lang w:val="en-GB"/>
        </w:rPr>
      </w:pPr>
      <w:r w:rsidRPr="00A83679">
        <w:rPr>
          <w:lang w:val="en-GB"/>
        </w:rPr>
        <w:t>The PBAC advised under section 101(4AACD) of the Act that th</w:t>
      </w:r>
      <w:r w:rsidR="00CB1E23">
        <w:rPr>
          <w:lang w:val="en-GB"/>
        </w:rPr>
        <w:t>e</w:t>
      </w:r>
      <w:r w:rsidRPr="00A83679">
        <w:rPr>
          <w:lang w:val="en-GB"/>
        </w:rPr>
        <w:t xml:space="preserve"> temporary listing </w:t>
      </w:r>
      <w:r w:rsidR="002B25B3">
        <w:rPr>
          <w:lang w:val="en-GB"/>
        </w:rPr>
        <w:t xml:space="preserve">for </w:t>
      </w:r>
      <w:r w:rsidR="00CB1E23" w:rsidRPr="00CB1E23">
        <w:rPr>
          <w:bCs/>
          <w:lang w:val="en-GB"/>
        </w:rPr>
        <w:t>Ozempic</w:t>
      </w:r>
      <w:r w:rsidR="00CB1E23">
        <w:rPr>
          <w:bCs/>
          <w:lang w:val="en-GB"/>
        </w:rPr>
        <w:t xml:space="preserve">, </w:t>
      </w:r>
      <w:proofErr w:type="spellStart"/>
      <w:r w:rsidR="00CB1E23">
        <w:rPr>
          <w:bCs/>
          <w:lang w:val="en-GB"/>
        </w:rPr>
        <w:t>semaglutide</w:t>
      </w:r>
      <w:proofErr w:type="spellEnd"/>
      <w:r w:rsidR="00CB1E23" w:rsidRPr="00CB1E23">
        <w:rPr>
          <w:bCs/>
          <w:lang w:val="en-GB"/>
        </w:rPr>
        <w:t xml:space="preserve"> 0.25 mg solution for injection in pre-filled pen</w:t>
      </w:r>
      <w:r w:rsidR="00CB1E23">
        <w:rPr>
          <w:bCs/>
          <w:lang w:val="en-GB"/>
        </w:rPr>
        <w:t xml:space="preserve"> </w:t>
      </w:r>
      <w:r w:rsidR="00CB1E23" w:rsidRPr="00CB1E23">
        <w:rPr>
          <w:bCs/>
          <w:lang w:val="en-GB"/>
        </w:rPr>
        <w:t xml:space="preserve">(UK) </w:t>
      </w:r>
      <w:r w:rsidRPr="00CB1E23">
        <w:rPr>
          <w:lang w:val="en-GB"/>
        </w:rPr>
        <w:t xml:space="preserve">should be treated as equivalent to the currently listed brand </w:t>
      </w:r>
      <w:r w:rsidR="00CB1E23">
        <w:rPr>
          <w:lang w:val="en-GB"/>
        </w:rPr>
        <w:t xml:space="preserve">of </w:t>
      </w:r>
      <w:proofErr w:type="spellStart"/>
      <w:r w:rsidR="00CB1E23">
        <w:rPr>
          <w:lang w:val="en-GB"/>
        </w:rPr>
        <w:t>s</w:t>
      </w:r>
      <w:r w:rsidR="00CB1E23" w:rsidRPr="00CB1E23">
        <w:rPr>
          <w:lang w:val="en-GB"/>
        </w:rPr>
        <w:t>emaglutide</w:t>
      </w:r>
      <w:proofErr w:type="spellEnd"/>
      <w:r w:rsidR="00CB1E23" w:rsidRPr="00CB1E23">
        <w:rPr>
          <w:lang w:val="en-GB"/>
        </w:rPr>
        <w:t xml:space="preserve">, </w:t>
      </w:r>
      <w:r w:rsidR="00CB1E23">
        <w:rPr>
          <w:lang w:val="en-GB"/>
        </w:rPr>
        <w:t>s</w:t>
      </w:r>
      <w:r w:rsidR="00CB1E23" w:rsidRPr="00CB1E23">
        <w:rPr>
          <w:lang w:val="en-GB"/>
        </w:rPr>
        <w:t xml:space="preserve">olution for injection 2 mg in 1.5 mL pre-filled pen </w:t>
      </w:r>
      <w:r w:rsidRPr="00CB1E23">
        <w:rPr>
          <w:lang w:val="en-GB"/>
        </w:rPr>
        <w:t xml:space="preserve">for the purpose of substitution at the pharmacy level. </w:t>
      </w:r>
    </w:p>
    <w:p w14:paraId="5BFE6EE7" w14:textId="5D7B434D" w:rsidR="00CB1E23" w:rsidRPr="00CB1E23" w:rsidRDefault="00CB1E23" w:rsidP="005931EB">
      <w:pPr>
        <w:pStyle w:val="3-BodyText"/>
        <w:spacing w:after="240"/>
        <w:rPr>
          <w:bCs/>
          <w:lang w:val="en-GB"/>
        </w:rPr>
      </w:pPr>
      <w:r w:rsidRPr="00A83679">
        <w:rPr>
          <w:lang w:val="en-GB"/>
        </w:rPr>
        <w:t>The PBAC advised under section 101(4AACD) of the Act that th</w:t>
      </w:r>
      <w:r>
        <w:rPr>
          <w:lang w:val="en-GB"/>
        </w:rPr>
        <w:t>e</w:t>
      </w:r>
      <w:r w:rsidRPr="00A83679">
        <w:rPr>
          <w:lang w:val="en-GB"/>
        </w:rPr>
        <w:t xml:space="preserve"> temporary listing </w:t>
      </w:r>
      <w:r w:rsidR="002B25B3">
        <w:rPr>
          <w:lang w:val="en-GB"/>
        </w:rPr>
        <w:t xml:space="preserve">for </w:t>
      </w:r>
      <w:r w:rsidRPr="00CB1E23">
        <w:rPr>
          <w:bCs/>
          <w:lang w:val="en-GB"/>
        </w:rPr>
        <w:t>Ozempic 1 mg solution for injection pre-filled pen (UK)</w:t>
      </w:r>
      <w:r>
        <w:rPr>
          <w:bCs/>
          <w:lang w:val="en-GB"/>
        </w:rPr>
        <w:t xml:space="preserve"> </w:t>
      </w:r>
      <w:r w:rsidRPr="00CB1E23">
        <w:rPr>
          <w:lang w:val="en-GB"/>
        </w:rPr>
        <w:t xml:space="preserve">should be treated as equivalent to the currently listed brand </w:t>
      </w:r>
      <w:r>
        <w:rPr>
          <w:lang w:val="en-GB"/>
        </w:rPr>
        <w:t xml:space="preserve">of </w:t>
      </w:r>
      <w:proofErr w:type="spellStart"/>
      <w:r>
        <w:rPr>
          <w:lang w:val="en-GB"/>
        </w:rPr>
        <w:t>s</w:t>
      </w:r>
      <w:r w:rsidRPr="00CB1E23">
        <w:rPr>
          <w:lang w:val="en-GB"/>
        </w:rPr>
        <w:t>emaglutide</w:t>
      </w:r>
      <w:proofErr w:type="spellEnd"/>
      <w:r w:rsidRPr="00CB1E23">
        <w:rPr>
          <w:lang w:val="en-GB"/>
        </w:rPr>
        <w:t xml:space="preserve">, </w:t>
      </w:r>
      <w:r w:rsidR="002B25B3">
        <w:rPr>
          <w:lang w:val="en-GB"/>
        </w:rPr>
        <w:t>s</w:t>
      </w:r>
      <w:r w:rsidRPr="00CB1E23">
        <w:rPr>
          <w:lang w:val="en-GB"/>
        </w:rPr>
        <w:t>olution for injection 4 mg in 3 mL pre-filled pen (injection)</w:t>
      </w:r>
      <w:r>
        <w:rPr>
          <w:lang w:val="en-GB"/>
        </w:rPr>
        <w:t xml:space="preserve"> </w:t>
      </w:r>
      <w:r w:rsidRPr="00CB1E23">
        <w:rPr>
          <w:lang w:val="en-GB"/>
        </w:rPr>
        <w:t xml:space="preserve">for the purpose of substitution at the pharmacy level. </w:t>
      </w:r>
    </w:p>
    <w:p w14:paraId="7D1EE664" w14:textId="10059945" w:rsidR="007942E9" w:rsidRDefault="00C33F3B">
      <w:pPr>
        <w:rPr>
          <w:b/>
          <w:bCs/>
        </w:rPr>
      </w:pPr>
      <w:r>
        <w:rPr>
          <w:b/>
          <w:bCs/>
        </w:rPr>
        <w:lastRenderedPageBreak/>
        <w:t>Outcome:</w:t>
      </w:r>
    </w:p>
    <w:p w14:paraId="41D598B9" w14:textId="38203DF7" w:rsidR="00C33F3B" w:rsidRDefault="00C33F3B">
      <w:r>
        <w:t>Recommended</w:t>
      </w:r>
    </w:p>
    <w:p w14:paraId="172462B9" w14:textId="56A33F3A" w:rsidR="00C33F3B" w:rsidRDefault="00C33F3B" w:rsidP="00C33F3B">
      <w:pPr>
        <w:pStyle w:val="2-SectionHeading"/>
        <w:rPr>
          <w:bCs/>
          <w:lang w:val="en-GB"/>
        </w:rPr>
      </w:pPr>
      <w:bookmarkStart w:id="6" w:name="_Hlk118812769"/>
      <w:r w:rsidRPr="00C33F3B">
        <w:rPr>
          <w:rFonts w:eastAsiaTheme="majorEastAsia"/>
        </w:rPr>
        <w:t>Context</w:t>
      </w:r>
      <w:r w:rsidRPr="00C07617">
        <w:t xml:space="preserve"> for Decision</w:t>
      </w:r>
    </w:p>
    <w:p w14:paraId="69EC082E" w14:textId="77777777" w:rsidR="00C33F3B" w:rsidRPr="007129F2" w:rsidRDefault="00C33F3B" w:rsidP="00C33F3B">
      <w:pPr>
        <w:pStyle w:val="3-BodyText"/>
        <w:numPr>
          <w:ilvl w:val="0"/>
          <w:numId w:val="0"/>
        </w:numPr>
        <w:ind w:left="720"/>
        <w:rPr>
          <w:bCs/>
          <w:lang w:val="en-GB"/>
        </w:rPr>
      </w:pPr>
      <w:r w:rsidRPr="007129F2">
        <w:rPr>
          <w:bCs/>
          <w:lang w:val="en-GB"/>
        </w:rPr>
        <w:t xml:space="preserve">The </w:t>
      </w:r>
      <w:r w:rsidRPr="00C33F3B">
        <w:rPr>
          <w:lang w:val="en-GB"/>
        </w:rPr>
        <w:t>PBAC</w:t>
      </w:r>
      <w:r w:rsidRPr="007129F2">
        <w:rPr>
          <w:bCs/>
          <w:lang w:val="en-GB"/>
        </w:rPr>
        <w:t xml:space="preserve">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F02B6A9" w14:textId="7D7724CC" w:rsidR="00C33F3B" w:rsidRPr="00C07617" w:rsidRDefault="00C33F3B" w:rsidP="00C33F3B">
      <w:pPr>
        <w:pStyle w:val="2-SectionHeading"/>
        <w:rPr>
          <w:b w:val="0"/>
        </w:rPr>
      </w:pPr>
      <w:bookmarkStart w:id="7" w:name="_Hlk119595772"/>
      <w:r w:rsidRPr="00C33F3B">
        <w:rPr>
          <w:rFonts w:eastAsiaTheme="majorEastAsia"/>
        </w:rPr>
        <w:t>Sponsor’s</w:t>
      </w:r>
      <w:r>
        <w:t xml:space="preserve"> Comment</w:t>
      </w:r>
    </w:p>
    <w:p w14:paraId="5552E92A" w14:textId="77777777" w:rsidR="00681B21" w:rsidRPr="00681B21" w:rsidRDefault="00681B21" w:rsidP="00AF7C17">
      <w:pPr>
        <w:pStyle w:val="3-BodyText"/>
        <w:numPr>
          <w:ilvl w:val="0"/>
          <w:numId w:val="0"/>
        </w:numPr>
        <w:ind w:left="720"/>
        <w:rPr>
          <w:bCs/>
          <w:lang w:val="en-GB"/>
        </w:rPr>
      </w:pPr>
      <w:r w:rsidRPr="00681B21">
        <w:rPr>
          <w:bCs/>
          <w:lang w:val="en-GB"/>
        </w:rPr>
        <w:t>Since the worldwide shortage of diabetes medicine, Ozempic® (</w:t>
      </w:r>
      <w:proofErr w:type="spellStart"/>
      <w:r w:rsidRPr="00681B21">
        <w:rPr>
          <w:bCs/>
          <w:lang w:val="en-GB"/>
        </w:rPr>
        <w:t>semaglutide</w:t>
      </w:r>
      <w:proofErr w:type="spellEnd"/>
      <w:r w:rsidRPr="00681B21">
        <w:rPr>
          <w:bCs/>
          <w:lang w:val="en-GB"/>
        </w:rPr>
        <w:t xml:space="preserve">) started earlier this year, Medsurge sought a section 19a (S19A) approval from the Therapeutics Goods Administration (TGA) to source </w:t>
      </w:r>
      <w:proofErr w:type="gramStart"/>
      <w:r w:rsidRPr="00681B21">
        <w:rPr>
          <w:bCs/>
          <w:lang w:val="en-GB"/>
        </w:rPr>
        <w:t>overseas-registered</w:t>
      </w:r>
      <w:proofErr w:type="gramEnd"/>
      <w:r w:rsidRPr="00681B21">
        <w:rPr>
          <w:bCs/>
          <w:lang w:val="en-GB"/>
        </w:rPr>
        <w:t xml:space="preserve"> </w:t>
      </w:r>
      <w:proofErr w:type="spellStart"/>
      <w:r w:rsidRPr="00681B21">
        <w:rPr>
          <w:bCs/>
          <w:lang w:val="en-GB"/>
        </w:rPr>
        <w:t>semaglutide</w:t>
      </w:r>
      <w:proofErr w:type="spellEnd"/>
      <w:r w:rsidRPr="00681B21">
        <w:rPr>
          <w:bCs/>
          <w:lang w:val="en-GB"/>
        </w:rPr>
        <w:t xml:space="preserve"> products. Medsurge was granted a temporary S19A approval and has worked diligently to fill a critical need for patients with type 2 diabetes. </w:t>
      </w:r>
    </w:p>
    <w:p w14:paraId="68C7E3CC" w14:textId="77777777" w:rsidR="00681B21" w:rsidRPr="00681B21" w:rsidRDefault="00681B21" w:rsidP="00AF7C17">
      <w:pPr>
        <w:pStyle w:val="3-BodyText"/>
        <w:numPr>
          <w:ilvl w:val="0"/>
          <w:numId w:val="0"/>
        </w:numPr>
        <w:ind w:left="720"/>
        <w:rPr>
          <w:bCs/>
          <w:lang w:val="en-GB"/>
        </w:rPr>
      </w:pPr>
      <w:r w:rsidRPr="00681B21">
        <w:rPr>
          <w:bCs/>
          <w:lang w:val="en-GB"/>
        </w:rPr>
        <w:t xml:space="preserve">Australian local supply of OZEMPIC® 1 mg </w:t>
      </w:r>
      <w:proofErr w:type="spellStart"/>
      <w:r w:rsidRPr="00681B21">
        <w:rPr>
          <w:bCs/>
          <w:lang w:val="en-GB"/>
        </w:rPr>
        <w:t>semaglutide</w:t>
      </w:r>
      <w:proofErr w:type="spellEnd"/>
      <w:r w:rsidRPr="00681B21">
        <w:rPr>
          <w:bCs/>
          <w:lang w:val="en-GB"/>
        </w:rPr>
        <w:t xml:space="preserve"> (</w:t>
      </w:r>
      <w:proofErr w:type="spellStart"/>
      <w:r w:rsidRPr="00681B21">
        <w:rPr>
          <w:bCs/>
          <w:lang w:val="en-GB"/>
        </w:rPr>
        <w:t>rys</w:t>
      </w:r>
      <w:proofErr w:type="spellEnd"/>
      <w:r w:rsidRPr="00681B21">
        <w:rPr>
          <w:bCs/>
          <w:lang w:val="en-GB"/>
        </w:rPr>
        <w:t xml:space="preserve">) 1.34 mg/mL solution for injection pre-filled pen AUST R: 315107, and OZEMPIC® 0.25/0.5 mg </w:t>
      </w:r>
      <w:proofErr w:type="spellStart"/>
      <w:r w:rsidRPr="00681B21">
        <w:rPr>
          <w:bCs/>
          <w:lang w:val="en-GB"/>
        </w:rPr>
        <w:t>semaglutide</w:t>
      </w:r>
      <w:proofErr w:type="spellEnd"/>
      <w:r w:rsidRPr="00681B21">
        <w:rPr>
          <w:bCs/>
          <w:lang w:val="en-GB"/>
        </w:rPr>
        <w:t xml:space="preserve"> (</w:t>
      </w:r>
      <w:proofErr w:type="spellStart"/>
      <w:r w:rsidRPr="00681B21">
        <w:rPr>
          <w:bCs/>
          <w:lang w:val="en-GB"/>
        </w:rPr>
        <w:t>rys</w:t>
      </w:r>
      <w:proofErr w:type="spellEnd"/>
      <w:r w:rsidRPr="00681B21">
        <w:rPr>
          <w:bCs/>
          <w:lang w:val="en-GB"/>
        </w:rPr>
        <w:t>) 1.34 mg/mL solution for injection pre-filled pen AUST R: 308324 supplied by Novo Nordisk is subsidised on the Pharmaceutical Benefits Scheme (PBS) for treatment of type 2 diabetes.</w:t>
      </w:r>
    </w:p>
    <w:p w14:paraId="577AE665" w14:textId="148C71AB" w:rsidR="00681B21" w:rsidRPr="00681B21" w:rsidRDefault="00681B21" w:rsidP="00AF7C17">
      <w:pPr>
        <w:pStyle w:val="3-BodyText"/>
        <w:numPr>
          <w:ilvl w:val="0"/>
          <w:numId w:val="0"/>
        </w:numPr>
        <w:ind w:left="720"/>
        <w:rPr>
          <w:bCs/>
          <w:lang w:val="en-GB"/>
        </w:rPr>
      </w:pPr>
      <w:r w:rsidRPr="00681B21">
        <w:rPr>
          <w:bCs/>
          <w:lang w:val="en-GB"/>
        </w:rPr>
        <w:t xml:space="preserve">Sourcing overseas medicines under an S19A requires the local sponsor to apply to the Pharmaceutical Benefits Advisory Committee (PBAC) to approve a temporary variation in cost to the original Pharmaceutical Benefits Scheme pricing. </w:t>
      </w:r>
      <w:r w:rsidR="0072209E">
        <w:rPr>
          <w:bCs/>
          <w:lang w:val="en-GB"/>
        </w:rPr>
        <w:t xml:space="preserve">Unfortunately, </w:t>
      </w:r>
      <w:r w:rsidRPr="00681B21">
        <w:rPr>
          <w:bCs/>
          <w:lang w:val="en-GB"/>
        </w:rPr>
        <w:t xml:space="preserve">PBAC </w:t>
      </w:r>
      <w:r>
        <w:rPr>
          <w:bCs/>
          <w:lang w:val="en-GB"/>
        </w:rPr>
        <w:t xml:space="preserve">recommended that PBS listing be </w:t>
      </w:r>
      <w:r w:rsidR="0072209E">
        <w:rPr>
          <w:bCs/>
          <w:lang w:val="en-GB"/>
        </w:rPr>
        <w:t>granted</w:t>
      </w:r>
      <w:r>
        <w:rPr>
          <w:bCs/>
          <w:lang w:val="en-GB"/>
        </w:rPr>
        <w:t xml:space="preserve"> at the current local </w:t>
      </w:r>
      <w:r w:rsidR="0072209E">
        <w:rPr>
          <w:bCs/>
          <w:lang w:val="en-GB"/>
        </w:rPr>
        <w:t xml:space="preserve">supply </w:t>
      </w:r>
      <w:r>
        <w:rPr>
          <w:bCs/>
          <w:lang w:val="en-GB"/>
        </w:rPr>
        <w:t>price</w:t>
      </w:r>
      <w:r w:rsidRPr="00681B21">
        <w:rPr>
          <w:bCs/>
          <w:lang w:val="en-GB"/>
        </w:rPr>
        <w:t>.</w:t>
      </w:r>
    </w:p>
    <w:p w14:paraId="20E59001" w14:textId="70D755AC" w:rsidR="00681B21" w:rsidRPr="00681B21" w:rsidRDefault="00681B21" w:rsidP="00AF7C17">
      <w:pPr>
        <w:pStyle w:val="3-BodyText"/>
        <w:numPr>
          <w:ilvl w:val="0"/>
          <w:numId w:val="0"/>
        </w:numPr>
        <w:ind w:left="720"/>
        <w:rPr>
          <w:bCs/>
          <w:lang w:val="en-GB"/>
        </w:rPr>
      </w:pPr>
      <w:proofErr w:type="spellStart"/>
      <w:r w:rsidRPr="00681B21">
        <w:rPr>
          <w:bCs/>
          <w:lang w:val="en-GB"/>
        </w:rPr>
        <w:t>Medsurge</w:t>
      </w:r>
      <w:proofErr w:type="spellEnd"/>
      <w:r w:rsidRPr="00681B21">
        <w:rPr>
          <w:bCs/>
          <w:lang w:val="en-GB"/>
        </w:rPr>
        <w:t xml:space="preserve"> source</w:t>
      </w:r>
      <w:r>
        <w:rPr>
          <w:bCs/>
          <w:lang w:val="en-GB"/>
        </w:rPr>
        <w:t>s</w:t>
      </w:r>
      <w:r w:rsidRPr="00681B21">
        <w:rPr>
          <w:bCs/>
          <w:lang w:val="en-GB"/>
        </w:rPr>
        <w:t xml:space="preserve"> the </w:t>
      </w:r>
      <w:proofErr w:type="spellStart"/>
      <w:r w:rsidRPr="00681B21">
        <w:rPr>
          <w:bCs/>
          <w:lang w:val="en-GB"/>
        </w:rPr>
        <w:t>semaglutide</w:t>
      </w:r>
      <w:proofErr w:type="spellEnd"/>
      <w:r w:rsidRPr="00681B21">
        <w:rPr>
          <w:bCs/>
          <w:lang w:val="en-GB"/>
        </w:rPr>
        <w:t xml:space="preserve"> products from </w:t>
      </w:r>
      <w:r w:rsidR="0072209E">
        <w:rPr>
          <w:bCs/>
          <w:lang w:val="en-GB"/>
        </w:rPr>
        <w:t xml:space="preserve">various </w:t>
      </w:r>
      <w:r w:rsidRPr="00681B21">
        <w:rPr>
          <w:bCs/>
          <w:lang w:val="en-GB"/>
        </w:rPr>
        <w:t xml:space="preserve">overseas </w:t>
      </w:r>
      <w:r w:rsidR="0072209E">
        <w:rPr>
          <w:bCs/>
          <w:lang w:val="en-GB"/>
        </w:rPr>
        <w:t>supply partners</w:t>
      </w:r>
      <w:r>
        <w:rPr>
          <w:bCs/>
          <w:lang w:val="en-GB"/>
        </w:rPr>
        <w:t>,</w:t>
      </w:r>
      <w:r w:rsidRPr="00681B21">
        <w:rPr>
          <w:bCs/>
          <w:lang w:val="en-GB"/>
        </w:rPr>
        <w:t xml:space="preserve"> not directly from the manufacturer</w:t>
      </w:r>
      <w:r w:rsidR="0072209E">
        <w:rPr>
          <w:bCs/>
          <w:lang w:val="en-GB"/>
        </w:rPr>
        <w:t xml:space="preserve">, which </w:t>
      </w:r>
      <w:r w:rsidRPr="00681B21">
        <w:rPr>
          <w:bCs/>
          <w:lang w:val="en-GB"/>
        </w:rPr>
        <w:t xml:space="preserve">is considerably more expensive. </w:t>
      </w:r>
      <w:r>
        <w:rPr>
          <w:bCs/>
          <w:lang w:val="en-GB"/>
        </w:rPr>
        <w:t>Medsurge does not have control over the pricing set by the ov</w:t>
      </w:r>
      <w:r w:rsidR="0072209E">
        <w:rPr>
          <w:bCs/>
          <w:lang w:val="en-GB"/>
        </w:rPr>
        <w:t>erseas partners</w:t>
      </w:r>
      <w:r>
        <w:rPr>
          <w:bCs/>
          <w:lang w:val="en-GB"/>
        </w:rPr>
        <w:t xml:space="preserve">. </w:t>
      </w:r>
      <w:r w:rsidRPr="00681B21">
        <w:rPr>
          <w:bCs/>
          <w:lang w:val="en-GB"/>
        </w:rPr>
        <w:t xml:space="preserve">In addition, the rising cost of shipping, air freight, duties, currency conversion and small batch quantities add to the increased expense of sourcing critical medicines </w:t>
      </w:r>
      <w:r>
        <w:rPr>
          <w:bCs/>
          <w:lang w:val="en-GB"/>
        </w:rPr>
        <w:t xml:space="preserve">from </w:t>
      </w:r>
      <w:r w:rsidRPr="00681B21">
        <w:rPr>
          <w:bCs/>
          <w:lang w:val="en-GB"/>
        </w:rPr>
        <w:t>overseas</w:t>
      </w:r>
      <w:r>
        <w:rPr>
          <w:bCs/>
          <w:lang w:val="en-GB"/>
        </w:rPr>
        <w:t xml:space="preserve"> wholesalers</w:t>
      </w:r>
      <w:r w:rsidRPr="00681B21">
        <w:rPr>
          <w:bCs/>
          <w:lang w:val="en-GB"/>
        </w:rPr>
        <w:t xml:space="preserve">. Therefore, Medsurge </w:t>
      </w:r>
      <w:r>
        <w:rPr>
          <w:bCs/>
          <w:lang w:val="en-GB"/>
        </w:rPr>
        <w:t>are unable to</w:t>
      </w:r>
      <w:r w:rsidRPr="00681B21">
        <w:rPr>
          <w:bCs/>
          <w:lang w:val="en-GB"/>
        </w:rPr>
        <w:t xml:space="preserve"> supply overseas products at the expected local market prices. </w:t>
      </w:r>
    </w:p>
    <w:p w14:paraId="13803814" w14:textId="77777777" w:rsidR="00681B21" w:rsidRDefault="00681B21" w:rsidP="0072209E">
      <w:pPr>
        <w:pStyle w:val="3-BodyText"/>
        <w:numPr>
          <w:ilvl w:val="0"/>
          <w:numId w:val="0"/>
        </w:numPr>
        <w:ind w:left="720"/>
        <w:rPr>
          <w:bCs/>
        </w:rPr>
      </w:pPr>
      <w:r w:rsidRPr="00681B21">
        <w:rPr>
          <w:bCs/>
        </w:rPr>
        <w:t>Medsurge understands S19A product listing will not ensure supply of this medicine is directed to patients with the greatest clinical need, however it is no different to the Registered product version. Use of this product is the responsibility of the Prescriber</w:t>
      </w:r>
      <w:r>
        <w:rPr>
          <w:bCs/>
        </w:rPr>
        <w:t>.</w:t>
      </w:r>
    </w:p>
    <w:p w14:paraId="21D22BA4" w14:textId="45DD17A0" w:rsidR="00681B21" w:rsidRPr="00681B21" w:rsidRDefault="00681B21" w:rsidP="00AF7C17">
      <w:pPr>
        <w:pStyle w:val="3-BodyText"/>
        <w:numPr>
          <w:ilvl w:val="0"/>
          <w:numId w:val="0"/>
        </w:numPr>
        <w:ind w:left="720"/>
        <w:rPr>
          <w:bCs/>
          <w:lang w:val="en-GB"/>
        </w:rPr>
      </w:pPr>
      <w:r w:rsidRPr="00681B21">
        <w:rPr>
          <w:bCs/>
          <w:lang w:val="en-GB"/>
        </w:rPr>
        <w:lastRenderedPageBreak/>
        <w:t xml:space="preserve">Medsurge </w:t>
      </w:r>
      <w:r>
        <w:rPr>
          <w:bCs/>
          <w:lang w:val="en-GB"/>
        </w:rPr>
        <w:t xml:space="preserve">continues to engage with </w:t>
      </w:r>
      <w:r w:rsidRPr="00681B21">
        <w:rPr>
          <w:bCs/>
          <w:lang w:val="en-GB"/>
        </w:rPr>
        <w:t>TGA, PBAC and other health professional organisations to find a favourable solution for all</w:t>
      </w:r>
      <w:r>
        <w:rPr>
          <w:bCs/>
          <w:lang w:val="en-GB"/>
        </w:rPr>
        <w:t xml:space="preserve"> stakeholders, whilst still sourcing sufficient S19A supply to fulfil the current demand</w:t>
      </w:r>
      <w:r w:rsidR="0072209E">
        <w:rPr>
          <w:bCs/>
          <w:lang w:val="en-GB"/>
        </w:rPr>
        <w:t xml:space="preserve"> until the shortage is resolved</w:t>
      </w:r>
      <w:r w:rsidRPr="00681B21">
        <w:rPr>
          <w:bCs/>
          <w:lang w:val="en-GB"/>
        </w:rPr>
        <w:t>.</w:t>
      </w:r>
    </w:p>
    <w:p w14:paraId="0C93A4C2" w14:textId="4346A767" w:rsidR="00C33F3B" w:rsidRPr="00AF7C17" w:rsidRDefault="00681B21" w:rsidP="00681B21">
      <w:pPr>
        <w:pStyle w:val="3-BodyText"/>
        <w:numPr>
          <w:ilvl w:val="0"/>
          <w:numId w:val="0"/>
        </w:numPr>
        <w:ind w:left="720"/>
        <w:rPr>
          <w:bCs/>
          <w:lang w:val="en-GB"/>
        </w:rPr>
      </w:pPr>
      <w:r w:rsidRPr="00681B21">
        <w:rPr>
          <w:bCs/>
          <w:lang w:val="en-GB"/>
        </w:rPr>
        <w:t xml:space="preserve">Medsurge acknowledges the importance of </w:t>
      </w:r>
      <w:r w:rsidR="00616881">
        <w:rPr>
          <w:bCs/>
          <w:lang w:val="en-GB"/>
        </w:rPr>
        <w:t xml:space="preserve">access to </w:t>
      </w:r>
      <w:r w:rsidRPr="00681B21">
        <w:rPr>
          <w:bCs/>
          <w:lang w:val="en-GB"/>
        </w:rPr>
        <w:t>Ozempic</w:t>
      </w:r>
      <w:r w:rsidR="00616881" w:rsidRPr="00681B21">
        <w:rPr>
          <w:bCs/>
          <w:lang w:val="en-GB"/>
        </w:rPr>
        <w:t>®</w:t>
      </w:r>
      <w:r w:rsidRPr="00681B21">
        <w:rPr>
          <w:bCs/>
          <w:lang w:val="en-GB"/>
        </w:rPr>
        <w:t xml:space="preserve"> for patients living with diabetes and other chronic health conditions and we are taking this shortage very seriously. </w:t>
      </w:r>
      <w:bookmarkEnd w:id="6"/>
      <w:bookmarkEnd w:id="7"/>
    </w:p>
    <w:sectPr w:rsidR="00C33F3B" w:rsidRPr="00AF7C17" w:rsidSect="00AF7C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1972" w14:textId="77777777" w:rsidR="00BB6535" w:rsidRDefault="00BB6535" w:rsidP="00562462">
      <w:r>
        <w:separator/>
      </w:r>
    </w:p>
  </w:endnote>
  <w:endnote w:type="continuationSeparator" w:id="0">
    <w:p w14:paraId="1E9EC739" w14:textId="77777777" w:rsidR="00BB6535" w:rsidRDefault="00BB6535" w:rsidP="0056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DB5B" w14:textId="77777777" w:rsidR="00AF7C17" w:rsidRDefault="00AF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10017"/>
      <w:docPartObj>
        <w:docPartGallery w:val="Page Numbers (Bottom of Page)"/>
        <w:docPartUnique/>
      </w:docPartObj>
    </w:sdtPr>
    <w:sdtEndPr>
      <w:rPr>
        <w:b/>
        <w:bCs/>
        <w:noProof/>
      </w:rPr>
    </w:sdtEndPr>
    <w:sdtContent>
      <w:p w14:paraId="094A8A3E" w14:textId="77777777" w:rsidR="005931EB" w:rsidRDefault="005931EB" w:rsidP="00562462">
        <w:pPr>
          <w:pStyle w:val="Footer"/>
          <w:jc w:val="center"/>
        </w:pPr>
      </w:p>
      <w:p w14:paraId="05B876A2" w14:textId="2560AFF1" w:rsidR="00562462" w:rsidRPr="00562462" w:rsidRDefault="00562462" w:rsidP="00562462">
        <w:pPr>
          <w:pStyle w:val="Footer"/>
          <w:jc w:val="center"/>
          <w:rPr>
            <w:b/>
            <w:bCs/>
          </w:rPr>
        </w:pPr>
        <w:r w:rsidRPr="00562462">
          <w:rPr>
            <w:b/>
            <w:bCs/>
          </w:rPr>
          <w:fldChar w:fldCharType="begin"/>
        </w:r>
        <w:r w:rsidRPr="00562462">
          <w:rPr>
            <w:b/>
            <w:bCs/>
          </w:rPr>
          <w:instrText xml:space="preserve"> PAGE   \* MERGEFORMAT </w:instrText>
        </w:r>
        <w:r w:rsidRPr="00562462">
          <w:rPr>
            <w:b/>
            <w:bCs/>
          </w:rPr>
          <w:fldChar w:fldCharType="separate"/>
        </w:r>
        <w:r w:rsidRPr="00562462">
          <w:rPr>
            <w:b/>
            <w:bCs/>
            <w:noProof/>
          </w:rPr>
          <w:t>2</w:t>
        </w:r>
        <w:r w:rsidRPr="0056246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187" w14:textId="77777777" w:rsidR="00AF7C17" w:rsidRDefault="00AF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E75F" w14:textId="77777777" w:rsidR="00BB6535" w:rsidRDefault="00BB6535" w:rsidP="00562462">
      <w:r>
        <w:separator/>
      </w:r>
    </w:p>
  </w:footnote>
  <w:footnote w:type="continuationSeparator" w:id="0">
    <w:p w14:paraId="25FF98D2" w14:textId="77777777" w:rsidR="00BB6535" w:rsidRDefault="00BB6535" w:rsidP="0056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F1D2" w14:textId="77777777" w:rsidR="00AF7C17" w:rsidRDefault="00AF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E1E" w14:textId="42A7C840" w:rsidR="00562462" w:rsidRPr="00AF7C17" w:rsidRDefault="005931EB" w:rsidP="00AF7C17">
    <w:pPr>
      <w:pStyle w:val="paragraph"/>
      <w:spacing w:before="0" w:beforeAutospacing="0" w:after="0" w:afterAutospacing="0"/>
      <w:ind w:left="-120"/>
      <w:jc w:val="center"/>
      <w:textAlignment w:val="baseline"/>
      <w:rPr>
        <w:rStyle w:val="normaltextrun"/>
        <w:rFonts w:ascii="Calibri" w:hAnsi="Calibri" w:cs="Calibri"/>
        <w:i/>
        <w:iCs/>
      </w:rPr>
    </w:pPr>
    <w:r w:rsidRPr="00AF7C17">
      <w:rPr>
        <w:rStyle w:val="normaltextrun"/>
        <w:rFonts w:ascii="Calibri" w:hAnsi="Calibri" w:cs="Calibri"/>
        <w:i/>
        <w:iCs/>
      </w:rPr>
      <w:t xml:space="preserve">Public Summary Document – </w:t>
    </w:r>
    <w:r w:rsidR="004D371C" w:rsidRPr="00AF7C17">
      <w:rPr>
        <w:rStyle w:val="normaltextrun"/>
        <w:rFonts w:ascii="Calibri" w:hAnsi="Calibri" w:cs="Calibri"/>
        <w:i/>
        <w:iCs/>
      </w:rPr>
      <w:t>August</w:t>
    </w:r>
    <w:r w:rsidRPr="00AF7C17">
      <w:rPr>
        <w:rStyle w:val="normaltextrun"/>
        <w:rFonts w:ascii="Calibri" w:hAnsi="Calibri" w:cs="Calibri"/>
        <w:i/>
        <w:iCs/>
      </w:rPr>
      <w:t xml:space="preserve"> 2022 PBAC Out-of-Session Meeting</w:t>
    </w:r>
  </w:p>
  <w:p w14:paraId="39BA2261" w14:textId="77777777" w:rsidR="00AF7C17" w:rsidRPr="00AF7C17" w:rsidRDefault="00AF7C17" w:rsidP="00AF7C17">
    <w:pPr>
      <w:pStyle w:val="paragraph"/>
      <w:spacing w:before="0" w:beforeAutospacing="0" w:after="0" w:afterAutospacing="0"/>
      <w:ind w:left="-120"/>
      <w:jc w:val="center"/>
      <w:textAlignment w:val="baseline"/>
      <w:rPr>
        <w:rFonts w:ascii="Segoe UI" w:hAnsi="Segoe UI" w:cs="Segoe U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3ECD" w14:textId="77777777" w:rsidR="00AF7C17" w:rsidRDefault="00AF7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E208C"/>
    <w:multiLevelType w:val="hybridMultilevel"/>
    <w:tmpl w:val="B41E5728"/>
    <w:lvl w:ilvl="0" w:tplc="427612E2">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4D033C"/>
    <w:multiLevelType w:val="multilevel"/>
    <w:tmpl w:val="05029F7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E9"/>
    <w:rsid w:val="00012004"/>
    <w:rsid w:val="00047E93"/>
    <w:rsid w:val="000A0033"/>
    <w:rsid w:val="000C0229"/>
    <w:rsid w:val="000C2DB8"/>
    <w:rsid w:val="00123F39"/>
    <w:rsid w:val="00141094"/>
    <w:rsid w:val="001700A0"/>
    <w:rsid w:val="001D7A65"/>
    <w:rsid w:val="00221A83"/>
    <w:rsid w:val="0023252A"/>
    <w:rsid w:val="00232F91"/>
    <w:rsid w:val="002757F4"/>
    <w:rsid w:val="002B25B3"/>
    <w:rsid w:val="00300B26"/>
    <w:rsid w:val="00310B01"/>
    <w:rsid w:val="00344302"/>
    <w:rsid w:val="0040573F"/>
    <w:rsid w:val="0049118A"/>
    <w:rsid w:val="004B7186"/>
    <w:rsid w:val="004D371C"/>
    <w:rsid w:val="00520003"/>
    <w:rsid w:val="00533E98"/>
    <w:rsid w:val="005361B6"/>
    <w:rsid w:val="00536D72"/>
    <w:rsid w:val="00562462"/>
    <w:rsid w:val="005701D7"/>
    <w:rsid w:val="00590E19"/>
    <w:rsid w:val="005931EB"/>
    <w:rsid w:val="005A6288"/>
    <w:rsid w:val="005C2E88"/>
    <w:rsid w:val="00606BD0"/>
    <w:rsid w:val="00615D1F"/>
    <w:rsid w:val="00616881"/>
    <w:rsid w:val="0062662E"/>
    <w:rsid w:val="0067686D"/>
    <w:rsid w:val="00681B21"/>
    <w:rsid w:val="006D51DF"/>
    <w:rsid w:val="0072209E"/>
    <w:rsid w:val="007349E8"/>
    <w:rsid w:val="00784B98"/>
    <w:rsid w:val="007942E9"/>
    <w:rsid w:val="008170DC"/>
    <w:rsid w:val="00844B08"/>
    <w:rsid w:val="0086057D"/>
    <w:rsid w:val="008D648B"/>
    <w:rsid w:val="008E1C36"/>
    <w:rsid w:val="008F41C2"/>
    <w:rsid w:val="009003C7"/>
    <w:rsid w:val="00933EBE"/>
    <w:rsid w:val="00946839"/>
    <w:rsid w:val="0095267E"/>
    <w:rsid w:val="009D3634"/>
    <w:rsid w:val="00A60BCC"/>
    <w:rsid w:val="00A73F72"/>
    <w:rsid w:val="00A83679"/>
    <w:rsid w:val="00A90F9D"/>
    <w:rsid w:val="00A93BC1"/>
    <w:rsid w:val="00AA3F29"/>
    <w:rsid w:val="00AB2F30"/>
    <w:rsid w:val="00AF7C17"/>
    <w:rsid w:val="00B22D14"/>
    <w:rsid w:val="00B318C7"/>
    <w:rsid w:val="00B37809"/>
    <w:rsid w:val="00BA661B"/>
    <w:rsid w:val="00BB6535"/>
    <w:rsid w:val="00BE0344"/>
    <w:rsid w:val="00BE1657"/>
    <w:rsid w:val="00C05643"/>
    <w:rsid w:val="00C33F3B"/>
    <w:rsid w:val="00C56BEF"/>
    <w:rsid w:val="00C712FA"/>
    <w:rsid w:val="00C77939"/>
    <w:rsid w:val="00CB1E23"/>
    <w:rsid w:val="00CC125E"/>
    <w:rsid w:val="00CC7CA8"/>
    <w:rsid w:val="00D4598E"/>
    <w:rsid w:val="00DA4377"/>
    <w:rsid w:val="00DF16BB"/>
    <w:rsid w:val="00DF6E51"/>
    <w:rsid w:val="00E51C12"/>
    <w:rsid w:val="00F457A2"/>
    <w:rsid w:val="00F47815"/>
    <w:rsid w:val="00F50551"/>
    <w:rsid w:val="00F6082C"/>
    <w:rsid w:val="00FB34EE"/>
    <w:rsid w:val="00FC1F4B"/>
    <w:rsid w:val="00FC502C"/>
    <w:rsid w:val="00FD3CB3"/>
    <w:rsid w:val="00FF4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443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BE"/>
    <w:pPr>
      <w:spacing w:after="0" w:line="240" w:lineRule="auto"/>
      <w:jc w:val="both"/>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933E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EBE"/>
    <w:rPr>
      <w:rFonts w:asciiTheme="majorHAnsi" w:eastAsiaTheme="majorEastAsia" w:hAnsiTheme="majorHAnsi" w:cstheme="majorBidi"/>
      <w:color w:val="2F5496" w:themeColor="accent1" w:themeShade="BF"/>
      <w:sz w:val="32"/>
      <w:szCs w:val="32"/>
    </w:rPr>
  </w:style>
  <w:style w:type="paragraph" w:styleId="ListParagraph">
    <w:name w:val="List Paragraph"/>
    <w:aliases w:val="Body Text Bullet Points,BulletPoints,Numbered para"/>
    <w:next w:val="ListBullet"/>
    <w:link w:val="ListParagraphChar"/>
    <w:uiPriority w:val="72"/>
    <w:qFormat/>
    <w:rsid w:val="00933EBE"/>
    <w:pPr>
      <w:spacing w:after="120" w:line="240" w:lineRule="auto"/>
      <w:ind w:left="1134" w:hanging="357"/>
    </w:pPr>
    <w:rPr>
      <w:rFonts w:eastAsia="Times New Roman" w:cs="Arial"/>
      <w:snapToGrid w:val="0"/>
      <w:sz w:val="24"/>
      <w:szCs w:val="24"/>
    </w:rPr>
  </w:style>
  <w:style w:type="character" w:customStyle="1" w:styleId="ListParagraphChar">
    <w:name w:val="List Paragraph Char"/>
    <w:aliases w:val="Body Text Bullet Points Char,BulletPoints Char,Numbered para Char"/>
    <w:basedOn w:val="DefaultParagraphFont"/>
    <w:link w:val="ListParagraph"/>
    <w:uiPriority w:val="72"/>
    <w:qFormat/>
    <w:rsid w:val="00933EBE"/>
    <w:rPr>
      <w:rFonts w:eastAsia="Times New Roman" w:cs="Arial"/>
      <w:snapToGrid w:val="0"/>
      <w:sz w:val="24"/>
      <w:szCs w:val="24"/>
    </w:rPr>
  </w:style>
  <w:style w:type="paragraph" w:customStyle="1" w:styleId="2-SectionHeading">
    <w:name w:val="2-Section Heading"/>
    <w:qFormat/>
    <w:rsid w:val="00933EBE"/>
    <w:pPr>
      <w:keepNext/>
      <w:numPr>
        <w:numId w:val="1"/>
      </w:numPr>
      <w:spacing w:before="240" w:after="120" w:line="240" w:lineRule="auto"/>
      <w:outlineLvl w:val="0"/>
    </w:pPr>
    <w:rPr>
      <w:rFonts w:eastAsia="Times New Roman" w:cs="Arial"/>
      <w:b/>
      <w:snapToGrid w:val="0"/>
      <w:sz w:val="32"/>
      <w:szCs w:val="32"/>
    </w:rPr>
  </w:style>
  <w:style w:type="paragraph" w:customStyle="1" w:styleId="1-MainHeading">
    <w:name w:val="1-Main Heading"/>
    <w:link w:val="1-MainHeadingChar"/>
    <w:qFormat/>
    <w:rsid w:val="00933EBE"/>
    <w:pPr>
      <w:keepNext/>
      <w:spacing w:before="120" w:line="240" w:lineRule="auto"/>
      <w:ind w:left="720" w:hanging="720"/>
      <w:outlineLvl w:val="0"/>
    </w:pPr>
    <w:rPr>
      <w:rFonts w:eastAsiaTheme="majorEastAsia" w:cstheme="majorBidi"/>
      <w:b/>
      <w:spacing w:val="5"/>
      <w:kern w:val="28"/>
      <w:sz w:val="36"/>
      <w:szCs w:val="36"/>
    </w:rPr>
  </w:style>
  <w:style w:type="character" w:customStyle="1" w:styleId="1-MainHeadingChar">
    <w:name w:val="1-Main Heading Char"/>
    <w:basedOn w:val="DefaultParagraphFont"/>
    <w:link w:val="1-MainHeading"/>
    <w:rsid w:val="00933EBE"/>
    <w:rPr>
      <w:rFonts w:eastAsiaTheme="majorEastAsia" w:cstheme="majorBidi"/>
      <w:b/>
      <w:spacing w:val="5"/>
      <w:kern w:val="28"/>
      <w:sz w:val="36"/>
      <w:szCs w:val="36"/>
    </w:rPr>
  </w:style>
  <w:style w:type="paragraph" w:customStyle="1" w:styleId="3-BodyText">
    <w:name w:val="3-Body Text"/>
    <w:link w:val="3-BodyTextChar"/>
    <w:qFormat/>
    <w:rsid w:val="00933EBE"/>
    <w:pPr>
      <w:numPr>
        <w:ilvl w:val="1"/>
        <w:numId w:val="1"/>
      </w:numPr>
      <w:spacing w:after="120" w:line="240" w:lineRule="auto"/>
      <w:jc w:val="both"/>
    </w:pPr>
    <w:rPr>
      <w:rFonts w:eastAsia="Times New Roman" w:cs="Arial"/>
      <w:snapToGrid w:val="0"/>
      <w:sz w:val="24"/>
      <w:szCs w:val="24"/>
    </w:rPr>
  </w:style>
  <w:style w:type="character" w:customStyle="1" w:styleId="3-BodyTextChar">
    <w:name w:val="3-Body Text Char"/>
    <w:basedOn w:val="ListParagraphChar"/>
    <w:link w:val="3-BodyText"/>
    <w:rsid w:val="00933EBE"/>
    <w:rPr>
      <w:rFonts w:eastAsia="Times New Roman" w:cs="Arial"/>
      <w:snapToGrid w:val="0"/>
      <w:sz w:val="24"/>
      <w:szCs w:val="24"/>
    </w:rPr>
  </w:style>
  <w:style w:type="paragraph" w:styleId="ListBullet">
    <w:name w:val="List Bullet"/>
    <w:basedOn w:val="Normal"/>
    <w:uiPriority w:val="99"/>
    <w:semiHidden/>
    <w:unhideWhenUsed/>
    <w:rsid w:val="00933EBE"/>
    <w:pPr>
      <w:contextualSpacing/>
    </w:pPr>
  </w:style>
  <w:style w:type="paragraph" w:customStyle="1" w:styleId="In-tableHeading">
    <w:name w:val="In-table Heading"/>
    <w:qFormat/>
    <w:rsid w:val="00933EBE"/>
    <w:pPr>
      <w:keepNext/>
      <w:spacing w:after="0" w:line="240" w:lineRule="auto"/>
    </w:pPr>
    <w:rPr>
      <w:rFonts w:ascii="Arial Narrow" w:eastAsiaTheme="majorEastAsia" w:hAnsi="Arial Narrow" w:cs="Times New Roman"/>
      <w:b/>
      <w:sz w:val="20"/>
      <w:szCs w:val="24"/>
      <w:lang w:val="en-US"/>
    </w:rPr>
  </w:style>
  <w:style w:type="paragraph" w:customStyle="1" w:styleId="TableFigureHeading">
    <w:name w:val="Table/Figure Heading"/>
    <w:link w:val="TableFigureHeadingChar"/>
    <w:qFormat/>
    <w:rsid w:val="00933EBE"/>
    <w:pPr>
      <w:keepNext/>
      <w:spacing w:after="0" w:line="240" w:lineRule="auto"/>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933EBE"/>
    <w:rPr>
      <w:rFonts w:ascii="Arial Narrow" w:eastAsiaTheme="majorEastAsia" w:hAnsi="Arial Narrow" w:cstheme="majorBidi"/>
      <w:b/>
      <w:bCs/>
      <w:sz w:val="20"/>
      <w:szCs w:val="24"/>
    </w:rPr>
  </w:style>
  <w:style w:type="character" w:styleId="CommentReference">
    <w:name w:val="annotation reference"/>
    <w:basedOn w:val="DefaultParagraphFont"/>
    <w:uiPriority w:val="99"/>
    <w:semiHidden/>
    <w:unhideWhenUsed/>
    <w:rsid w:val="00933EBE"/>
    <w:rPr>
      <w:sz w:val="16"/>
      <w:szCs w:val="16"/>
    </w:rPr>
  </w:style>
  <w:style w:type="paragraph" w:styleId="CommentText">
    <w:name w:val="annotation text"/>
    <w:basedOn w:val="Normal"/>
    <w:link w:val="CommentTextChar"/>
    <w:uiPriority w:val="99"/>
    <w:semiHidden/>
    <w:unhideWhenUsed/>
    <w:rsid w:val="00933EBE"/>
    <w:rPr>
      <w:sz w:val="20"/>
      <w:szCs w:val="20"/>
    </w:rPr>
  </w:style>
  <w:style w:type="character" w:customStyle="1" w:styleId="CommentTextChar">
    <w:name w:val="Comment Text Char"/>
    <w:basedOn w:val="DefaultParagraphFont"/>
    <w:link w:val="CommentText"/>
    <w:uiPriority w:val="99"/>
    <w:semiHidden/>
    <w:rsid w:val="00933EBE"/>
    <w:rPr>
      <w:rFonts w:ascii="Calibri" w:eastAsia="Times New Roman" w:hAnsi="Calibri" w:cs="Times New Roman"/>
      <w:sz w:val="20"/>
      <w:szCs w:val="20"/>
    </w:rPr>
  </w:style>
  <w:style w:type="character" w:styleId="Hyperlink">
    <w:name w:val="Hyperlink"/>
    <w:basedOn w:val="DefaultParagraphFont"/>
    <w:uiPriority w:val="99"/>
    <w:unhideWhenUsed/>
    <w:rsid w:val="00933EBE"/>
    <w:rPr>
      <w:color w:val="0000FF"/>
      <w:u w:val="single"/>
    </w:rPr>
  </w:style>
  <w:style w:type="table" w:styleId="TableGrid">
    <w:name w:val="Table Grid"/>
    <w:basedOn w:val="TableNormal"/>
    <w:uiPriority w:val="39"/>
    <w:rsid w:val="00933EB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Sections">
    <w:name w:val="2. Sections"/>
    <w:rsid w:val="00933EBE"/>
    <w:pPr>
      <w:spacing w:before="240" w:after="120" w:line="240" w:lineRule="auto"/>
      <w:outlineLvl w:val="0"/>
    </w:pPr>
    <w:rPr>
      <w:rFonts w:eastAsia="Times New Roman" w:cs="Arial"/>
      <w:b/>
      <w:snapToGrid w:val="0"/>
      <w:sz w:val="32"/>
      <w:szCs w:val="32"/>
    </w:rPr>
  </w:style>
  <w:style w:type="paragraph" w:styleId="CommentSubject">
    <w:name w:val="annotation subject"/>
    <w:basedOn w:val="CommentText"/>
    <w:next w:val="CommentText"/>
    <w:link w:val="CommentSubjectChar"/>
    <w:uiPriority w:val="99"/>
    <w:semiHidden/>
    <w:unhideWhenUsed/>
    <w:rsid w:val="0067686D"/>
    <w:rPr>
      <w:b/>
      <w:bCs/>
    </w:rPr>
  </w:style>
  <w:style w:type="character" w:customStyle="1" w:styleId="CommentSubjectChar">
    <w:name w:val="Comment Subject Char"/>
    <w:basedOn w:val="CommentTextChar"/>
    <w:link w:val="CommentSubject"/>
    <w:uiPriority w:val="99"/>
    <w:semiHidden/>
    <w:rsid w:val="0067686D"/>
    <w:rPr>
      <w:rFonts w:ascii="Calibri" w:eastAsia="Times New Roman" w:hAnsi="Calibri" w:cs="Times New Roman"/>
      <w:b/>
      <w:bCs/>
      <w:sz w:val="20"/>
      <w:szCs w:val="20"/>
    </w:rPr>
  </w:style>
  <w:style w:type="paragraph" w:styleId="Header">
    <w:name w:val="header"/>
    <w:basedOn w:val="Normal"/>
    <w:link w:val="HeaderChar"/>
    <w:uiPriority w:val="99"/>
    <w:unhideWhenUsed/>
    <w:rsid w:val="00562462"/>
    <w:pPr>
      <w:tabs>
        <w:tab w:val="center" w:pos="4513"/>
        <w:tab w:val="right" w:pos="9026"/>
      </w:tabs>
    </w:pPr>
  </w:style>
  <w:style w:type="character" w:customStyle="1" w:styleId="HeaderChar">
    <w:name w:val="Header Char"/>
    <w:basedOn w:val="DefaultParagraphFont"/>
    <w:link w:val="Header"/>
    <w:uiPriority w:val="99"/>
    <w:rsid w:val="00562462"/>
    <w:rPr>
      <w:rFonts w:ascii="Calibri" w:eastAsia="Times New Roman" w:hAnsi="Calibri" w:cs="Times New Roman"/>
      <w:sz w:val="24"/>
      <w:szCs w:val="24"/>
    </w:rPr>
  </w:style>
  <w:style w:type="paragraph" w:styleId="Footer">
    <w:name w:val="footer"/>
    <w:basedOn w:val="Normal"/>
    <w:link w:val="FooterChar"/>
    <w:uiPriority w:val="99"/>
    <w:unhideWhenUsed/>
    <w:rsid w:val="00562462"/>
    <w:pPr>
      <w:tabs>
        <w:tab w:val="center" w:pos="4513"/>
        <w:tab w:val="right" w:pos="9026"/>
      </w:tabs>
    </w:pPr>
  </w:style>
  <w:style w:type="character" w:customStyle="1" w:styleId="FooterChar">
    <w:name w:val="Footer Char"/>
    <w:basedOn w:val="DefaultParagraphFont"/>
    <w:link w:val="Footer"/>
    <w:uiPriority w:val="99"/>
    <w:rsid w:val="00562462"/>
    <w:rPr>
      <w:rFonts w:ascii="Calibri" w:eastAsia="Times New Roman" w:hAnsi="Calibri" w:cs="Times New Roman"/>
      <w:sz w:val="24"/>
      <w:szCs w:val="24"/>
    </w:rPr>
  </w:style>
  <w:style w:type="paragraph" w:customStyle="1" w:styleId="paragraph">
    <w:name w:val="paragraph"/>
    <w:basedOn w:val="Normal"/>
    <w:rsid w:val="00562462"/>
    <w:pPr>
      <w:spacing w:before="100" w:beforeAutospacing="1" w:after="100" w:afterAutospacing="1"/>
      <w:jc w:val="left"/>
    </w:pPr>
    <w:rPr>
      <w:rFonts w:ascii="Times New Roman" w:hAnsi="Times New Roman"/>
      <w:lang w:eastAsia="en-AU"/>
    </w:rPr>
  </w:style>
  <w:style w:type="character" w:customStyle="1" w:styleId="normaltextrun">
    <w:name w:val="normaltextrun"/>
    <w:basedOn w:val="DefaultParagraphFont"/>
    <w:rsid w:val="00562462"/>
  </w:style>
  <w:style w:type="character" w:customStyle="1" w:styleId="eop">
    <w:name w:val="eop"/>
    <w:basedOn w:val="DefaultParagraphFont"/>
    <w:rsid w:val="00562462"/>
  </w:style>
  <w:style w:type="paragraph" w:styleId="Title">
    <w:name w:val="Title"/>
    <w:basedOn w:val="Normal"/>
    <w:next w:val="Normal"/>
    <w:link w:val="TitleChar"/>
    <w:qFormat/>
    <w:rsid w:val="00C33F3B"/>
    <w:pPr>
      <w:spacing w:after="300"/>
      <w:contextualSpacing/>
      <w:jc w:val="left"/>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C33F3B"/>
    <w:rPr>
      <w:rFonts w:ascii="Arial Bold" w:eastAsiaTheme="majorEastAsia" w:hAnsi="Arial Bold" w:cstheme="majorBidi"/>
      <w:b/>
      <w:spacing w:val="5"/>
      <w:kern w:val="28"/>
      <w:sz w:val="28"/>
      <w:szCs w:val="52"/>
      <w:lang w:eastAsia="en-AU"/>
    </w:rPr>
  </w:style>
  <w:style w:type="paragraph" w:styleId="Revision">
    <w:name w:val="Revision"/>
    <w:hidden/>
    <w:uiPriority w:val="99"/>
    <w:semiHidden/>
    <w:rsid w:val="00FC502C"/>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3192">
      <w:bodyDiv w:val="1"/>
      <w:marLeft w:val="0"/>
      <w:marRight w:val="0"/>
      <w:marTop w:val="0"/>
      <w:marBottom w:val="0"/>
      <w:divBdr>
        <w:top w:val="none" w:sz="0" w:space="0" w:color="auto"/>
        <w:left w:val="none" w:sz="0" w:space="0" w:color="auto"/>
        <w:bottom w:val="none" w:sz="0" w:space="0" w:color="auto"/>
        <w:right w:val="none" w:sz="0" w:space="0" w:color="auto"/>
      </w:divBdr>
    </w:div>
    <w:div w:id="1248418619">
      <w:bodyDiv w:val="1"/>
      <w:marLeft w:val="0"/>
      <w:marRight w:val="0"/>
      <w:marTop w:val="0"/>
      <w:marBottom w:val="0"/>
      <w:divBdr>
        <w:top w:val="none" w:sz="0" w:space="0" w:color="auto"/>
        <w:left w:val="none" w:sz="0" w:space="0" w:color="auto"/>
        <w:bottom w:val="none" w:sz="0" w:space="0" w:color="auto"/>
        <w:right w:val="none" w:sz="0" w:space="0" w:color="auto"/>
      </w:divBdr>
    </w:div>
    <w:div w:id="1525827766">
      <w:bodyDiv w:val="1"/>
      <w:marLeft w:val="0"/>
      <w:marRight w:val="0"/>
      <w:marTop w:val="0"/>
      <w:marBottom w:val="0"/>
      <w:divBdr>
        <w:top w:val="none" w:sz="0" w:space="0" w:color="auto"/>
        <w:left w:val="none" w:sz="0" w:space="0" w:color="auto"/>
        <w:bottom w:val="none" w:sz="0" w:space="0" w:color="auto"/>
        <w:right w:val="none" w:sz="0" w:space="0" w:color="auto"/>
      </w:divBdr>
      <w:divsChild>
        <w:div w:id="1381591860">
          <w:marLeft w:val="0"/>
          <w:marRight w:val="0"/>
          <w:marTop w:val="0"/>
          <w:marBottom w:val="0"/>
          <w:divBdr>
            <w:top w:val="none" w:sz="0" w:space="0" w:color="auto"/>
            <w:left w:val="none" w:sz="0" w:space="0" w:color="auto"/>
            <w:bottom w:val="none" w:sz="0" w:space="0" w:color="auto"/>
            <w:right w:val="none" w:sz="0" w:space="0" w:color="auto"/>
          </w:divBdr>
        </w:div>
        <w:div w:id="144599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arestatistics.humanservices.gov.au/statistics/pbs_item.j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762D-6120-482F-AC7F-F290E340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2022-11-17T03:25:00Z</dcterms:created>
  <dcterms:modified xsi:type="dcterms:W3CDTF">2022-11-18T03:26:00Z</dcterms:modified>
</cp:coreProperties>
</file>