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6701A" w14:textId="03B1434C" w:rsidR="00B60939" w:rsidRPr="00E44776" w:rsidRDefault="00D93052" w:rsidP="004A6040">
      <w:pPr>
        <w:pStyle w:val="COMH1-non-numbered"/>
      </w:pPr>
      <w:bookmarkStart w:id="0" w:name="_Toc114048836"/>
      <w:r w:rsidRPr="00E44776">
        <w:t>7.0</w:t>
      </w:r>
      <w:r w:rsidR="00BF7CBE">
        <w:t>1</w:t>
      </w:r>
      <w:r w:rsidR="00163F66" w:rsidRPr="00E44776">
        <w:tab/>
      </w:r>
      <w:r w:rsidR="003930DA" w:rsidRPr="00E44776">
        <w:t>ACALABRUTINIB</w:t>
      </w:r>
      <w:r w:rsidR="00163F66" w:rsidRPr="00E44776">
        <w:t>,</w:t>
      </w:r>
      <w:r w:rsidR="00163F66" w:rsidRPr="00E44776">
        <w:br/>
      </w:r>
      <w:r w:rsidR="003930DA" w:rsidRPr="00E44776">
        <w:t>Capsule</w:t>
      </w:r>
      <w:r w:rsidR="00877CA9" w:rsidRPr="00E44776">
        <w:t xml:space="preserve"> 100</w:t>
      </w:r>
      <w:r w:rsidR="00667232" w:rsidRPr="00E44776">
        <w:t> </w:t>
      </w:r>
      <w:r w:rsidR="00877CA9" w:rsidRPr="00E44776">
        <w:t>mg</w:t>
      </w:r>
      <w:r w:rsidR="00163F66" w:rsidRPr="00E44776">
        <w:t>,</w:t>
      </w:r>
      <w:r w:rsidR="00163F66" w:rsidRPr="00E44776">
        <w:br/>
      </w:r>
      <w:r w:rsidR="003930DA" w:rsidRPr="00E44776">
        <w:t>Calquence</w:t>
      </w:r>
      <w:r w:rsidR="00B60939" w:rsidRPr="00E44776">
        <w:t>®</w:t>
      </w:r>
      <w:r w:rsidR="004A6040" w:rsidRPr="00E44776">
        <w:t>,</w:t>
      </w:r>
      <w:r w:rsidR="004A6040" w:rsidRPr="00E44776">
        <w:br/>
      </w:r>
      <w:r w:rsidR="002009AA" w:rsidRPr="00E44776">
        <w:t>A</w:t>
      </w:r>
      <w:r w:rsidR="005E6937">
        <w:t>stra</w:t>
      </w:r>
      <w:r w:rsidR="00877CA9" w:rsidRPr="00E44776">
        <w:t>Z</w:t>
      </w:r>
      <w:r w:rsidR="005E6937">
        <w:t>eneca</w:t>
      </w:r>
      <w:r w:rsidR="00877CA9" w:rsidRPr="00E44776">
        <w:t xml:space="preserve"> P</w:t>
      </w:r>
      <w:r w:rsidR="005E6937">
        <w:t>ty</w:t>
      </w:r>
      <w:r w:rsidR="00877CA9" w:rsidRPr="00E44776">
        <w:t xml:space="preserve"> L</w:t>
      </w:r>
      <w:r w:rsidR="005E6937">
        <w:t>td</w:t>
      </w:r>
      <w:r w:rsidR="00B60939" w:rsidRPr="00E44776">
        <w:t>.</w:t>
      </w:r>
      <w:bookmarkEnd w:id="0"/>
    </w:p>
    <w:p w14:paraId="11C00795" w14:textId="4BDB586C" w:rsidR="00B50DB8" w:rsidRPr="00E44776" w:rsidRDefault="00B50DB8" w:rsidP="000A0D48">
      <w:pPr>
        <w:pStyle w:val="COMH1numbered"/>
      </w:pPr>
      <w:bookmarkStart w:id="1" w:name="_Toc114048838"/>
      <w:r w:rsidRPr="00E44776">
        <w:t xml:space="preserve">Purpose of </w:t>
      </w:r>
      <w:r w:rsidR="00823707">
        <w:t>re</w:t>
      </w:r>
      <w:r w:rsidR="00CD7193" w:rsidRPr="00E44776">
        <w:t>s</w:t>
      </w:r>
      <w:r w:rsidR="00BB3A45" w:rsidRPr="00E44776">
        <w:t>ubmission</w:t>
      </w:r>
      <w:bookmarkEnd w:id="1"/>
    </w:p>
    <w:p w14:paraId="40FF5822" w14:textId="130B489E" w:rsidR="001245FA" w:rsidRPr="00E44776" w:rsidRDefault="001245FA" w:rsidP="004E18E9">
      <w:pPr>
        <w:pStyle w:val="COMexecsumnumberedpara"/>
      </w:pPr>
      <w:r w:rsidRPr="00E44776">
        <w:t>The standard re-entry resubmission requested an Authority Required General Schedule listing of acalabrutinib</w:t>
      </w:r>
      <w:r w:rsidR="00737439" w:rsidRPr="00E44776">
        <w:t>,</w:t>
      </w:r>
      <w:r w:rsidRPr="00E44776">
        <w:t xml:space="preserve"> for use in combination with obinutuzumab, for the treatment of </w:t>
      </w:r>
      <w:bookmarkStart w:id="2" w:name="_Hlk121490658"/>
      <w:r w:rsidRPr="00E44776">
        <w:t xml:space="preserve">patients with previously untreated chronic lymphocytic leukaemia (CLL) or small lymphocytic lymphoma (SLL), who are considered unsuitable for treatment with </w:t>
      </w:r>
      <w:bookmarkStart w:id="3" w:name="_Hlk115346953"/>
      <w:r w:rsidRPr="00E44776">
        <w:t>fludarabine-based chemoimmunotherapy</w:t>
      </w:r>
      <w:bookmarkEnd w:id="2"/>
      <w:bookmarkEnd w:id="3"/>
      <w:r w:rsidRPr="00E44776">
        <w:t>.</w:t>
      </w:r>
    </w:p>
    <w:p w14:paraId="07156493" w14:textId="2D89844C" w:rsidR="001245FA" w:rsidRPr="00E44776" w:rsidRDefault="001245FA" w:rsidP="001245FA">
      <w:pPr>
        <w:pStyle w:val="ExecSumBodyText"/>
        <w:numPr>
          <w:ilvl w:val="1"/>
          <w:numId w:val="1"/>
        </w:numPr>
      </w:pPr>
      <w:r w:rsidRPr="00E44776">
        <w:t>Listing was requested on the basis of a cost-effectiveness analysis versus venetoclax + obinutuzumab. Listing was requested for acalabrutinib + obinutuzumab only (</w:t>
      </w:r>
      <w:r w:rsidR="00102B06" w:rsidRPr="00E44776">
        <w:t>the July 2020 submission requested listing of acalabrutinib for use as monotherapy or in combination with obinutuzumab; the November 2021 resubmission requested listing of acalabrutinib monotherapy only).</w:t>
      </w:r>
    </w:p>
    <w:p w14:paraId="74BD5EA9" w14:textId="68229C60" w:rsidR="00102B06" w:rsidRPr="00E44776" w:rsidRDefault="00501906" w:rsidP="00102B06">
      <w:pPr>
        <w:pStyle w:val="COMtablefigcaption"/>
      </w:pPr>
      <w:r w:rsidRPr="00E44776">
        <w:t xml:space="preserve">Table </w:t>
      </w:r>
      <w:r w:rsidR="00B53F47">
        <w:fldChar w:fldCharType="begin" w:fldLock="1"/>
      </w:r>
      <w:r w:rsidR="00B53F47">
        <w:instrText xml:space="preserve"> SEQ Table \* ARABIC </w:instrText>
      </w:r>
      <w:r w:rsidR="00B53F47">
        <w:fldChar w:fldCharType="separate"/>
      </w:r>
      <w:r w:rsidR="00CB2B8B">
        <w:rPr>
          <w:noProof/>
        </w:rPr>
        <w:t>1</w:t>
      </w:r>
      <w:r w:rsidR="00B53F47">
        <w:rPr>
          <w:noProof/>
        </w:rPr>
        <w:fldChar w:fldCharType="end"/>
      </w:r>
      <w:r w:rsidR="00102B06" w:rsidRPr="00E44776">
        <w:t>: Key components of the clinical issue addressed in the resubmission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Key components of the clinical issue addressed in the resubmission"/>
      </w:tblPr>
      <w:tblGrid>
        <w:gridCol w:w="967"/>
        <w:gridCol w:w="2683"/>
        <w:gridCol w:w="2683"/>
        <w:gridCol w:w="2684"/>
      </w:tblGrid>
      <w:tr w:rsidR="006F3256" w:rsidRPr="00E44776" w14:paraId="5642CAF8" w14:textId="77777777" w:rsidTr="004A069D">
        <w:trPr>
          <w:tblHeader/>
        </w:trPr>
        <w:tc>
          <w:tcPr>
            <w:tcW w:w="424" w:type="pct"/>
            <w:vAlign w:val="center"/>
          </w:tcPr>
          <w:p w14:paraId="1FE56106" w14:textId="77777777" w:rsidR="006F3256" w:rsidRPr="00E44776" w:rsidRDefault="006F3256" w:rsidP="004A069D">
            <w:pPr>
              <w:pStyle w:val="COMTableheadingrow"/>
              <w:keepNext w:val="0"/>
            </w:pPr>
            <w:r w:rsidRPr="00E44776">
              <w:t>Component</w:t>
            </w:r>
          </w:p>
        </w:tc>
        <w:tc>
          <w:tcPr>
            <w:tcW w:w="1525" w:type="pct"/>
          </w:tcPr>
          <w:p w14:paraId="731B99D4" w14:textId="4DAEDF91" w:rsidR="006F3256" w:rsidRPr="00E44776" w:rsidRDefault="006F3256" w:rsidP="004A069D">
            <w:pPr>
              <w:pStyle w:val="COMTableheadingrow"/>
              <w:keepNext w:val="0"/>
              <w:jc w:val="center"/>
            </w:pPr>
            <w:r w:rsidRPr="00E44776">
              <w:t>July 2020 submission</w:t>
            </w:r>
          </w:p>
        </w:tc>
        <w:tc>
          <w:tcPr>
            <w:tcW w:w="1525" w:type="pct"/>
          </w:tcPr>
          <w:p w14:paraId="3DC7DEC0" w14:textId="2B017CC0" w:rsidR="006F3256" w:rsidRPr="00E44776" w:rsidRDefault="006F3256" w:rsidP="004A069D">
            <w:pPr>
              <w:pStyle w:val="COMTableheadingrow"/>
              <w:keepNext w:val="0"/>
              <w:jc w:val="center"/>
            </w:pPr>
            <w:r w:rsidRPr="00E44776">
              <w:t>November 2021 resubmission</w:t>
            </w:r>
          </w:p>
        </w:tc>
        <w:tc>
          <w:tcPr>
            <w:tcW w:w="1525" w:type="pct"/>
            <w:vAlign w:val="center"/>
          </w:tcPr>
          <w:p w14:paraId="37B92EBD" w14:textId="77777777" w:rsidR="006F3256" w:rsidRPr="00E44776" w:rsidRDefault="006F3256" w:rsidP="004A069D">
            <w:pPr>
              <w:pStyle w:val="COMTableheadingrow"/>
              <w:keepNext w:val="0"/>
              <w:jc w:val="center"/>
            </w:pPr>
            <w:r w:rsidRPr="00E44776">
              <w:t>Current resubmission</w:t>
            </w:r>
          </w:p>
        </w:tc>
      </w:tr>
      <w:tr w:rsidR="006F3256" w:rsidRPr="00E44776" w14:paraId="79C83A46" w14:textId="77777777" w:rsidTr="004A069D">
        <w:tc>
          <w:tcPr>
            <w:tcW w:w="424" w:type="pct"/>
            <w:vAlign w:val="center"/>
          </w:tcPr>
          <w:p w14:paraId="5B7182C7" w14:textId="77777777" w:rsidR="006F3256" w:rsidRPr="00E44776" w:rsidRDefault="006F3256" w:rsidP="004A069D">
            <w:pPr>
              <w:pStyle w:val="COMTabletext"/>
              <w:keepNext w:val="0"/>
            </w:pPr>
            <w:r w:rsidRPr="00E44776">
              <w:t>Population</w:t>
            </w:r>
          </w:p>
        </w:tc>
        <w:tc>
          <w:tcPr>
            <w:tcW w:w="1525" w:type="pct"/>
          </w:tcPr>
          <w:p w14:paraId="2E689595" w14:textId="46964EB2" w:rsidR="006F3256" w:rsidRPr="00E44776" w:rsidRDefault="00E26562" w:rsidP="00E26562">
            <w:pPr>
              <w:pStyle w:val="COMTabletext"/>
              <w:keepNext w:val="0"/>
            </w:pPr>
            <w:r w:rsidRPr="00E44776">
              <w:t>Patients with previously untreated CLL or SLL considered unsuitable for treatment with a purine analogue</w:t>
            </w:r>
            <w:r w:rsidR="00CE40AF" w:rsidRPr="00E44776">
              <w:t>,</w:t>
            </w:r>
            <w:r w:rsidR="00A23FCC" w:rsidRPr="00E44776">
              <w:t xml:space="preserve"> an ECOG ≤2</w:t>
            </w:r>
            <w:r w:rsidR="00DF27B7" w:rsidRPr="00E44776">
              <w:t xml:space="preserve">, and </w:t>
            </w:r>
            <w:r w:rsidR="00A23FCC" w:rsidRPr="00E44776">
              <w:t>meeting at least one of the f</w:t>
            </w:r>
            <w:r w:rsidR="00DF27B7" w:rsidRPr="00E44776">
              <w:t>ollowing criteria:</w:t>
            </w:r>
          </w:p>
          <w:p w14:paraId="24CE2335" w14:textId="4D7F2A10" w:rsidR="00A23FCC" w:rsidRPr="00E44776" w:rsidRDefault="00DF27B7" w:rsidP="00D32791">
            <w:pPr>
              <w:pStyle w:val="COMTabletext"/>
              <w:keepNext w:val="0"/>
              <w:numPr>
                <w:ilvl w:val="0"/>
                <w:numId w:val="10"/>
              </w:numPr>
              <w:ind w:left="289" w:hanging="215"/>
            </w:pPr>
            <w:r w:rsidRPr="00E44776">
              <w:t>Age ≥65 years</w:t>
            </w:r>
            <w:r w:rsidR="00A23FCC" w:rsidRPr="00E44776">
              <w:t>;</w:t>
            </w:r>
          </w:p>
          <w:p w14:paraId="6417CC41" w14:textId="1366FE9B" w:rsidR="00DF27B7" w:rsidRPr="00E44776" w:rsidRDefault="00A23FCC" w:rsidP="00D32791">
            <w:pPr>
              <w:pStyle w:val="COMTabletext"/>
              <w:keepNext w:val="0"/>
              <w:numPr>
                <w:ilvl w:val="0"/>
                <w:numId w:val="10"/>
              </w:numPr>
              <w:ind w:left="289" w:hanging="215"/>
            </w:pPr>
            <w:r w:rsidRPr="00E44776">
              <w:t>A</w:t>
            </w:r>
            <w:r w:rsidR="00DF27B7" w:rsidRPr="00E44776">
              <w:t>ge 18</w:t>
            </w:r>
            <w:r w:rsidRPr="00E44776">
              <w:t xml:space="preserve"> </w:t>
            </w:r>
            <w:r w:rsidR="00D4579C" w:rsidRPr="00E44776">
              <w:t>-</w:t>
            </w:r>
            <w:r w:rsidRPr="00E44776">
              <w:t xml:space="preserve"> </w:t>
            </w:r>
            <w:r w:rsidR="00DF27B7" w:rsidRPr="00E44776">
              <w:t xml:space="preserve">65 years with a CIRS score </w:t>
            </w:r>
            <w:r w:rsidRPr="00E44776">
              <w:t xml:space="preserve">≥6 </w:t>
            </w:r>
            <w:r w:rsidR="00D4579C" w:rsidRPr="00E44776">
              <w:t xml:space="preserve">or a </w:t>
            </w:r>
            <w:r w:rsidR="00CE40AF" w:rsidRPr="00E44776">
              <w:t>CrCl &lt;70</w:t>
            </w:r>
            <w:r w:rsidR="00D4579C" w:rsidRPr="00E44776">
              <w:t> </w:t>
            </w:r>
            <w:r w:rsidR="00CE40AF" w:rsidRPr="00E44776">
              <w:t>mL/min</w:t>
            </w:r>
            <w:r w:rsidRPr="00E44776">
              <w:t>;</w:t>
            </w:r>
          </w:p>
          <w:p w14:paraId="05B5B96D" w14:textId="4691AB8D" w:rsidR="00A23FCC" w:rsidRPr="00E44776" w:rsidRDefault="00A23FCC" w:rsidP="00D32791">
            <w:pPr>
              <w:pStyle w:val="COMTabletext"/>
              <w:keepNext w:val="0"/>
              <w:numPr>
                <w:ilvl w:val="0"/>
                <w:numId w:val="10"/>
              </w:numPr>
              <w:ind w:left="289" w:hanging="215"/>
            </w:pPr>
            <w:r w:rsidRPr="00E44776">
              <w:t>17p deletion.</w:t>
            </w:r>
          </w:p>
        </w:tc>
        <w:tc>
          <w:tcPr>
            <w:tcW w:w="1525" w:type="pct"/>
          </w:tcPr>
          <w:p w14:paraId="2CB301B5" w14:textId="471EED0C" w:rsidR="006F3256" w:rsidRPr="00E44776" w:rsidRDefault="006F3256" w:rsidP="004A069D">
            <w:pPr>
              <w:pStyle w:val="COMTabletext"/>
              <w:keepNext w:val="0"/>
            </w:pPr>
            <w:r w:rsidRPr="00E44776">
              <w:t xml:space="preserve">Patients with previously untreated CLL/SLL who are unsuitable for fludarabine-based </w:t>
            </w:r>
            <w:r w:rsidR="007D6516">
              <w:t>chemoimmunotherapy</w:t>
            </w:r>
            <w:r w:rsidRPr="00E44776">
              <w:t>, and who meet the following criteria:</w:t>
            </w:r>
          </w:p>
          <w:p w14:paraId="6A55486E" w14:textId="77777777" w:rsidR="006F3256" w:rsidRPr="00E44776" w:rsidRDefault="006F3256" w:rsidP="00D32791">
            <w:pPr>
              <w:pStyle w:val="COMTabletext"/>
              <w:keepNext w:val="0"/>
              <w:numPr>
                <w:ilvl w:val="0"/>
                <w:numId w:val="6"/>
              </w:numPr>
              <w:ind w:left="291" w:hanging="215"/>
            </w:pPr>
            <w:r w:rsidRPr="00E44776">
              <w:t>CIRS score &gt;6; AND</w:t>
            </w:r>
          </w:p>
          <w:p w14:paraId="64C88F55" w14:textId="77777777" w:rsidR="006F3256" w:rsidRPr="00E44776" w:rsidRDefault="006F3256" w:rsidP="00D32791">
            <w:pPr>
              <w:pStyle w:val="COMTabletext"/>
              <w:keepNext w:val="0"/>
              <w:numPr>
                <w:ilvl w:val="0"/>
                <w:numId w:val="6"/>
              </w:numPr>
              <w:ind w:left="291" w:hanging="215"/>
            </w:pPr>
            <w:r w:rsidRPr="00E44776">
              <w:t>Renal impairment (CrCl ≥30 and &lt;70 ml/min); AND/OR bulky disease (lymph node(s) ≥5cm); OR moderate or high risk of TLS; AND</w:t>
            </w:r>
          </w:p>
          <w:p w14:paraId="7D2F94E1" w14:textId="77777777" w:rsidR="006F3256" w:rsidRPr="00E44776" w:rsidRDefault="006F3256" w:rsidP="00D32791">
            <w:pPr>
              <w:pStyle w:val="COMTabletext"/>
              <w:keepNext w:val="0"/>
              <w:numPr>
                <w:ilvl w:val="0"/>
                <w:numId w:val="6"/>
              </w:numPr>
              <w:ind w:left="291" w:hanging="215"/>
            </w:pPr>
            <w:r w:rsidRPr="00E44776">
              <w:t xml:space="preserve">Unsuitable for venetoclax + obinutuzumab as unable to comply with the monitoring required for TLS prophylaxis and dose escalation requirements. </w:t>
            </w:r>
          </w:p>
          <w:p w14:paraId="256F763F" w14:textId="77777777" w:rsidR="006F3256" w:rsidRPr="00E44776" w:rsidRDefault="006F3256" w:rsidP="004A069D">
            <w:pPr>
              <w:pStyle w:val="COMTabletext"/>
              <w:keepNext w:val="0"/>
            </w:pPr>
            <w:r w:rsidRPr="00E44776">
              <w:t>Patients who initiate treatment with venetoclax + obinutuzumab but develop intolerance of a severity necessitating permanent treatment withdrawal prior to completion of the course and before disease progression (pre-progression discontinuation).</w:t>
            </w:r>
          </w:p>
        </w:tc>
        <w:tc>
          <w:tcPr>
            <w:tcW w:w="1525" w:type="pct"/>
          </w:tcPr>
          <w:p w14:paraId="1DC25DDF" w14:textId="1CD5A77C" w:rsidR="006F3256" w:rsidRPr="00E44776" w:rsidRDefault="006F3256" w:rsidP="00E26562">
            <w:pPr>
              <w:pStyle w:val="COMTabletext"/>
              <w:keepNext w:val="0"/>
            </w:pPr>
            <w:r w:rsidRPr="00E44776">
              <w:t xml:space="preserve">Patients with previously untreated CLL/SLL who are unsuitable for fludarabine-based </w:t>
            </w:r>
            <w:r w:rsidR="007D6516">
              <w:t>chemoimmunotherapy</w:t>
            </w:r>
            <w:r w:rsidR="00CE40AF" w:rsidRPr="00E44776">
              <w:t xml:space="preserve">, a CrCl ≥30 mL/min, and who meet </w:t>
            </w:r>
            <w:r w:rsidR="00D4579C" w:rsidRPr="00E44776">
              <w:t>one of the</w:t>
            </w:r>
            <w:r w:rsidR="00CE40AF" w:rsidRPr="00E44776">
              <w:t xml:space="preserve"> following criteria:</w:t>
            </w:r>
          </w:p>
          <w:p w14:paraId="33BC85CE" w14:textId="6FAF0075" w:rsidR="00CE40AF" w:rsidRPr="00E44776" w:rsidRDefault="00D4579C" w:rsidP="00D32791">
            <w:pPr>
              <w:pStyle w:val="COMTabletext"/>
              <w:keepNext w:val="0"/>
              <w:numPr>
                <w:ilvl w:val="0"/>
                <w:numId w:val="6"/>
              </w:numPr>
              <w:ind w:left="289" w:hanging="215"/>
            </w:pPr>
            <w:r w:rsidRPr="00E44776">
              <w:t xml:space="preserve">CIRS </w:t>
            </w:r>
            <w:r w:rsidR="003F6134" w:rsidRPr="00E44776">
              <w:t>score</w:t>
            </w:r>
            <w:r w:rsidRPr="00E44776">
              <w:t xml:space="preserve"> &gt;6;</w:t>
            </w:r>
          </w:p>
          <w:p w14:paraId="40182820" w14:textId="23576978" w:rsidR="00D4579C" w:rsidRPr="00E44776" w:rsidRDefault="00D4579C" w:rsidP="00D32791">
            <w:pPr>
              <w:pStyle w:val="COMTabletext"/>
              <w:keepNext w:val="0"/>
              <w:numPr>
                <w:ilvl w:val="0"/>
                <w:numId w:val="6"/>
              </w:numPr>
              <w:ind w:left="289" w:hanging="215"/>
            </w:pPr>
            <w:r w:rsidRPr="00E44776">
              <w:t>CrCl &lt;70 mL/min.</w:t>
            </w:r>
          </w:p>
        </w:tc>
      </w:tr>
      <w:tr w:rsidR="006F3256" w:rsidRPr="00E44776" w14:paraId="65A05AA5" w14:textId="77777777" w:rsidTr="004A069D">
        <w:tc>
          <w:tcPr>
            <w:tcW w:w="424" w:type="pct"/>
            <w:vAlign w:val="center"/>
          </w:tcPr>
          <w:p w14:paraId="117089CA" w14:textId="77777777" w:rsidR="006F3256" w:rsidRPr="00E44776" w:rsidRDefault="006F3256" w:rsidP="004A069D">
            <w:pPr>
              <w:pStyle w:val="COMTabletext"/>
              <w:keepNext w:val="0"/>
            </w:pPr>
            <w:r w:rsidRPr="00E44776">
              <w:t>Intervention</w:t>
            </w:r>
          </w:p>
        </w:tc>
        <w:tc>
          <w:tcPr>
            <w:tcW w:w="1525" w:type="pct"/>
          </w:tcPr>
          <w:p w14:paraId="094736E6" w14:textId="76797796" w:rsidR="00CD15AF" w:rsidRPr="00E44776" w:rsidRDefault="00E26562" w:rsidP="00D32791">
            <w:pPr>
              <w:pStyle w:val="COMTabletext"/>
              <w:keepNext w:val="0"/>
              <w:numPr>
                <w:ilvl w:val="0"/>
                <w:numId w:val="17"/>
              </w:numPr>
              <w:ind w:left="159" w:hanging="102"/>
            </w:pPr>
            <w:r w:rsidRPr="00E44776">
              <w:t>Acalabrutinib monotherapy.</w:t>
            </w:r>
          </w:p>
          <w:p w14:paraId="6DB42D69" w14:textId="3238AF43" w:rsidR="006F3256" w:rsidRPr="00E44776" w:rsidRDefault="00E26562" w:rsidP="00D32791">
            <w:pPr>
              <w:pStyle w:val="COMTabletext"/>
              <w:keepNext w:val="0"/>
              <w:numPr>
                <w:ilvl w:val="0"/>
                <w:numId w:val="17"/>
              </w:numPr>
              <w:ind w:left="159" w:hanging="102"/>
            </w:pPr>
            <w:r w:rsidRPr="00E44776">
              <w:t>Acalabrutinib + obinutuzumab</w:t>
            </w:r>
            <w:r w:rsidR="00CD15AF" w:rsidRPr="00E44776">
              <w:t>.</w:t>
            </w:r>
          </w:p>
        </w:tc>
        <w:tc>
          <w:tcPr>
            <w:tcW w:w="1525" w:type="pct"/>
          </w:tcPr>
          <w:p w14:paraId="5BAC8977" w14:textId="15779F7C" w:rsidR="006F3256" w:rsidRPr="00E44776" w:rsidRDefault="006F3256" w:rsidP="00D32791">
            <w:pPr>
              <w:pStyle w:val="COMTabletext"/>
              <w:keepNext w:val="0"/>
              <w:numPr>
                <w:ilvl w:val="0"/>
                <w:numId w:val="17"/>
              </w:numPr>
              <w:ind w:left="159" w:hanging="102"/>
            </w:pPr>
            <w:r w:rsidRPr="00E44776">
              <w:t xml:space="preserve">Acalabrutinib monotherapy: </w:t>
            </w:r>
            <w:r w:rsidR="00CD15AF" w:rsidRPr="00E44776">
              <w:t>o</w:t>
            </w:r>
            <w:r w:rsidRPr="00E44776">
              <w:t>ral acalabrutinib 100 mg twice daily until disease progression or unacceptable toxicity.</w:t>
            </w:r>
          </w:p>
        </w:tc>
        <w:tc>
          <w:tcPr>
            <w:tcW w:w="1525" w:type="pct"/>
          </w:tcPr>
          <w:p w14:paraId="1A8E7161" w14:textId="4E7FB6C3" w:rsidR="006F3256" w:rsidRPr="00E44776" w:rsidRDefault="006F3256" w:rsidP="00D32791">
            <w:pPr>
              <w:pStyle w:val="COMTabletext"/>
              <w:keepNext w:val="0"/>
              <w:numPr>
                <w:ilvl w:val="0"/>
                <w:numId w:val="17"/>
              </w:numPr>
              <w:ind w:left="159" w:hanging="102"/>
            </w:pPr>
            <w:r w:rsidRPr="00E44776">
              <w:t>Acalabrutinib + obinutuzumab:</w:t>
            </w:r>
            <w:r w:rsidR="00CD15AF" w:rsidRPr="00E44776">
              <w:t xml:space="preserve"> o</w:t>
            </w:r>
            <w:r w:rsidRPr="00E44776">
              <w:t xml:space="preserve">ral acalabrutinib 100 mg twice daily until disease progression or unacceptable toxicity plus </w:t>
            </w:r>
            <w:r w:rsidRPr="00E44776">
              <w:lastRenderedPageBreak/>
              <w:t>intravenous obinutuzumab for six cycles.</w:t>
            </w:r>
          </w:p>
        </w:tc>
      </w:tr>
      <w:tr w:rsidR="006F3256" w:rsidRPr="00E44776" w14:paraId="1CC38E07" w14:textId="77777777" w:rsidTr="004A069D">
        <w:tc>
          <w:tcPr>
            <w:tcW w:w="424" w:type="pct"/>
            <w:vAlign w:val="center"/>
          </w:tcPr>
          <w:p w14:paraId="53C265EC" w14:textId="77777777" w:rsidR="006F3256" w:rsidRPr="00E44776" w:rsidRDefault="006F3256" w:rsidP="004A069D">
            <w:pPr>
              <w:pStyle w:val="COMTabletext"/>
              <w:keepNext w:val="0"/>
            </w:pPr>
            <w:r w:rsidRPr="00E44776">
              <w:lastRenderedPageBreak/>
              <w:t>Comparator</w:t>
            </w:r>
          </w:p>
        </w:tc>
        <w:tc>
          <w:tcPr>
            <w:tcW w:w="1525" w:type="pct"/>
          </w:tcPr>
          <w:p w14:paraId="1CE29368" w14:textId="7FCEEFD0" w:rsidR="00CD15AF" w:rsidRPr="00E44776" w:rsidRDefault="00CD15AF" w:rsidP="00D32791">
            <w:pPr>
              <w:pStyle w:val="COMTabletext"/>
              <w:numPr>
                <w:ilvl w:val="0"/>
                <w:numId w:val="17"/>
              </w:numPr>
              <w:ind w:left="159" w:hanging="102"/>
            </w:pPr>
            <w:r w:rsidRPr="00E44776">
              <w:t xml:space="preserve">Chlorambucil + obinutuzumab </w:t>
            </w:r>
          </w:p>
          <w:p w14:paraId="11B77E56" w14:textId="7770AEF2" w:rsidR="00CD15AF" w:rsidRPr="00E44776" w:rsidRDefault="00CD15AF" w:rsidP="00D32791">
            <w:pPr>
              <w:pStyle w:val="COMTabletext"/>
              <w:numPr>
                <w:ilvl w:val="0"/>
                <w:numId w:val="17"/>
              </w:numPr>
              <w:ind w:left="159" w:hanging="102"/>
            </w:pPr>
            <w:r w:rsidRPr="00E44776">
              <w:t xml:space="preserve">Ibrutinib monotherapy (patients with 17p deletion) </w:t>
            </w:r>
          </w:p>
          <w:p w14:paraId="72CF6CE7" w14:textId="47F9E599" w:rsidR="006F3256" w:rsidRPr="00E44776" w:rsidRDefault="00CD15AF" w:rsidP="00D32791">
            <w:pPr>
              <w:pStyle w:val="COMTabletext"/>
              <w:numPr>
                <w:ilvl w:val="0"/>
                <w:numId w:val="17"/>
              </w:numPr>
              <w:ind w:left="159" w:hanging="102"/>
            </w:pPr>
            <w:r w:rsidRPr="00E44776">
              <w:t>Venetoclax + obinutuzumab (near-market comparator)</w:t>
            </w:r>
          </w:p>
        </w:tc>
        <w:tc>
          <w:tcPr>
            <w:tcW w:w="1525" w:type="pct"/>
          </w:tcPr>
          <w:p w14:paraId="4B197200" w14:textId="34DB44CE" w:rsidR="006F3256" w:rsidRPr="00E44776" w:rsidRDefault="006F3256" w:rsidP="00D32791">
            <w:pPr>
              <w:pStyle w:val="COMTabletext"/>
              <w:keepNext w:val="0"/>
              <w:numPr>
                <w:ilvl w:val="0"/>
                <w:numId w:val="17"/>
              </w:numPr>
              <w:ind w:left="159" w:hanging="102"/>
              <w:rPr>
                <w:u w:val="single"/>
              </w:rPr>
            </w:pPr>
            <w:r w:rsidRPr="00E44776">
              <w:t>Chlorambucil + obinutuzumab:</w:t>
            </w:r>
            <w:r w:rsidR="00CD15AF" w:rsidRPr="00E44776">
              <w:t xml:space="preserve"> o</w:t>
            </w:r>
            <w:r w:rsidRPr="00E44776">
              <w:t>ral chlorambucil for six cycles + intravenous obinutuzumab for six cycles.</w:t>
            </w:r>
          </w:p>
        </w:tc>
        <w:tc>
          <w:tcPr>
            <w:tcW w:w="1525" w:type="pct"/>
          </w:tcPr>
          <w:p w14:paraId="248BA848" w14:textId="124DD633" w:rsidR="006F3256" w:rsidRPr="00E44776" w:rsidRDefault="006F3256" w:rsidP="00D32791">
            <w:pPr>
              <w:pStyle w:val="COMTabletext"/>
              <w:keepNext w:val="0"/>
              <w:numPr>
                <w:ilvl w:val="0"/>
                <w:numId w:val="17"/>
              </w:numPr>
              <w:ind w:left="159" w:hanging="102"/>
              <w:rPr>
                <w:u w:val="single"/>
              </w:rPr>
            </w:pPr>
            <w:r w:rsidRPr="00E44776">
              <w:t>Venetoclax + obinutuzumab:</w:t>
            </w:r>
            <w:r w:rsidR="00CD15AF" w:rsidRPr="00E44776">
              <w:t xml:space="preserve"> o</w:t>
            </w:r>
            <w:r w:rsidRPr="00E44776">
              <w:t>ral venetoclax 5-week dose ramp-up followed by 400 mg daily for twelve cycles + intravenous obinutuzumab for six cycles.</w:t>
            </w:r>
          </w:p>
        </w:tc>
      </w:tr>
      <w:tr w:rsidR="006F3256" w:rsidRPr="00E44776" w14:paraId="6256CF48" w14:textId="77777777" w:rsidTr="004A069D">
        <w:tc>
          <w:tcPr>
            <w:tcW w:w="424" w:type="pct"/>
            <w:vAlign w:val="center"/>
          </w:tcPr>
          <w:p w14:paraId="152C5B0B" w14:textId="77777777" w:rsidR="006F3256" w:rsidRPr="00E44776" w:rsidRDefault="006F3256" w:rsidP="004A069D">
            <w:pPr>
              <w:pStyle w:val="COMTabletext"/>
              <w:keepNext w:val="0"/>
            </w:pPr>
            <w:r w:rsidRPr="00E44776">
              <w:t>Outcomes</w:t>
            </w:r>
          </w:p>
        </w:tc>
        <w:tc>
          <w:tcPr>
            <w:tcW w:w="1525" w:type="pct"/>
          </w:tcPr>
          <w:p w14:paraId="6558EC63" w14:textId="10C732D3" w:rsidR="006F3256" w:rsidRPr="00E44776" w:rsidRDefault="00CD15AF" w:rsidP="004A069D">
            <w:pPr>
              <w:pStyle w:val="COMTabletext"/>
              <w:keepNext w:val="0"/>
            </w:pPr>
            <w:r w:rsidRPr="00E44776">
              <w:t>Progression-free survival, overall response rate, overall survival, safety.</w:t>
            </w:r>
          </w:p>
        </w:tc>
        <w:tc>
          <w:tcPr>
            <w:tcW w:w="1525" w:type="pct"/>
          </w:tcPr>
          <w:p w14:paraId="61AD66D2" w14:textId="1A91C5AB" w:rsidR="006F3256" w:rsidRPr="00E44776" w:rsidRDefault="006F3256" w:rsidP="004A069D">
            <w:pPr>
              <w:pStyle w:val="COMTabletext"/>
              <w:keepNext w:val="0"/>
            </w:pPr>
            <w:r w:rsidRPr="00E44776">
              <w:t>Progression-free survival, overall response rate, time to next treatment, overall survival, safety.</w:t>
            </w:r>
          </w:p>
        </w:tc>
        <w:tc>
          <w:tcPr>
            <w:tcW w:w="1525" w:type="pct"/>
          </w:tcPr>
          <w:p w14:paraId="544E7E79" w14:textId="77777777" w:rsidR="006F3256" w:rsidRPr="00E44776" w:rsidRDefault="006F3256" w:rsidP="004A069D">
            <w:pPr>
              <w:pStyle w:val="COMTabletext"/>
              <w:keepNext w:val="0"/>
            </w:pPr>
            <w:r w:rsidRPr="00E44776">
              <w:t>Progression-free survival, overall response rate, time to next treatment, overall survival, safety.</w:t>
            </w:r>
          </w:p>
        </w:tc>
      </w:tr>
      <w:tr w:rsidR="006F3256" w:rsidRPr="00E44776" w14:paraId="39B908AA" w14:textId="77777777" w:rsidTr="004A069D">
        <w:tc>
          <w:tcPr>
            <w:tcW w:w="424" w:type="pct"/>
            <w:vAlign w:val="center"/>
          </w:tcPr>
          <w:p w14:paraId="375AE981" w14:textId="77777777" w:rsidR="006F3256" w:rsidRPr="00E44776" w:rsidRDefault="006F3256" w:rsidP="004A069D">
            <w:pPr>
              <w:pStyle w:val="COMTabletext"/>
              <w:keepNext w:val="0"/>
            </w:pPr>
            <w:r w:rsidRPr="00E44776">
              <w:t>Clinical claim</w:t>
            </w:r>
          </w:p>
        </w:tc>
        <w:tc>
          <w:tcPr>
            <w:tcW w:w="1525" w:type="pct"/>
          </w:tcPr>
          <w:p w14:paraId="0417D964" w14:textId="7C821A4C" w:rsidR="00CD15AF" w:rsidRPr="00E44776" w:rsidRDefault="00CD15AF" w:rsidP="00CD15AF">
            <w:pPr>
              <w:pStyle w:val="COMTabletext"/>
            </w:pPr>
            <w:r w:rsidRPr="00E44776">
              <w:t>In patients with previously untreated CLL considered unsuitable for treatment with a purine analogue:</w:t>
            </w:r>
          </w:p>
          <w:p w14:paraId="3AA9D386" w14:textId="77777777" w:rsidR="00CD15AF" w:rsidRPr="00E44776" w:rsidRDefault="00CD15AF" w:rsidP="00D32791">
            <w:pPr>
              <w:pStyle w:val="COMTabletext"/>
              <w:numPr>
                <w:ilvl w:val="0"/>
                <w:numId w:val="17"/>
              </w:numPr>
              <w:ind w:left="159" w:hanging="102"/>
            </w:pPr>
            <w:r w:rsidRPr="00E44776">
              <w:t>Acalabrutinib + obinutuzumab is superior in terms of efficacy, and no worse in terms of safety compared to chlorambucil + obinutuzumab.</w:t>
            </w:r>
          </w:p>
          <w:p w14:paraId="1261199F" w14:textId="77777777" w:rsidR="00CD15AF" w:rsidRPr="00E44776" w:rsidRDefault="00CD15AF" w:rsidP="00D32791">
            <w:pPr>
              <w:pStyle w:val="COMTabletext"/>
              <w:numPr>
                <w:ilvl w:val="0"/>
                <w:numId w:val="17"/>
              </w:numPr>
              <w:ind w:left="159" w:hanging="102"/>
            </w:pPr>
            <w:r w:rsidRPr="00E44776">
              <w:t xml:space="preserve">Acalabrutinib monotherapy is superior in terms of efficacy and safety compared to chlorambucil plus obinutuzumab. </w:t>
            </w:r>
          </w:p>
          <w:p w14:paraId="1F09234A" w14:textId="7D58D9E5" w:rsidR="00CD15AF" w:rsidRPr="00E44776" w:rsidRDefault="00CD15AF" w:rsidP="00D32791">
            <w:pPr>
              <w:pStyle w:val="COMTabletext"/>
              <w:numPr>
                <w:ilvl w:val="0"/>
                <w:numId w:val="17"/>
              </w:numPr>
              <w:ind w:left="159" w:hanging="102"/>
            </w:pPr>
            <w:r w:rsidRPr="00E44776">
              <w:t xml:space="preserve">Acalabrutinib + obinutuzumab is non-inferior in terms of </w:t>
            </w:r>
            <w:r w:rsidR="00F413A0" w:rsidRPr="00E44776">
              <w:t>PFS and OS</w:t>
            </w:r>
            <w:r w:rsidRPr="00E44776">
              <w:t xml:space="preserve"> but has a higher </w:t>
            </w:r>
            <w:r w:rsidR="00F413A0" w:rsidRPr="00E44776">
              <w:t>ORR</w:t>
            </w:r>
            <w:r w:rsidRPr="00E44776">
              <w:t xml:space="preserve"> compared to venetoclax + obinutuzumab and is non-inferior in terms of safety compared to venetoclax + obinutuzumab.</w:t>
            </w:r>
          </w:p>
          <w:p w14:paraId="66810800" w14:textId="02D77751" w:rsidR="00CD15AF" w:rsidRPr="00E44776" w:rsidRDefault="00CD15AF" w:rsidP="00D32791">
            <w:pPr>
              <w:pStyle w:val="COMTabletext"/>
              <w:numPr>
                <w:ilvl w:val="0"/>
                <w:numId w:val="17"/>
              </w:numPr>
              <w:ind w:left="159" w:hanging="102"/>
            </w:pPr>
            <w:r w:rsidRPr="00E44776">
              <w:t>Acalabrutinib monotherapy is non-inferior in terms of efficacy, and superior in terms of safety compared to venetoclax + obinutuzumab.</w:t>
            </w:r>
          </w:p>
          <w:p w14:paraId="7F1CE1FB" w14:textId="77777777" w:rsidR="00CD15AF" w:rsidRPr="00E44776" w:rsidRDefault="00CD15AF" w:rsidP="00CD15AF">
            <w:pPr>
              <w:pStyle w:val="COMTabletext"/>
            </w:pPr>
            <w:r w:rsidRPr="00E44776">
              <w:t>In patients with previously untreated CLL with 17p deletion considered unsuitable for treatment with a purine analogue:</w:t>
            </w:r>
          </w:p>
          <w:p w14:paraId="612702A1" w14:textId="09CFD112" w:rsidR="006F3256" w:rsidRPr="00E44776" w:rsidRDefault="00CD15AF" w:rsidP="00D32791">
            <w:pPr>
              <w:pStyle w:val="COMTabletext"/>
              <w:keepNext w:val="0"/>
              <w:numPr>
                <w:ilvl w:val="0"/>
                <w:numId w:val="17"/>
              </w:numPr>
              <w:ind w:left="159" w:hanging="102"/>
            </w:pPr>
            <w:r w:rsidRPr="00E44776">
              <w:t>Acalabrutinib monotherapy is non-inferior in terms of efficacy, and superior in terms of safety compared to ibrutinib monotherapy.</w:t>
            </w:r>
          </w:p>
        </w:tc>
        <w:tc>
          <w:tcPr>
            <w:tcW w:w="1525" w:type="pct"/>
          </w:tcPr>
          <w:p w14:paraId="35BCC65E" w14:textId="14C8BB61" w:rsidR="006F3256" w:rsidRPr="00E44776" w:rsidRDefault="006F3256" w:rsidP="004A069D">
            <w:pPr>
              <w:pStyle w:val="COMTabletext"/>
              <w:keepNext w:val="0"/>
            </w:pPr>
            <w:r w:rsidRPr="00E44776">
              <w:t xml:space="preserve">In patients with previously untreated CLL/SLL who are unsuitable for fludarabine-based </w:t>
            </w:r>
            <w:r w:rsidR="007D6516">
              <w:t>chemoimmunotherapy</w:t>
            </w:r>
            <w:r w:rsidRPr="00E44776">
              <w:t xml:space="preserve"> and venetoclax + obinutuzumab, or who become intolerant to venetoclax + obinutuzumab, acalabrutinib is superior in terms of efficacy and safety compared to chlorambucil + obinutuzumab.</w:t>
            </w:r>
          </w:p>
        </w:tc>
        <w:tc>
          <w:tcPr>
            <w:tcW w:w="1525" w:type="pct"/>
          </w:tcPr>
          <w:p w14:paraId="2612C916" w14:textId="07F23968" w:rsidR="006F3256" w:rsidRPr="00E44776" w:rsidRDefault="006F3256" w:rsidP="004A069D">
            <w:pPr>
              <w:pStyle w:val="COMTabletext"/>
              <w:keepNext w:val="0"/>
              <w:rPr>
                <w:u w:val="single"/>
              </w:rPr>
            </w:pPr>
            <w:r w:rsidRPr="00E44776">
              <w:t xml:space="preserve">In patients with previously untreated CLL/SLL who are unsuitable for fludarabine-based </w:t>
            </w:r>
            <w:r w:rsidR="007D6516">
              <w:t>chemoimmunotherapy</w:t>
            </w:r>
            <w:r w:rsidRPr="00E44776">
              <w:t>, acalabrutinib + obinutuzumab is superior to venetoclax + obinutuzumab in terms of efficacy and safety.</w:t>
            </w:r>
          </w:p>
        </w:tc>
      </w:tr>
    </w:tbl>
    <w:p w14:paraId="0A8E3A07" w14:textId="0C2FD659" w:rsidR="00102B06" w:rsidRPr="00E44776" w:rsidRDefault="00102B06" w:rsidP="00102B06">
      <w:pPr>
        <w:pStyle w:val="COMTablefooter"/>
      </w:pPr>
      <w:r w:rsidRPr="00E44776">
        <w:t>Source:</w:t>
      </w:r>
      <w:r w:rsidR="00CD15AF" w:rsidRPr="00E44776">
        <w:t xml:space="preserve"> Table 1.1.1 of the July 2020 acalabrutinib commentary document; Table 1.1.1 of the November 2021 acalabrutinib commentary document; </w:t>
      </w:r>
      <w:r w:rsidRPr="00E44776">
        <w:t>Table 1.2 pf the resubmission.</w:t>
      </w:r>
    </w:p>
    <w:p w14:paraId="0D54D0F9" w14:textId="4303AD4F" w:rsidR="00102B06" w:rsidRPr="00E44776" w:rsidRDefault="00102B06" w:rsidP="00102B06">
      <w:pPr>
        <w:pStyle w:val="COMTablefooter"/>
      </w:pPr>
      <w:r w:rsidRPr="00E44776">
        <w:t xml:space="preserve">CLL = chronic lymphocytic leukaemia, </w:t>
      </w:r>
      <w:r w:rsidR="006A3A6C" w:rsidRPr="00E44776">
        <w:t>CIRS</w:t>
      </w:r>
      <w:r w:rsidR="00681F2B" w:rsidRPr="00E44776">
        <w:t xml:space="preserve"> = </w:t>
      </w:r>
      <w:r w:rsidR="006A3A6C" w:rsidRPr="00E44776">
        <w:t>Cumulative Illness Rating Scale, CrCl</w:t>
      </w:r>
      <w:r w:rsidR="00681F2B" w:rsidRPr="00E44776">
        <w:t xml:space="preserve"> =</w:t>
      </w:r>
      <w:r w:rsidR="006A3A6C" w:rsidRPr="00E44776">
        <w:t xml:space="preserve"> creatinine clearance, </w:t>
      </w:r>
      <w:r w:rsidRPr="00E44776">
        <w:t>SLL = small lymphocytic leukaemia</w:t>
      </w:r>
      <w:r w:rsidR="0018359A" w:rsidRPr="00E44776">
        <w:t>, TLS</w:t>
      </w:r>
      <w:r w:rsidR="00681F2B" w:rsidRPr="00E44776">
        <w:t xml:space="preserve"> =</w:t>
      </w:r>
      <w:r w:rsidR="0018359A" w:rsidRPr="00E44776">
        <w:t xml:space="preserve"> tumour lysis syndrome</w:t>
      </w:r>
    </w:p>
    <w:p w14:paraId="6B4AB6C2" w14:textId="7F01D731" w:rsidR="005C25FF" w:rsidRPr="00E44776" w:rsidRDefault="005C25FF" w:rsidP="004A6040">
      <w:pPr>
        <w:pStyle w:val="COMH1numbered"/>
      </w:pPr>
      <w:bookmarkStart w:id="4" w:name="_Toc114048839"/>
      <w:r w:rsidRPr="00E44776">
        <w:t>Background</w:t>
      </w:r>
      <w:bookmarkEnd w:id="4"/>
    </w:p>
    <w:p w14:paraId="2C521D6D" w14:textId="32609F54" w:rsidR="005C25FF" w:rsidRPr="00422C89" w:rsidRDefault="005C25FF" w:rsidP="004A6040">
      <w:pPr>
        <w:pStyle w:val="COMH2-non-numbered"/>
        <w:rPr>
          <w:iCs/>
        </w:rPr>
      </w:pPr>
      <w:bookmarkStart w:id="5" w:name="_Toc22897638"/>
      <w:bookmarkStart w:id="6" w:name="_Toc114048840"/>
      <w:r w:rsidRPr="00422C89">
        <w:rPr>
          <w:iCs/>
        </w:rPr>
        <w:t>Registration status</w:t>
      </w:r>
      <w:bookmarkEnd w:id="5"/>
      <w:bookmarkEnd w:id="6"/>
    </w:p>
    <w:p w14:paraId="49375AAA" w14:textId="77777777" w:rsidR="00C23725" w:rsidRPr="00E44776" w:rsidRDefault="00C23725" w:rsidP="00C23725">
      <w:pPr>
        <w:pStyle w:val="ExecSumBodyText"/>
        <w:numPr>
          <w:ilvl w:val="1"/>
          <w:numId w:val="1"/>
        </w:numPr>
      </w:pPr>
      <w:r w:rsidRPr="00E44776">
        <w:t>Acalabrutinib was registered on the ARTG on 21 November 2019 for the treatment of patients with CLL/SLL.</w:t>
      </w:r>
    </w:p>
    <w:p w14:paraId="1EBF236C" w14:textId="250E4F7A" w:rsidR="002E4F02" w:rsidRPr="00422C89" w:rsidRDefault="005C25FF" w:rsidP="009D7133">
      <w:pPr>
        <w:pStyle w:val="COMH2-non-numbered"/>
        <w:rPr>
          <w:iCs/>
        </w:rPr>
      </w:pPr>
      <w:bookmarkStart w:id="7" w:name="_Toc22897639"/>
      <w:bookmarkStart w:id="8" w:name="_Toc114048841"/>
      <w:r w:rsidRPr="00422C89">
        <w:rPr>
          <w:iCs/>
        </w:rPr>
        <w:lastRenderedPageBreak/>
        <w:t>Previous PBAC consideration</w:t>
      </w:r>
      <w:bookmarkEnd w:id="7"/>
      <w:bookmarkEnd w:id="8"/>
    </w:p>
    <w:p w14:paraId="2A23A49F" w14:textId="4D2A27BF" w:rsidR="005C25FF" w:rsidRPr="00E44776" w:rsidRDefault="00501906" w:rsidP="009D7133">
      <w:pPr>
        <w:pStyle w:val="COMtablefigcaption"/>
      </w:pPr>
      <w:r w:rsidRPr="00E44776">
        <w:t xml:space="preserve">Table </w:t>
      </w:r>
      <w:r w:rsidR="00B53F47">
        <w:fldChar w:fldCharType="begin" w:fldLock="1"/>
      </w:r>
      <w:r w:rsidR="00B53F47">
        <w:instrText xml:space="preserve"> SEQ Ta</w:instrText>
      </w:r>
      <w:r w:rsidR="00B53F47">
        <w:instrText xml:space="preserve">ble \* ARABIC </w:instrText>
      </w:r>
      <w:r w:rsidR="00B53F47">
        <w:fldChar w:fldCharType="separate"/>
      </w:r>
      <w:r w:rsidR="00CB2B8B">
        <w:rPr>
          <w:noProof/>
        </w:rPr>
        <w:t>2</w:t>
      </w:r>
      <w:r w:rsidR="00B53F47">
        <w:rPr>
          <w:noProof/>
        </w:rPr>
        <w:fldChar w:fldCharType="end"/>
      </w:r>
      <w:r w:rsidR="00696EF9" w:rsidRPr="00E44776">
        <w:t>:</w:t>
      </w:r>
      <w:r w:rsidR="005C25FF" w:rsidRPr="00E44776">
        <w:t xml:space="preserve"> Summary of key matters of concern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2: Summary of key matters of concern"/>
      </w:tblPr>
      <w:tblGrid>
        <w:gridCol w:w="1351"/>
        <w:gridCol w:w="4638"/>
        <w:gridCol w:w="3028"/>
      </w:tblGrid>
      <w:tr w:rsidR="001E6CF1" w:rsidRPr="00E44776" w14:paraId="6747F8E1" w14:textId="77777777" w:rsidTr="005B7BF2">
        <w:trPr>
          <w:cantSplit/>
          <w:tblHeader/>
        </w:trPr>
        <w:tc>
          <w:tcPr>
            <w:tcW w:w="749" w:type="pct"/>
            <w:vAlign w:val="center"/>
          </w:tcPr>
          <w:p w14:paraId="346F438D" w14:textId="77777777" w:rsidR="005C25FF" w:rsidRPr="00E44776" w:rsidRDefault="005C25FF" w:rsidP="009D7133">
            <w:pPr>
              <w:pStyle w:val="COMTableheadingrow"/>
            </w:pPr>
            <w:r w:rsidRPr="00E44776">
              <w:t>Component</w:t>
            </w:r>
          </w:p>
        </w:tc>
        <w:tc>
          <w:tcPr>
            <w:tcW w:w="2572" w:type="pct"/>
            <w:vAlign w:val="center"/>
          </w:tcPr>
          <w:p w14:paraId="2B7F3F42" w14:textId="77777777" w:rsidR="005C25FF" w:rsidRPr="00E44776" w:rsidRDefault="005C25FF" w:rsidP="009D7133">
            <w:pPr>
              <w:pStyle w:val="COMTableheadingrow"/>
              <w:jc w:val="center"/>
            </w:pPr>
            <w:r w:rsidRPr="00E44776">
              <w:t>Matter of concern</w:t>
            </w:r>
          </w:p>
        </w:tc>
        <w:tc>
          <w:tcPr>
            <w:tcW w:w="1679" w:type="pct"/>
          </w:tcPr>
          <w:p w14:paraId="4BAA81F2" w14:textId="77777777" w:rsidR="005C25FF" w:rsidRPr="00E44776" w:rsidRDefault="005C25FF" w:rsidP="009D7133">
            <w:pPr>
              <w:pStyle w:val="COMTableheadingrow"/>
              <w:jc w:val="center"/>
            </w:pPr>
            <w:r w:rsidRPr="00E44776">
              <w:t>How the resubmission addresses it</w:t>
            </w:r>
          </w:p>
        </w:tc>
      </w:tr>
      <w:tr w:rsidR="00E46D4A" w:rsidRPr="00E44776" w14:paraId="4DC5BE5A" w14:textId="77777777" w:rsidTr="005B7BF2">
        <w:trPr>
          <w:cantSplit/>
        </w:trPr>
        <w:tc>
          <w:tcPr>
            <w:tcW w:w="749" w:type="pct"/>
          </w:tcPr>
          <w:p w14:paraId="0B10836B" w14:textId="105E65F3" w:rsidR="00E46D4A" w:rsidRPr="00E44776" w:rsidRDefault="00D54986" w:rsidP="00933FF0">
            <w:pPr>
              <w:pStyle w:val="COMTabletext"/>
              <w:keepNext w:val="0"/>
            </w:pPr>
            <w:r w:rsidRPr="00E44776">
              <w:t>Proposed population</w:t>
            </w:r>
          </w:p>
        </w:tc>
        <w:tc>
          <w:tcPr>
            <w:tcW w:w="2572" w:type="pct"/>
          </w:tcPr>
          <w:p w14:paraId="138E5E97" w14:textId="18E73E38" w:rsidR="00E46D4A" w:rsidRPr="00E44776" w:rsidRDefault="00E46D4A" w:rsidP="00933FF0">
            <w:pPr>
              <w:pStyle w:val="COMTabletext"/>
              <w:keepNext w:val="0"/>
              <w:rPr>
                <w:rFonts w:eastAsia="Times New Roman" w:cs="Arial"/>
                <w:bCs w:val="0"/>
                <w:snapToGrid w:val="0"/>
                <w:szCs w:val="20"/>
              </w:rPr>
            </w:pPr>
            <w:r w:rsidRPr="00E44776">
              <w:rPr>
                <w:rFonts w:eastAsia="Times New Roman" w:cs="Arial"/>
                <w:bCs w:val="0"/>
                <w:snapToGrid w:val="0"/>
                <w:szCs w:val="20"/>
              </w:rPr>
              <w:t>The PBAC noted that the resubmission had proposed listing in a narrower population</w:t>
            </w:r>
            <w:r w:rsidR="00AB3989" w:rsidRPr="00E44776">
              <w:rPr>
                <w:rFonts w:eastAsia="Times New Roman" w:cs="Arial"/>
                <w:bCs w:val="0"/>
                <w:snapToGrid w:val="0"/>
                <w:szCs w:val="20"/>
              </w:rPr>
              <w:t xml:space="preserve"> </w:t>
            </w:r>
            <w:r w:rsidRPr="00E44776">
              <w:rPr>
                <w:rFonts w:eastAsia="Times New Roman" w:cs="Arial"/>
                <w:bCs w:val="0"/>
                <w:snapToGrid w:val="0"/>
                <w:szCs w:val="20"/>
              </w:rPr>
              <w:t>tha</w:t>
            </w:r>
            <w:r w:rsidR="00691A52" w:rsidRPr="00E44776">
              <w:rPr>
                <w:rFonts w:eastAsia="Times New Roman" w:cs="Arial"/>
                <w:bCs w:val="0"/>
                <w:snapToGrid w:val="0"/>
                <w:szCs w:val="20"/>
              </w:rPr>
              <w:t>n</w:t>
            </w:r>
            <w:r w:rsidRPr="00E44776">
              <w:rPr>
                <w:rFonts w:eastAsia="Times New Roman" w:cs="Arial"/>
                <w:bCs w:val="0"/>
                <w:snapToGrid w:val="0"/>
                <w:szCs w:val="20"/>
              </w:rPr>
              <w:t xml:space="preserve"> the original submission</w:t>
            </w:r>
            <w:r w:rsidR="00AB3989" w:rsidRPr="00E44776">
              <w:rPr>
                <w:rFonts w:eastAsia="Times New Roman" w:cs="Arial"/>
                <w:bCs w:val="0"/>
                <w:snapToGrid w:val="0"/>
                <w:szCs w:val="20"/>
              </w:rPr>
              <w:t>.</w:t>
            </w:r>
            <w:r w:rsidRPr="00E44776">
              <w:rPr>
                <w:rFonts w:eastAsia="Times New Roman" w:cs="Arial"/>
                <w:bCs w:val="0"/>
                <w:snapToGrid w:val="0"/>
                <w:szCs w:val="20"/>
              </w:rPr>
              <w:t xml:space="preserve"> </w:t>
            </w:r>
            <w:bookmarkStart w:id="9" w:name="_Hlk109729685"/>
            <w:r w:rsidRPr="00E44776">
              <w:rPr>
                <w:rFonts w:eastAsia="Times New Roman" w:cs="Arial"/>
                <w:bCs w:val="0"/>
                <w:snapToGrid w:val="0"/>
                <w:szCs w:val="20"/>
              </w:rPr>
              <w:t xml:space="preserve">The PBAC </w:t>
            </w:r>
            <w:r w:rsidR="00AB3989" w:rsidRPr="00E44776">
              <w:rPr>
                <w:rFonts w:eastAsia="Times New Roman" w:cs="Arial"/>
                <w:bCs w:val="0"/>
                <w:snapToGrid w:val="0"/>
                <w:szCs w:val="20"/>
              </w:rPr>
              <w:t>considered that</w:t>
            </w:r>
            <w:r w:rsidRPr="00E44776">
              <w:rPr>
                <w:rFonts w:eastAsia="Times New Roman" w:cs="Arial"/>
                <w:bCs w:val="0"/>
                <w:snapToGrid w:val="0"/>
                <w:szCs w:val="20"/>
              </w:rPr>
              <w:t xml:space="preserve"> there was a clinical rationale for the</w:t>
            </w:r>
            <w:r w:rsidR="00AB3989" w:rsidRPr="00E44776">
              <w:rPr>
                <w:rFonts w:eastAsia="Times New Roman" w:cs="Arial"/>
                <w:bCs w:val="0"/>
                <w:snapToGrid w:val="0"/>
                <w:szCs w:val="20"/>
              </w:rPr>
              <w:t xml:space="preserve"> </w:t>
            </w:r>
            <w:r w:rsidRPr="00E44776">
              <w:rPr>
                <w:rFonts w:eastAsia="Times New Roman" w:cs="Arial"/>
                <w:bCs w:val="0"/>
                <w:snapToGrid w:val="0"/>
                <w:szCs w:val="20"/>
              </w:rPr>
              <w:t>narrower listing, but that the clinical need could also be addressed with a broader</w:t>
            </w:r>
            <w:r w:rsidR="00AB3989" w:rsidRPr="00E44776">
              <w:rPr>
                <w:rFonts w:eastAsia="Times New Roman" w:cs="Arial"/>
                <w:bCs w:val="0"/>
                <w:snapToGrid w:val="0"/>
                <w:szCs w:val="20"/>
              </w:rPr>
              <w:t xml:space="preserve"> </w:t>
            </w:r>
            <w:r w:rsidRPr="00E44776">
              <w:rPr>
                <w:rFonts w:eastAsia="Times New Roman" w:cs="Arial"/>
                <w:bCs w:val="0"/>
                <w:snapToGrid w:val="0"/>
                <w:szCs w:val="20"/>
              </w:rPr>
              <w:t>listing extended to the population who are unsuitable for fludarabine-based</w:t>
            </w:r>
            <w:r w:rsidR="00A62E45" w:rsidRPr="00E44776">
              <w:rPr>
                <w:rFonts w:eastAsia="Times New Roman" w:cs="Arial"/>
                <w:bCs w:val="0"/>
                <w:snapToGrid w:val="0"/>
                <w:szCs w:val="20"/>
              </w:rPr>
              <w:t xml:space="preserve"> </w:t>
            </w:r>
            <w:r w:rsidRPr="00E44776">
              <w:rPr>
                <w:rFonts w:eastAsia="Times New Roman" w:cs="Arial"/>
                <w:bCs w:val="0"/>
                <w:snapToGrid w:val="0"/>
                <w:szCs w:val="20"/>
              </w:rPr>
              <w:t>chemotherapy</w:t>
            </w:r>
            <w:r w:rsidR="00D54986" w:rsidRPr="00E44776">
              <w:rPr>
                <w:rFonts w:eastAsia="Times New Roman" w:cs="Arial"/>
                <w:bCs w:val="0"/>
                <w:snapToGrid w:val="0"/>
                <w:szCs w:val="20"/>
              </w:rPr>
              <w:t xml:space="preserve"> (</w:t>
            </w:r>
            <w:r w:rsidR="00691A52" w:rsidRPr="00E44776">
              <w:rPr>
                <w:rFonts w:eastAsia="Times New Roman" w:cs="Arial"/>
                <w:bCs w:val="0"/>
                <w:snapToGrid w:val="0"/>
                <w:szCs w:val="20"/>
              </w:rPr>
              <w:t>p</w:t>
            </w:r>
            <w:r w:rsidR="00D54986" w:rsidRPr="00E44776">
              <w:rPr>
                <w:rFonts w:eastAsia="Times New Roman" w:cs="Arial"/>
                <w:bCs w:val="0"/>
                <w:snapToGrid w:val="0"/>
                <w:szCs w:val="20"/>
              </w:rPr>
              <w:t>ara 7.5, November 2021 PSD).</w:t>
            </w:r>
            <w:bookmarkEnd w:id="9"/>
          </w:p>
        </w:tc>
        <w:tc>
          <w:tcPr>
            <w:tcW w:w="1679" w:type="pct"/>
          </w:tcPr>
          <w:p w14:paraId="57CF7B9B" w14:textId="4047BDB0" w:rsidR="00E46D4A" w:rsidRPr="00E44776" w:rsidRDefault="001B4FEE" w:rsidP="00933FF0">
            <w:pPr>
              <w:pStyle w:val="COMTabletext"/>
              <w:keepNext w:val="0"/>
            </w:pPr>
            <w:r w:rsidRPr="00E44776">
              <w:t xml:space="preserve">Addressed. The resubmission requested listing for </w:t>
            </w:r>
            <w:r w:rsidR="00737439" w:rsidRPr="00E44776">
              <w:t>a</w:t>
            </w:r>
            <w:r w:rsidRPr="00E44776">
              <w:t xml:space="preserve"> broader </w:t>
            </w:r>
            <w:r w:rsidR="00737439" w:rsidRPr="00E44776">
              <w:t xml:space="preserve">patient </w:t>
            </w:r>
            <w:r w:rsidRPr="00E44776">
              <w:t xml:space="preserve">population </w:t>
            </w:r>
            <w:r w:rsidR="00737439" w:rsidRPr="00E44776">
              <w:t>(</w:t>
            </w:r>
            <w:r w:rsidRPr="00E44776">
              <w:t>patients who are unsuitable for treatment with fludarabine-based chemoimmunotherapy</w:t>
            </w:r>
            <w:r w:rsidR="00737439" w:rsidRPr="00E44776">
              <w:t>)</w:t>
            </w:r>
            <w:r w:rsidRPr="00E44776">
              <w:t>.</w:t>
            </w:r>
          </w:p>
        </w:tc>
      </w:tr>
      <w:tr w:rsidR="00C82FB3" w:rsidRPr="00E44776" w14:paraId="3E9E6617" w14:textId="77777777" w:rsidTr="005B7BF2">
        <w:trPr>
          <w:cantSplit/>
        </w:trPr>
        <w:tc>
          <w:tcPr>
            <w:tcW w:w="749" w:type="pct"/>
          </w:tcPr>
          <w:p w14:paraId="595FDFF6" w14:textId="4E34CEEF" w:rsidR="00AD3786" w:rsidRPr="00E44776" w:rsidRDefault="00D54986" w:rsidP="00933FF0">
            <w:pPr>
              <w:pStyle w:val="COMTabletext"/>
              <w:keepNext w:val="0"/>
            </w:pPr>
            <w:r w:rsidRPr="00E44776">
              <w:t>Comparator</w:t>
            </w:r>
          </w:p>
        </w:tc>
        <w:tc>
          <w:tcPr>
            <w:tcW w:w="2572" w:type="pct"/>
          </w:tcPr>
          <w:p w14:paraId="4E1FCA3E" w14:textId="2001E002" w:rsidR="00AD3786" w:rsidRPr="00E44776" w:rsidRDefault="00AD3786" w:rsidP="00933FF0">
            <w:pPr>
              <w:pStyle w:val="COMTabletext"/>
              <w:keepNext w:val="0"/>
              <w:rPr>
                <w:rFonts w:eastAsia="Times New Roman" w:cs="Arial"/>
                <w:bCs w:val="0"/>
                <w:snapToGrid w:val="0"/>
                <w:szCs w:val="20"/>
              </w:rPr>
            </w:pPr>
            <w:r w:rsidRPr="00E44776">
              <w:rPr>
                <w:rFonts w:eastAsia="Times New Roman" w:cs="Arial"/>
                <w:bCs w:val="0"/>
                <w:snapToGrid w:val="0"/>
                <w:szCs w:val="20"/>
              </w:rPr>
              <w:t>Based on the proposed restriction, the PBAC considered venetoclax +</w:t>
            </w:r>
            <w:r w:rsidR="00C82FB3" w:rsidRPr="00E44776">
              <w:rPr>
                <w:rFonts w:eastAsia="Times New Roman" w:cs="Arial"/>
                <w:bCs w:val="0"/>
                <w:snapToGrid w:val="0"/>
                <w:szCs w:val="20"/>
              </w:rPr>
              <w:t xml:space="preserve"> </w:t>
            </w:r>
            <w:r w:rsidRPr="00E44776">
              <w:rPr>
                <w:rFonts w:eastAsia="Times New Roman" w:cs="Arial"/>
                <w:bCs w:val="0"/>
                <w:snapToGrid w:val="0"/>
                <w:szCs w:val="20"/>
              </w:rPr>
              <w:t>obinutuzumab to be a relevant comparator (</w:t>
            </w:r>
            <w:r w:rsidR="00691A52" w:rsidRPr="00E44776">
              <w:rPr>
                <w:rFonts w:eastAsia="Times New Roman" w:cs="Arial"/>
                <w:bCs w:val="0"/>
                <w:snapToGrid w:val="0"/>
                <w:szCs w:val="20"/>
              </w:rPr>
              <w:t>p</w:t>
            </w:r>
            <w:r w:rsidRPr="00E44776">
              <w:rPr>
                <w:rFonts w:eastAsia="Times New Roman" w:cs="Arial"/>
                <w:bCs w:val="0"/>
                <w:snapToGrid w:val="0"/>
                <w:szCs w:val="20"/>
              </w:rPr>
              <w:t xml:space="preserve">ara 7.6, </w:t>
            </w:r>
            <w:r w:rsidR="00C82FB3" w:rsidRPr="00E44776">
              <w:rPr>
                <w:rFonts w:eastAsia="Times New Roman" w:cs="Arial"/>
                <w:bCs w:val="0"/>
                <w:snapToGrid w:val="0"/>
                <w:szCs w:val="20"/>
              </w:rPr>
              <w:t>November 2021 PSD).</w:t>
            </w:r>
          </w:p>
        </w:tc>
        <w:tc>
          <w:tcPr>
            <w:tcW w:w="1679" w:type="pct"/>
          </w:tcPr>
          <w:p w14:paraId="349E7940" w14:textId="22420F76" w:rsidR="00AD3786" w:rsidRPr="00E44776" w:rsidRDefault="00AB3EB0" w:rsidP="00933FF0">
            <w:pPr>
              <w:pStyle w:val="COMTabletext"/>
              <w:keepNext w:val="0"/>
            </w:pPr>
            <w:r w:rsidRPr="00E44776">
              <w:t xml:space="preserve">Addressed. Venetoclax + obinutuzumab was nominated as the main comparator </w:t>
            </w:r>
            <w:r w:rsidR="00737439" w:rsidRPr="00E44776">
              <w:t>in</w:t>
            </w:r>
            <w:r w:rsidRPr="00E44776">
              <w:t xml:space="preserve"> the resubmission.</w:t>
            </w:r>
          </w:p>
        </w:tc>
      </w:tr>
      <w:tr w:rsidR="001E6CF1" w:rsidRPr="00E44776" w14:paraId="228F2BA8" w14:textId="77777777" w:rsidTr="005B7BF2">
        <w:trPr>
          <w:cantSplit/>
        </w:trPr>
        <w:tc>
          <w:tcPr>
            <w:tcW w:w="749" w:type="pct"/>
            <w:vAlign w:val="center"/>
          </w:tcPr>
          <w:p w14:paraId="5ABE3EF1" w14:textId="77777777" w:rsidR="005C25FF" w:rsidRPr="00E44776" w:rsidRDefault="005C25FF" w:rsidP="00933FF0">
            <w:pPr>
              <w:pStyle w:val="COMTabletext"/>
              <w:keepNext w:val="0"/>
            </w:pPr>
            <w:r w:rsidRPr="00E44776">
              <w:t>Clinical place in therapy</w:t>
            </w:r>
          </w:p>
        </w:tc>
        <w:tc>
          <w:tcPr>
            <w:tcW w:w="2572" w:type="pct"/>
          </w:tcPr>
          <w:p w14:paraId="4F817F43" w14:textId="6E73CCA5" w:rsidR="005C25FF" w:rsidRPr="00E44776" w:rsidRDefault="00850852" w:rsidP="00933FF0">
            <w:pPr>
              <w:pStyle w:val="COMTabletext"/>
              <w:keepNext w:val="0"/>
              <w:rPr>
                <w:rFonts w:eastAsia="Times New Roman" w:cs="Arial"/>
                <w:bCs w:val="0"/>
                <w:snapToGrid w:val="0"/>
                <w:szCs w:val="20"/>
              </w:rPr>
            </w:pPr>
            <w:r w:rsidRPr="00E44776">
              <w:rPr>
                <w:rFonts w:eastAsia="Times New Roman" w:cs="Arial"/>
                <w:bCs w:val="0"/>
                <w:snapToGrid w:val="0"/>
                <w:szCs w:val="20"/>
              </w:rPr>
              <w:t>The PBAC noted that although a post hoc analysis of the pivotal clinical trial (ELEVATE-TN) demonstrated that acalabrutinib + obinutuzumab was superior to acalabrutinib monotherapy on the basis of independent review committee-assessed progression free survival (HR = 0.49 [95% CI: 0.26, 0.95]), combination therapy was associated with substantial additional toxicity. Overall</w:t>
            </w:r>
            <w:r w:rsidR="001C3FBD" w:rsidRPr="00E44776">
              <w:rPr>
                <w:rFonts w:eastAsia="Times New Roman" w:cs="Arial"/>
                <w:bCs w:val="0"/>
                <w:snapToGrid w:val="0"/>
                <w:szCs w:val="20"/>
              </w:rPr>
              <w:t>,</w:t>
            </w:r>
            <w:r w:rsidRPr="00E44776">
              <w:rPr>
                <w:rFonts w:eastAsia="Times New Roman" w:cs="Arial"/>
                <w:bCs w:val="0"/>
                <w:snapToGrid w:val="0"/>
                <w:szCs w:val="20"/>
              </w:rPr>
              <w:t xml:space="preserve"> the Committee considered it likely that acalabrutinib monotherapy would be used in the majority of patients unsuitable for treatment with a purine analogue given the additional toxicity of combination therapy together with the general frailty of the patient population</w:t>
            </w:r>
            <w:r w:rsidR="00E06501" w:rsidRPr="00E44776">
              <w:rPr>
                <w:rFonts w:eastAsia="Times New Roman" w:cs="Arial"/>
                <w:bCs w:val="0"/>
                <w:snapToGrid w:val="0"/>
                <w:szCs w:val="20"/>
              </w:rPr>
              <w:t xml:space="preserve"> (</w:t>
            </w:r>
            <w:r w:rsidR="00691A52" w:rsidRPr="00E44776">
              <w:rPr>
                <w:rFonts w:eastAsia="Times New Roman" w:cs="Arial"/>
                <w:bCs w:val="0"/>
                <w:snapToGrid w:val="0"/>
                <w:szCs w:val="20"/>
              </w:rPr>
              <w:t>p</w:t>
            </w:r>
            <w:r w:rsidR="00E06501" w:rsidRPr="00E44776">
              <w:rPr>
                <w:rFonts w:eastAsia="Times New Roman" w:cs="Arial"/>
                <w:bCs w:val="0"/>
                <w:snapToGrid w:val="0"/>
                <w:szCs w:val="20"/>
              </w:rPr>
              <w:t>ara 7.3, July 2020 PSD).</w:t>
            </w:r>
          </w:p>
        </w:tc>
        <w:tc>
          <w:tcPr>
            <w:tcW w:w="1679" w:type="pct"/>
          </w:tcPr>
          <w:p w14:paraId="35FC13C5" w14:textId="3297DCEB" w:rsidR="005C25FF" w:rsidRPr="00E44776" w:rsidRDefault="00561DAE" w:rsidP="00933FF0">
            <w:pPr>
              <w:pStyle w:val="COMTabletext"/>
              <w:keepNext w:val="0"/>
              <w:rPr>
                <w:rFonts w:eastAsia="Times New Roman" w:cs="Arial"/>
                <w:bCs w:val="0"/>
                <w:snapToGrid w:val="0"/>
                <w:szCs w:val="20"/>
              </w:rPr>
            </w:pPr>
            <w:r w:rsidRPr="00E44776">
              <w:rPr>
                <w:rFonts w:eastAsia="Times New Roman" w:cs="Arial"/>
                <w:bCs w:val="0"/>
                <w:snapToGrid w:val="0"/>
                <w:szCs w:val="20"/>
              </w:rPr>
              <w:t xml:space="preserve">Listing </w:t>
            </w:r>
            <w:r w:rsidR="00AB3EB0" w:rsidRPr="00E44776">
              <w:rPr>
                <w:rFonts w:eastAsia="Times New Roman" w:cs="Arial"/>
                <w:bCs w:val="0"/>
                <w:snapToGrid w:val="0"/>
                <w:szCs w:val="20"/>
              </w:rPr>
              <w:t xml:space="preserve">was only </w:t>
            </w:r>
            <w:r w:rsidRPr="00E44776">
              <w:rPr>
                <w:rFonts w:eastAsia="Times New Roman" w:cs="Arial"/>
                <w:bCs w:val="0"/>
                <w:snapToGrid w:val="0"/>
                <w:szCs w:val="20"/>
              </w:rPr>
              <w:t xml:space="preserve">requested for </w:t>
            </w:r>
            <w:r w:rsidR="00AB3EB0" w:rsidRPr="00E44776">
              <w:rPr>
                <w:rFonts w:eastAsia="Times New Roman" w:cs="Arial"/>
                <w:bCs w:val="0"/>
                <w:snapToGrid w:val="0"/>
                <w:szCs w:val="20"/>
              </w:rPr>
              <w:t xml:space="preserve">combination therapy with </w:t>
            </w:r>
            <w:r w:rsidRPr="00E44776">
              <w:rPr>
                <w:rFonts w:eastAsia="Times New Roman" w:cs="Arial"/>
                <w:bCs w:val="0"/>
                <w:snapToGrid w:val="0"/>
                <w:szCs w:val="20"/>
              </w:rPr>
              <w:t>acalabrutinib + obinutuzumab</w:t>
            </w:r>
            <w:r w:rsidR="00AB3EB0" w:rsidRPr="00E44776">
              <w:rPr>
                <w:rFonts w:eastAsia="Times New Roman" w:cs="Arial"/>
                <w:bCs w:val="0"/>
                <w:snapToGrid w:val="0"/>
                <w:szCs w:val="20"/>
              </w:rPr>
              <w:t>.</w:t>
            </w:r>
          </w:p>
        </w:tc>
      </w:tr>
      <w:tr w:rsidR="00CB4ED7" w:rsidRPr="00E44776" w14:paraId="20B92393" w14:textId="77777777" w:rsidTr="005B7BF2">
        <w:trPr>
          <w:cantSplit/>
        </w:trPr>
        <w:tc>
          <w:tcPr>
            <w:tcW w:w="749" w:type="pct"/>
            <w:vAlign w:val="center"/>
          </w:tcPr>
          <w:p w14:paraId="6177720D" w14:textId="2E8F5255" w:rsidR="00CB4ED7" w:rsidRPr="00E44776" w:rsidRDefault="001E3BF3" w:rsidP="00933FF0">
            <w:pPr>
              <w:pStyle w:val="COMTabletext"/>
              <w:keepNext w:val="0"/>
            </w:pPr>
            <w:r w:rsidRPr="00E44776">
              <w:t>Clinical effectiveness</w:t>
            </w:r>
          </w:p>
        </w:tc>
        <w:tc>
          <w:tcPr>
            <w:tcW w:w="2572" w:type="pct"/>
          </w:tcPr>
          <w:p w14:paraId="3E5F4CBE" w14:textId="6428EBD6" w:rsidR="00CB4ED7" w:rsidRPr="00E44776" w:rsidRDefault="00FD242C" w:rsidP="00933FF0">
            <w:pPr>
              <w:pStyle w:val="COMTabletext"/>
              <w:keepNext w:val="0"/>
              <w:rPr>
                <w:rFonts w:eastAsia="Times New Roman" w:cs="Arial"/>
                <w:bCs w:val="0"/>
                <w:snapToGrid w:val="0"/>
                <w:szCs w:val="20"/>
              </w:rPr>
            </w:pPr>
            <w:bookmarkStart w:id="10" w:name="_Hlk121838814"/>
            <w:r w:rsidRPr="00E44776">
              <w:rPr>
                <w:rFonts w:eastAsia="Times New Roman" w:cs="Arial"/>
                <w:bCs w:val="0"/>
                <w:snapToGrid w:val="0"/>
                <w:szCs w:val="20"/>
              </w:rPr>
              <w:t>T</w:t>
            </w:r>
            <w:r w:rsidR="00CB4ED7" w:rsidRPr="00E44776">
              <w:rPr>
                <w:rFonts w:eastAsia="Times New Roman" w:cs="Arial"/>
                <w:bCs w:val="0"/>
                <w:snapToGrid w:val="0"/>
                <w:szCs w:val="20"/>
              </w:rPr>
              <w:t>he PBAC considered that the efficacy and safety matching adjusted indirect</w:t>
            </w:r>
            <w:r w:rsidR="001E6CF1" w:rsidRPr="00E44776">
              <w:rPr>
                <w:rFonts w:eastAsia="Times New Roman" w:cs="Arial"/>
                <w:bCs w:val="0"/>
                <w:snapToGrid w:val="0"/>
                <w:szCs w:val="20"/>
              </w:rPr>
              <w:t xml:space="preserve"> </w:t>
            </w:r>
            <w:r w:rsidR="00CB4ED7" w:rsidRPr="00E44776">
              <w:rPr>
                <w:rFonts w:eastAsia="Times New Roman" w:cs="Arial"/>
                <w:bCs w:val="0"/>
                <w:snapToGrid w:val="0"/>
                <w:szCs w:val="20"/>
              </w:rPr>
              <w:t>comparisons (MAICs) between both acalabrutinib monotherapy and acalabrutinib +</w:t>
            </w:r>
            <w:r w:rsidR="001E6CF1" w:rsidRPr="00E44776">
              <w:rPr>
                <w:rFonts w:eastAsia="Times New Roman" w:cs="Arial"/>
                <w:bCs w:val="0"/>
                <w:snapToGrid w:val="0"/>
                <w:szCs w:val="20"/>
              </w:rPr>
              <w:t xml:space="preserve"> </w:t>
            </w:r>
            <w:r w:rsidR="00CB4ED7" w:rsidRPr="00E44776">
              <w:rPr>
                <w:rFonts w:eastAsia="Times New Roman" w:cs="Arial"/>
                <w:bCs w:val="0"/>
                <w:snapToGrid w:val="0"/>
                <w:szCs w:val="20"/>
              </w:rPr>
              <w:t xml:space="preserve">obinutuzumab and venetoclax + obinutuzumab were highly uncertain. </w:t>
            </w:r>
            <w:bookmarkEnd w:id="10"/>
            <w:r w:rsidR="00CB4ED7" w:rsidRPr="00E44776">
              <w:rPr>
                <w:rFonts w:eastAsia="Times New Roman" w:cs="Arial"/>
                <w:bCs w:val="0"/>
                <w:snapToGrid w:val="0"/>
                <w:szCs w:val="20"/>
              </w:rPr>
              <w:t>The PBAC</w:t>
            </w:r>
            <w:r w:rsidR="001E6CF1" w:rsidRPr="00E44776">
              <w:rPr>
                <w:rFonts w:eastAsia="Times New Roman" w:cs="Arial"/>
                <w:bCs w:val="0"/>
                <w:snapToGrid w:val="0"/>
                <w:szCs w:val="20"/>
              </w:rPr>
              <w:t xml:space="preserve"> </w:t>
            </w:r>
            <w:r w:rsidR="00CB4ED7" w:rsidRPr="00E44776">
              <w:rPr>
                <w:rFonts w:eastAsia="Times New Roman" w:cs="Arial"/>
                <w:bCs w:val="0"/>
                <w:snapToGrid w:val="0"/>
                <w:szCs w:val="20"/>
              </w:rPr>
              <w:t>noted the heterogeneity between the ELEVATE-TN and CLL-14 trials which resulted in</w:t>
            </w:r>
            <w:r w:rsidR="001E6CF1" w:rsidRPr="00E44776">
              <w:rPr>
                <w:rFonts w:eastAsia="Times New Roman" w:cs="Arial"/>
                <w:bCs w:val="0"/>
                <w:snapToGrid w:val="0"/>
                <w:szCs w:val="20"/>
              </w:rPr>
              <w:t xml:space="preserve"> </w:t>
            </w:r>
            <w:r w:rsidR="00CB4ED7" w:rsidRPr="00E44776">
              <w:rPr>
                <w:rFonts w:eastAsia="Times New Roman" w:cs="Arial"/>
                <w:bCs w:val="0"/>
                <w:snapToGrid w:val="0"/>
                <w:szCs w:val="20"/>
              </w:rPr>
              <w:t>poor overlap between the trial populations and small effective sample sizes for the</w:t>
            </w:r>
            <w:r w:rsidR="001E6CF1" w:rsidRPr="00E44776">
              <w:rPr>
                <w:rFonts w:eastAsia="Times New Roman" w:cs="Arial"/>
                <w:bCs w:val="0"/>
                <w:snapToGrid w:val="0"/>
                <w:szCs w:val="20"/>
              </w:rPr>
              <w:t xml:space="preserve"> </w:t>
            </w:r>
            <w:r w:rsidR="00703479" w:rsidRPr="00E44776">
              <w:rPr>
                <w:rFonts w:eastAsia="Times New Roman" w:cs="Arial"/>
                <w:bCs w:val="0"/>
                <w:snapToGrid w:val="0"/>
                <w:szCs w:val="20"/>
              </w:rPr>
              <w:t>MAICs and</w:t>
            </w:r>
            <w:r w:rsidR="00CB4ED7" w:rsidRPr="00E44776">
              <w:rPr>
                <w:rFonts w:eastAsia="Times New Roman" w:cs="Arial"/>
                <w:bCs w:val="0"/>
                <w:snapToGrid w:val="0"/>
                <w:szCs w:val="20"/>
              </w:rPr>
              <w:t xml:space="preserve"> considered that it was unclear whether all relevant prognostic and effect</w:t>
            </w:r>
            <w:r w:rsidR="001E6CF1" w:rsidRPr="00E44776">
              <w:rPr>
                <w:rFonts w:eastAsia="Times New Roman" w:cs="Arial"/>
                <w:bCs w:val="0"/>
                <w:snapToGrid w:val="0"/>
                <w:szCs w:val="20"/>
              </w:rPr>
              <w:t xml:space="preserve"> </w:t>
            </w:r>
            <w:r w:rsidR="00CB4ED7" w:rsidRPr="00E44776">
              <w:rPr>
                <w:rFonts w:eastAsia="Times New Roman" w:cs="Arial"/>
                <w:bCs w:val="0"/>
                <w:snapToGrid w:val="0"/>
                <w:szCs w:val="20"/>
              </w:rPr>
              <w:t>modifier variables had been identified. Overall, the PBAC considered that</w:t>
            </w:r>
            <w:r w:rsidR="001E6CF1" w:rsidRPr="00E44776">
              <w:rPr>
                <w:rFonts w:eastAsia="Times New Roman" w:cs="Arial"/>
                <w:bCs w:val="0"/>
                <w:snapToGrid w:val="0"/>
                <w:szCs w:val="20"/>
              </w:rPr>
              <w:t xml:space="preserve"> </w:t>
            </w:r>
            <w:r w:rsidR="00CB4ED7" w:rsidRPr="00E44776">
              <w:rPr>
                <w:rFonts w:eastAsia="Times New Roman" w:cs="Arial"/>
                <w:bCs w:val="0"/>
                <w:snapToGrid w:val="0"/>
                <w:szCs w:val="20"/>
              </w:rPr>
              <w:t>the efficacy and safety clinical claims based on the MAICs could not be supported</w:t>
            </w:r>
            <w:r w:rsidR="005439BD" w:rsidRPr="00E44776">
              <w:rPr>
                <w:rFonts w:eastAsia="Times New Roman" w:cs="Arial"/>
                <w:bCs w:val="0"/>
                <w:snapToGrid w:val="0"/>
                <w:szCs w:val="20"/>
              </w:rPr>
              <w:t xml:space="preserve"> (</w:t>
            </w:r>
            <w:r w:rsidR="00691A52" w:rsidRPr="00E44776">
              <w:rPr>
                <w:rFonts w:eastAsia="Times New Roman" w:cs="Arial"/>
                <w:bCs w:val="0"/>
                <w:snapToGrid w:val="0"/>
                <w:szCs w:val="20"/>
              </w:rPr>
              <w:t>p</w:t>
            </w:r>
            <w:r w:rsidR="005439BD" w:rsidRPr="00E44776">
              <w:rPr>
                <w:rFonts w:eastAsia="Times New Roman" w:cs="Arial"/>
                <w:bCs w:val="0"/>
                <w:snapToGrid w:val="0"/>
                <w:szCs w:val="20"/>
              </w:rPr>
              <w:t>ara 7.9, July 2020 PSD).</w:t>
            </w:r>
          </w:p>
        </w:tc>
        <w:tc>
          <w:tcPr>
            <w:tcW w:w="1679" w:type="pct"/>
          </w:tcPr>
          <w:p w14:paraId="690FDDB4" w14:textId="3F0B5BA1" w:rsidR="00CB4ED7" w:rsidRPr="00E44776" w:rsidRDefault="0022012C" w:rsidP="00933FF0">
            <w:pPr>
              <w:pStyle w:val="COMTabletext"/>
              <w:keepNext w:val="0"/>
              <w:rPr>
                <w:rFonts w:eastAsia="Times New Roman" w:cs="Arial"/>
                <w:bCs w:val="0"/>
                <w:snapToGrid w:val="0"/>
                <w:szCs w:val="20"/>
              </w:rPr>
            </w:pPr>
            <w:r w:rsidRPr="00E44776">
              <w:rPr>
                <w:rFonts w:eastAsia="Times New Roman" w:cs="Arial"/>
                <w:bCs w:val="0"/>
                <w:snapToGrid w:val="0"/>
                <w:szCs w:val="20"/>
              </w:rPr>
              <w:t xml:space="preserve">The resubmission presented updated MAICs for </w:t>
            </w:r>
            <w:r w:rsidR="00703479" w:rsidRPr="00E44776">
              <w:rPr>
                <w:rFonts w:eastAsia="Times New Roman" w:cs="Arial"/>
                <w:bCs w:val="0"/>
                <w:snapToGrid w:val="0"/>
                <w:szCs w:val="20"/>
              </w:rPr>
              <w:t xml:space="preserve">acalabrutinib + obinutuzumab and </w:t>
            </w:r>
            <w:r w:rsidRPr="00E44776">
              <w:rPr>
                <w:rFonts w:eastAsia="Times New Roman" w:cs="Arial"/>
                <w:bCs w:val="0"/>
                <w:snapToGrid w:val="0"/>
                <w:szCs w:val="20"/>
              </w:rPr>
              <w:t xml:space="preserve">acalabrutinib </w:t>
            </w:r>
            <w:r w:rsidR="00703479" w:rsidRPr="00E44776">
              <w:rPr>
                <w:rFonts w:eastAsia="Times New Roman" w:cs="Arial"/>
                <w:bCs w:val="0"/>
                <w:snapToGrid w:val="0"/>
                <w:szCs w:val="20"/>
              </w:rPr>
              <w:t xml:space="preserve">monotherapy </w:t>
            </w:r>
            <w:r w:rsidRPr="00E44776">
              <w:rPr>
                <w:rFonts w:eastAsia="Times New Roman" w:cs="Arial"/>
                <w:bCs w:val="0"/>
                <w:snapToGrid w:val="0"/>
                <w:szCs w:val="20"/>
              </w:rPr>
              <w:t xml:space="preserve">versus venetoclax + obinutuzumab. Matching </w:t>
            </w:r>
            <w:r w:rsidR="0062392F" w:rsidRPr="00E44776">
              <w:rPr>
                <w:rFonts w:eastAsia="Times New Roman" w:cs="Arial"/>
                <w:bCs w:val="0"/>
                <w:snapToGrid w:val="0"/>
                <w:szCs w:val="20"/>
              </w:rPr>
              <w:t>was limited to selected treatment effect modifier variables.</w:t>
            </w:r>
            <w:r w:rsidRPr="00E44776">
              <w:rPr>
                <w:rFonts w:eastAsia="Times New Roman" w:cs="Arial"/>
                <w:bCs w:val="0"/>
                <w:snapToGrid w:val="0"/>
                <w:szCs w:val="20"/>
              </w:rPr>
              <w:t xml:space="preserve"> </w:t>
            </w:r>
          </w:p>
        </w:tc>
      </w:tr>
      <w:tr w:rsidR="00085B2B" w:rsidRPr="00E44776" w14:paraId="746FD468" w14:textId="77777777" w:rsidTr="005B7BF2">
        <w:trPr>
          <w:cantSplit/>
        </w:trPr>
        <w:tc>
          <w:tcPr>
            <w:tcW w:w="749" w:type="pct"/>
            <w:vAlign w:val="center"/>
          </w:tcPr>
          <w:p w14:paraId="651224B2" w14:textId="234350DB" w:rsidR="00085B2B" w:rsidRPr="00E44776" w:rsidRDefault="00257FCB" w:rsidP="00933FF0">
            <w:pPr>
              <w:pStyle w:val="COMTabletext"/>
              <w:keepNext w:val="0"/>
            </w:pPr>
            <w:r w:rsidRPr="00E44776">
              <w:t xml:space="preserve">Economic </w:t>
            </w:r>
            <w:r w:rsidR="0023033B" w:rsidRPr="00E44776">
              <w:t>analysis</w:t>
            </w:r>
          </w:p>
        </w:tc>
        <w:tc>
          <w:tcPr>
            <w:tcW w:w="2572" w:type="pct"/>
          </w:tcPr>
          <w:p w14:paraId="0416B7CE" w14:textId="2A8B408B" w:rsidR="00085B2B" w:rsidRPr="00E44776" w:rsidRDefault="00341FA7" w:rsidP="00933FF0">
            <w:pPr>
              <w:pStyle w:val="COMTabletext"/>
              <w:keepNext w:val="0"/>
              <w:rPr>
                <w:rFonts w:eastAsia="Times New Roman" w:cs="Arial"/>
                <w:bCs w:val="0"/>
                <w:snapToGrid w:val="0"/>
                <w:szCs w:val="20"/>
              </w:rPr>
            </w:pPr>
            <w:r w:rsidRPr="00E44776">
              <w:rPr>
                <w:rFonts w:eastAsia="Times New Roman" w:cs="Arial"/>
                <w:bCs w:val="0"/>
                <w:snapToGrid w:val="0"/>
                <w:szCs w:val="20"/>
              </w:rPr>
              <w:t xml:space="preserve">The PBAC considered that </w:t>
            </w:r>
            <w:r w:rsidR="00085B2B" w:rsidRPr="00E44776">
              <w:rPr>
                <w:rFonts w:eastAsia="Times New Roman" w:cs="Arial"/>
                <w:bCs w:val="0"/>
                <w:snapToGrid w:val="0"/>
                <w:szCs w:val="20"/>
              </w:rPr>
              <w:t>it would be</w:t>
            </w:r>
            <w:r w:rsidR="001E6CF1" w:rsidRPr="00E44776">
              <w:rPr>
                <w:rFonts w:eastAsia="Times New Roman" w:cs="Arial"/>
                <w:bCs w:val="0"/>
                <w:snapToGrid w:val="0"/>
                <w:szCs w:val="20"/>
              </w:rPr>
              <w:t xml:space="preserve"> </w:t>
            </w:r>
            <w:r w:rsidR="00085B2B" w:rsidRPr="00E44776">
              <w:rPr>
                <w:rFonts w:eastAsia="Times New Roman" w:cs="Arial"/>
                <w:bCs w:val="0"/>
                <w:snapToGrid w:val="0"/>
                <w:szCs w:val="20"/>
              </w:rPr>
              <w:t xml:space="preserve">inappropriate to model an overall survival gain in the economic evaluation as </w:t>
            </w:r>
            <w:r w:rsidR="00BF04FA" w:rsidRPr="00E44776">
              <w:rPr>
                <w:rFonts w:eastAsia="Times New Roman" w:cs="Arial"/>
                <w:bCs w:val="0"/>
                <w:snapToGrid w:val="0"/>
                <w:szCs w:val="20"/>
              </w:rPr>
              <w:t>the</w:t>
            </w:r>
            <w:r w:rsidR="00085B2B" w:rsidRPr="00E44776">
              <w:rPr>
                <w:rFonts w:eastAsia="Times New Roman" w:cs="Arial"/>
                <w:bCs w:val="0"/>
                <w:snapToGrid w:val="0"/>
                <w:szCs w:val="20"/>
              </w:rPr>
              <w:t xml:space="preserve"> data</w:t>
            </w:r>
            <w:r w:rsidR="001E6CF1" w:rsidRPr="00E44776">
              <w:rPr>
                <w:rFonts w:eastAsia="Times New Roman" w:cs="Arial"/>
                <w:bCs w:val="0"/>
                <w:snapToGrid w:val="0"/>
                <w:szCs w:val="20"/>
              </w:rPr>
              <w:t xml:space="preserve"> </w:t>
            </w:r>
            <w:r w:rsidR="00085B2B" w:rsidRPr="00E44776">
              <w:rPr>
                <w:rFonts w:eastAsia="Times New Roman" w:cs="Arial"/>
                <w:bCs w:val="0"/>
                <w:snapToGrid w:val="0"/>
                <w:szCs w:val="20"/>
              </w:rPr>
              <w:t>remained immature and there may not be a difference over the longer term given</w:t>
            </w:r>
            <w:r w:rsidR="001E6CF1" w:rsidRPr="00E44776">
              <w:rPr>
                <w:rFonts w:eastAsia="Times New Roman" w:cs="Arial"/>
                <w:bCs w:val="0"/>
                <w:snapToGrid w:val="0"/>
                <w:szCs w:val="20"/>
              </w:rPr>
              <w:t xml:space="preserve"> </w:t>
            </w:r>
            <w:r w:rsidR="00085B2B" w:rsidRPr="00E44776">
              <w:rPr>
                <w:rFonts w:eastAsia="Times New Roman" w:cs="Arial"/>
                <w:bCs w:val="0"/>
                <w:snapToGrid w:val="0"/>
                <w:szCs w:val="20"/>
              </w:rPr>
              <w:t>subsequent lines of effective therapy are available</w:t>
            </w:r>
            <w:r w:rsidR="005439BD" w:rsidRPr="00E44776">
              <w:rPr>
                <w:rFonts w:eastAsia="Times New Roman" w:cs="Arial"/>
                <w:bCs w:val="0"/>
                <w:snapToGrid w:val="0"/>
                <w:szCs w:val="20"/>
              </w:rPr>
              <w:t xml:space="preserve"> (</w:t>
            </w:r>
            <w:r w:rsidR="00691A52" w:rsidRPr="00E44776">
              <w:rPr>
                <w:rFonts w:eastAsia="Times New Roman" w:cs="Arial"/>
                <w:bCs w:val="0"/>
                <w:snapToGrid w:val="0"/>
                <w:szCs w:val="20"/>
              </w:rPr>
              <w:t>p</w:t>
            </w:r>
            <w:r w:rsidR="005439BD" w:rsidRPr="00E44776">
              <w:rPr>
                <w:rFonts w:eastAsia="Times New Roman" w:cs="Arial"/>
                <w:bCs w:val="0"/>
                <w:snapToGrid w:val="0"/>
                <w:szCs w:val="20"/>
              </w:rPr>
              <w:t>ara 7.8, November 2021 PSD).</w:t>
            </w:r>
          </w:p>
        </w:tc>
        <w:tc>
          <w:tcPr>
            <w:tcW w:w="1679" w:type="pct"/>
          </w:tcPr>
          <w:p w14:paraId="769605F7" w14:textId="3963783F" w:rsidR="00085B2B" w:rsidRPr="00E44776" w:rsidRDefault="0062392F" w:rsidP="00933FF0">
            <w:pPr>
              <w:pStyle w:val="COMTabletext"/>
              <w:keepNext w:val="0"/>
              <w:rPr>
                <w:rFonts w:eastAsia="Times New Roman" w:cs="Arial"/>
                <w:bCs w:val="0"/>
                <w:snapToGrid w:val="0"/>
                <w:szCs w:val="20"/>
              </w:rPr>
            </w:pPr>
            <w:r w:rsidRPr="00E44776">
              <w:rPr>
                <w:rFonts w:eastAsia="Times New Roman" w:cs="Arial"/>
                <w:bCs w:val="0"/>
                <w:snapToGrid w:val="0"/>
                <w:szCs w:val="20"/>
              </w:rPr>
              <w:t xml:space="preserve">The economic model incorporated an overall survival gain associated with acalabrutinib + obinutuzumab compared to </w:t>
            </w:r>
            <w:r w:rsidR="003D7D4D" w:rsidRPr="00E44776">
              <w:rPr>
                <w:rFonts w:eastAsia="Times New Roman" w:cs="Arial"/>
                <w:bCs w:val="0"/>
                <w:snapToGrid w:val="0"/>
                <w:szCs w:val="20"/>
              </w:rPr>
              <w:t>venetoclax + obinutuzumab</w:t>
            </w:r>
            <w:r w:rsidR="0099079E" w:rsidRPr="00E44776">
              <w:rPr>
                <w:rFonts w:eastAsia="Times New Roman" w:cs="Arial"/>
                <w:bCs w:val="0"/>
                <w:snapToGrid w:val="0"/>
                <w:szCs w:val="20"/>
              </w:rPr>
              <w:t>, based on updated clinical data presented in the resubmission.</w:t>
            </w:r>
          </w:p>
        </w:tc>
      </w:tr>
      <w:tr w:rsidR="00EB2239" w:rsidRPr="00E44776" w14:paraId="092ECBA2" w14:textId="77777777" w:rsidTr="005B7BF2">
        <w:trPr>
          <w:cantSplit/>
        </w:trPr>
        <w:tc>
          <w:tcPr>
            <w:tcW w:w="749" w:type="pct"/>
            <w:vAlign w:val="center"/>
          </w:tcPr>
          <w:p w14:paraId="53D11A6E" w14:textId="1F4E57C9" w:rsidR="00EB2239" w:rsidRPr="00E44776" w:rsidRDefault="00257FCB" w:rsidP="00933FF0">
            <w:pPr>
              <w:pStyle w:val="COMTabletext"/>
              <w:keepNext w:val="0"/>
            </w:pPr>
            <w:r w:rsidRPr="00E44776">
              <w:t xml:space="preserve">Economic </w:t>
            </w:r>
            <w:r w:rsidR="0023033B" w:rsidRPr="00E44776">
              <w:t>analysis</w:t>
            </w:r>
          </w:p>
        </w:tc>
        <w:tc>
          <w:tcPr>
            <w:tcW w:w="2572" w:type="pct"/>
          </w:tcPr>
          <w:p w14:paraId="17EFCD6C" w14:textId="69E7C01F" w:rsidR="00EB2239" w:rsidRPr="00E44776" w:rsidRDefault="00696824" w:rsidP="00933FF0">
            <w:pPr>
              <w:pStyle w:val="COMTabletext"/>
              <w:keepNext w:val="0"/>
              <w:rPr>
                <w:rFonts w:eastAsia="Times New Roman" w:cs="Arial"/>
                <w:bCs w:val="0"/>
                <w:snapToGrid w:val="0"/>
                <w:szCs w:val="20"/>
              </w:rPr>
            </w:pPr>
            <w:r w:rsidRPr="00E44776">
              <w:rPr>
                <w:rFonts w:eastAsia="Times New Roman" w:cs="Arial"/>
                <w:bCs w:val="0"/>
                <w:snapToGrid w:val="0"/>
                <w:szCs w:val="20"/>
              </w:rPr>
              <w:t>A</w:t>
            </w:r>
            <w:r w:rsidR="00EB2239" w:rsidRPr="00E44776">
              <w:rPr>
                <w:rFonts w:eastAsia="Times New Roman" w:cs="Arial"/>
                <w:bCs w:val="0"/>
                <w:snapToGrid w:val="0"/>
                <w:szCs w:val="20"/>
              </w:rPr>
              <w:t xml:space="preserve"> 10-year time horizon would be more reasonable than a 15-year horizon, as it</w:t>
            </w:r>
            <w:r w:rsidR="001E6CF1" w:rsidRPr="00E44776">
              <w:rPr>
                <w:rFonts w:eastAsia="Times New Roman" w:cs="Arial"/>
                <w:bCs w:val="0"/>
                <w:snapToGrid w:val="0"/>
                <w:szCs w:val="20"/>
              </w:rPr>
              <w:t xml:space="preserve"> </w:t>
            </w:r>
            <w:r w:rsidR="00EB2239" w:rsidRPr="00E44776">
              <w:rPr>
                <w:rFonts w:eastAsia="Times New Roman" w:cs="Arial"/>
                <w:bCs w:val="0"/>
                <w:snapToGrid w:val="0"/>
                <w:szCs w:val="20"/>
              </w:rPr>
              <w:t>would be consistent with previous decisions in the first-line CLL/SLL setting, the</w:t>
            </w:r>
            <w:r w:rsidR="001E6CF1" w:rsidRPr="00E44776">
              <w:rPr>
                <w:rFonts w:eastAsia="Times New Roman" w:cs="Arial"/>
                <w:bCs w:val="0"/>
                <w:snapToGrid w:val="0"/>
                <w:szCs w:val="20"/>
              </w:rPr>
              <w:t xml:space="preserve"> </w:t>
            </w:r>
            <w:r w:rsidR="00EB2239" w:rsidRPr="00E44776">
              <w:rPr>
                <w:rFonts w:eastAsia="Times New Roman" w:cs="Arial"/>
                <w:bCs w:val="0"/>
                <w:snapToGrid w:val="0"/>
                <w:szCs w:val="20"/>
              </w:rPr>
              <w:t>proposed PBS population was likely to be somewhat more frail than the general</w:t>
            </w:r>
            <w:r w:rsidR="001E6CF1" w:rsidRPr="00E44776">
              <w:rPr>
                <w:rFonts w:eastAsia="Times New Roman" w:cs="Arial"/>
                <w:bCs w:val="0"/>
                <w:snapToGrid w:val="0"/>
                <w:szCs w:val="20"/>
              </w:rPr>
              <w:t xml:space="preserve"> </w:t>
            </w:r>
            <w:r w:rsidR="00EB2239" w:rsidRPr="00E44776">
              <w:rPr>
                <w:rFonts w:eastAsia="Times New Roman" w:cs="Arial"/>
                <w:bCs w:val="0"/>
                <w:snapToGrid w:val="0"/>
                <w:szCs w:val="20"/>
              </w:rPr>
              <w:t>fludarabine-unsuitable first-line population, and given that a longer extrapolation</w:t>
            </w:r>
            <w:r w:rsidR="001E6CF1" w:rsidRPr="00E44776">
              <w:rPr>
                <w:rFonts w:eastAsia="Times New Roman" w:cs="Arial"/>
                <w:bCs w:val="0"/>
                <w:snapToGrid w:val="0"/>
                <w:szCs w:val="20"/>
              </w:rPr>
              <w:t xml:space="preserve"> </w:t>
            </w:r>
            <w:r w:rsidR="00EB2239" w:rsidRPr="00E44776">
              <w:rPr>
                <w:rFonts w:eastAsia="Times New Roman" w:cs="Arial"/>
                <w:bCs w:val="0"/>
                <w:snapToGrid w:val="0"/>
                <w:szCs w:val="20"/>
              </w:rPr>
              <w:t>would be subject to considerable uncertainty</w:t>
            </w:r>
            <w:r w:rsidR="005439BD" w:rsidRPr="00E44776">
              <w:rPr>
                <w:rFonts w:eastAsia="Times New Roman" w:cs="Arial"/>
                <w:bCs w:val="0"/>
                <w:snapToGrid w:val="0"/>
                <w:szCs w:val="20"/>
              </w:rPr>
              <w:t xml:space="preserve"> (</w:t>
            </w:r>
            <w:r w:rsidR="00691A52" w:rsidRPr="00E44776">
              <w:rPr>
                <w:rFonts w:eastAsia="Times New Roman" w:cs="Arial"/>
                <w:bCs w:val="0"/>
                <w:snapToGrid w:val="0"/>
                <w:szCs w:val="20"/>
              </w:rPr>
              <w:t>p</w:t>
            </w:r>
            <w:r w:rsidR="005439BD" w:rsidRPr="00E44776">
              <w:rPr>
                <w:rFonts w:eastAsia="Times New Roman" w:cs="Arial"/>
                <w:bCs w:val="0"/>
                <w:snapToGrid w:val="0"/>
                <w:szCs w:val="20"/>
              </w:rPr>
              <w:t>ara 7.10, November 2021 PSD).</w:t>
            </w:r>
          </w:p>
        </w:tc>
        <w:tc>
          <w:tcPr>
            <w:tcW w:w="1679" w:type="pct"/>
          </w:tcPr>
          <w:p w14:paraId="65A86B71" w14:textId="3808CBCC" w:rsidR="00EB2239" w:rsidRPr="00E44776" w:rsidRDefault="007768B2" w:rsidP="00933FF0">
            <w:pPr>
              <w:pStyle w:val="COMTabletext"/>
              <w:keepNext w:val="0"/>
              <w:rPr>
                <w:rFonts w:eastAsia="Times New Roman" w:cs="Arial"/>
                <w:bCs w:val="0"/>
                <w:snapToGrid w:val="0"/>
                <w:szCs w:val="20"/>
              </w:rPr>
            </w:pPr>
            <w:r w:rsidRPr="00E44776">
              <w:rPr>
                <w:rFonts w:eastAsia="Times New Roman" w:cs="Arial"/>
                <w:bCs w:val="0"/>
                <w:snapToGrid w:val="0"/>
                <w:szCs w:val="20"/>
              </w:rPr>
              <w:t>The resubmission base case assumed a 15-year time horizon.</w:t>
            </w:r>
          </w:p>
        </w:tc>
      </w:tr>
      <w:tr w:rsidR="00696824" w:rsidRPr="00E44776" w14:paraId="20A82696" w14:textId="77777777" w:rsidTr="005B7BF2">
        <w:trPr>
          <w:cantSplit/>
        </w:trPr>
        <w:tc>
          <w:tcPr>
            <w:tcW w:w="749" w:type="pct"/>
            <w:vAlign w:val="center"/>
          </w:tcPr>
          <w:p w14:paraId="567B387E" w14:textId="2821981D" w:rsidR="00696824" w:rsidRPr="00E44776" w:rsidRDefault="00257FCB" w:rsidP="00933FF0">
            <w:pPr>
              <w:pStyle w:val="COMTabletext"/>
              <w:keepNext w:val="0"/>
            </w:pPr>
            <w:r w:rsidRPr="00E44776">
              <w:lastRenderedPageBreak/>
              <w:t xml:space="preserve">Economic </w:t>
            </w:r>
            <w:r w:rsidR="0023033B" w:rsidRPr="00E44776">
              <w:t>analysis</w:t>
            </w:r>
          </w:p>
        </w:tc>
        <w:tc>
          <w:tcPr>
            <w:tcW w:w="2572" w:type="pct"/>
          </w:tcPr>
          <w:p w14:paraId="50331CE7" w14:textId="4EC8496D" w:rsidR="00696824" w:rsidRPr="00E44776" w:rsidRDefault="00696824" w:rsidP="00933FF0">
            <w:pPr>
              <w:pStyle w:val="COMTabletext"/>
              <w:keepNext w:val="0"/>
              <w:rPr>
                <w:rFonts w:eastAsia="Times New Roman" w:cs="Arial"/>
                <w:bCs w:val="0"/>
                <w:snapToGrid w:val="0"/>
                <w:szCs w:val="20"/>
              </w:rPr>
            </w:pPr>
            <w:r w:rsidRPr="00E44776">
              <w:rPr>
                <w:rFonts w:eastAsia="Times New Roman" w:cs="Arial"/>
                <w:bCs w:val="0"/>
                <w:snapToGrid w:val="0"/>
                <w:szCs w:val="20"/>
              </w:rPr>
              <w:t>The PBAC noted that a key limitation of the model structure was that the assumed progressed disease health state cost and utility may not adequately reflect the cost and quality of life experienced by patients with CLL/SLL over time, given multiple lines of subsequent therapy, and periods of disease remission. The PBAC also noted underlying uncertainty with subsequent treatment costs and utilities as they were not informed by ELEVATE-TN data</w:t>
            </w:r>
            <w:r w:rsidR="00BE1A13" w:rsidRPr="00E44776">
              <w:rPr>
                <w:rFonts w:eastAsia="Times New Roman" w:cs="Arial"/>
                <w:bCs w:val="0"/>
                <w:snapToGrid w:val="0"/>
                <w:szCs w:val="20"/>
              </w:rPr>
              <w:t xml:space="preserve"> (para 7.10, November 2021 PSD).</w:t>
            </w:r>
          </w:p>
        </w:tc>
        <w:tc>
          <w:tcPr>
            <w:tcW w:w="1679" w:type="pct"/>
          </w:tcPr>
          <w:p w14:paraId="53E8AFAB" w14:textId="2ACCCFA3" w:rsidR="00696824" w:rsidRPr="00E44776" w:rsidRDefault="00D934ED" w:rsidP="00933FF0">
            <w:pPr>
              <w:pStyle w:val="COMTabletext"/>
              <w:keepNext w:val="0"/>
              <w:rPr>
                <w:rFonts w:eastAsia="Times New Roman" w:cs="Arial"/>
                <w:bCs w:val="0"/>
                <w:snapToGrid w:val="0"/>
                <w:szCs w:val="20"/>
              </w:rPr>
            </w:pPr>
            <w:r w:rsidRPr="00E44776">
              <w:rPr>
                <w:rFonts w:eastAsia="Times New Roman" w:cs="Arial"/>
                <w:bCs w:val="0"/>
                <w:snapToGrid w:val="0"/>
                <w:szCs w:val="20"/>
              </w:rPr>
              <w:t xml:space="preserve">The resubmission model </w:t>
            </w:r>
            <w:r w:rsidR="00F4148F" w:rsidRPr="00E44776">
              <w:rPr>
                <w:rFonts w:eastAsia="Times New Roman" w:cs="Arial"/>
                <w:bCs w:val="0"/>
                <w:snapToGrid w:val="0"/>
                <w:szCs w:val="20"/>
              </w:rPr>
              <w:t xml:space="preserve">structure, health state utilities, and health state costs were updated to align with the </w:t>
            </w:r>
            <w:r w:rsidRPr="00E44776">
              <w:rPr>
                <w:rFonts w:eastAsia="Times New Roman" w:cs="Arial"/>
                <w:bCs w:val="0"/>
                <w:snapToGrid w:val="0"/>
                <w:szCs w:val="20"/>
              </w:rPr>
              <w:t>model included in the July 2020 venetoclax resubmission</w:t>
            </w:r>
            <w:r w:rsidR="006B1C4F" w:rsidRPr="00E44776">
              <w:rPr>
                <w:rFonts w:eastAsia="Times New Roman" w:cs="Arial"/>
                <w:bCs w:val="0"/>
                <w:snapToGrid w:val="0"/>
                <w:szCs w:val="20"/>
              </w:rPr>
              <w:t>.</w:t>
            </w:r>
          </w:p>
        </w:tc>
      </w:tr>
      <w:tr w:rsidR="00EB2239" w:rsidRPr="00E44776" w14:paraId="52C8836E" w14:textId="77777777" w:rsidTr="005B7BF2">
        <w:trPr>
          <w:cantSplit/>
        </w:trPr>
        <w:tc>
          <w:tcPr>
            <w:tcW w:w="749" w:type="pct"/>
            <w:vAlign w:val="center"/>
          </w:tcPr>
          <w:p w14:paraId="0D2966DA" w14:textId="31E0BEC5" w:rsidR="00EB2239" w:rsidRPr="00E44776" w:rsidRDefault="00257FCB" w:rsidP="00933FF0">
            <w:pPr>
              <w:pStyle w:val="COMTabletext"/>
              <w:keepNext w:val="0"/>
            </w:pPr>
            <w:bookmarkStart w:id="11" w:name="_Hlk110261195"/>
            <w:r w:rsidRPr="00E44776">
              <w:t xml:space="preserve">Economic </w:t>
            </w:r>
            <w:r w:rsidR="0023033B" w:rsidRPr="00E44776">
              <w:t>analysis</w:t>
            </w:r>
          </w:p>
        </w:tc>
        <w:tc>
          <w:tcPr>
            <w:tcW w:w="2572" w:type="pct"/>
          </w:tcPr>
          <w:p w14:paraId="085B7D75" w14:textId="0C76B208" w:rsidR="00EB2239" w:rsidRPr="00E44776" w:rsidRDefault="00522C85" w:rsidP="00933FF0">
            <w:pPr>
              <w:pStyle w:val="COMTabletext"/>
              <w:keepNext w:val="0"/>
              <w:rPr>
                <w:rFonts w:eastAsia="Times New Roman" w:cs="Arial"/>
                <w:bCs w:val="0"/>
                <w:snapToGrid w:val="0"/>
                <w:szCs w:val="20"/>
              </w:rPr>
            </w:pPr>
            <w:r w:rsidRPr="00E44776">
              <w:rPr>
                <w:rFonts w:eastAsia="Times New Roman" w:cs="Arial"/>
                <w:bCs w:val="0"/>
                <w:snapToGrid w:val="0"/>
                <w:szCs w:val="20"/>
              </w:rPr>
              <w:t>T</w:t>
            </w:r>
            <w:r w:rsidR="00EB2239" w:rsidRPr="00E44776">
              <w:rPr>
                <w:rFonts w:eastAsia="Times New Roman" w:cs="Arial"/>
                <w:bCs w:val="0"/>
                <w:snapToGrid w:val="0"/>
                <w:szCs w:val="20"/>
              </w:rPr>
              <w:t>he extrapolated progression-free survival curve was subject to substantial</w:t>
            </w:r>
            <w:r w:rsidR="001E6CF1" w:rsidRPr="00E44776">
              <w:rPr>
                <w:rFonts w:eastAsia="Times New Roman" w:cs="Arial"/>
                <w:bCs w:val="0"/>
                <w:snapToGrid w:val="0"/>
                <w:szCs w:val="20"/>
              </w:rPr>
              <w:t xml:space="preserve"> </w:t>
            </w:r>
            <w:r w:rsidR="00EB2239" w:rsidRPr="00E44776">
              <w:rPr>
                <w:rFonts w:eastAsia="Times New Roman" w:cs="Arial"/>
                <w:bCs w:val="0"/>
                <w:snapToGrid w:val="0"/>
                <w:szCs w:val="20"/>
              </w:rPr>
              <w:t>uncertainty</w:t>
            </w:r>
            <w:r w:rsidRPr="00E44776">
              <w:rPr>
                <w:rFonts w:eastAsia="Times New Roman" w:cs="Arial"/>
                <w:bCs w:val="0"/>
                <w:snapToGrid w:val="0"/>
                <w:szCs w:val="20"/>
              </w:rPr>
              <w:t xml:space="preserve"> (</w:t>
            </w:r>
            <w:r w:rsidR="00691A52" w:rsidRPr="00E44776">
              <w:rPr>
                <w:rFonts w:eastAsia="Times New Roman" w:cs="Arial"/>
                <w:bCs w:val="0"/>
                <w:snapToGrid w:val="0"/>
                <w:szCs w:val="20"/>
              </w:rPr>
              <w:t>p</w:t>
            </w:r>
            <w:r w:rsidRPr="00E44776">
              <w:rPr>
                <w:rFonts w:eastAsia="Times New Roman" w:cs="Arial"/>
                <w:bCs w:val="0"/>
                <w:snapToGrid w:val="0"/>
                <w:szCs w:val="20"/>
              </w:rPr>
              <w:t>ara 7.10, November 2021 PSD).</w:t>
            </w:r>
          </w:p>
        </w:tc>
        <w:tc>
          <w:tcPr>
            <w:tcW w:w="1679" w:type="pct"/>
          </w:tcPr>
          <w:p w14:paraId="38E8B730" w14:textId="0E4679D5" w:rsidR="00EB2239" w:rsidRPr="00E44776" w:rsidRDefault="00D4088E" w:rsidP="00933FF0">
            <w:pPr>
              <w:pStyle w:val="COMTabletext"/>
              <w:keepNext w:val="0"/>
              <w:rPr>
                <w:rFonts w:eastAsia="Times New Roman" w:cs="Arial"/>
                <w:bCs w:val="0"/>
                <w:snapToGrid w:val="0"/>
                <w:szCs w:val="20"/>
              </w:rPr>
            </w:pPr>
            <w:r w:rsidRPr="00E44776">
              <w:rPr>
                <w:rFonts w:eastAsia="Times New Roman" w:cs="Arial"/>
                <w:bCs w:val="0"/>
                <w:snapToGrid w:val="0"/>
                <w:szCs w:val="20"/>
              </w:rPr>
              <w:t xml:space="preserve">As in the November 2021 resubmission, </w:t>
            </w:r>
            <w:r w:rsidR="00C47C5E" w:rsidRPr="00E44776">
              <w:rPr>
                <w:rFonts w:eastAsia="Times New Roman" w:cs="Arial"/>
                <w:bCs w:val="0"/>
                <w:snapToGrid w:val="0"/>
                <w:szCs w:val="20"/>
              </w:rPr>
              <w:t>progression-free survival</w:t>
            </w:r>
            <w:r w:rsidRPr="00E44776">
              <w:rPr>
                <w:rFonts w:eastAsia="Times New Roman" w:cs="Arial"/>
                <w:bCs w:val="0"/>
                <w:snapToGrid w:val="0"/>
                <w:szCs w:val="20"/>
              </w:rPr>
              <w:t xml:space="preserve"> for acalabrutinib + obinutuzumab </w:t>
            </w:r>
            <w:r w:rsidR="00C47C5E" w:rsidRPr="00E44776">
              <w:rPr>
                <w:rFonts w:eastAsia="Times New Roman" w:cs="Arial"/>
                <w:bCs w:val="0"/>
                <w:snapToGrid w:val="0"/>
                <w:szCs w:val="20"/>
              </w:rPr>
              <w:t xml:space="preserve">was </w:t>
            </w:r>
            <w:r w:rsidRPr="00E44776">
              <w:rPr>
                <w:rFonts w:eastAsia="Times New Roman" w:cs="Arial"/>
                <w:bCs w:val="0"/>
                <w:snapToGrid w:val="0"/>
                <w:szCs w:val="20"/>
              </w:rPr>
              <w:t xml:space="preserve">based on extrapolated ELEVATE-TN data </w:t>
            </w:r>
            <w:r w:rsidR="005B7BF2" w:rsidRPr="00E44776">
              <w:rPr>
                <w:rFonts w:eastAsia="Times New Roman" w:cs="Arial"/>
                <w:bCs w:val="0"/>
                <w:snapToGrid w:val="0"/>
                <w:szCs w:val="20"/>
              </w:rPr>
              <w:t>for the September 2020 data cut.</w:t>
            </w:r>
          </w:p>
        </w:tc>
      </w:tr>
      <w:bookmarkEnd w:id="11"/>
      <w:tr w:rsidR="00C37FFB" w:rsidRPr="00E44776" w14:paraId="6AA32664" w14:textId="77777777" w:rsidTr="005B7BF2">
        <w:trPr>
          <w:cantSplit/>
          <w:trHeight w:val="2295"/>
        </w:trPr>
        <w:tc>
          <w:tcPr>
            <w:tcW w:w="749" w:type="pct"/>
            <w:vAlign w:val="center"/>
          </w:tcPr>
          <w:p w14:paraId="7C936782" w14:textId="52C6C287" w:rsidR="00C37FFB" w:rsidRPr="00E44776" w:rsidRDefault="00C37FFB" w:rsidP="00933FF0">
            <w:pPr>
              <w:pStyle w:val="COMTabletext"/>
              <w:keepNext w:val="0"/>
            </w:pPr>
            <w:r w:rsidRPr="00E44776">
              <w:t>Economic analysis</w:t>
            </w:r>
          </w:p>
        </w:tc>
        <w:tc>
          <w:tcPr>
            <w:tcW w:w="2572" w:type="pct"/>
          </w:tcPr>
          <w:p w14:paraId="6D053771" w14:textId="23E2B670" w:rsidR="00C37FFB" w:rsidRPr="00E44776" w:rsidRDefault="00C37FFB" w:rsidP="00933FF0">
            <w:pPr>
              <w:pStyle w:val="COMTabletext"/>
              <w:keepNext w:val="0"/>
              <w:rPr>
                <w:rFonts w:eastAsia="Times New Roman" w:cs="Arial"/>
                <w:bCs w:val="0"/>
                <w:snapToGrid w:val="0"/>
                <w:szCs w:val="20"/>
              </w:rPr>
            </w:pPr>
            <w:r w:rsidRPr="00E44776">
              <w:rPr>
                <w:rFonts w:eastAsia="Times New Roman" w:cs="Arial"/>
                <w:bCs w:val="0"/>
                <w:snapToGrid w:val="0"/>
                <w:szCs w:val="20"/>
              </w:rPr>
              <w:t xml:space="preserve">The use of a </w:t>
            </w:r>
            <w:r w:rsidR="00E73278" w:rsidRPr="00E44776">
              <w:rPr>
                <w:rFonts w:eastAsia="Times New Roman" w:cs="Arial"/>
                <w:bCs w:val="0"/>
                <w:snapToGrid w:val="0"/>
                <w:szCs w:val="20"/>
              </w:rPr>
              <w:t xml:space="preserve">48-month </w:t>
            </w:r>
            <w:r w:rsidRPr="00E44776">
              <w:rPr>
                <w:rFonts w:eastAsia="Times New Roman" w:cs="Arial"/>
                <w:bCs w:val="0"/>
                <w:snapToGrid w:val="0"/>
                <w:szCs w:val="20"/>
              </w:rPr>
              <w:t>treatment cap to achieve cost-effectiveness was not a robust approach, and that the ICER would be much higher if patient numbers used to inform the caps were lower than estimated (para 7.10, November 2021 PSD).</w:t>
            </w:r>
          </w:p>
          <w:p w14:paraId="3DF6E42E" w14:textId="7C2CDAAA" w:rsidR="00C37FFB" w:rsidRPr="00E44776" w:rsidRDefault="00C37FFB" w:rsidP="00933FF0">
            <w:pPr>
              <w:pStyle w:val="COMTabletext"/>
              <w:keepNext w:val="0"/>
              <w:rPr>
                <w:rFonts w:eastAsia="Times New Roman" w:cs="Arial"/>
                <w:bCs w:val="0"/>
                <w:snapToGrid w:val="0"/>
                <w:szCs w:val="20"/>
              </w:rPr>
            </w:pPr>
            <w:r w:rsidRPr="00E44776">
              <w:rPr>
                <w:rFonts w:eastAsia="Times New Roman" w:cs="Arial"/>
                <w:bCs w:val="0"/>
                <w:snapToGrid w:val="0"/>
                <w:szCs w:val="20"/>
              </w:rPr>
              <w:t>The PBAC also noted the ESC’s concerns about the proposed risk-sharing arrangement, and the sponsor’s proposed alternative arrangements, but considered that it was unclear what scenario would ensure that the modelled cost-effectiveness would be realised in practice (para 7.12, November 2021 PSD).</w:t>
            </w:r>
          </w:p>
        </w:tc>
        <w:tc>
          <w:tcPr>
            <w:tcW w:w="1679" w:type="pct"/>
          </w:tcPr>
          <w:p w14:paraId="439C9F96" w14:textId="40BC9D25" w:rsidR="00C37FFB" w:rsidRPr="00E44776" w:rsidRDefault="00C37FFB" w:rsidP="00933FF0">
            <w:pPr>
              <w:pStyle w:val="COMTabletext"/>
              <w:keepNext w:val="0"/>
              <w:rPr>
                <w:rFonts w:eastAsia="Times New Roman" w:cs="Arial"/>
                <w:bCs w:val="0"/>
                <w:snapToGrid w:val="0"/>
                <w:szCs w:val="20"/>
              </w:rPr>
            </w:pPr>
            <w:r w:rsidRPr="00E44776">
              <w:rPr>
                <w:rFonts w:eastAsia="Times New Roman" w:cs="Arial"/>
                <w:bCs w:val="0"/>
                <w:snapToGrid w:val="0"/>
                <w:szCs w:val="20"/>
              </w:rPr>
              <w:t xml:space="preserve">The resubmission proposed an RSA in which the cost of acalabrutinib for each patient is capped at 60 months of treatment, with the financial estimates presented in the resubmission </w:t>
            </w:r>
            <w:r w:rsidR="00BE1A13" w:rsidRPr="00E44776">
              <w:rPr>
                <w:rFonts w:eastAsia="Times New Roman" w:cs="Arial"/>
                <w:bCs w:val="0"/>
                <w:snapToGrid w:val="0"/>
                <w:szCs w:val="20"/>
              </w:rPr>
              <w:t xml:space="preserve">forming the basis for </w:t>
            </w:r>
            <w:r w:rsidR="00662E27" w:rsidRPr="00E44776">
              <w:rPr>
                <w:rFonts w:eastAsia="Times New Roman" w:cs="Arial"/>
                <w:bCs w:val="0"/>
                <w:snapToGrid w:val="0"/>
                <w:szCs w:val="20"/>
              </w:rPr>
              <w:t>the</w:t>
            </w:r>
            <w:r w:rsidRPr="00E44776">
              <w:rPr>
                <w:rFonts w:eastAsia="Times New Roman" w:cs="Arial"/>
                <w:bCs w:val="0"/>
                <w:snapToGrid w:val="0"/>
                <w:szCs w:val="20"/>
              </w:rPr>
              <w:t xml:space="preserve"> RSA</w:t>
            </w:r>
            <w:r w:rsidR="00662E27" w:rsidRPr="00E44776">
              <w:rPr>
                <w:rFonts w:eastAsia="Times New Roman" w:cs="Arial"/>
                <w:bCs w:val="0"/>
                <w:snapToGrid w:val="0"/>
                <w:szCs w:val="20"/>
              </w:rPr>
              <w:t xml:space="preserve"> caps</w:t>
            </w:r>
            <w:r w:rsidR="00BE1A13" w:rsidRPr="00E44776">
              <w:rPr>
                <w:rFonts w:eastAsia="Times New Roman" w:cs="Arial"/>
                <w:bCs w:val="0"/>
                <w:snapToGrid w:val="0"/>
                <w:szCs w:val="20"/>
              </w:rPr>
              <w:t>.</w:t>
            </w:r>
            <w:r w:rsidR="002626F5">
              <w:rPr>
                <w:rFonts w:eastAsia="Times New Roman" w:cs="Arial"/>
                <w:bCs w:val="0"/>
                <w:snapToGrid w:val="0"/>
                <w:szCs w:val="20"/>
              </w:rPr>
              <w:t xml:space="preserve"> </w:t>
            </w:r>
            <w:r w:rsidR="002626F5" w:rsidRPr="002626F5">
              <w:rPr>
                <w:rFonts w:eastAsia="Times New Roman" w:cs="Arial"/>
                <w:bCs w:val="0"/>
                <w:snapToGrid w:val="0"/>
                <w:szCs w:val="20"/>
              </w:rPr>
              <w:t>The pre-PBAC response withdrew this proposal.</w:t>
            </w:r>
          </w:p>
        </w:tc>
      </w:tr>
      <w:tr w:rsidR="00365301" w:rsidRPr="00E44776" w14:paraId="4907C6E5" w14:textId="77777777" w:rsidTr="005B7BF2">
        <w:trPr>
          <w:cantSplit/>
        </w:trPr>
        <w:tc>
          <w:tcPr>
            <w:tcW w:w="749" w:type="pct"/>
            <w:vAlign w:val="center"/>
          </w:tcPr>
          <w:p w14:paraId="096CF12D" w14:textId="5D0B8F2B" w:rsidR="00365301" w:rsidRPr="00E44776" w:rsidRDefault="00365301" w:rsidP="00933FF0">
            <w:pPr>
              <w:pStyle w:val="COMTabletext"/>
              <w:keepNext w:val="0"/>
            </w:pPr>
            <w:r w:rsidRPr="00E44776">
              <w:t>Financial estimates</w:t>
            </w:r>
          </w:p>
        </w:tc>
        <w:tc>
          <w:tcPr>
            <w:tcW w:w="2572" w:type="pct"/>
          </w:tcPr>
          <w:p w14:paraId="336D1275" w14:textId="78C4B044" w:rsidR="00365301" w:rsidRPr="00E44776" w:rsidRDefault="00365301" w:rsidP="00933FF0">
            <w:pPr>
              <w:pStyle w:val="COMTabletext"/>
              <w:keepNext w:val="0"/>
              <w:rPr>
                <w:rFonts w:eastAsia="Times New Roman" w:cs="Arial"/>
                <w:bCs w:val="0"/>
                <w:snapToGrid w:val="0"/>
                <w:szCs w:val="20"/>
              </w:rPr>
            </w:pPr>
            <w:r w:rsidRPr="00E44776">
              <w:rPr>
                <w:rFonts w:eastAsia="Times New Roman" w:cs="Arial"/>
                <w:bCs w:val="0"/>
                <w:snapToGrid w:val="0"/>
                <w:szCs w:val="20"/>
              </w:rPr>
              <w:t xml:space="preserve">The PBAC </w:t>
            </w:r>
            <w:r w:rsidR="00A70B82" w:rsidRPr="00E44776">
              <w:rPr>
                <w:rFonts w:eastAsia="Times New Roman" w:cs="Arial"/>
                <w:bCs w:val="0"/>
                <w:snapToGrid w:val="0"/>
                <w:szCs w:val="20"/>
              </w:rPr>
              <w:t xml:space="preserve">considered </w:t>
            </w:r>
            <w:r w:rsidRPr="00E44776">
              <w:rPr>
                <w:rFonts w:eastAsia="Times New Roman" w:cs="Arial"/>
                <w:bCs w:val="0"/>
                <w:snapToGrid w:val="0"/>
                <w:szCs w:val="20"/>
              </w:rPr>
              <w:t>that the estimated cost to the PBS/RPBS of listing acalabrutinib and the estimated changes in use of other medicines were highly uncertain (</w:t>
            </w:r>
            <w:r w:rsidR="00691A52" w:rsidRPr="00E44776">
              <w:rPr>
                <w:rFonts w:eastAsia="Times New Roman" w:cs="Arial"/>
                <w:bCs w:val="0"/>
                <w:snapToGrid w:val="0"/>
                <w:szCs w:val="20"/>
              </w:rPr>
              <w:t>p</w:t>
            </w:r>
            <w:r w:rsidRPr="00E44776">
              <w:rPr>
                <w:rFonts w:eastAsia="Times New Roman" w:cs="Arial"/>
                <w:bCs w:val="0"/>
                <w:snapToGrid w:val="0"/>
                <w:szCs w:val="20"/>
              </w:rPr>
              <w:t>ara 7.12, November 2021 PSD).</w:t>
            </w:r>
          </w:p>
        </w:tc>
        <w:tc>
          <w:tcPr>
            <w:tcW w:w="1679" w:type="pct"/>
          </w:tcPr>
          <w:p w14:paraId="7A69D470" w14:textId="1EE57A32" w:rsidR="00365301" w:rsidRPr="00E44776" w:rsidRDefault="00AE2971" w:rsidP="00933FF0">
            <w:pPr>
              <w:pStyle w:val="COMTabletext"/>
              <w:keepNext w:val="0"/>
              <w:rPr>
                <w:rFonts w:eastAsia="Times New Roman" w:cs="Arial"/>
                <w:bCs w:val="0"/>
                <w:snapToGrid w:val="0"/>
                <w:szCs w:val="20"/>
              </w:rPr>
            </w:pPr>
            <w:r w:rsidRPr="00E44776">
              <w:rPr>
                <w:rFonts w:eastAsia="Times New Roman" w:cs="Arial"/>
                <w:bCs w:val="0"/>
                <w:snapToGrid w:val="0"/>
                <w:szCs w:val="20"/>
              </w:rPr>
              <w:t>The resubmission provided updated financial estimates based on a mixed epidemiological/market share approach, with cost offsets associated with substitution for venetoclax + obinutuzumab treatment</w:t>
            </w:r>
            <w:r w:rsidR="005B7BF2" w:rsidRPr="00E44776">
              <w:rPr>
                <w:rFonts w:eastAsia="Times New Roman" w:cs="Arial"/>
                <w:bCs w:val="0"/>
                <w:snapToGrid w:val="0"/>
                <w:szCs w:val="20"/>
              </w:rPr>
              <w:t>, and changes in later-line therapy utilisation.</w:t>
            </w:r>
          </w:p>
        </w:tc>
      </w:tr>
    </w:tbl>
    <w:p w14:paraId="451D7156" w14:textId="5E51174D" w:rsidR="005C25FF" w:rsidRDefault="005C25FF" w:rsidP="00933FF0">
      <w:pPr>
        <w:pStyle w:val="COMTablefooter"/>
      </w:pPr>
      <w:r w:rsidRPr="00E44776">
        <w:t xml:space="preserve">Source: </w:t>
      </w:r>
      <w:r w:rsidR="00365301" w:rsidRPr="00E44776">
        <w:t>July 2020 and November 2021 acalabrutinib Public Summary Documents.</w:t>
      </w:r>
    </w:p>
    <w:p w14:paraId="67F7CC99" w14:textId="7A7EC465" w:rsidR="005F4F13" w:rsidRPr="00E44776" w:rsidRDefault="005F4F13" w:rsidP="00933FF0">
      <w:pPr>
        <w:pStyle w:val="COMTablefooter"/>
      </w:pPr>
      <w:r>
        <w:t>PSD = Public Summary Document</w:t>
      </w:r>
    </w:p>
    <w:p w14:paraId="76E4EF3C" w14:textId="27B53299" w:rsidR="00B60939" w:rsidRPr="00E44776" w:rsidRDefault="00B50DB8" w:rsidP="004E18E9">
      <w:pPr>
        <w:pStyle w:val="COMH1numbered"/>
      </w:pPr>
      <w:bookmarkStart w:id="12" w:name="_Toc107902078"/>
      <w:bookmarkStart w:id="13" w:name="_Toc114048842"/>
      <w:bookmarkEnd w:id="12"/>
      <w:r w:rsidRPr="00E44776">
        <w:t>Requested listing</w:t>
      </w:r>
      <w:bookmarkEnd w:id="13"/>
    </w:p>
    <w:p w14:paraId="1A837603" w14:textId="66FAE85D" w:rsidR="00CB3E86" w:rsidRPr="00564C8E" w:rsidRDefault="00CB3E86" w:rsidP="00CB3E86">
      <w:pPr>
        <w:pStyle w:val="COMexecsumnumberedpara"/>
      </w:pPr>
      <w:r w:rsidRPr="00564C8E">
        <w:t>Suggestions and additions proposed by the Secretariat are added in italics and suggested deletions are crossed out with strikethrough.</w:t>
      </w:r>
    </w:p>
    <w:p w14:paraId="6D62EE59" w14:textId="4589D0C1" w:rsidR="006E2BA1" w:rsidRDefault="006E2BA1" w:rsidP="006E2BA1"/>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134"/>
        <w:gridCol w:w="709"/>
        <w:gridCol w:w="709"/>
        <w:gridCol w:w="850"/>
        <w:gridCol w:w="1701"/>
      </w:tblGrid>
      <w:tr w:rsidR="00CB3E86" w:rsidRPr="003021AF" w14:paraId="3692FF97" w14:textId="77777777" w:rsidTr="00864D53">
        <w:trPr>
          <w:cantSplit/>
          <w:trHeight w:val="471"/>
        </w:trPr>
        <w:tc>
          <w:tcPr>
            <w:tcW w:w="3964" w:type="dxa"/>
          </w:tcPr>
          <w:p w14:paraId="23397822" w14:textId="77777777" w:rsidR="00CB3E86" w:rsidRPr="003021AF" w:rsidRDefault="00CB3E86" w:rsidP="00AF24C9">
            <w:pPr>
              <w:keepNext/>
              <w:ind w:left="-57"/>
              <w:rPr>
                <w:rFonts w:ascii="Arial Narrow" w:hAnsi="Arial Narrow"/>
                <w:b/>
                <w:bCs/>
                <w:sz w:val="20"/>
                <w:szCs w:val="20"/>
              </w:rPr>
            </w:pPr>
            <w:bookmarkStart w:id="14" w:name="_Hlk113624522"/>
            <w:r w:rsidRPr="003021AF">
              <w:rPr>
                <w:rFonts w:ascii="Arial Narrow" w:hAnsi="Arial Narrow"/>
                <w:b/>
                <w:bCs/>
                <w:sz w:val="20"/>
                <w:szCs w:val="20"/>
              </w:rPr>
              <w:t>MEDICINAL PRODUCT</w:t>
            </w:r>
          </w:p>
          <w:p w14:paraId="6EC28731" w14:textId="77777777" w:rsidR="00CB3E86" w:rsidRPr="003021AF" w:rsidRDefault="00CB3E86" w:rsidP="00AF24C9">
            <w:pPr>
              <w:keepNext/>
              <w:ind w:left="-57"/>
              <w:rPr>
                <w:rFonts w:ascii="Arial Narrow" w:hAnsi="Arial Narrow"/>
                <w:b/>
                <w:sz w:val="20"/>
                <w:szCs w:val="20"/>
              </w:rPr>
            </w:pPr>
            <w:r w:rsidRPr="003021AF">
              <w:rPr>
                <w:rFonts w:ascii="Arial Narrow" w:hAnsi="Arial Narrow"/>
                <w:b/>
                <w:bCs/>
                <w:sz w:val="20"/>
                <w:szCs w:val="20"/>
              </w:rPr>
              <w:t>medicinal product pack</w:t>
            </w:r>
          </w:p>
        </w:tc>
        <w:tc>
          <w:tcPr>
            <w:tcW w:w="1134" w:type="dxa"/>
          </w:tcPr>
          <w:p w14:paraId="37C950A6" w14:textId="77777777" w:rsidR="00CB3E86" w:rsidRPr="003021AF" w:rsidRDefault="00CB3E86" w:rsidP="00AF24C9">
            <w:pPr>
              <w:keepNext/>
              <w:rPr>
                <w:rFonts w:ascii="Arial Narrow" w:hAnsi="Arial Narrow"/>
                <w:b/>
                <w:i/>
                <w:sz w:val="20"/>
                <w:szCs w:val="20"/>
              </w:rPr>
            </w:pPr>
            <w:r w:rsidRPr="003021AF">
              <w:rPr>
                <w:rFonts w:ascii="Arial Narrow" w:hAnsi="Arial Narrow"/>
                <w:b/>
                <w:i/>
                <w:sz w:val="20"/>
                <w:szCs w:val="20"/>
              </w:rPr>
              <w:t>PBS item code</w:t>
            </w:r>
          </w:p>
        </w:tc>
        <w:tc>
          <w:tcPr>
            <w:tcW w:w="709" w:type="dxa"/>
          </w:tcPr>
          <w:p w14:paraId="4127AEDF" w14:textId="77777777" w:rsidR="00CB3E86" w:rsidRPr="003021AF" w:rsidRDefault="00CB3E86" w:rsidP="00AF24C9">
            <w:pPr>
              <w:keepNext/>
              <w:rPr>
                <w:rFonts w:ascii="Arial Narrow" w:hAnsi="Arial Narrow"/>
                <w:b/>
                <w:sz w:val="20"/>
                <w:szCs w:val="20"/>
              </w:rPr>
            </w:pPr>
            <w:r w:rsidRPr="003021AF">
              <w:rPr>
                <w:rFonts w:ascii="Arial Narrow" w:hAnsi="Arial Narrow"/>
                <w:b/>
                <w:sz w:val="20"/>
                <w:szCs w:val="20"/>
              </w:rPr>
              <w:t>Max. qty packs</w:t>
            </w:r>
          </w:p>
        </w:tc>
        <w:tc>
          <w:tcPr>
            <w:tcW w:w="709" w:type="dxa"/>
          </w:tcPr>
          <w:p w14:paraId="2A6C6E31" w14:textId="77777777" w:rsidR="00CB3E86" w:rsidRPr="003021AF" w:rsidRDefault="00CB3E86" w:rsidP="00AF24C9">
            <w:pPr>
              <w:keepNext/>
              <w:rPr>
                <w:rFonts w:ascii="Arial Narrow" w:hAnsi="Arial Narrow"/>
                <w:b/>
                <w:sz w:val="20"/>
                <w:szCs w:val="20"/>
              </w:rPr>
            </w:pPr>
            <w:r w:rsidRPr="003021AF">
              <w:rPr>
                <w:rFonts w:ascii="Arial Narrow" w:hAnsi="Arial Narrow"/>
                <w:b/>
                <w:sz w:val="20"/>
                <w:szCs w:val="20"/>
              </w:rPr>
              <w:t>Max. qty units</w:t>
            </w:r>
          </w:p>
        </w:tc>
        <w:tc>
          <w:tcPr>
            <w:tcW w:w="850" w:type="dxa"/>
          </w:tcPr>
          <w:p w14:paraId="1CCC04BA" w14:textId="77777777" w:rsidR="00CB3E86" w:rsidRPr="003021AF" w:rsidRDefault="00CB3E86" w:rsidP="00AF24C9">
            <w:pPr>
              <w:keepNext/>
              <w:ind w:left="-108"/>
              <w:rPr>
                <w:rFonts w:ascii="Arial Narrow" w:hAnsi="Arial Narrow"/>
                <w:b/>
                <w:sz w:val="20"/>
                <w:szCs w:val="20"/>
              </w:rPr>
            </w:pPr>
            <w:r w:rsidRPr="003021AF">
              <w:rPr>
                <w:rFonts w:ascii="Arial Narrow" w:hAnsi="Arial Narrow"/>
                <w:b/>
                <w:sz w:val="20"/>
                <w:szCs w:val="20"/>
              </w:rPr>
              <w:t>№.of Rpts</w:t>
            </w:r>
          </w:p>
        </w:tc>
        <w:tc>
          <w:tcPr>
            <w:tcW w:w="1701" w:type="dxa"/>
          </w:tcPr>
          <w:p w14:paraId="59DE0C84" w14:textId="77777777" w:rsidR="00CB3E86" w:rsidRPr="003021AF" w:rsidRDefault="00CB3E86" w:rsidP="00AF24C9">
            <w:pPr>
              <w:keepNext/>
              <w:rPr>
                <w:rFonts w:ascii="Arial Narrow" w:hAnsi="Arial Narrow"/>
                <w:b/>
                <w:sz w:val="20"/>
                <w:szCs w:val="20"/>
                <w:lang w:val="fr-FR"/>
              </w:rPr>
            </w:pPr>
            <w:r w:rsidRPr="003021AF">
              <w:rPr>
                <w:rFonts w:ascii="Arial Narrow" w:hAnsi="Arial Narrow"/>
                <w:b/>
                <w:sz w:val="20"/>
                <w:szCs w:val="20"/>
              </w:rPr>
              <w:t>Available brands</w:t>
            </w:r>
          </w:p>
        </w:tc>
      </w:tr>
      <w:tr w:rsidR="00CB3E86" w:rsidRPr="00FD5227" w14:paraId="5CAB9DA3" w14:textId="77777777" w:rsidTr="00864D53">
        <w:trPr>
          <w:cantSplit/>
          <w:trHeight w:val="224"/>
        </w:trPr>
        <w:tc>
          <w:tcPr>
            <w:tcW w:w="9067" w:type="dxa"/>
            <w:gridSpan w:val="6"/>
          </w:tcPr>
          <w:p w14:paraId="40642350" w14:textId="77777777" w:rsidR="00CB3E86" w:rsidRPr="00FD5227" w:rsidRDefault="00CB3E86" w:rsidP="00AF24C9">
            <w:pPr>
              <w:keepNext/>
              <w:ind w:left="-57"/>
              <w:rPr>
                <w:rFonts w:ascii="Arial Narrow" w:hAnsi="Arial Narrow"/>
                <w:i/>
                <w:iCs/>
                <w:sz w:val="20"/>
                <w:szCs w:val="20"/>
              </w:rPr>
            </w:pPr>
            <w:r w:rsidRPr="00FD5227">
              <w:rPr>
                <w:rFonts w:ascii="Arial Narrow" w:hAnsi="Arial Narrow"/>
                <w:i/>
                <w:iCs/>
                <w:sz w:val="20"/>
                <w:szCs w:val="20"/>
              </w:rPr>
              <w:t>ACALABRUTINIB</w:t>
            </w:r>
          </w:p>
        </w:tc>
      </w:tr>
      <w:tr w:rsidR="00CB3E86" w:rsidRPr="00FD5227" w14:paraId="6A28F434" w14:textId="77777777" w:rsidTr="00864D53">
        <w:trPr>
          <w:cantSplit/>
          <w:trHeight w:val="553"/>
        </w:trPr>
        <w:tc>
          <w:tcPr>
            <w:tcW w:w="3964" w:type="dxa"/>
          </w:tcPr>
          <w:p w14:paraId="3ECB4D6F" w14:textId="77777777" w:rsidR="00CB3E86" w:rsidRPr="00FD5227" w:rsidRDefault="00CB3E86" w:rsidP="00AF24C9">
            <w:pPr>
              <w:keepNext/>
              <w:ind w:left="-57"/>
              <w:rPr>
                <w:rFonts w:ascii="Arial Narrow" w:hAnsi="Arial Narrow"/>
                <w:i/>
                <w:iCs/>
                <w:sz w:val="20"/>
                <w:szCs w:val="20"/>
              </w:rPr>
            </w:pPr>
            <w:r w:rsidRPr="00FD5227">
              <w:rPr>
                <w:rFonts w:ascii="Arial Narrow" w:hAnsi="Arial Narrow"/>
                <w:strike/>
                <w:sz w:val="20"/>
                <w:szCs w:val="20"/>
              </w:rPr>
              <w:t>ACALABRUTINIB, Treatment of patients with previously untreated CLL or SLL, 100 mg capsule, oral administration</w:t>
            </w:r>
            <w:r w:rsidRPr="00FD5227">
              <w:rPr>
                <w:rFonts w:ascii="Arial Narrow" w:hAnsi="Arial Narrow"/>
                <w:i/>
                <w:iCs/>
                <w:sz w:val="20"/>
                <w:szCs w:val="20"/>
              </w:rPr>
              <w:t xml:space="preserve"> 100 mg, capsule</w:t>
            </w:r>
          </w:p>
        </w:tc>
        <w:tc>
          <w:tcPr>
            <w:tcW w:w="1134" w:type="dxa"/>
          </w:tcPr>
          <w:p w14:paraId="18665F49" w14:textId="77777777" w:rsidR="00CB3E86" w:rsidRPr="00FD5227" w:rsidRDefault="00CB3E86" w:rsidP="00AF24C9">
            <w:pPr>
              <w:keepNext/>
              <w:rPr>
                <w:rFonts w:ascii="Arial Narrow" w:hAnsi="Arial Narrow"/>
                <w:i/>
                <w:iCs/>
                <w:sz w:val="20"/>
                <w:szCs w:val="20"/>
              </w:rPr>
            </w:pPr>
            <w:r w:rsidRPr="00FD5227">
              <w:rPr>
                <w:rFonts w:ascii="Arial Narrow" w:hAnsi="Arial Narrow"/>
                <w:i/>
                <w:iCs/>
                <w:sz w:val="20"/>
                <w:szCs w:val="20"/>
              </w:rPr>
              <w:t>NEW</w:t>
            </w:r>
          </w:p>
        </w:tc>
        <w:tc>
          <w:tcPr>
            <w:tcW w:w="709" w:type="dxa"/>
          </w:tcPr>
          <w:p w14:paraId="2A6243B2" w14:textId="77777777" w:rsidR="00CB3E86" w:rsidRPr="00FD5227" w:rsidRDefault="00CB3E86" w:rsidP="00AF24C9">
            <w:pPr>
              <w:keepNext/>
              <w:rPr>
                <w:rFonts w:ascii="Arial Narrow" w:hAnsi="Arial Narrow"/>
                <w:sz w:val="20"/>
                <w:szCs w:val="20"/>
              </w:rPr>
            </w:pPr>
            <w:r w:rsidRPr="00FD5227">
              <w:rPr>
                <w:rFonts w:ascii="Arial Narrow" w:hAnsi="Arial Narrow"/>
                <w:sz w:val="20"/>
                <w:szCs w:val="20"/>
              </w:rPr>
              <w:t>1</w:t>
            </w:r>
          </w:p>
        </w:tc>
        <w:tc>
          <w:tcPr>
            <w:tcW w:w="709" w:type="dxa"/>
          </w:tcPr>
          <w:p w14:paraId="16CBC4C8" w14:textId="77777777" w:rsidR="00CB3E86" w:rsidRPr="00FD5227" w:rsidRDefault="00CB3E86" w:rsidP="00AF24C9">
            <w:pPr>
              <w:keepNext/>
              <w:rPr>
                <w:rFonts w:ascii="Arial Narrow" w:hAnsi="Arial Narrow"/>
                <w:sz w:val="20"/>
                <w:szCs w:val="20"/>
              </w:rPr>
            </w:pPr>
            <w:r w:rsidRPr="00FD5227">
              <w:rPr>
                <w:rFonts w:ascii="Arial Narrow" w:hAnsi="Arial Narrow"/>
                <w:sz w:val="20"/>
                <w:szCs w:val="20"/>
              </w:rPr>
              <w:t>56</w:t>
            </w:r>
          </w:p>
        </w:tc>
        <w:tc>
          <w:tcPr>
            <w:tcW w:w="850" w:type="dxa"/>
          </w:tcPr>
          <w:p w14:paraId="2248DA37" w14:textId="77777777" w:rsidR="00CB3E86" w:rsidRPr="00FD5227" w:rsidRDefault="00CB3E86" w:rsidP="00AF24C9">
            <w:pPr>
              <w:keepNext/>
              <w:rPr>
                <w:rFonts w:ascii="Arial Narrow" w:hAnsi="Arial Narrow"/>
                <w:sz w:val="20"/>
                <w:szCs w:val="20"/>
              </w:rPr>
            </w:pPr>
            <w:r w:rsidRPr="00FD5227">
              <w:rPr>
                <w:rFonts w:ascii="Arial Narrow" w:hAnsi="Arial Narrow"/>
                <w:i/>
                <w:iCs/>
                <w:sz w:val="20"/>
                <w:szCs w:val="20"/>
              </w:rPr>
              <w:t>2</w:t>
            </w:r>
            <w:r w:rsidRPr="00FD5227">
              <w:rPr>
                <w:rFonts w:ascii="Arial Narrow" w:hAnsi="Arial Narrow"/>
                <w:strike/>
                <w:sz w:val="20"/>
                <w:szCs w:val="20"/>
              </w:rPr>
              <w:t>6</w:t>
            </w:r>
          </w:p>
        </w:tc>
        <w:tc>
          <w:tcPr>
            <w:tcW w:w="1701" w:type="dxa"/>
          </w:tcPr>
          <w:p w14:paraId="5FE8343D" w14:textId="77777777" w:rsidR="00CB3E86" w:rsidRPr="00FD5227" w:rsidRDefault="00CB3E86" w:rsidP="00AF24C9">
            <w:pPr>
              <w:keepNext/>
              <w:rPr>
                <w:rFonts w:ascii="Arial Narrow" w:eastAsia="MS Gothic" w:hAnsi="Arial Narrow" w:cs="Times New Roman"/>
                <w:bCs/>
                <w:sz w:val="20"/>
                <w:szCs w:val="20"/>
              </w:rPr>
            </w:pPr>
            <w:r w:rsidRPr="00FD5227">
              <w:rPr>
                <w:rFonts w:ascii="Arial Narrow" w:eastAsia="MS Gothic" w:hAnsi="Arial Narrow" w:cs="Times New Roman"/>
                <w:bCs/>
                <w:sz w:val="20"/>
                <w:szCs w:val="20"/>
              </w:rPr>
              <w:t>Calquence</w:t>
            </w:r>
          </w:p>
        </w:tc>
      </w:tr>
      <w:tr w:rsidR="00CB3E86" w:rsidRPr="00FD5227" w14:paraId="494F3F5D" w14:textId="77777777" w:rsidTr="00864D53">
        <w:trPr>
          <w:cantSplit/>
          <w:trHeight w:val="327"/>
        </w:trPr>
        <w:tc>
          <w:tcPr>
            <w:tcW w:w="5098" w:type="dxa"/>
            <w:gridSpan w:val="2"/>
          </w:tcPr>
          <w:p w14:paraId="402D6C3F" w14:textId="77777777" w:rsidR="00CB3E86" w:rsidRPr="00FD5227" w:rsidRDefault="00CB3E86" w:rsidP="00AF24C9">
            <w:pPr>
              <w:keepNext/>
              <w:rPr>
                <w:rFonts w:ascii="Arial Narrow" w:hAnsi="Arial Narrow"/>
                <w:sz w:val="20"/>
                <w:szCs w:val="20"/>
              </w:rPr>
            </w:pPr>
          </w:p>
        </w:tc>
        <w:tc>
          <w:tcPr>
            <w:tcW w:w="3969" w:type="dxa"/>
            <w:gridSpan w:val="4"/>
          </w:tcPr>
          <w:p w14:paraId="299E824F" w14:textId="77777777" w:rsidR="00CB3E86" w:rsidRPr="00FD5227" w:rsidRDefault="00CB3E86" w:rsidP="00AF24C9">
            <w:pPr>
              <w:keepNext/>
              <w:ind w:left="-57"/>
              <w:rPr>
                <w:rFonts w:ascii="Arial Narrow" w:hAnsi="Arial Narrow"/>
                <w:i/>
                <w:iCs/>
                <w:sz w:val="20"/>
                <w:szCs w:val="20"/>
              </w:rPr>
            </w:pPr>
            <w:r w:rsidRPr="00FD5227">
              <w:rPr>
                <w:rFonts w:ascii="Arial Narrow" w:hAnsi="Arial Narrow"/>
                <w:i/>
                <w:iCs/>
                <w:sz w:val="20"/>
                <w:szCs w:val="20"/>
              </w:rPr>
              <w:t>Max.qty (packs) multiplier = 2</w:t>
            </w:r>
          </w:p>
          <w:p w14:paraId="40F9C6DF" w14:textId="77777777" w:rsidR="00CB3E86" w:rsidRPr="00FD5227" w:rsidRDefault="00CB3E86" w:rsidP="00AF24C9">
            <w:pPr>
              <w:keepNext/>
              <w:ind w:left="-57"/>
              <w:rPr>
                <w:rFonts w:ascii="Arial Narrow" w:hAnsi="Arial Narrow"/>
                <w:i/>
                <w:iCs/>
                <w:sz w:val="20"/>
                <w:szCs w:val="20"/>
              </w:rPr>
            </w:pPr>
            <w:r w:rsidRPr="00FD5227">
              <w:rPr>
                <w:rFonts w:ascii="Arial Narrow" w:hAnsi="Arial Narrow"/>
                <w:i/>
                <w:iCs/>
                <w:sz w:val="20"/>
                <w:szCs w:val="20"/>
              </w:rPr>
              <w:t>Repeat increases: nil</w:t>
            </w:r>
          </w:p>
        </w:tc>
      </w:tr>
      <w:tr w:rsidR="00CB3E86" w:rsidRPr="00FD5227" w14:paraId="00237FC8" w14:textId="77777777" w:rsidTr="00864D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003EB146" w14:textId="77777777" w:rsidR="00CB3E86" w:rsidRPr="00FD5227" w:rsidRDefault="00CB3E86" w:rsidP="00AF24C9">
            <w:pPr>
              <w:rPr>
                <w:rFonts w:ascii="Arial Narrow" w:hAnsi="Arial Narrow"/>
                <w:sz w:val="20"/>
                <w:szCs w:val="20"/>
              </w:rPr>
            </w:pPr>
          </w:p>
        </w:tc>
      </w:tr>
      <w:tr w:rsidR="00CB3E86" w:rsidRPr="00FD5227" w14:paraId="629F15AB" w14:textId="77777777" w:rsidTr="00864D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6CE9DBB8" w14:textId="4A7C52F4" w:rsidR="00CB3E86" w:rsidRPr="00FD5227" w:rsidRDefault="00CB3E86" w:rsidP="00AF24C9">
            <w:pPr>
              <w:rPr>
                <w:rFonts w:ascii="Arial Narrow" w:hAnsi="Arial Narrow"/>
                <w:b/>
                <w:sz w:val="20"/>
                <w:szCs w:val="20"/>
              </w:rPr>
            </w:pPr>
            <w:r w:rsidRPr="00FD5227">
              <w:rPr>
                <w:rFonts w:ascii="Arial Narrow" w:hAnsi="Arial Narrow"/>
                <w:b/>
                <w:sz w:val="20"/>
                <w:szCs w:val="20"/>
              </w:rPr>
              <w:t>Restriction Summary / Treatment of Concept:</w:t>
            </w:r>
          </w:p>
        </w:tc>
      </w:tr>
      <w:tr w:rsidR="00611B7A" w:rsidRPr="00FD5227" w14:paraId="0ED6B829" w14:textId="77777777" w:rsidTr="009205FD">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0EC0A06A" w14:textId="77777777" w:rsidR="00611B7A" w:rsidRPr="00FD5227" w:rsidRDefault="00611B7A" w:rsidP="00AF24C9">
            <w:pPr>
              <w:rPr>
                <w:rFonts w:ascii="Arial Narrow" w:hAnsi="Arial Narrow"/>
                <w:sz w:val="20"/>
                <w:szCs w:val="20"/>
              </w:rPr>
            </w:pPr>
            <w:r w:rsidRPr="00FD5227">
              <w:rPr>
                <w:rFonts w:ascii="Arial Narrow" w:hAnsi="Arial Narrow"/>
                <w:b/>
                <w:sz w:val="20"/>
                <w:szCs w:val="20"/>
              </w:rPr>
              <w:lastRenderedPageBreak/>
              <w:t xml:space="preserve">Category / Program: </w:t>
            </w:r>
            <w:r w:rsidRPr="00FD5227">
              <w:rPr>
                <w:rFonts w:ascii="Arial Narrow" w:hAnsi="Arial Narrow"/>
                <w:sz w:val="20"/>
                <w:szCs w:val="20"/>
              </w:rPr>
              <w:t xml:space="preserve">GENERAL – General Schedule (Code GE) </w:t>
            </w:r>
          </w:p>
        </w:tc>
      </w:tr>
      <w:tr w:rsidR="00611B7A" w:rsidRPr="00FD5227" w14:paraId="0CE4BF68" w14:textId="77777777" w:rsidTr="00E8047A">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6"/>
            <w:tcBorders>
              <w:left w:val="single" w:sz="4" w:space="0" w:color="auto"/>
              <w:right w:val="single" w:sz="4" w:space="0" w:color="auto"/>
            </w:tcBorders>
          </w:tcPr>
          <w:p w14:paraId="31C27A90" w14:textId="77777777" w:rsidR="00611B7A" w:rsidRPr="00FD5227" w:rsidRDefault="00611B7A" w:rsidP="00AF24C9">
            <w:pPr>
              <w:rPr>
                <w:rFonts w:ascii="Arial Narrow" w:hAnsi="Arial Narrow"/>
                <w:b/>
                <w:sz w:val="20"/>
                <w:szCs w:val="20"/>
              </w:rPr>
            </w:pPr>
            <w:r w:rsidRPr="00FD5227">
              <w:rPr>
                <w:rFonts w:ascii="Arial Narrow" w:hAnsi="Arial Narrow"/>
                <w:b/>
                <w:sz w:val="20"/>
                <w:szCs w:val="20"/>
              </w:rPr>
              <w:t xml:space="preserve">Prescriber type: </w:t>
            </w:r>
            <w:r w:rsidRPr="00FD5227">
              <w:rPr>
                <w:rFonts w:ascii="Arial Narrow" w:hAnsi="Arial Narrow"/>
                <w:sz w:val="20"/>
                <w:szCs w:val="20"/>
              </w:rPr>
              <w:fldChar w:fldCharType="begin" w:fldLock="1">
                <w:ffData>
                  <w:name w:val=""/>
                  <w:enabled/>
                  <w:calcOnExit w:val="0"/>
                  <w:checkBox>
                    <w:sizeAuto/>
                    <w:default w:val="1"/>
                  </w:checkBox>
                </w:ffData>
              </w:fldChar>
            </w:r>
            <w:r w:rsidRPr="00FD5227">
              <w:rPr>
                <w:rFonts w:ascii="Arial Narrow" w:hAnsi="Arial Narrow"/>
                <w:sz w:val="20"/>
                <w:szCs w:val="20"/>
              </w:rPr>
              <w:instrText xml:space="preserve"> FORMCHECKBOX </w:instrText>
            </w:r>
            <w:r w:rsidR="00B53F47">
              <w:rPr>
                <w:rFonts w:ascii="Arial Narrow" w:hAnsi="Arial Narrow"/>
                <w:sz w:val="20"/>
                <w:szCs w:val="20"/>
              </w:rPr>
            </w:r>
            <w:r w:rsidR="00B53F47">
              <w:rPr>
                <w:rFonts w:ascii="Arial Narrow" w:hAnsi="Arial Narrow"/>
                <w:sz w:val="20"/>
                <w:szCs w:val="20"/>
              </w:rPr>
              <w:fldChar w:fldCharType="separate"/>
            </w:r>
            <w:r w:rsidRPr="00FD5227">
              <w:rPr>
                <w:rFonts w:ascii="Arial Narrow" w:hAnsi="Arial Narrow"/>
                <w:sz w:val="20"/>
                <w:szCs w:val="20"/>
              </w:rPr>
              <w:fldChar w:fldCharType="end"/>
            </w:r>
            <w:r w:rsidRPr="00FD5227">
              <w:rPr>
                <w:rFonts w:ascii="Arial Narrow" w:hAnsi="Arial Narrow"/>
                <w:sz w:val="20"/>
                <w:szCs w:val="20"/>
              </w:rPr>
              <w:t>Medical Practitioners</w:t>
            </w:r>
          </w:p>
        </w:tc>
      </w:tr>
      <w:tr w:rsidR="00611B7A" w:rsidRPr="00FD5227" w14:paraId="5FED5255" w14:textId="77777777" w:rsidTr="009D6940">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bottom w:val="single" w:sz="4" w:space="0" w:color="auto"/>
              <w:right w:val="single" w:sz="4" w:space="0" w:color="auto"/>
            </w:tcBorders>
          </w:tcPr>
          <w:p w14:paraId="28A51397" w14:textId="77777777" w:rsidR="00611B7A" w:rsidRPr="00FD5227" w:rsidRDefault="00611B7A" w:rsidP="00AF24C9">
            <w:pPr>
              <w:rPr>
                <w:rFonts w:ascii="Arial Narrow" w:eastAsia="Calibri" w:hAnsi="Arial Narrow"/>
                <w:sz w:val="20"/>
                <w:szCs w:val="20"/>
              </w:rPr>
            </w:pPr>
            <w:r w:rsidRPr="00FD5227">
              <w:rPr>
                <w:rFonts w:ascii="Arial Narrow" w:hAnsi="Arial Narrow"/>
                <w:b/>
                <w:sz w:val="20"/>
                <w:szCs w:val="20"/>
              </w:rPr>
              <w:t xml:space="preserve">Restriction type: </w:t>
            </w:r>
            <w:r w:rsidRPr="00FD5227">
              <w:rPr>
                <w:rFonts w:ascii="Arial Narrow" w:eastAsia="Calibri" w:hAnsi="Arial Narrow"/>
                <w:sz w:val="20"/>
                <w:szCs w:val="20"/>
              </w:rPr>
              <w:fldChar w:fldCharType="begin" w:fldLock="1">
                <w:ffData>
                  <w:name w:val="Check3"/>
                  <w:enabled/>
                  <w:calcOnExit w:val="0"/>
                  <w:checkBox>
                    <w:sizeAuto/>
                    <w:default w:val="1"/>
                  </w:checkBox>
                </w:ffData>
              </w:fldChar>
            </w:r>
            <w:r w:rsidRPr="00FD5227">
              <w:rPr>
                <w:rFonts w:ascii="Arial Narrow" w:eastAsia="Calibri" w:hAnsi="Arial Narrow"/>
                <w:sz w:val="20"/>
                <w:szCs w:val="20"/>
              </w:rPr>
              <w:instrText xml:space="preserve"> FORMCHECKBOX </w:instrText>
            </w:r>
            <w:r w:rsidR="00B53F47">
              <w:rPr>
                <w:rFonts w:ascii="Arial Narrow" w:eastAsia="Calibri" w:hAnsi="Arial Narrow"/>
                <w:sz w:val="20"/>
                <w:szCs w:val="20"/>
              </w:rPr>
            </w:r>
            <w:r w:rsidR="00B53F47">
              <w:rPr>
                <w:rFonts w:ascii="Arial Narrow" w:eastAsia="Calibri" w:hAnsi="Arial Narrow"/>
                <w:sz w:val="20"/>
                <w:szCs w:val="20"/>
              </w:rPr>
              <w:fldChar w:fldCharType="separate"/>
            </w:r>
            <w:r w:rsidRPr="00FD5227">
              <w:rPr>
                <w:rFonts w:ascii="Arial Narrow" w:eastAsia="Calibri" w:hAnsi="Arial Narrow"/>
                <w:sz w:val="20"/>
                <w:szCs w:val="20"/>
              </w:rPr>
              <w:fldChar w:fldCharType="end"/>
            </w:r>
            <w:r w:rsidRPr="00FD5227">
              <w:rPr>
                <w:rFonts w:ascii="Arial Narrow" w:eastAsia="Calibri" w:hAnsi="Arial Narrow"/>
                <w:sz w:val="20"/>
                <w:szCs w:val="20"/>
              </w:rPr>
              <w:t>Authority Required – Telephone</w:t>
            </w:r>
            <w:r w:rsidRPr="00FD5227">
              <w:rPr>
                <w:rFonts w:ascii="Arial Narrow" w:eastAsia="Calibri" w:hAnsi="Arial Narrow"/>
                <w:i/>
                <w:iCs/>
                <w:sz w:val="20"/>
                <w:szCs w:val="20"/>
              </w:rPr>
              <w:t>/electronic</w:t>
            </w:r>
            <w:r w:rsidRPr="00FD5227">
              <w:rPr>
                <w:rFonts w:ascii="Arial Narrow" w:eastAsia="Calibri" w:hAnsi="Arial Narrow"/>
                <w:sz w:val="20"/>
                <w:szCs w:val="20"/>
              </w:rPr>
              <w:t xml:space="preserve"> </w:t>
            </w:r>
            <w:r w:rsidRPr="00FD5227">
              <w:rPr>
                <w:rFonts w:ascii="Arial Narrow" w:eastAsia="Calibri" w:hAnsi="Arial Narrow"/>
                <w:i/>
                <w:iCs/>
                <w:sz w:val="20"/>
                <w:szCs w:val="20"/>
              </w:rPr>
              <w:t>via Online PBS Authorities</w:t>
            </w:r>
          </w:p>
        </w:tc>
      </w:tr>
      <w:tr w:rsidR="00611B7A" w:rsidRPr="00FD5227" w14:paraId="63E33872" w14:textId="77777777" w:rsidTr="00523EBF">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tcBorders>
          </w:tcPr>
          <w:p w14:paraId="63BCFA82" w14:textId="77777777" w:rsidR="00611B7A" w:rsidRPr="00FD5227" w:rsidRDefault="00611B7A" w:rsidP="00AF24C9">
            <w:pPr>
              <w:rPr>
                <w:rFonts w:ascii="Arial Narrow" w:hAnsi="Arial Narrow"/>
                <w:i/>
                <w:i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No increase in the maximum number of repeats may be authorised.</w:t>
            </w:r>
          </w:p>
        </w:tc>
      </w:tr>
      <w:tr w:rsidR="00611B7A" w:rsidRPr="00FD5227" w14:paraId="15E23830" w14:textId="77777777" w:rsidTr="00744955">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tcBorders>
          </w:tcPr>
          <w:p w14:paraId="3C4DF5F9" w14:textId="77777777" w:rsidR="00611B7A" w:rsidRPr="00FD5227" w:rsidRDefault="00611B7A" w:rsidP="00AF24C9">
            <w:pPr>
              <w:rPr>
                <w:rFonts w:ascii="Arial Narrow" w:hAnsi="Arial Narrow"/>
                <w:b/>
                <w:bCs/>
                <w:i/>
                <w:i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Special Pricing Arrangements apply.</w:t>
            </w:r>
          </w:p>
        </w:tc>
      </w:tr>
      <w:tr w:rsidR="00611B7A" w:rsidRPr="00FD5227" w14:paraId="20F5EF37" w14:textId="77777777" w:rsidTr="005D1C4E">
        <w:tblPrEx>
          <w:tblCellMar>
            <w:top w:w="15" w:type="dxa"/>
            <w:left w:w="15" w:type="dxa"/>
            <w:bottom w:w="15" w:type="dxa"/>
            <w:right w:w="15" w:type="dxa"/>
          </w:tblCellMar>
          <w:tblLook w:val="04A0" w:firstRow="1" w:lastRow="0" w:firstColumn="1" w:lastColumn="0" w:noHBand="0" w:noVBand="1"/>
        </w:tblPrEx>
        <w:trPr>
          <w:trHeight w:val="630"/>
        </w:trPr>
        <w:tc>
          <w:tcPr>
            <w:tcW w:w="9067" w:type="dxa"/>
            <w:gridSpan w:val="6"/>
            <w:tcBorders>
              <w:left w:val="single" w:sz="4" w:space="0" w:color="auto"/>
            </w:tcBorders>
          </w:tcPr>
          <w:p w14:paraId="6C5556F5" w14:textId="77777777" w:rsidR="00611B7A" w:rsidRPr="00FD5227" w:rsidRDefault="00611B7A" w:rsidP="00AF24C9">
            <w:pPr>
              <w:rPr>
                <w:rFonts w:ascii="Arial Narrow" w:hAnsi="Arial Narrow"/>
                <w:b/>
                <w:b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611B7A" w:rsidRPr="00FD5227" w14:paraId="1FA8C74F" w14:textId="77777777" w:rsidTr="008F3EDC">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5286FD1B"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 xml:space="preserve">Condition: </w:t>
            </w:r>
            <w:r w:rsidRPr="00FD5227">
              <w:rPr>
                <w:rFonts w:ascii="Arial Narrow" w:hAnsi="Arial Narrow"/>
                <w:sz w:val="20"/>
                <w:szCs w:val="20"/>
              </w:rPr>
              <w:t>Chronic lymphocytic leukaemia (CLL) or small lymphocytic lymphoma (SLL)</w:t>
            </w:r>
            <w:r w:rsidRPr="00FD5227">
              <w:rPr>
                <w:rFonts w:ascii="Arial Narrow" w:hAnsi="Arial Narrow"/>
                <w:bCs/>
                <w:sz w:val="20"/>
                <w:szCs w:val="20"/>
              </w:rPr>
              <w:t xml:space="preserve"> </w:t>
            </w:r>
          </w:p>
        </w:tc>
      </w:tr>
      <w:tr w:rsidR="00611B7A" w:rsidRPr="00FD5227" w14:paraId="2D8640F9" w14:textId="77777777" w:rsidTr="00FF161B">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06D4D1EE" w14:textId="77777777" w:rsidR="00611B7A" w:rsidRPr="00FD5227" w:rsidRDefault="00611B7A" w:rsidP="00AF24C9">
            <w:pPr>
              <w:rPr>
                <w:rFonts w:ascii="Arial Narrow" w:hAnsi="Arial Narrow"/>
                <w:i/>
                <w:iCs/>
                <w:sz w:val="20"/>
                <w:szCs w:val="20"/>
              </w:rPr>
            </w:pPr>
            <w:r w:rsidRPr="00FD5227">
              <w:rPr>
                <w:rFonts w:ascii="Arial Narrow" w:hAnsi="Arial Narrow"/>
                <w:b/>
                <w:bCs/>
                <w:sz w:val="20"/>
                <w:szCs w:val="20"/>
              </w:rPr>
              <w:t>Indication:</w:t>
            </w:r>
            <w:r w:rsidRPr="00FD5227">
              <w:rPr>
                <w:rFonts w:ascii="Arial Narrow" w:hAnsi="Arial Narrow"/>
                <w:sz w:val="20"/>
                <w:szCs w:val="20"/>
              </w:rPr>
              <w:t xml:space="preserve"> </w:t>
            </w:r>
            <w:r w:rsidRPr="00FD5227">
              <w:rPr>
                <w:rFonts w:ascii="Arial Narrow" w:hAnsi="Arial Narrow"/>
                <w:strike/>
                <w:sz w:val="20"/>
                <w:szCs w:val="20"/>
              </w:rPr>
              <w:t xml:space="preserve">Patients with previously untreated CLL/SLL </w:t>
            </w:r>
            <w:r w:rsidRPr="00FD5227">
              <w:rPr>
                <w:rFonts w:ascii="Arial Narrow" w:hAnsi="Arial Narrow"/>
                <w:i/>
                <w:iCs/>
                <w:sz w:val="20"/>
                <w:szCs w:val="20"/>
              </w:rPr>
              <w:t>Chronic lymphocytic leukaemia (CLL) or small lymphocytic lymphoma (SLL)</w:t>
            </w:r>
          </w:p>
        </w:tc>
      </w:tr>
      <w:tr w:rsidR="00611B7A" w:rsidRPr="00FD5227" w14:paraId="71828751" w14:textId="77777777" w:rsidTr="004A7BD0">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08138FDB" w14:textId="77777777" w:rsidR="00611B7A" w:rsidRPr="00FD5227" w:rsidRDefault="00611B7A" w:rsidP="00AF24C9">
            <w:pPr>
              <w:rPr>
                <w:rFonts w:ascii="Arial Narrow" w:hAnsi="Arial Narrow"/>
                <w:sz w:val="20"/>
                <w:szCs w:val="20"/>
              </w:rPr>
            </w:pPr>
            <w:r w:rsidRPr="00FD5227">
              <w:rPr>
                <w:rFonts w:ascii="Arial Narrow" w:hAnsi="Arial Narrow"/>
                <w:b/>
                <w:bCs/>
                <w:sz w:val="20"/>
                <w:szCs w:val="20"/>
              </w:rPr>
              <w:t>Treatment Phase:</w:t>
            </w:r>
            <w:r w:rsidRPr="00FD5227">
              <w:rPr>
                <w:rFonts w:ascii="Arial Narrow" w:hAnsi="Arial Narrow"/>
                <w:sz w:val="20"/>
                <w:szCs w:val="20"/>
              </w:rPr>
              <w:t xml:space="preserve"> Initial </w:t>
            </w:r>
            <w:r w:rsidRPr="00FD5227">
              <w:rPr>
                <w:rFonts w:ascii="Arial Narrow" w:hAnsi="Arial Narrow"/>
                <w:i/>
                <w:iCs/>
                <w:sz w:val="20"/>
                <w:szCs w:val="20"/>
              </w:rPr>
              <w:t>treatment (treatment cycles 1 to 3 inclusive) in first-line therapy</w:t>
            </w:r>
          </w:p>
        </w:tc>
      </w:tr>
      <w:bookmarkEnd w:id="14"/>
      <w:tr w:rsidR="00611B7A" w:rsidRPr="00FD5227" w14:paraId="4C7C601A" w14:textId="77777777" w:rsidTr="008F4C15">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77C144E1" w14:textId="523FB56A" w:rsidR="00611B7A" w:rsidRPr="00FD5227" w:rsidRDefault="00611B7A" w:rsidP="00F868F2">
            <w:pPr>
              <w:rPr>
                <w:rFonts w:ascii="Arial Narrow" w:hAnsi="Arial Narrow"/>
                <w:sz w:val="20"/>
                <w:szCs w:val="20"/>
              </w:rPr>
            </w:pPr>
            <w:r w:rsidRPr="00FD5227">
              <w:rPr>
                <w:rFonts w:ascii="Arial Narrow" w:hAnsi="Arial Narrow"/>
                <w:b/>
                <w:bCs/>
                <w:sz w:val="20"/>
                <w:szCs w:val="20"/>
              </w:rPr>
              <w:t xml:space="preserve">Clinical criteria: </w:t>
            </w:r>
          </w:p>
        </w:tc>
      </w:tr>
      <w:tr w:rsidR="00611B7A" w:rsidRPr="00FD5227" w14:paraId="31BF8929" w14:textId="77777777" w:rsidTr="006E6F5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6D92BF3D" w14:textId="77777777" w:rsidR="00611B7A" w:rsidRPr="00FD5227" w:rsidRDefault="00611B7A" w:rsidP="00AF24C9">
            <w:pPr>
              <w:rPr>
                <w:rFonts w:ascii="Arial Narrow" w:hAnsi="Arial Narrow"/>
                <w:sz w:val="20"/>
                <w:szCs w:val="20"/>
              </w:rPr>
            </w:pPr>
            <w:r w:rsidRPr="00FD5227">
              <w:rPr>
                <w:rFonts w:ascii="Arial Narrow" w:hAnsi="Arial Narrow"/>
                <w:sz w:val="20"/>
                <w:szCs w:val="20"/>
              </w:rPr>
              <w:t xml:space="preserve">The condition must be </w:t>
            </w:r>
            <w:r w:rsidRPr="00FD5227">
              <w:rPr>
                <w:rFonts w:ascii="Arial Narrow" w:hAnsi="Arial Narrow"/>
                <w:strike/>
                <w:sz w:val="20"/>
                <w:szCs w:val="20"/>
              </w:rPr>
              <w:t>previousl</w:t>
            </w:r>
            <w:r w:rsidRPr="00F868F2">
              <w:rPr>
                <w:rFonts w:ascii="Arial Narrow" w:hAnsi="Arial Narrow"/>
                <w:strike/>
                <w:sz w:val="20"/>
                <w:szCs w:val="20"/>
              </w:rPr>
              <w:t>y</w:t>
            </w:r>
            <w:r w:rsidRPr="00F868F2">
              <w:rPr>
                <w:rFonts w:ascii="Arial Narrow" w:hAnsi="Arial Narrow"/>
                <w:sz w:val="20"/>
                <w:szCs w:val="20"/>
              </w:rPr>
              <w:t xml:space="preserve"> </w:t>
            </w:r>
            <w:r w:rsidRPr="00FD5227">
              <w:rPr>
                <w:rFonts w:ascii="Arial Narrow" w:hAnsi="Arial Narrow"/>
                <w:sz w:val="20"/>
                <w:szCs w:val="20"/>
              </w:rPr>
              <w:t>untreated,</w:t>
            </w:r>
          </w:p>
        </w:tc>
      </w:tr>
      <w:tr w:rsidR="00611B7A" w:rsidRPr="00FD5227" w14:paraId="1BC0772D" w14:textId="77777777" w:rsidTr="003F31C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72254B23"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AND</w:t>
            </w:r>
          </w:p>
        </w:tc>
      </w:tr>
      <w:tr w:rsidR="00611B7A" w:rsidRPr="00FD5227" w14:paraId="557280D5" w14:textId="77777777" w:rsidTr="0043266B">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01848F1A"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Clinical criteria:</w:t>
            </w:r>
          </w:p>
        </w:tc>
      </w:tr>
      <w:tr w:rsidR="00611B7A" w:rsidRPr="00FD5227" w14:paraId="7BD7C569" w14:textId="77777777" w:rsidTr="00EF0233">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3E7078D1" w14:textId="5AD9856C" w:rsidR="00611B7A" w:rsidRPr="00377E72" w:rsidRDefault="00611B7A" w:rsidP="00AF24C9">
            <w:pPr>
              <w:rPr>
                <w:rFonts w:ascii="Arial Narrow" w:hAnsi="Arial Narrow"/>
                <w:b/>
                <w:bCs/>
                <w:strike/>
                <w:sz w:val="20"/>
                <w:szCs w:val="20"/>
              </w:rPr>
            </w:pPr>
            <w:r w:rsidRPr="00377E72">
              <w:rPr>
                <w:rFonts w:ascii="Arial Narrow" w:hAnsi="Arial Narrow"/>
                <w:strike/>
                <w:sz w:val="20"/>
                <w:szCs w:val="20"/>
              </w:rPr>
              <w:t>Patient must be considered unsuitable for fludarabine-based chemoimmunotherapy,</w:t>
            </w:r>
          </w:p>
        </w:tc>
      </w:tr>
      <w:tr w:rsidR="00611B7A" w:rsidRPr="00FD5227" w14:paraId="257012E4" w14:textId="77777777" w:rsidTr="000152BB">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3B0E0F5C" w14:textId="77777777" w:rsidR="00611B7A" w:rsidRPr="00FD5227" w:rsidRDefault="00611B7A" w:rsidP="00AF24C9">
            <w:pPr>
              <w:rPr>
                <w:rFonts w:ascii="Arial Narrow" w:hAnsi="Arial Narrow"/>
                <w:sz w:val="20"/>
                <w:szCs w:val="20"/>
              </w:rPr>
            </w:pPr>
            <w:r w:rsidRPr="00FD5227">
              <w:rPr>
                <w:rFonts w:ascii="Arial Narrow" w:hAnsi="Arial Narrow"/>
                <w:sz w:val="20"/>
                <w:szCs w:val="20"/>
              </w:rPr>
              <w:t>AND</w:t>
            </w:r>
          </w:p>
        </w:tc>
      </w:tr>
      <w:tr w:rsidR="00611B7A" w:rsidRPr="00FD5227" w14:paraId="0B90E9CA" w14:textId="77777777" w:rsidTr="00B8262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03E1E167"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Clinical criteria:</w:t>
            </w:r>
          </w:p>
        </w:tc>
      </w:tr>
      <w:tr w:rsidR="00611B7A" w:rsidRPr="00FD5227" w14:paraId="3804DDD7" w14:textId="77777777" w:rsidTr="00702E69">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410A023E" w14:textId="77777777" w:rsidR="00611B7A" w:rsidRPr="00FD5227" w:rsidRDefault="00611B7A" w:rsidP="00AF24C9">
            <w:pPr>
              <w:pStyle w:val="TableText"/>
              <w:rPr>
                <w:rFonts w:eastAsia="Times New Roman"/>
                <w:szCs w:val="20"/>
              </w:rPr>
            </w:pPr>
            <w:r w:rsidRPr="00FD5227">
              <w:rPr>
                <w:szCs w:val="20"/>
              </w:rPr>
              <w:t xml:space="preserve">Acalabrutinib must be initiated as a monotherapy for 1 Cycle with treatment in combination with obinutuzumab commencing </w:t>
            </w:r>
            <w:r w:rsidRPr="00FD5227">
              <w:rPr>
                <w:i/>
                <w:iCs/>
                <w:szCs w:val="20"/>
              </w:rPr>
              <w:t>at the start of</w:t>
            </w:r>
            <w:r w:rsidRPr="00FD5227">
              <w:rPr>
                <w:szCs w:val="20"/>
              </w:rPr>
              <w:t xml:space="preserve"> </w:t>
            </w:r>
            <w:r w:rsidRPr="00FD5227">
              <w:rPr>
                <w:strike/>
                <w:szCs w:val="20"/>
              </w:rPr>
              <w:t xml:space="preserve">in </w:t>
            </w:r>
            <w:r w:rsidRPr="00FD5227">
              <w:rPr>
                <w:szCs w:val="20"/>
              </w:rPr>
              <w:t xml:space="preserve">Cycle 2 </w:t>
            </w:r>
            <w:r w:rsidRPr="00FD5227">
              <w:rPr>
                <w:strike/>
                <w:szCs w:val="20"/>
              </w:rPr>
              <w:t>Day 1</w:t>
            </w:r>
          </w:p>
        </w:tc>
      </w:tr>
      <w:tr w:rsidR="00611B7A" w:rsidRPr="00FD5227" w14:paraId="478F09FF" w14:textId="77777777" w:rsidTr="002769BB">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1E47E7A9"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AND</w:t>
            </w:r>
          </w:p>
        </w:tc>
      </w:tr>
      <w:tr w:rsidR="00611B7A" w:rsidRPr="00FD5227" w14:paraId="5DB80E3F" w14:textId="77777777" w:rsidTr="002A3BF6">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129448C3"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Clinical criteria:</w:t>
            </w:r>
          </w:p>
        </w:tc>
      </w:tr>
      <w:tr w:rsidR="00611B7A" w:rsidRPr="00FD5227" w14:paraId="7A4288C1" w14:textId="77777777" w:rsidTr="00DB1CF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2B83CC54" w14:textId="77777777" w:rsidR="00611B7A" w:rsidRPr="00FD5227" w:rsidRDefault="00611B7A" w:rsidP="00AF24C9">
            <w:pPr>
              <w:rPr>
                <w:rFonts w:ascii="Arial Narrow" w:hAnsi="Arial Narrow"/>
                <w:sz w:val="20"/>
                <w:szCs w:val="20"/>
              </w:rPr>
            </w:pPr>
            <w:r w:rsidRPr="00FD5227">
              <w:rPr>
                <w:rFonts w:ascii="Arial Narrow" w:hAnsi="Arial Narrow"/>
                <w:sz w:val="20"/>
                <w:szCs w:val="20"/>
              </w:rPr>
              <w:t>Patient must have a creatinine clearance 30 mL/min or greater,</w:t>
            </w:r>
          </w:p>
        </w:tc>
      </w:tr>
      <w:tr w:rsidR="00611B7A" w:rsidRPr="00FD5227" w14:paraId="0BD8C764" w14:textId="77777777" w:rsidTr="00340B08">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hideMark/>
          </w:tcPr>
          <w:p w14:paraId="476514B9"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AND</w:t>
            </w:r>
          </w:p>
        </w:tc>
      </w:tr>
      <w:tr w:rsidR="00611B7A" w:rsidRPr="00FD5227" w14:paraId="17015476" w14:textId="77777777" w:rsidTr="00603B27">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6050CE25"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Clinical criteria:</w:t>
            </w:r>
          </w:p>
        </w:tc>
      </w:tr>
      <w:tr w:rsidR="00611B7A" w:rsidRPr="00FD5227" w14:paraId="674A5876" w14:textId="77777777" w:rsidTr="007C3111">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5004E823" w14:textId="77777777" w:rsidR="00611B7A" w:rsidRPr="00FD5227" w:rsidRDefault="00611B7A" w:rsidP="00AF24C9">
            <w:pPr>
              <w:rPr>
                <w:rFonts w:ascii="Arial Narrow" w:hAnsi="Arial Narrow"/>
                <w:sz w:val="20"/>
                <w:szCs w:val="20"/>
              </w:rPr>
            </w:pPr>
            <w:r w:rsidRPr="00FD5227">
              <w:rPr>
                <w:rFonts w:ascii="Arial Narrow" w:hAnsi="Arial Narrow"/>
                <w:sz w:val="20"/>
                <w:szCs w:val="20"/>
              </w:rPr>
              <w:t>Patient must have a total cumulative illness rating scale (CIRS) score of greater than 6 (excluding CLL-induced illness or organ damage),</w:t>
            </w:r>
          </w:p>
        </w:tc>
      </w:tr>
      <w:tr w:rsidR="00611B7A" w:rsidRPr="00FD5227" w14:paraId="4EE83879" w14:textId="77777777" w:rsidTr="007E55DF">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22C0862D"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OR</w:t>
            </w:r>
          </w:p>
        </w:tc>
      </w:tr>
      <w:tr w:rsidR="00611B7A" w:rsidRPr="00FD5227" w14:paraId="158EC56F" w14:textId="77777777" w:rsidTr="0019310E">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3F7F6692" w14:textId="77777777" w:rsidR="00611B7A" w:rsidRPr="00FD5227" w:rsidRDefault="00611B7A" w:rsidP="00AF24C9">
            <w:pPr>
              <w:rPr>
                <w:rFonts w:ascii="Arial Narrow" w:hAnsi="Arial Narrow"/>
                <w:sz w:val="20"/>
                <w:szCs w:val="20"/>
              </w:rPr>
            </w:pPr>
            <w:r w:rsidRPr="00FD5227">
              <w:rPr>
                <w:rFonts w:ascii="Arial Narrow" w:hAnsi="Arial Narrow"/>
                <w:sz w:val="20"/>
                <w:szCs w:val="20"/>
              </w:rPr>
              <w:t xml:space="preserve">Patient must have </w:t>
            </w:r>
            <w:r w:rsidRPr="00FD5227">
              <w:rPr>
                <w:rFonts w:ascii="Arial Narrow" w:hAnsi="Arial Narrow"/>
                <w:i/>
                <w:iCs/>
                <w:sz w:val="20"/>
                <w:szCs w:val="20"/>
              </w:rPr>
              <w:t>a creatinine clearance less than</w:t>
            </w:r>
            <w:r w:rsidRPr="00FD5227">
              <w:rPr>
                <w:rFonts w:ascii="Arial Narrow" w:hAnsi="Arial Narrow"/>
                <w:sz w:val="20"/>
                <w:szCs w:val="20"/>
              </w:rPr>
              <w:t xml:space="preserve"> </w:t>
            </w:r>
            <w:r w:rsidRPr="00FD5227">
              <w:rPr>
                <w:rFonts w:ascii="Arial Narrow" w:hAnsi="Arial Narrow"/>
                <w:strike/>
                <w:sz w:val="20"/>
                <w:szCs w:val="20"/>
              </w:rPr>
              <w:t>CrCl &lt;</w:t>
            </w:r>
            <w:r w:rsidRPr="00FD5227">
              <w:rPr>
                <w:rFonts w:ascii="Arial Narrow" w:hAnsi="Arial Narrow"/>
                <w:sz w:val="20"/>
                <w:szCs w:val="20"/>
              </w:rPr>
              <w:t xml:space="preserve"> 70 mL/min.</w:t>
            </w:r>
          </w:p>
        </w:tc>
      </w:tr>
      <w:tr w:rsidR="00611B7A" w:rsidRPr="00FD5227" w14:paraId="559F239C" w14:textId="77777777" w:rsidTr="00B27A88">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21765B91" w14:textId="77777777" w:rsidR="00611B7A" w:rsidRPr="00FD5227" w:rsidRDefault="00611B7A" w:rsidP="00AF24C9">
            <w:pPr>
              <w:rPr>
                <w:rFonts w:ascii="Arial Narrow" w:hAnsi="Arial Narrow"/>
                <w:i/>
                <w:iCs/>
                <w:sz w:val="20"/>
                <w:szCs w:val="20"/>
              </w:rPr>
            </w:pPr>
            <w:r w:rsidRPr="00FD5227">
              <w:rPr>
                <w:rFonts w:ascii="Arial Narrow" w:hAnsi="Arial Narrow"/>
                <w:b/>
                <w:bCs/>
                <w:i/>
                <w:iCs/>
                <w:sz w:val="20"/>
                <w:szCs w:val="20"/>
              </w:rPr>
              <w:t>Prescriber Instructions:</w:t>
            </w:r>
            <w:r w:rsidRPr="00FD5227">
              <w:rPr>
                <w:rFonts w:ascii="Arial Narrow" w:hAnsi="Arial Narrow"/>
                <w:i/>
                <w:iCs/>
                <w:sz w:val="20"/>
                <w:szCs w:val="20"/>
              </w:rPr>
              <w:t xml:space="preserve"> A patient may only qualify for PBS subsidised initiation treatment with this drug once in a lifetime under:</w:t>
            </w:r>
          </w:p>
          <w:p w14:paraId="54A386AB" w14:textId="77777777" w:rsidR="00611B7A" w:rsidRPr="00FD5227" w:rsidRDefault="00611B7A" w:rsidP="00C1396D">
            <w:pPr>
              <w:pStyle w:val="ListParagraph"/>
              <w:numPr>
                <w:ilvl w:val="0"/>
                <w:numId w:val="18"/>
              </w:numPr>
              <w:spacing w:after="0"/>
              <w:contextualSpacing/>
              <w:jc w:val="left"/>
              <w:rPr>
                <w:rFonts w:ascii="Arial Narrow" w:hAnsi="Arial Narrow"/>
                <w:i/>
                <w:iCs/>
                <w:sz w:val="20"/>
                <w:szCs w:val="20"/>
              </w:rPr>
            </w:pPr>
            <w:r w:rsidRPr="00FD5227">
              <w:rPr>
                <w:rFonts w:ascii="Arial Narrow" w:hAnsi="Arial Narrow"/>
                <w:i/>
                <w:iCs/>
                <w:sz w:val="20"/>
                <w:szCs w:val="20"/>
              </w:rPr>
              <w:t>The untreated CLL/SLL initial or transitioning from non-PBS -subsidised supply restriction; or</w:t>
            </w:r>
          </w:p>
          <w:p w14:paraId="2072226B" w14:textId="77777777" w:rsidR="00611B7A" w:rsidRPr="00FD5227" w:rsidRDefault="00611B7A" w:rsidP="00C1396D">
            <w:pPr>
              <w:pStyle w:val="ListParagraph"/>
              <w:numPr>
                <w:ilvl w:val="0"/>
                <w:numId w:val="18"/>
              </w:numPr>
              <w:spacing w:after="0"/>
              <w:contextualSpacing/>
              <w:jc w:val="left"/>
              <w:rPr>
                <w:rFonts w:ascii="Arial Narrow" w:hAnsi="Arial Narrow"/>
                <w:i/>
                <w:iCs/>
                <w:sz w:val="20"/>
                <w:szCs w:val="20"/>
              </w:rPr>
            </w:pPr>
            <w:r w:rsidRPr="00FD5227">
              <w:rPr>
                <w:rFonts w:ascii="Arial Narrow" w:hAnsi="Arial Narrow"/>
                <w:i/>
                <w:iCs/>
                <w:sz w:val="20"/>
                <w:szCs w:val="20"/>
              </w:rPr>
              <w:t>The relapsed or refractory CLL/SLL initial treatment restriction.</w:t>
            </w:r>
          </w:p>
        </w:tc>
      </w:tr>
    </w:tbl>
    <w:p w14:paraId="531A458B" w14:textId="31EABFA3" w:rsidR="00CB3E86" w:rsidRDefault="00CB3E86" w:rsidP="006E2BA1"/>
    <w:p w14:paraId="1B33C668" w14:textId="77777777" w:rsidR="00864D53" w:rsidRDefault="00864D53" w:rsidP="00864D53">
      <w:pPr>
        <w:rPr>
          <w:rFonts w:asciiTheme="minorHAnsi" w:eastAsia="Calibr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4"/>
        <w:gridCol w:w="1134"/>
        <w:gridCol w:w="709"/>
        <w:gridCol w:w="709"/>
        <w:gridCol w:w="850"/>
        <w:gridCol w:w="1701"/>
      </w:tblGrid>
      <w:tr w:rsidR="00864D53" w:rsidRPr="00FD5227" w14:paraId="50E02A36" w14:textId="77777777" w:rsidTr="00864D53">
        <w:trPr>
          <w:cantSplit/>
          <w:trHeight w:val="471"/>
        </w:trPr>
        <w:tc>
          <w:tcPr>
            <w:tcW w:w="3964" w:type="dxa"/>
          </w:tcPr>
          <w:p w14:paraId="2C4F49D7" w14:textId="77777777" w:rsidR="00864D53" w:rsidRPr="00FD5227" w:rsidRDefault="00864D53" w:rsidP="00AF24C9">
            <w:pPr>
              <w:keepNext/>
              <w:ind w:left="-57"/>
              <w:rPr>
                <w:rFonts w:ascii="Arial Narrow" w:hAnsi="Arial Narrow"/>
                <w:b/>
                <w:bCs/>
                <w:sz w:val="20"/>
                <w:szCs w:val="20"/>
              </w:rPr>
            </w:pPr>
            <w:r w:rsidRPr="00FD5227">
              <w:rPr>
                <w:rFonts w:ascii="Arial Narrow" w:hAnsi="Arial Narrow"/>
                <w:b/>
                <w:bCs/>
                <w:sz w:val="20"/>
                <w:szCs w:val="20"/>
              </w:rPr>
              <w:t>MEDICINAL PRODUCT</w:t>
            </w:r>
          </w:p>
          <w:p w14:paraId="78D09093" w14:textId="77777777" w:rsidR="00864D53" w:rsidRPr="00FD5227" w:rsidRDefault="00864D53" w:rsidP="00AF24C9">
            <w:pPr>
              <w:keepNext/>
              <w:ind w:left="-57"/>
              <w:rPr>
                <w:rFonts w:ascii="Arial Narrow" w:hAnsi="Arial Narrow"/>
                <w:b/>
                <w:sz w:val="20"/>
                <w:szCs w:val="20"/>
              </w:rPr>
            </w:pPr>
            <w:r w:rsidRPr="00FD5227">
              <w:rPr>
                <w:rFonts w:ascii="Arial Narrow" w:hAnsi="Arial Narrow"/>
                <w:b/>
                <w:bCs/>
                <w:sz w:val="20"/>
                <w:szCs w:val="20"/>
              </w:rPr>
              <w:t>medicinal product pack</w:t>
            </w:r>
          </w:p>
        </w:tc>
        <w:tc>
          <w:tcPr>
            <w:tcW w:w="1134" w:type="dxa"/>
          </w:tcPr>
          <w:p w14:paraId="74473E93" w14:textId="77777777" w:rsidR="00864D53" w:rsidRPr="00FD5227" w:rsidRDefault="00864D53" w:rsidP="00AF24C9">
            <w:pPr>
              <w:keepNext/>
              <w:rPr>
                <w:rFonts w:ascii="Arial Narrow" w:hAnsi="Arial Narrow"/>
                <w:b/>
                <w:i/>
                <w:iCs/>
                <w:sz w:val="20"/>
                <w:szCs w:val="20"/>
              </w:rPr>
            </w:pPr>
            <w:r w:rsidRPr="00FD5227">
              <w:rPr>
                <w:rFonts w:ascii="Arial Narrow" w:hAnsi="Arial Narrow"/>
                <w:b/>
                <w:i/>
                <w:iCs/>
                <w:sz w:val="20"/>
                <w:szCs w:val="20"/>
              </w:rPr>
              <w:t>PBS item code</w:t>
            </w:r>
          </w:p>
        </w:tc>
        <w:tc>
          <w:tcPr>
            <w:tcW w:w="709" w:type="dxa"/>
          </w:tcPr>
          <w:p w14:paraId="6C38923F" w14:textId="77777777" w:rsidR="00864D53" w:rsidRPr="00FD5227" w:rsidRDefault="00864D53" w:rsidP="00AF24C9">
            <w:pPr>
              <w:keepNext/>
              <w:rPr>
                <w:rFonts w:ascii="Arial Narrow" w:hAnsi="Arial Narrow"/>
                <w:b/>
                <w:sz w:val="20"/>
                <w:szCs w:val="20"/>
              </w:rPr>
            </w:pPr>
            <w:r w:rsidRPr="00FD5227">
              <w:rPr>
                <w:rFonts w:ascii="Arial Narrow" w:hAnsi="Arial Narrow"/>
                <w:b/>
                <w:sz w:val="20"/>
                <w:szCs w:val="20"/>
              </w:rPr>
              <w:t>Max. qty packs</w:t>
            </w:r>
          </w:p>
        </w:tc>
        <w:tc>
          <w:tcPr>
            <w:tcW w:w="709" w:type="dxa"/>
          </w:tcPr>
          <w:p w14:paraId="514F7D09" w14:textId="77777777" w:rsidR="00864D53" w:rsidRPr="00FD5227" w:rsidRDefault="00864D53" w:rsidP="00AF24C9">
            <w:pPr>
              <w:keepNext/>
              <w:rPr>
                <w:rFonts w:ascii="Arial Narrow" w:hAnsi="Arial Narrow"/>
                <w:b/>
                <w:sz w:val="20"/>
                <w:szCs w:val="20"/>
              </w:rPr>
            </w:pPr>
            <w:r w:rsidRPr="00FD5227">
              <w:rPr>
                <w:rFonts w:ascii="Arial Narrow" w:hAnsi="Arial Narrow"/>
                <w:b/>
                <w:sz w:val="20"/>
                <w:szCs w:val="20"/>
              </w:rPr>
              <w:t>Max. qty units</w:t>
            </w:r>
          </w:p>
        </w:tc>
        <w:tc>
          <w:tcPr>
            <w:tcW w:w="850" w:type="dxa"/>
          </w:tcPr>
          <w:p w14:paraId="717CAFBD" w14:textId="77777777" w:rsidR="00864D53" w:rsidRPr="00FD5227" w:rsidRDefault="00864D53" w:rsidP="00AF24C9">
            <w:pPr>
              <w:keepNext/>
              <w:ind w:left="-108"/>
              <w:rPr>
                <w:rFonts w:ascii="Arial Narrow" w:hAnsi="Arial Narrow"/>
                <w:b/>
                <w:sz w:val="20"/>
                <w:szCs w:val="20"/>
              </w:rPr>
            </w:pPr>
            <w:r w:rsidRPr="00FD5227">
              <w:rPr>
                <w:rFonts w:ascii="Arial Narrow" w:hAnsi="Arial Narrow"/>
                <w:b/>
                <w:sz w:val="20"/>
                <w:szCs w:val="20"/>
              </w:rPr>
              <w:t>№.of Rpts</w:t>
            </w:r>
          </w:p>
        </w:tc>
        <w:tc>
          <w:tcPr>
            <w:tcW w:w="1701" w:type="dxa"/>
          </w:tcPr>
          <w:p w14:paraId="576ECDF6" w14:textId="77777777" w:rsidR="00864D53" w:rsidRPr="00FD5227" w:rsidRDefault="00864D53" w:rsidP="00AF24C9">
            <w:pPr>
              <w:keepNext/>
              <w:rPr>
                <w:rFonts w:ascii="Arial Narrow" w:hAnsi="Arial Narrow"/>
                <w:b/>
                <w:sz w:val="20"/>
                <w:szCs w:val="20"/>
                <w:lang w:val="fr-FR"/>
              </w:rPr>
            </w:pPr>
            <w:r w:rsidRPr="00FD5227">
              <w:rPr>
                <w:rFonts w:ascii="Arial Narrow" w:hAnsi="Arial Narrow"/>
                <w:b/>
                <w:sz w:val="20"/>
                <w:szCs w:val="20"/>
              </w:rPr>
              <w:t>Available brands</w:t>
            </w:r>
          </w:p>
        </w:tc>
      </w:tr>
      <w:tr w:rsidR="00864D53" w:rsidRPr="00FD5227" w14:paraId="63FB703B" w14:textId="77777777" w:rsidTr="00864D53">
        <w:trPr>
          <w:cantSplit/>
          <w:trHeight w:val="224"/>
        </w:trPr>
        <w:tc>
          <w:tcPr>
            <w:tcW w:w="9067" w:type="dxa"/>
            <w:gridSpan w:val="6"/>
          </w:tcPr>
          <w:p w14:paraId="42C03D46" w14:textId="77777777" w:rsidR="00864D53" w:rsidRPr="00FD5227" w:rsidRDefault="00864D53" w:rsidP="00AF24C9">
            <w:pPr>
              <w:keepNext/>
              <w:ind w:left="-57"/>
              <w:rPr>
                <w:rFonts w:ascii="Arial Narrow" w:hAnsi="Arial Narrow"/>
                <w:i/>
                <w:iCs/>
                <w:sz w:val="20"/>
                <w:szCs w:val="20"/>
              </w:rPr>
            </w:pPr>
            <w:r w:rsidRPr="00FD5227">
              <w:rPr>
                <w:rFonts w:ascii="Arial Narrow" w:hAnsi="Arial Narrow"/>
                <w:i/>
                <w:iCs/>
                <w:sz w:val="20"/>
                <w:szCs w:val="20"/>
              </w:rPr>
              <w:t>ACALABRUTINIB</w:t>
            </w:r>
          </w:p>
        </w:tc>
      </w:tr>
      <w:tr w:rsidR="00864D53" w:rsidRPr="00FD5227" w14:paraId="08D2DA6B" w14:textId="77777777" w:rsidTr="00864D53">
        <w:trPr>
          <w:cantSplit/>
          <w:trHeight w:val="553"/>
        </w:trPr>
        <w:tc>
          <w:tcPr>
            <w:tcW w:w="3964" w:type="dxa"/>
          </w:tcPr>
          <w:p w14:paraId="400D846A" w14:textId="77777777" w:rsidR="00864D53" w:rsidRPr="00FD5227" w:rsidRDefault="00864D53" w:rsidP="00AF24C9">
            <w:pPr>
              <w:keepNext/>
              <w:ind w:left="-57"/>
              <w:rPr>
                <w:rFonts w:ascii="Arial Narrow" w:hAnsi="Arial Narrow"/>
                <w:i/>
                <w:iCs/>
                <w:sz w:val="20"/>
                <w:szCs w:val="20"/>
              </w:rPr>
            </w:pPr>
            <w:r w:rsidRPr="00FD5227">
              <w:rPr>
                <w:rFonts w:ascii="Arial Narrow" w:hAnsi="Arial Narrow"/>
                <w:i/>
                <w:iCs/>
                <w:strike/>
                <w:sz w:val="20"/>
                <w:szCs w:val="20"/>
              </w:rPr>
              <w:t>ACALABRUTINIB, Treatment of patients with previously untreated CLL or SLL, 100 mg capsule, oral administration</w:t>
            </w:r>
            <w:r w:rsidRPr="00FD5227">
              <w:rPr>
                <w:rFonts w:ascii="Arial Narrow" w:hAnsi="Arial Narrow"/>
                <w:i/>
                <w:iCs/>
                <w:sz w:val="20"/>
                <w:szCs w:val="20"/>
              </w:rPr>
              <w:t xml:space="preserve"> 100 mg, capsule</w:t>
            </w:r>
          </w:p>
        </w:tc>
        <w:tc>
          <w:tcPr>
            <w:tcW w:w="1134" w:type="dxa"/>
          </w:tcPr>
          <w:p w14:paraId="619DAF72" w14:textId="77777777" w:rsidR="00864D53" w:rsidRPr="00FD5227" w:rsidRDefault="00864D53" w:rsidP="00AF24C9">
            <w:pPr>
              <w:keepNext/>
              <w:rPr>
                <w:rFonts w:ascii="Arial Narrow" w:hAnsi="Arial Narrow"/>
                <w:i/>
                <w:iCs/>
                <w:sz w:val="20"/>
                <w:szCs w:val="20"/>
              </w:rPr>
            </w:pPr>
            <w:r w:rsidRPr="00FD5227">
              <w:rPr>
                <w:rFonts w:ascii="Arial Narrow" w:hAnsi="Arial Narrow"/>
                <w:i/>
                <w:iCs/>
                <w:sz w:val="20"/>
                <w:szCs w:val="20"/>
              </w:rPr>
              <w:t>NEW</w:t>
            </w:r>
          </w:p>
        </w:tc>
        <w:tc>
          <w:tcPr>
            <w:tcW w:w="709" w:type="dxa"/>
          </w:tcPr>
          <w:p w14:paraId="7960998D" w14:textId="77777777" w:rsidR="00864D53" w:rsidRPr="00FD5227" w:rsidRDefault="00864D53" w:rsidP="00AF24C9">
            <w:pPr>
              <w:keepNext/>
              <w:rPr>
                <w:rFonts w:ascii="Arial Narrow" w:hAnsi="Arial Narrow"/>
                <w:i/>
                <w:iCs/>
                <w:sz w:val="20"/>
                <w:szCs w:val="20"/>
              </w:rPr>
            </w:pPr>
            <w:r w:rsidRPr="00FD5227">
              <w:rPr>
                <w:rFonts w:ascii="Arial Narrow" w:hAnsi="Arial Narrow"/>
                <w:i/>
                <w:iCs/>
                <w:sz w:val="20"/>
                <w:szCs w:val="20"/>
              </w:rPr>
              <w:t>1</w:t>
            </w:r>
          </w:p>
        </w:tc>
        <w:tc>
          <w:tcPr>
            <w:tcW w:w="709" w:type="dxa"/>
          </w:tcPr>
          <w:p w14:paraId="09EFC112" w14:textId="77777777" w:rsidR="00864D53" w:rsidRPr="00FD5227" w:rsidRDefault="00864D53" w:rsidP="00AF24C9">
            <w:pPr>
              <w:keepNext/>
              <w:rPr>
                <w:rFonts w:ascii="Arial Narrow" w:hAnsi="Arial Narrow"/>
                <w:i/>
                <w:iCs/>
                <w:sz w:val="20"/>
                <w:szCs w:val="20"/>
              </w:rPr>
            </w:pPr>
            <w:r w:rsidRPr="00FD5227">
              <w:rPr>
                <w:rFonts w:ascii="Arial Narrow" w:hAnsi="Arial Narrow"/>
                <w:i/>
                <w:iCs/>
                <w:sz w:val="20"/>
                <w:szCs w:val="20"/>
              </w:rPr>
              <w:t>56</w:t>
            </w:r>
          </w:p>
        </w:tc>
        <w:tc>
          <w:tcPr>
            <w:tcW w:w="850" w:type="dxa"/>
          </w:tcPr>
          <w:p w14:paraId="4DCE72FB" w14:textId="77777777" w:rsidR="00864D53" w:rsidRPr="00FD5227" w:rsidRDefault="00864D53" w:rsidP="00AF24C9">
            <w:pPr>
              <w:keepNext/>
              <w:rPr>
                <w:rFonts w:ascii="Arial Narrow" w:hAnsi="Arial Narrow"/>
                <w:i/>
                <w:iCs/>
                <w:sz w:val="20"/>
                <w:szCs w:val="20"/>
              </w:rPr>
            </w:pPr>
            <w:r w:rsidRPr="00FD5227">
              <w:rPr>
                <w:rFonts w:ascii="Arial Narrow" w:hAnsi="Arial Narrow"/>
                <w:i/>
                <w:iCs/>
                <w:sz w:val="20"/>
                <w:szCs w:val="20"/>
              </w:rPr>
              <w:t>3</w:t>
            </w:r>
          </w:p>
        </w:tc>
        <w:tc>
          <w:tcPr>
            <w:tcW w:w="1701" w:type="dxa"/>
          </w:tcPr>
          <w:p w14:paraId="041DDDCE" w14:textId="77777777" w:rsidR="00864D53" w:rsidRPr="00FD5227" w:rsidRDefault="00864D53" w:rsidP="00AF24C9">
            <w:pPr>
              <w:keepNext/>
              <w:rPr>
                <w:rFonts w:ascii="Arial Narrow" w:eastAsia="MS Gothic" w:hAnsi="Arial Narrow" w:cs="Times New Roman"/>
                <w:bCs/>
                <w:i/>
                <w:iCs/>
                <w:sz w:val="20"/>
                <w:szCs w:val="20"/>
              </w:rPr>
            </w:pPr>
            <w:r w:rsidRPr="00FD5227">
              <w:rPr>
                <w:rFonts w:ascii="Arial Narrow" w:eastAsia="MS Gothic" w:hAnsi="Arial Narrow" w:cs="Times New Roman"/>
                <w:bCs/>
                <w:i/>
                <w:iCs/>
                <w:sz w:val="20"/>
                <w:szCs w:val="20"/>
              </w:rPr>
              <w:t>Calquence</w:t>
            </w:r>
          </w:p>
        </w:tc>
      </w:tr>
      <w:tr w:rsidR="00864D53" w:rsidRPr="00FD5227" w14:paraId="6D2C7294" w14:textId="77777777" w:rsidTr="00864D53">
        <w:trPr>
          <w:cantSplit/>
          <w:trHeight w:val="327"/>
        </w:trPr>
        <w:tc>
          <w:tcPr>
            <w:tcW w:w="5098" w:type="dxa"/>
            <w:gridSpan w:val="2"/>
          </w:tcPr>
          <w:p w14:paraId="1C11DF4A" w14:textId="77777777" w:rsidR="00864D53" w:rsidRPr="00FD5227" w:rsidRDefault="00864D53" w:rsidP="00AF24C9">
            <w:pPr>
              <w:keepNext/>
              <w:rPr>
                <w:rFonts w:ascii="Arial Narrow" w:hAnsi="Arial Narrow"/>
                <w:sz w:val="20"/>
                <w:szCs w:val="20"/>
              </w:rPr>
            </w:pPr>
          </w:p>
        </w:tc>
        <w:tc>
          <w:tcPr>
            <w:tcW w:w="3969" w:type="dxa"/>
            <w:gridSpan w:val="4"/>
          </w:tcPr>
          <w:p w14:paraId="74AFD7FF" w14:textId="77777777" w:rsidR="00864D53" w:rsidRPr="00FD5227" w:rsidRDefault="00864D53" w:rsidP="00AF24C9">
            <w:pPr>
              <w:keepNext/>
              <w:ind w:left="-57"/>
              <w:rPr>
                <w:rFonts w:ascii="Arial Narrow" w:hAnsi="Arial Narrow"/>
                <w:i/>
                <w:iCs/>
                <w:sz w:val="20"/>
                <w:szCs w:val="20"/>
              </w:rPr>
            </w:pPr>
            <w:r w:rsidRPr="00FD5227">
              <w:rPr>
                <w:rFonts w:ascii="Arial Narrow" w:hAnsi="Arial Narrow"/>
                <w:i/>
                <w:iCs/>
                <w:sz w:val="20"/>
                <w:szCs w:val="20"/>
              </w:rPr>
              <w:t>Max.qty (packs) multiplier = 2</w:t>
            </w:r>
          </w:p>
          <w:p w14:paraId="18FE41BB" w14:textId="77777777" w:rsidR="00864D53" w:rsidRPr="00FD5227" w:rsidRDefault="00864D53" w:rsidP="00AF24C9">
            <w:pPr>
              <w:keepNext/>
              <w:ind w:left="-57"/>
              <w:rPr>
                <w:rFonts w:ascii="Arial Narrow" w:hAnsi="Arial Narrow"/>
                <w:i/>
                <w:iCs/>
                <w:sz w:val="20"/>
                <w:szCs w:val="20"/>
              </w:rPr>
            </w:pPr>
            <w:r w:rsidRPr="00FD5227">
              <w:rPr>
                <w:rFonts w:ascii="Arial Narrow" w:hAnsi="Arial Narrow"/>
                <w:i/>
                <w:iCs/>
                <w:sz w:val="20"/>
                <w:szCs w:val="20"/>
              </w:rPr>
              <w:t>Repeat increases: nil</w:t>
            </w:r>
          </w:p>
        </w:tc>
      </w:tr>
      <w:tr w:rsidR="00864D53" w:rsidRPr="00FD5227" w14:paraId="4632715B" w14:textId="77777777" w:rsidTr="00864D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5D349B30" w14:textId="77777777" w:rsidR="00864D53" w:rsidRPr="00FD5227" w:rsidRDefault="00864D53" w:rsidP="00AF24C9">
            <w:pPr>
              <w:rPr>
                <w:rFonts w:ascii="Arial Narrow" w:hAnsi="Arial Narrow"/>
                <w:sz w:val="20"/>
                <w:szCs w:val="20"/>
              </w:rPr>
            </w:pPr>
          </w:p>
        </w:tc>
      </w:tr>
      <w:tr w:rsidR="00864D53" w:rsidRPr="00FD5227" w14:paraId="0AB43FF3" w14:textId="77777777" w:rsidTr="00864D53">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18337FA3" w14:textId="74B81BBC" w:rsidR="00864D53" w:rsidRPr="00FD5227" w:rsidRDefault="00864D53" w:rsidP="00AF24C9">
            <w:pPr>
              <w:rPr>
                <w:rFonts w:ascii="Arial Narrow" w:hAnsi="Arial Narrow"/>
                <w:b/>
                <w:sz w:val="20"/>
                <w:szCs w:val="20"/>
              </w:rPr>
            </w:pPr>
            <w:r w:rsidRPr="00FD5227">
              <w:rPr>
                <w:rFonts w:ascii="Arial Narrow" w:hAnsi="Arial Narrow"/>
                <w:b/>
                <w:sz w:val="20"/>
                <w:szCs w:val="20"/>
              </w:rPr>
              <w:t xml:space="preserve">Restriction Summary / Treatment of Concept: </w:t>
            </w:r>
          </w:p>
        </w:tc>
      </w:tr>
      <w:tr w:rsidR="00611B7A" w:rsidRPr="00FD5227" w14:paraId="7FF1B8C0" w14:textId="77777777" w:rsidTr="0020374C">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right w:val="single" w:sz="4" w:space="0" w:color="auto"/>
            </w:tcBorders>
          </w:tcPr>
          <w:p w14:paraId="52902BEB" w14:textId="77777777" w:rsidR="00611B7A" w:rsidRPr="00FD5227" w:rsidRDefault="00611B7A" w:rsidP="00AF24C9">
            <w:pPr>
              <w:rPr>
                <w:rFonts w:ascii="Arial Narrow" w:hAnsi="Arial Narrow"/>
                <w:i/>
                <w:iCs/>
                <w:sz w:val="20"/>
                <w:szCs w:val="20"/>
              </w:rPr>
            </w:pPr>
            <w:r w:rsidRPr="00FD5227">
              <w:rPr>
                <w:rFonts w:ascii="Arial Narrow" w:hAnsi="Arial Narrow"/>
                <w:b/>
                <w:i/>
                <w:iCs/>
                <w:sz w:val="20"/>
                <w:szCs w:val="20"/>
              </w:rPr>
              <w:t xml:space="preserve">Category / Program: </w:t>
            </w:r>
            <w:r w:rsidRPr="00FD5227">
              <w:rPr>
                <w:rFonts w:ascii="Arial Narrow" w:hAnsi="Arial Narrow"/>
                <w:i/>
                <w:iCs/>
                <w:sz w:val="20"/>
                <w:szCs w:val="20"/>
              </w:rPr>
              <w:t xml:space="preserve">GENERAL – General Schedule (Code GE) </w:t>
            </w:r>
          </w:p>
        </w:tc>
      </w:tr>
      <w:tr w:rsidR="00611B7A" w:rsidRPr="00FD5227" w14:paraId="640D93D8" w14:textId="77777777" w:rsidTr="00512F70">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6"/>
            <w:tcBorders>
              <w:left w:val="single" w:sz="4" w:space="0" w:color="auto"/>
              <w:right w:val="single" w:sz="4" w:space="0" w:color="auto"/>
            </w:tcBorders>
          </w:tcPr>
          <w:p w14:paraId="5B54ECCE" w14:textId="77777777" w:rsidR="00611B7A" w:rsidRPr="00FD5227" w:rsidRDefault="00611B7A" w:rsidP="00AF24C9">
            <w:pPr>
              <w:rPr>
                <w:rFonts w:ascii="Arial Narrow" w:hAnsi="Arial Narrow"/>
                <w:b/>
                <w:i/>
                <w:iCs/>
                <w:sz w:val="20"/>
                <w:szCs w:val="20"/>
              </w:rPr>
            </w:pPr>
            <w:r w:rsidRPr="00FD5227">
              <w:rPr>
                <w:rFonts w:ascii="Arial Narrow" w:hAnsi="Arial Narrow"/>
                <w:b/>
                <w:i/>
                <w:iCs/>
                <w:sz w:val="20"/>
                <w:szCs w:val="20"/>
              </w:rPr>
              <w:t xml:space="preserve">Prescriber type: </w:t>
            </w:r>
            <w:r w:rsidRPr="00FD5227">
              <w:rPr>
                <w:rFonts w:ascii="Arial Narrow" w:hAnsi="Arial Narrow"/>
                <w:i/>
                <w:iCs/>
                <w:sz w:val="20"/>
                <w:szCs w:val="20"/>
              </w:rPr>
              <w:fldChar w:fldCharType="begin" w:fldLock="1">
                <w:ffData>
                  <w:name w:val=""/>
                  <w:enabled/>
                  <w:calcOnExit w:val="0"/>
                  <w:checkBox>
                    <w:sizeAuto/>
                    <w:default w:val="1"/>
                  </w:checkBox>
                </w:ffData>
              </w:fldChar>
            </w:r>
            <w:r w:rsidRPr="00FD5227">
              <w:rPr>
                <w:rFonts w:ascii="Arial Narrow" w:hAnsi="Arial Narrow"/>
                <w:i/>
                <w:iCs/>
                <w:sz w:val="20"/>
                <w:szCs w:val="20"/>
              </w:rPr>
              <w:instrText xml:space="preserve"> FORMCHECKBOX </w:instrText>
            </w:r>
            <w:r w:rsidR="00B53F47">
              <w:rPr>
                <w:rFonts w:ascii="Arial Narrow" w:hAnsi="Arial Narrow"/>
                <w:i/>
                <w:iCs/>
                <w:sz w:val="20"/>
                <w:szCs w:val="20"/>
              </w:rPr>
            </w:r>
            <w:r w:rsidR="00B53F47">
              <w:rPr>
                <w:rFonts w:ascii="Arial Narrow" w:hAnsi="Arial Narrow"/>
                <w:i/>
                <w:iCs/>
                <w:sz w:val="20"/>
                <w:szCs w:val="20"/>
              </w:rPr>
              <w:fldChar w:fldCharType="separate"/>
            </w:r>
            <w:r w:rsidRPr="00FD5227">
              <w:rPr>
                <w:rFonts w:ascii="Arial Narrow" w:hAnsi="Arial Narrow"/>
                <w:i/>
                <w:iCs/>
                <w:sz w:val="20"/>
                <w:szCs w:val="20"/>
              </w:rPr>
              <w:fldChar w:fldCharType="end"/>
            </w:r>
            <w:r w:rsidRPr="00FD5227">
              <w:rPr>
                <w:rFonts w:ascii="Arial Narrow" w:hAnsi="Arial Narrow"/>
                <w:i/>
                <w:iCs/>
                <w:sz w:val="20"/>
                <w:szCs w:val="20"/>
              </w:rPr>
              <w:t>Medical Practitioners</w:t>
            </w:r>
          </w:p>
        </w:tc>
      </w:tr>
      <w:tr w:rsidR="00611B7A" w:rsidRPr="00FD5227" w14:paraId="7030FF67" w14:textId="77777777" w:rsidTr="00D930A4">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bottom w:val="single" w:sz="4" w:space="0" w:color="auto"/>
              <w:right w:val="single" w:sz="4" w:space="0" w:color="auto"/>
            </w:tcBorders>
          </w:tcPr>
          <w:p w14:paraId="7407F438" w14:textId="77777777" w:rsidR="00611B7A" w:rsidRPr="00FD5227" w:rsidRDefault="00611B7A" w:rsidP="00AF24C9">
            <w:pPr>
              <w:rPr>
                <w:rFonts w:ascii="Arial Narrow" w:eastAsia="Calibri" w:hAnsi="Arial Narrow"/>
                <w:i/>
                <w:iCs/>
                <w:sz w:val="20"/>
                <w:szCs w:val="20"/>
              </w:rPr>
            </w:pPr>
            <w:r w:rsidRPr="00FD5227">
              <w:rPr>
                <w:rFonts w:ascii="Arial Narrow" w:hAnsi="Arial Narrow"/>
                <w:b/>
                <w:i/>
                <w:iCs/>
                <w:sz w:val="20"/>
                <w:szCs w:val="20"/>
              </w:rPr>
              <w:lastRenderedPageBreak/>
              <w:t xml:space="preserve">Restriction type: </w:t>
            </w:r>
            <w:r w:rsidRPr="00FD5227">
              <w:rPr>
                <w:rFonts w:ascii="Arial Narrow" w:eastAsia="Calibri" w:hAnsi="Arial Narrow"/>
                <w:i/>
                <w:iCs/>
                <w:sz w:val="20"/>
                <w:szCs w:val="20"/>
              </w:rPr>
              <w:fldChar w:fldCharType="begin" w:fldLock="1">
                <w:ffData>
                  <w:name w:val="Check3"/>
                  <w:enabled/>
                  <w:calcOnExit w:val="0"/>
                  <w:checkBox>
                    <w:sizeAuto/>
                    <w:default w:val="1"/>
                  </w:checkBox>
                </w:ffData>
              </w:fldChar>
            </w:r>
            <w:r w:rsidRPr="00FD5227">
              <w:rPr>
                <w:rFonts w:ascii="Arial Narrow" w:eastAsia="Calibri" w:hAnsi="Arial Narrow"/>
                <w:i/>
                <w:iCs/>
                <w:sz w:val="20"/>
                <w:szCs w:val="20"/>
              </w:rPr>
              <w:instrText xml:space="preserve"> FORMCHECKBOX </w:instrText>
            </w:r>
            <w:r w:rsidR="00B53F47">
              <w:rPr>
                <w:rFonts w:ascii="Arial Narrow" w:eastAsia="Calibri" w:hAnsi="Arial Narrow"/>
                <w:i/>
                <w:iCs/>
                <w:sz w:val="20"/>
                <w:szCs w:val="20"/>
              </w:rPr>
            </w:r>
            <w:r w:rsidR="00B53F47">
              <w:rPr>
                <w:rFonts w:ascii="Arial Narrow" w:eastAsia="Calibri" w:hAnsi="Arial Narrow"/>
                <w:i/>
                <w:iCs/>
                <w:sz w:val="20"/>
                <w:szCs w:val="20"/>
              </w:rPr>
              <w:fldChar w:fldCharType="separate"/>
            </w:r>
            <w:r w:rsidRPr="00FD5227">
              <w:rPr>
                <w:rFonts w:ascii="Arial Narrow" w:eastAsia="Calibri" w:hAnsi="Arial Narrow"/>
                <w:i/>
                <w:iCs/>
                <w:sz w:val="20"/>
                <w:szCs w:val="20"/>
              </w:rPr>
              <w:fldChar w:fldCharType="end"/>
            </w:r>
            <w:r w:rsidRPr="00FD5227">
              <w:rPr>
                <w:rFonts w:ascii="Arial Narrow" w:eastAsia="Calibri" w:hAnsi="Arial Narrow"/>
                <w:i/>
                <w:iCs/>
                <w:sz w:val="20"/>
                <w:szCs w:val="20"/>
              </w:rPr>
              <w:t>Authority Required – Telephone/electronic via Online PBS Authorities</w:t>
            </w:r>
          </w:p>
        </w:tc>
      </w:tr>
      <w:tr w:rsidR="00611B7A" w:rsidRPr="00FD5227" w14:paraId="3338B412" w14:textId="77777777" w:rsidTr="009211A3">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tcBorders>
          </w:tcPr>
          <w:p w14:paraId="4D1ED75C" w14:textId="77777777" w:rsidR="00611B7A" w:rsidRPr="00FD5227" w:rsidRDefault="00611B7A" w:rsidP="00AF24C9">
            <w:pPr>
              <w:rPr>
                <w:rFonts w:ascii="Arial Narrow" w:hAnsi="Arial Narrow"/>
                <w:i/>
                <w:i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No increase in the maximum number of repeats may be authorised.</w:t>
            </w:r>
          </w:p>
        </w:tc>
      </w:tr>
      <w:tr w:rsidR="00611B7A" w:rsidRPr="00FD5227" w14:paraId="72A22E36" w14:textId="77777777" w:rsidTr="007832B2">
        <w:tblPrEx>
          <w:tblCellMar>
            <w:top w:w="15" w:type="dxa"/>
            <w:left w:w="15" w:type="dxa"/>
            <w:bottom w:w="15" w:type="dxa"/>
            <w:right w:w="15" w:type="dxa"/>
          </w:tblCellMar>
          <w:tblLook w:val="04A0" w:firstRow="1" w:lastRow="0" w:firstColumn="1" w:lastColumn="0" w:noHBand="0" w:noVBand="1"/>
        </w:tblPrEx>
        <w:tc>
          <w:tcPr>
            <w:tcW w:w="9067" w:type="dxa"/>
            <w:gridSpan w:val="6"/>
            <w:tcBorders>
              <w:left w:val="single" w:sz="4" w:space="0" w:color="auto"/>
            </w:tcBorders>
          </w:tcPr>
          <w:p w14:paraId="5F9BAF55" w14:textId="77777777" w:rsidR="00611B7A" w:rsidRPr="00FD5227" w:rsidRDefault="00611B7A" w:rsidP="00AF24C9">
            <w:pPr>
              <w:rPr>
                <w:rFonts w:ascii="Arial Narrow" w:hAnsi="Arial Narrow"/>
                <w:b/>
                <w:bCs/>
                <w:i/>
                <w:i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Special Pricing Arrangements apply.</w:t>
            </w:r>
          </w:p>
        </w:tc>
      </w:tr>
      <w:tr w:rsidR="00611B7A" w:rsidRPr="00FD5227" w14:paraId="32C0B3D7" w14:textId="77777777" w:rsidTr="00E56354">
        <w:tblPrEx>
          <w:tblCellMar>
            <w:top w:w="15" w:type="dxa"/>
            <w:left w:w="15" w:type="dxa"/>
            <w:bottom w:w="15" w:type="dxa"/>
            <w:right w:w="15" w:type="dxa"/>
          </w:tblCellMar>
          <w:tblLook w:val="04A0" w:firstRow="1" w:lastRow="0" w:firstColumn="1" w:lastColumn="0" w:noHBand="0" w:noVBand="1"/>
        </w:tblPrEx>
        <w:trPr>
          <w:trHeight w:val="630"/>
        </w:trPr>
        <w:tc>
          <w:tcPr>
            <w:tcW w:w="9067" w:type="dxa"/>
            <w:gridSpan w:val="6"/>
            <w:tcBorders>
              <w:left w:val="single" w:sz="4" w:space="0" w:color="auto"/>
            </w:tcBorders>
          </w:tcPr>
          <w:p w14:paraId="0C80581B" w14:textId="77777777" w:rsidR="00611B7A" w:rsidRPr="00FD5227" w:rsidRDefault="00611B7A" w:rsidP="00AF24C9">
            <w:pPr>
              <w:rPr>
                <w:rFonts w:ascii="Arial Narrow" w:hAnsi="Arial Narrow"/>
                <w:b/>
                <w:b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611B7A" w:rsidRPr="00FD5227" w14:paraId="48966EB3" w14:textId="77777777" w:rsidTr="00DB7E7F">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52455338" w14:textId="77777777" w:rsidR="00611B7A" w:rsidRPr="00FD5227" w:rsidRDefault="00611B7A" w:rsidP="00AF24C9">
            <w:pPr>
              <w:rPr>
                <w:rFonts w:ascii="Arial Narrow" w:hAnsi="Arial Narrow"/>
                <w:b/>
                <w:bCs/>
                <w:i/>
                <w:iCs/>
                <w:sz w:val="20"/>
                <w:szCs w:val="20"/>
              </w:rPr>
            </w:pPr>
            <w:r w:rsidRPr="00FD5227">
              <w:rPr>
                <w:rFonts w:ascii="Arial Narrow" w:hAnsi="Arial Narrow"/>
                <w:b/>
                <w:bCs/>
                <w:i/>
                <w:iCs/>
                <w:sz w:val="20"/>
                <w:szCs w:val="20"/>
              </w:rPr>
              <w:t xml:space="preserve">Condition: </w:t>
            </w:r>
            <w:r w:rsidRPr="00FD5227">
              <w:rPr>
                <w:rFonts w:ascii="Arial Narrow" w:hAnsi="Arial Narrow"/>
                <w:i/>
                <w:iCs/>
                <w:sz w:val="20"/>
                <w:szCs w:val="20"/>
              </w:rPr>
              <w:t>Chronic lymphocytic leukaemia (CLL) or small lymphocytic lymphoma (SLL)</w:t>
            </w:r>
            <w:r w:rsidRPr="00FD5227">
              <w:rPr>
                <w:rFonts w:ascii="Arial Narrow" w:hAnsi="Arial Narrow"/>
                <w:bCs/>
                <w:i/>
                <w:iCs/>
                <w:sz w:val="20"/>
                <w:szCs w:val="20"/>
              </w:rPr>
              <w:t xml:space="preserve"> </w:t>
            </w:r>
          </w:p>
        </w:tc>
      </w:tr>
      <w:tr w:rsidR="00611B7A" w:rsidRPr="00FD5227" w14:paraId="7CC2B744" w14:textId="77777777" w:rsidTr="00A86563">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7A9D39E3" w14:textId="77777777" w:rsidR="00611B7A" w:rsidRPr="00FD5227" w:rsidRDefault="00611B7A" w:rsidP="00AF24C9">
            <w:pPr>
              <w:rPr>
                <w:rFonts w:ascii="Arial Narrow" w:hAnsi="Arial Narrow"/>
                <w:i/>
                <w:iCs/>
                <w:sz w:val="20"/>
                <w:szCs w:val="20"/>
              </w:rPr>
            </w:pPr>
            <w:r w:rsidRPr="00FD5227">
              <w:rPr>
                <w:rFonts w:ascii="Arial Narrow" w:hAnsi="Arial Narrow"/>
                <w:b/>
                <w:bCs/>
                <w:i/>
                <w:iCs/>
                <w:sz w:val="20"/>
                <w:szCs w:val="20"/>
              </w:rPr>
              <w:t>Indication:</w:t>
            </w:r>
            <w:r w:rsidRPr="00FD5227">
              <w:rPr>
                <w:rFonts w:ascii="Arial Narrow" w:hAnsi="Arial Narrow"/>
                <w:i/>
                <w:iCs/>
                <w:sz w:val="20"/>
                <w:szCs w:val="20"/>
              </w:rPr>
              <w:t xml:space="preserve"> Chronic lymphocytic leukaemia (CLL) or small lymphocytic lymphoma (SLL)</w:t>
            </w:r>
          </w:p>
        </w:tc>
      </w:tr>
      <w:tr w:rsidR="00611B7A" w:rsidRPr="00FD5227" w14:paraId="77B8B736" w14:textId="77777777" w:rsidTr="00870EFB">
        <w:tblPrEx>
          <w:tblCellMar>
            <w:top w:w="15" w:type="dxa"/>
            <w:left w:w="15" w:type="dxa"/>
            <w:bottom w:w="15" w:type="dxa"/>
            <w:right w:w="15" w:type="dxa"/>
          </w:tblCellMar>
          <w:tblLook w:val="04A0" w:firstRow="1" w:lastRow="0" w:firstColumn="1" w:lastColumn="0" w:noHBand="0" w:noVBand="1"/>
        </w:tblPrEx>
        <w:tc>
          <w:tcPr>
            <w:tcW w:w="9067" w:type="dxa"/>
            <w:gridSpan w:val="6"/>
            <w:vAlign w:val="center"/>
            <w:hideMark/>
          </w:tcPr>
          <w:p w14:paraId="22963695" w14:textId="77777777" w:rsidR="00611B7A" w:rsidRPr="00FD5227" w:rsidRDefault="00611B7A" w:rsidP="00AF24C9">
            <w:pPr>
              <w:rPr>
                <w:rFonts w:ascii="Arial Narrow" w:hAnsi="Arial Narrow"/>
                <w:i/>
                <w:iCs/>
                <w:sz w:val="20"/>
                <w:szCs w:val="20"/>
              </w:rPr>
            </w:pPr>
            <w:r w:rsidRPr="00FD5227">
              <w:rPr>
                <w:rFonts w:ascii="Arial Narrow" w:hAnsi="Arial Narrow"/>
                <w:b/>
                <w:bCs/>
                <w:i/>
                <w:iCs/>
                <w:sz w:val="20"/>
                <w:szCs w:val="20"/>
              </w:rPr>
              <w:t>Treatment Phase:</w:t>
            </w:r>
            <w:r w:rsidRPr="00FD5227">
              <w:rPr>
                <w:rFonts w:ascii="Arial Narrow" w:hAnsi="Arial Narrow"/>
                <w:i/>
                <w:iCs/>
                <w:sz w:val="20"/>
                <w:szCs w:val="20"/>
              </w:rPr>
              <w:t xml:space="preserve"> First continuing treatment (treatment cycles 4 to 7 inclusive) in first-line therapy</w:t>
            </w:r>
          </w:p>
        </w:tc>
      </w:tr>
      <w:tr w:rsidR="00611B7A" w:rsidRPr="00FD5227" w14:paraId="37FB0F26" w14:textId="77777777" w:rsidTr="0057740B">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785A36F3" w14:textId="77777777" w:rsidR="00611B7A" w:rsidRPr="00FD5227" w:rsidRDefault="00611B7A" w:rsidP="00AF24C9">
            <w:pPr>
              <w:rPr>
                <w:rFonts w:ascii="Arial Narrow" w:hAnsi="Arial Narrow"/>
                <w:b/>
                <w:bCs/>
                <w:i/>
                <w:iCs/>
                <w:sz w:val="20"/>
                <w:szCs w:val="20"/>
              </w:rPr>
            </w:pPr>
            <w:r w:rsidRPr="00FD5227">
              <w:rPr>
                <w:rFonts w:ascii="Arial Narrow" w:hAnsi="Arial Narrow"/>
                <w:b/>
                <w:bCs/>
                <w:i/>
                <w:iCs/>
                <w:sz w:val="20"/>
                <w:szCs w:val="20"/>
              </w:rPr>
              <w:t>Clinical criteria:</w:t>
            </w:r>
          </w:p>
        </w:tc>
      </w:tr>
      <w:tr w:rsidR="00611B7A" w:rsidRPr="00FD5227" w14:paraId="739D600C" w14:textId="77777777" w:rsidTr="00E56135">
        <w:tblPrEx>
          <w:tblCellMar>
            <w:top w:w="15" w:type="dxa"/>
            <w:left w:w="15" w:type="dxa"/>
            <w:bottom w:w="15" w:type="dxa"/>
            <w:right w:w="15" w:type="dxa"/>
          </w:tblCellMar>
          <w:tblLook w:val="04A0" w:firstRow="1" w:lastRow="0" w:firstColumn="1" w:lastColumn="0" w:noHBand="0" w:noVBand="1"/>
        </w:tblPrEx>
        <w:tc>
          <w:tcPr>
            <w:tcW w:w="9067" w:type="dxa"/>
            <w:gridSpan w:val="6"/>
            <w:vAlign w:val="center"/>
          </w:tcPr>
          <w:p w14:paraId="3070D4B8" w14:textId="77777777" w:rsidR="00611B7A" w:rsidRPr="00FD5227" w:rsidRDefault="00611B7A" w:rsidP="00AF24C9">
            <w:pPr>
              <w:rPr>
                <w:rFonts w:ascii="Arial Narrow" w:hAnsi="Arial Narrow"/>
                <w:i/>
                <w:iCs/>
                <w:sz w:val="20"/>
                <w:szCs w:val="20"/>
              </w:rPr>
            </w:pPr>
            <w:bookmarkStart w:id="15" w:name="_Hlk113625425"/>
            <w:r w:rsidRPr="00FD5227">
              <w:rPr>
                <w:rFonts w:ascii="Arial Narrow" w:hAnsi="Arial Narrow"/>
                <w:i/>
                <w:iCs/>
                <w:sz w:val="20"/>
                <w:szCs w:val="20"/>
              </w:rPr>
              <w:t>Patient must have previously received PBS-subsidised treatment with this drug for this condition</w:t>
            </w:r>
          </w:p>
        </w:tc>
      </w:tr>
      <w:tr w:rsidR="00611B7A" w:rsidRPr="00FD5227" w14:paraId="50589A14" w14:textId="77777777" w:rsidTr="002B5B5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3524658D" w14:textId="77777777" w:rsidR="00611B7A" w:rsidRPr="00FD5227" w:rsidRDefault="00611B7A" w:rsidP="00AF24C9">
            <w:pPr>
              <w:rPr>
                <w:rFonts w:ascii="Arial Narrow" w:hAnsi="Arial Narrow"/>
                <w:b/>
                <w:bCs/>
                <w:sz w:val="20"/>
                <w:szCs w:val="20"/>
              </w:rPr>
            </w:pPr>
            <w:r w:rsidRPr="00FD5227">
              <w:rPr>
                <w:rFonts w:ascii="Arial Narrow" w:hAnsi="Arial Narrow"/>
                <w:b/>
                <w:bCs/>
                <w:i/>
                <w:iCs/>
                <w:sz w:val="20"/>
                <w:szCs w:val="20"/>
              </w:rPr>
              <w:t>AND</w:t>
            </w:r>
          </w:p>
        </w:tc>
      </w:tr>
      <w:tr w:rsidR="00611B7A" w:rsidRPr="00FD5227" w14:paraId="27F9E753" w14:textId="77777777" w:rsidTr="008B5742">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30682FAE" w14:textId="77777777" w:rsidR="00611B7A" w:rsidRPr="00FD5227" w:rsidRDefault="00611B7A" w:rsidP="00AF24C9">
            <w:pPr>
              <w:rPr>
                <w:rFonts w:ascii="Arial Narrow" w:hAnsi="Arial Narrow"/>
                <w:b/>
                <w:bCs/>
                <w:sz w:val="20"/>
                <w:szCs w:val="20"/>
              </w:rPr>
            </w:pPr>
            <w:r w:rsidRPr="00FD5227">
              <w:rPr>
                <w:rFonts w:ascii="Arial Narrow" w:hAnsi="Arial Narrow"/>
                <w:b/>
                <w:bCs/>
                <w:i/>
                <w:iCs/>
                <w:sz w:val="20"/>
                <w:szCs w:val="20"/>
              </w:rPr>
              <w:t xml:space="preserve">Clinical criteria: </w:t>
            </w:r>
          </w:p>
        </w:tc>
      </w:tr>
      <w:tr w:rsidR="00611B7A" w:rsidRPr="00FD5227" w14:paraId="547100F1" w14:textId="77777777" w:rsidTr="007753BE">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6F16B029" w14:textId="77777777" w:rsidR="00611B7A" w:rsidRPr="00FD5227" w:rsidRDefault="00611B7A" w:rsidP="00AF24C9">
            <w:pPr>
              <w:rPr>
                <w:rFonts w:ascii="Arial Narrow" w:hAnsi="Arial Narrow"/>
                <w:b/>
                <w:bCs/>
                <w:sz w:val="20"/>
                <w:szCs w:val="20"/>
              </w:rPr>
            </w:pPr>
            <w:r w:rsidRPr="00FD5227">
              <w:rPr>
                <w:rFonts w:ascii="Arial Narrow" w:hAnsi="Arial Narrow"/>
                <w:i/>
                <w:iCs/>
                <w:sz w:val="20"/>
                <w:szCs w:val="20"/>
              </w:rPr>
              <w:t>The treatment must cease upon disease progression</w:t>
            </w:r>
          </w:p>
        </w:tc>
      </w:tr>
      <w:bookmarkEnd w:id="15"/>
      <w:tr w:rsidR="00611B7A" w:rsidRPr="00FD5227" w14:paraId="49D5BA53" w14:textId="77777777" w:rsidTr="00ED262A">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79E10DA7" w14:textId="77777777" w:rsidR="00611B7A" w:rsidRPr="00FD5227" w:rsidRDefault="00611B7A" w:rsidP="00AF24C9">
            <w:pPr>
              <w:rPr>
                <w:rFonts w:ascii="Arial Narrow" w:hAnsi="Arial Narrow"/>
                <w:b/>
                <w:bCs/>
                <w:i/>
                <w:iCs/>
                <w:sz w:val="20"/>
                <w:szCs w:val="20"/>
              </w:rPr>
            </w:pPr>
            <w:r w:rsidRPr="00FD5227">
              <w:rPr>
                <w:rFonts w:ascii="Arial Narrow" w:hAnsi="Arial Narrow"/>
                <w:b/>
                <w:bCs/>
                <w:i/>
                <w:iCs/>
                <w:sz w:val="20"/>
                <w:szCs w:val="20"/>
              </w:rPr>
              <w:t>AND</w:t>
            </w:r>
          </w:p>
        </w:tc>
      </w:tr>
      <w:tr w:rsidR="00611B7A" w:rsidRPr="00FD5227" w14:paraId="58446DD7" w14:textId="77777777" w:rsidTr="00A5017E">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3F5919ED" w14:textId="77777777" w:rsidR="00611B7A" w:rsidRPr="00FD5227" w:rsidRDefault="00611B7A" w:rsidP="00AF24C9">
            <w:pPr>
              <w:rPr>
                <w:rFonts w:ascii="Arial Narrow" w:hAnsi="Arial Narrow"/>
                <w:b/>
                <w:bCs/>
                <w:i/>
                <w:iCs/>
                <w:sz w:val="20"/>
                <w:szCs w:val="20"/>
              </w:rPr>
            </w:pPr>
            <w:r w:rsidRPr="00FD5227">
              <w:rPr>
                <w:rFonts w:ascii="Arial Narrow" w:hAnsi="Arial Narrow"/>
                <w:b/>
                <w:bCs/>
                <w:i/>
                <w:iCs/>
                <w:sz w:val="20"/>
                <w:szCs w:val="20"/>
              </w:rPr>
              <w:t>Clinical criteria:</w:t>
            </w:r>
          </w:p>
        </w:tc>
      </w:tr>
      <w:tr w:rsidR="00611B7A" w:rsidRPr="00FD5227" w14:paraId="24D9AC80" w14:textId="77777777" w:rsidTr="008C060C">
        <w:tblPrEx>
          <w:tblCellMar>
            <w:top w:w="15" w:type="dxa"/>
            <w:left w:w="15" w:type="dxa"/>
            <w:bottom w:w="15" w:type="dxa"/>
            <w:right w:w="15" w:type="dxa"/>
          </w:tblCellMar>
          <w:tblLook w:val="04A0" w:firstRow="1" w:lastRow="0" w:firstColumn="1" w:lastColumn="0" w:noHBand="0" w:noVBand="1"/>
        </w:tblPrEx>
        <w:tc>
          <w:tcPr>
            <w:tcW w:w="9067" w:type="dxa"/>
            <w:gridSpan w:val="6"/>
            <w:tcBorders>
              <w:top w:val="single" w:sz="4" w:space="0" w:color="auto"/>
              <w:left w:val="single" w:sz="4" w:space="0" w:color="auto"/>
              <w:bottom w:val="single" w:sz="4" w:space="0" w:color="auto"/>
              <w:right w:val="single" w:sz="4" w:space="0" w:color="auto"/>
            </w:tcBorders>
            <w:vAlign w:val="center"/>
          </w:tcPr>
          <w:p w14:paraId="52C9DABF" w14:textId="77777777" w:rsidR="00611B7A" w:rsidRPr="00FD5227" w:rsidRDefault="00611B7A" w:rsidP="00AF24C9">
            <w:pPr>
              <w:rPr>
                <w:rFonts w:ascii="Arial Narrow" w:hAnsi="Arial Narrow"/>
                <w:i/>
                <w:iCs/>
                <w:sz w:val="20"/>
                <w:szCs w:val="20"/>
              </w:rPr>
            </w:pPr>
            <w:r w:rsidRPr="00FD5227">
              <w:rPr>
                <w:rFonts w:ascii="Arial Narrow" w:hAnsi="Arial Narrow"/>
                <w:i/>
                <w:iCs/>
                <w:sz w:val="20"/>
                <w:szCs w:val="20"/>
              </w:rPr>
              <w:t>The treatment must be in combination with obinutuzumab for cycles 4 to 7.</w:t>
            </w:r>
            <w:r w:rsidRPr="00FD5227">
              <w:rPr>
                <w:sz w:val="20"/>
                <w:szCs w:val="20"/>
              </w:rPr>
              <w:t xml:space="preserve"> </w:t>
            </w:r>
            <w:r w:rsidRPr="00FD5227">
              <w:rPr>
                <w:rFonts w:ascii="Arial Narrow" w:hAnsi="Arial Narrow"/>
                <w:i/>
                <w:iCs/>
                <w:sz w:val="20"/>
                <w:szCs w:val="20"/>
              </w:rPr>
              <w:t>(refer to Product Information for timing of obinutuzumab and acalabrutinib doses),</w:t>
            </w:r>
          </w:p>
        </w:tc>
      </w:tr>
    </w:tbl>
    <w:p w14:paraId="4DBB7F8B" w14:textId="77777777" w:rsidR="00864D53" w:rsidRDefault="00864D53" w:rsidP="00864D53">
      <w:pPr>
        <w:rPr>
          <w:rFonts w:asciiTheme="minorHAnsi" w:eastAsia="Calibri" w:hAnsiTheme="minorHAnsi" w:cstheme="minorHAnsi"/>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
        <w:gridCol w:w="2983"/>
        <w:gridCol w:w="1134"/>
        <w:gridCol w:w="709"/>
        <w:gridCol w:w="709"/>
        <w:gridCol w:w="850"/>
        <w:gridCol w:w="1701"/>
      </w:tblGrid>
      <w:tr w:rsidR="00864D53" w:rsidRPr="00FD5227" w14:paraId="7CAAD405" w14:textId="77777777" w:rsidTr="00864D53">
        <w:trPr>
          <w:cantSplit/>
          <w:trHeight w:val="471"/>
        </w:trPr>
        <w:tc>
          <w:tcPr>
            <w:tcW w:w="3964" w:type="dxa"/>
            <w:gridSpan w:val="2"/>
          </w:tcPr>
          <w:p w14:paraId="2D18D78E" w14:textId="77777777" w:rsidR="00864D53" w:rsidRPr="00FD5227" w:rsidRDefault="00864D53" w:rsidP="00AF24C9">
            <w:pPr>
              <w:keepNext/>
              <w:ind w:left="-57"/>
              <w:rPr>
                <w:rFonts w:ascii="Arial Narrow" w:hAnsi="Arial Narrow"/>
                <w:b/>
                <w:bCs/>
                <w:sz w:val="20"/>
                <w:szCs w:val="20"/>
              </w:rPr>
            </w:pPr>
            <w:r w:rsidRPr="00FD5227">
              <w:rPr>
                <w:rFonts w:ascii="Arial Narrow" w:hAnsi="Arial Narrow"/>
                <w:b/>
                <w:bCs/>
                <w:sz w:val="20"/>
                <w:szCs w:val="20"/>
              </w:rPr>
              <w:t>MEDICINAL PRODUCT</w:t>
            </w:r>
          </w:p>
          <w:p w14:paraId="2D12372E" w14:textId="77777777" w:rsidR="00864D53" w:rsidRPr="00FD5227" w:rsidRDefault="00864D53" w:rsidP="00AF24C9">
            <w:pPr>
              <w:keepNext/>
              <w:ind w:left="-57"/>
              <w:rPr>
                <w:rFonts w:ascii="Arial Narrow" w:hAnsi="Arial Narrow"/>
                <w:b/>
                <w:sz w:val="20"/>
                <w:szCs w:val="20"/>
              </w:rPr>
            </w:pPr>
            <w:r w:rsidRPr="00FD5227">
              <w:rPr>
                <w:rFonts w:ascii="Arial Narrow" w:hAnsi="Arial Narrow"/>
                <w:b/>
                <w:bCs/>
                <w:sz w:val="20"/>
                <w:szCs w:val="20"/>
              </w:rPr>
              <w:t>medicinal product pack</w:t>
            </w:r>
          </w:p>
        </w:tc>
        <w:tc>
          <w:tcPr>
            <w:tcW w:w="1134" w:type="dxa"/>
          </w:tcPr>
          <w:p w14:paraId="2EDBBC53" w14:textId="77777777" w:rsidR="00864D53" w:rsidRPr="00FD5227" w:rsidRDefault="00864D53" w:rsidP="00AF24C9">
            <w:pPr>
              <w:keepNext/>
              <w:rPr>
                <w:rFonts w:ascii="Arial Narrow" w:hAnsi="Arial Narrow"/>
                <w:b/>
                <w:i/>
                <w:iCs/>
                <w:sz w:val="20"/>
                <w:szCs w:val="20"/>
              </w:rPr>
            </w:pPr>
            <w:r w:rsidRPr="00FD5227">
              <w:rPr>
                <w:rFonts w:ascii="Arial Narrow" w:hAnsi="Arial Narrow"/>
                <w:b/>
                <w:i/>
                <w:iCs/>
                <w:sz w:val="20"/>
                <w:szCs w:val="20"/>
              </w:rPr>
              <w:t>PBS item code</w:t>
            </w:r>
          </w:p>
        </w:tc>
        <w:tc>
          <w:tcPr>
            <w:tcW w:w="709" w:type="dxa"/>
          </w:tcPr>
          <w:p w14:paraId="3ED4831C" w14:textId="77777777" w:rsidR="00864D53" w:rsidRPr="00FD5227" w:rsidRDefault="00864D53" w:rsidP="00AF24C9">
            <w:pPr>
              <w:keepNext/>
              <w:rPr>
                <w:rFonts w:ascii="Arial Narrow" w:hAnsi="Arial Narrow"/>
                <w:b/>
                <w:sz w:val="20"/>
                <w:szCs w:val="20"/>
              </w:rPr>
            </w:pPr>
            <w:r w:rsidRPr="00FD5227">
              <w:rPr>
                <w:rFonts w:ascii="Arial Narrow" w:hAnsi="Arial Narrow"/>
                <w:b/>
                <w:sz w:val="20"/>
                <w:szCs w:val="20"/>
              </w:rPr>
              <w:t>Max. qty packs</w:t>
            </w:r>
          </w:p>
        </w:tc>
        <w:tc>
          <w:tcPr>
            <w:tcW w:w="709" w:type="dxa"/>
          </w:tcPr>
          <w:p w14:paraId="79B6A388" w14:textId="77777777" w:rsidR="00864D53" w:rsidRPr="00FD5227" w:rsidRDefault="00864D53" w:rsidP="00AF24C9">
            <w:pPr>
              <w:keepNext/>
              <w:rPr>
                <w:rFonts w:ascii="Arial Narrow" w:hAnsi="Arial Narrow"/>
                <w:b/>
                <w:sz w:val="20"/>
                <w:szCs w:val="20"/>
              </w:rPr>
            </w:pPr>
            <w:r w:rsidRPr="00FD5227">
              <w:rPr>
                <w:rFonts w:ascii="Arial Narrow" w:hAnsi="Arial Narrow"/>
                <w:b/>
                <w:sz w:val="20"/>
                <w:szCs w:val="20"/>
              </w:rPr>
              <w:t>Max. qty units</w:t>
            </w:r>
          </w:p>
        </w:tc>
        <w:tc>
          <w:tcPr>
            <w:tcW w:w="850" w:type="dxa"/>
          </w:tcPr>
          <w:p w14:paraId="6EAC9ADB" w14:textId="77777777" w:rsidR="00864D53" w:rsidRPr="00FD5227" w:rsidRDefault="00864D53" w:rsidP="00AF24C9">
            <w:pPr>
              <w:keepNext/>
              <w:ind w:left="-108"/>
              <w:rPr>
                <w:rFonts w:ascii="Arial Narrow" w:hAnsi="Arial Narrow"/>
                <w:b/>
                <w:sz w:val="20"/>
                <w:szCs w:val="20"/>
              </w:rPr>
            </w:pPr>
            <w:r w:rsidRPr="00FD5227">
              <w:rPr>
                <w:rFonts w:ascii="Arial Narrow" w:hAnsi="Arial Narrow"/>
                <w:b/>
                <w:sz w:val="20"/>
                <w:szCs w:val="20"/>
              </w:rPr>
              <w:t>№.of Rpts</w:t>
            </w:r>
          </w:p>
        </w:tc>
        <w:tc>
          <w:tcPr>
            <w:tcW w:w="1701" w:type="dxa"/>
          </w:tcPr>
          <w:p w14:paraId="6EBDA689" w14:textId="77777777" w:rsidR="00864D53" w:rsidRPr="00FD5227" w:rsidRDefault="00864D53" w:rsidP="00AF24C9">
            <w:pPr>
              <w:keepNext/>
              <w:rPr>
                <w:rFonts w:ascii="Arial Narrow" w:hAnsi="Arial Narrow"/>
                <w:b/>
                <w:sz w:val="20"/>
                <w:szCs w:val="20"/>
                <w:lang w:val="fr-FR"/>
              </w:rPr>
            </w:pPr>
            <w:r w:rsidRPr="00FD5227">
              <w:rPr>
                <w:rFonts w:ascii="Arial Narrow" w:hAnsi="Arial Narrow"/>
                <w:b/>
                <w:sz w:val="20"/>
                <w:szCs w:val="20"/>
              </w:rPr>
              <w:t>Available brands</w:t>
            </w:r>
          </w:p>
        </w:tc>
      </w:tr>
      <w:tr w:rsidR="00864D53" w:rsidRPr="00FD5227" w14:paraId="2692812B" w14:textId="77777777" w:rsidTr="00864D53">
        <w:trPr>
          <w:cantSplit/>
          <w:trHeight w:val="224"/>
        </w:trPr>
        <w:tc>
          <w:tcPr>
            <w:tcW w:w="9067" w:type="dxa"/>
            <w:gridSpan w:val="7"/>
          </w:tcPr>
          <w:p w14:paraId="4094C691" w14:textId="77777777" w:rsidR="00864D53" w:rsidRPr="00FD5227" w:rsidRDefault="00864D53" w:rsidP="00AF24C9">
            <w:pPr>
              <w:keepNext/>
              <w:ind w:left="-57"/>
              <w:rPr>
                <w:rFonts w:ascii="Arial Narrow" w:hAnsi="Arial Narrow"/>
                <w:i/>
                <w:iCs/>
                <w:sz w:val="20"/>
                <w:szCs w:val="20"/>
              </w:rPr>
            </w:pPr>
            <w:r w:rsidRPr="00FD5227">
              <w:rPr>
                <w:rFonts w:ascii="Arial Narrow" w:hAnsi="Arial Narrow"/>
                <w:i/>
                <w:iCs/>
                <w:sz w:val="20"/>
                <w:szCs w:val="20"/>
              </w:rPr>
              <w:t>ACALABRUTINIB</w:t>
            </w:r>
          </w:p>
        </w:tc>
      </w:tr>
      <w:tr w:rsidR="00864D53" w:rsidRPr="00FD5227" w14:paraId="5FBA1606" w14:textId="77777777" w:rsidTr="00864D53">
        <w:trPr>
          <w:cantSplit/>
          <w:trHeight w:val="553"/>
        </w:trPr>
        <w:tc>
          <w:tcPr>
            <w:tcW w:w="3964" w:type="dxa"/>
            <w:gridSpan w:val="2"/>
          </w:tcPr>
          <w:p w14:paraId="5D7215F4" w14:textId="77777777" w:rsidR="00864D53" w:rsidRPr="00FD5227" w:rsidRDefault="00864D53" w:rsidP="00AF24C9">
            <w:pPr>
              <w:keepNext/>
              <w:ind w:left="-57"/>
              <w:rPr>
                <w:rFonts w:ascii="Arial Narrow" w:hAnsi="Arial Narrow"/>
                <w:i/>
                <w:iCs/>
                <w:sz w:val="20"/>
                <w:szCs w:val="20"/>
              </w:rPr>
            </w:pPr>
            <w:r w:rsidRPr="00FD5227">
              <w:rPr>
                <w:rFonts w:ascii="Arial Narrow" w:hAnsi="Arial Narrow"/>
                <w:strike/>
                <w:sz w:val="20"/>
                <w:szCs w:val="20"/>
              </w:rPr>
              <w:t>ACALABRUTINIB, Treatment of patients with previously untreated CLL or SLL, 100 mg capsule, oral administration</w:t>
            </w:r>
            <w:r w:rsidRPr="00FD5227">
              <w:rPr>
                <w:rFonts w:ascii="Arial Narrow" w:hAnsi="Arial Narrow"/>
                <w:i/>
                <w:iCs/>
                <w:sz w:val="20"/>
                <w:szCs w:val="20"/>
              </w:rPr>
              <w:t xml:space="preserve"> 100 mg, capsule</w:t>
            </w:r>
          </w:p>
        </w:tc>
        <w:tc>
          <w:tcPr>
            <w:tcW w:w="1134" w:type="dxa"/>
          </w:tcPr>
          <w:p w14:paraId="7CC1087B" w14:textId="77777777" w:rsidR="00864D53" w:rsidRPr="00FD5227" w:rsidRDefault="00864D53" w:rsidP="00AF24C9">
            <w:pPr>
              <w:keepNext/>
              <w:rPr>
                <w:rFonts w:ascii="Arial Narrow" w:hAnsi="Arial Narrow"/>
                <w:i/>
                <w:iCs/>
                <w:sz w:val="20"/>
                <w:szCs w:val="20"/>
              </w:rPr>
            </w:pPr>
            <w:r w:rsidRPr="00FD5227">
              <w:rPr>
                <w:rFonts w:ascii="Arial Narrow" w:hAnsi="Arial Narrow"/>
                <w:i/>
                <w:iCs/>
                <w:sz w:val="20"/>
                <w:szCs w:val="20"/>
              </w:rPr>
              <w:t>NEW</w:t>
            </w:r>
          </w:p>
        </w:tc>
        <w:tc>
          <w:tcPr>
            <w:tcW w:w="709" w:type="dxa"/>
          </w:tcPr>
          <w:p w14:paraId="146F4488" w14:textId="77777777" w:rsidR="00864D53" w:rsidRPr="00FD5227" w:rsidRDefault="00864D53" w:rsidP="00AF24C9">
            <w:pPr>
              <w:keepNext/>
              <w:rPr>
                <w:rFonts w:ascii="Arial Narrow" w:hAnsi="Arial Narrow"/>
                <w:sz w:val="20"/>
                <w:szCs w:val="20"/>
              </w:rPr>
            </w:pPr>
            <w:r w:rsidRPr="00FD5227">
              <w:rPr>
                <w:rFonts w:ascii="Arial Narrow" w:hAnsi="Arial Narrow"/>
                <w:sz w:val="20"/>
                <w:szCs w:val="20"/>
              </w:rPr>
              <w:t>1</w:t>
            </w:r>
          </w:p>
        </w:tc>
        <w:tc>
          <w:tcPr>
            <w:tcW w:w="709" w:type="dxa"/>
          </w:tcPr>
          <w:p w14:paraId="0BA4D3FA" w14:textId="77777777" w:rsidR="00864D53" w:rsidRPr="00FD5227" w:rsidRDefault="00864D53" w:rsidP="00AF24C9">
            <w:pPr>
              <w:keepNext/>
              <w:rPr>
                <w:rFonts w:ascii="Arial Narrow" w:hAnsi="Arial Narrow"/>
                <w:sz w:val="20"/>
                <w:szCs w:val="20"/>
              </w:rPr>
            </w:pPr>
            <w:r w:rsidRPr="00FD5227">
              <w:rPr>
                <w:rFonts w:ascii="Arial Narrow" w:hAnsi="Arial Narrow"/>
                <w:sz w:val="20"/>
                <w:szCs w:val="20"/>
              </w:rPr>
              <w:t>56</w:t>
            </w:r>
          </w:p>
        </w:tc>
        <w:tc>
          <w:tcPr>
            <w:tcW w:w="850" w:type="dxa"/>
          </w:tcPr>
          <w:p w14:paraId="4D64C4A2" w14:textId="77777777" w:rsidR="00864D53" w:rsidRPr="00FD5227" w:rsidRDefault="00864D53" w:rsidP="00AF24C9">
            <w:pPr>
              <w:keepNext/>
              <w:rPr>
                <w:rFonts w:ascii="Arial Narrow" w:hAnsi="Arial Narrow"/>
                <w:sz w:val="20"/>
                <w:szCs w:val="20"/>
              </w:rPr>
            </w:pPr>
            <w:r w:rsidRPr="00FD5227">
              <w:rPr>
                <w:rFonts w:ascii="Arial Narrow" w:hAnsi="Arial Narrow"/>
                <w:sz w:val="20"/>
                <w:szCs w:val="20"/>
              </w:rPr>
              <w:t>5</w:t>
            </w:r>
          </w:p>
        </w:tc>
        <w:tc>
          <w:tcPr>
            <w:tcW w:w="1701" w:type="dxa"/>
          </w:tcPr>
          <w:p w14:paraId="2DD85824" w14:textId="77777777" w:rsidR="00864D53" w:rsidRPr="00FD5227" w:rsidRDefault="00864D53" w:rsidP="00AF24C9">
            <w:pPr>
              <w:keepNext/>
              <w:rPr>
                <w:rFonts w:ascii="Arial Narrow" w:eastAsia="MS Gothic" w:hAnsi="Arial Narrow" w:cs="Times New Roman"/>
                <w:bCs/>
                <w:sz w:val="20"/>
                <w:szCs w:val="20"/>
              </w:rPr>
            </w:pPr>
            <w:r w:rsidRPr="00FD5227">
              <w:rPr>
                <w:rFonts w:ascii="Arial Narrow" w:eastAsia="MS Gothic" w:hAnsi="Arial Narrow" w:cs="Times New Roman"/>
                <w:bCs/>
                <w:sz w:val="20"/>
                <w:szCs w:val="20"/>
              </w:rPr>
              <w:t>Calquence</w:t>
            </w:r>
          </w:p>
        </w:tc>
      </w:tr>
      <w:tr w:rsidR="00864D53" w:rsidRPr="00FD5227" w14:paraId="30826A2E" w14:textId="77777777" w:rsidTr="00864D53">
        <w:trPr>
          <w:cantSplit/>
          <w:trHeight w:val="327"/>
        </w:trPr>
        <w:tc>
          <w:tcPr>
            <w:tcW w:w="5098" w:type="dxa"/>
            <w:gridSpan w:val="3"/>
          </w:tcPr>
          <w:p w14:paraId="00EBBFD2" w14:textId="77777777" w:rsidR="00864D53" w:rsidRPr="00FD5227" w:rsidRDefault="00864D53" w:rsidP="00AF24C9">
            <w:pPr>
              <w:keepNext/>
              <w:rPr>
                <w:rFonts w:ascii="Arial Narrow" w:hAnsi="Arial Narrow"/>
                <w:sz w:val="20"/>
                <w:szCs w:val="20"/>
              </w:rPr>
            </w:pPr>
          </w:p>
        </w:tc>
        <w:tc>
          <w:tcPr>
            <w:tcW w:w="3969" w:type="dxa"/>
            <w:gridSpan w:val="4"/>
          </w:tcPr>
          <w:p w14:paraId="6F2A9462" w14:textId="77777777" w:rsidR="00864D53" w:rsidRPr="00FD5227" w:rsidRDefault="00864D53" w:rsidP="00AF24C9">
            <w:pPr>
              <w:keepNext/>
              <w:ind w:left="-57"/>
              <w:rPr>
                <w:rFonts w:ascii="Arial Narrow" w:hAnsi="Arial Narrow"/>
                <w:i/>
                <w:iCs/>
                <w:sz w:val="20"/>
                <w:szCs w:val="20"/>
              </w:rPr>
            </w:pPr>
            <w:r w:rsidRPr="00FD5227">
              <w:rPr>
                <w:rFonts w:ascii="Arial Narrow" w:hAnsi="Arial Narrow"/>
                <w:i/>
                <w:iCs/>
                <w:sz w:val="20"/>
                <w:szCs w:val="20"/>
              </w:rPr>
              <w:t>Max.qty (packs) multiplier = 2</w:t>
            </w:r>
          </w:p>
          <w:p w14:paraId="4F8B5D2D" w14:textId="77777777" w:rsidR="00864D53" w:rsidRPr="00FD5227" w:rsidRDefault="00864D53" w:rsidP="00AF24C9">
            <w:pPr>
              <w:keepNext/>
              <w:ind w:left="-57"/>
              <w:rPr>
                <w:rFonts w:ascii="Arial Narrow" w:hAnsi="Arial Narrow"/>
                <w:i/>
                <w:iCs/>
                <w:sz w:val="20"/>
                <w:szCs w:val="20"/>
              </w:rPr>
            </w:pPr>
            <w:r w:rsidRPr="00FD5227">
              <w:rPr>
                <w:rFonts w:ascii="Arial Narrow" w:hAnsi="Arial Narrow"/>
                <w:i/>
                <w:iCs/>
                <w:sz w:val="20"/>
                <w:szCs w:val="20"/>
              </w:rPr>
              <w:t>Repeat increases: nil</w:t>
            </w:r>
          </w:p>
        </w:tc>
      </w:tr>
      <w:tr w:rsidR="00864D53" w:rsidRPr="00FD5227" w14:paraId="51C4EE71" w14:textId="77777777" w:rsidTr="00864D5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16303098" w14:textId="77777777" w:rsidR="00864D53" w:rsidRPr="00FD5227" w:rsidRDefault="00864D53" w:rsidP="00AF24C9">
            <w:pPr>
              <w:rPr>
                <w:rFonts w:ascii="Arial Narrow" w:hAnsi="Arial Narrow"/>
                <w:sz w:val="20"/>
                <w:szCs w:val="20"/>
              </w:rPr>
            </w:pPr>
          </w:p>
        </w:tc>
      </w:tr>
      <w:tr w:rsidR="00864D53" w:rsidRPr="00FD5227" w14:paraId="0944EB2B" w14:textId="77777777" w:rsidTr="00864D5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0AFC39E0" w14:textId="3380F204" w:rsidR="00864D53" w:rsidRPr="00FD5227" w:rsidRDefault="00864D53" w:rsidP="00AF24C9">
            <w:pPr>
              <w:rPr>
                <w:rFonts w:ascii="Arial Narrow" w:hAnsi="Arial Narrow"/>
                <w:b/>
                <w:sz w:val="20"/>
                <w:szCs w:val="20"/>
              </w:rPr>
            </w:pPr>
            <w:r w:rsidRPr="00FD5227">
              <w:rPr>
                <w:rFonts w:ascii="Arial Narrow" w:hAnsi="Arial Narrow"/>
                <w:b/>
                <w:sz w:val="20"/>
                <w:szCs w:val="20"/>
              </w:rPr>
              <w:t>Restriction Summary / Treatment of Concept:</w:t>
            </w:r>
          </w:p>
        </w:tc>
      </w:tr>
      <w:tr w:rsidR="00864D53" w:rsidRPr="00FD5227" w14:paraId="77461B59" w14:textId="77777777" w:rsidTr="00864D53">
        <w:tblPrEx>
          <w:tblCellMar>
            <w:top w:w="15" w:type="dxa"/>
            <w:left w:w="15" w:type="dxa"/>
            <w:bottom w:w="15" w:type="dxa"/>
            <w:right w:w="15" w:type="dxa"/>
          </w:tblCellMar>
          <w:tblLook w:val="04A0" w:firstRow="1" w:lastRow="0" w:firstColumn="1" w:lastColumn="0" w:noHBand="0" w:noVBand="1"/>
        </w:tblPrEx>
        <w:tc>
          <w:tcPr>
            <w:tcW w:w="981" w:type="dxa"/>
            <w:vMerge w:val="restart"/>
            <w:tcBorders>
              <w:top w:val="single" w:sz="4" w:space="0" w:color="auto"/>
              <w:left w:val="single" w:sz="4" w:space="0" w:color="auto"/>
              <w:right w:val="single" w:sz="4" w:space="0" w:color="auto"/>
            </w:tcBorders>
          </w:tcPr>
          <w:p w14:paraId="472F9878" w14:textId="1AECE659" w:rsidR="00864D53" w:rsidRPr="00FD5227" w:rsidRDefault="00864D53" w:rsidP="00AF24C9">
            <w:pPr>
              <w:jc w:val="center"/>
              <w:rPr>
                <w:rFonts w:ascii="Arial Narrow" w:hAnsi="Arial Narrow"/>
                <w:b/>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07F9051F" w14:textId="77777777" w:rsidR="00864D53" w:rsidRPr="00FD5227" w:rsidRDefault="00864D53" w:rsidP="00AF24C9">
            <w:pPr>
              <w:rPr>
                <w:rFonts w:ascii="Arial Narrow" w:hAnsi="Arial Narrow"/>
                <w:sz w:val="20"/>
                <w:szCs w:val="20"/>
              </w:rPr>
            </w:pPr>
            <w:r w:rsidRPr="00FD5227">
              <w:rPr>
                <w:rFonts w:ascii="Arial Narrow" w:hAnsi="Arial Narrow"/>
                <w:b/>
                <w:sz w:val="20"/>
                <w:szCs w:val="20"/>
              </w:rPr>
              <w:t xml:space="preserve">Category / Program: </w:t>
            </w:r>
            <w:r w:rsidRPr="00FD5227">
              <w:rPr>
                <w:rFonts w:ascii="Arial Narrow" w:hAnsi="Arial Narrow"/>
                <w:sz w:val="20"/>
                <w:szCs w:val="20"/>
              </w:rPr>
              <w:t xml:space="preserve">GENERAL – General Schedule (Code GE) </w:t>
            </w:r>
          </w:p>
        </w:tc>
      </w:tr>
      <w:tr w:rsidR="00864D53" w:rsidRPr="00FD5227" w14:paraId="44B84D1A" w14:textId="77777777" w:rsidTr="00864D53">
        <w:tblPrEx>
          <w:tblCellMar>
            <w:top w:w="15" w:type="dxa"/>
            <w:left w:w="15" w:type="dxa"/>
            <w:bottom w:w="15" w:type="dxa"/>
            <w:right w:w="15" w:type="dxa"/>
          </w:tblCellMar>
          <w:tblLook w:val="04A0" w:firstRow="1" w:lastRow="0" w:firstColumn="1" w:lastColumn="0" w:noHBand="0" w:noVBand="1"/>
        </w:tblPrEx>
        <w:trPr>
          <w:trHeight w:val="240"/>
        </w:trPr>
        <w:tc>
          <w:tcPr>
            <w:tcW w:w="981" w:type="dxa"/>
            <w:vMerge/>
            <w:tcBorders>
              <w:left w:val="single" w:sz="4" w:space="0" w:color="auto"/>
              <w:right w:val="single" w:sz="4" w:space="0" w:color="auto"/>
            </w:tcBorders>
          </w:tcPr>
          <w:p w14:paraId="57942229" w14:textId="77777777" w:rsidR="00864D53" w:rsidRPr="00FD5227" w:rsidRDefault="00864D53" w:rsidP="00AF24C9">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68EF7069" w14:textId="77777777" w:rsidR="00864D53" w:rsidRPr="00FD5227" w:rsidRDefault="00864D53" w:rsidP="00AF24C9">
            <w:pPr>
              <w:rPr>
                <w:rFonts w:ascii="Arial Narrow" w:hAnsi="Arial Narrow"/>
                <w:b/>
                <w:sz w:val="20"/>
                <w:szCs w:val="20"/>
              </w:rPr>
            </w:pPr>
            <w:r w:rsidRPr="00FD5227">
              <w:rPr>
                <w:rFonts w:ascii="Arial Narrow" w:hAnsi="Arial Narrow"/>
                <w:b/>
                <w:sz w:val="20"/>
                <w:szCs w:val="20"/>
              </w:rPr>
              <w:t xml:space="preserve">Prescriber type: </w:t>
            </w:r>
            <w:r w:rsidRPr="00FD5227">
              <w:rPr>
                <w:rFonts w:ascii="Arial Narrow" w:hAnsi="Arial Narrow"/>
                <w:sz w:val="20"/>
                <w:szCs w:val="20"/>
              </w:rPr>
              <w:fldChar w:fldCharType="begin" w:fldLock="1">
                <w:ffData>
                  <w:name w:val=""/>
                  <w:enabled/>
                  <w:calcOnExit w:val="0"/>
                  <w:checkBox>
                    <w:sizeAuto/>
                    <w:default w:val="1"/>
                  </w:checkBox>
                </w:ffData>
              </w:fldChar>
            </w:r>
            <w:r w:rsidRPr="00FD5227">
              <w:rPr>
                <w:rFonts w:ascii="Arial Narrow" w:hAnsi="Arial Narrow"/>
                <w:sz w:val="20"/>
                <w:szCs w:val="20"/>
              </w:rPr>
              <w:instrText xml:space="preserve"> FORMCHECKBOX </w:instrText>
            </w:r>
            <w:r w:rsidR="00B53F47">
              <w:rPr>
                <w:rFonts w:ascii="Arial Narrow" w:hAnsi="Arial Narrow"/>
                <w:sz w:val="20"/>
                <w:szCs w:val="20"/>
              </w:rPr>
            </w:r>
            <w:r w:rsidR="00B53F47">
              <w:rPr>
                <w:rFonts w:ascii="Arial Narrow" w:hAnsi="Arial Narrow"/>
                <w:sz w:val="20"/>
                <w:szCs w:val="20"/>
              </w:rPr>
              <w:fldChar w:fldCharType="separate"/>
            </w:r>
            <w:r w:rsidRPr="00FD5227">
              <w:rPr>
                <w:rFonts w:ascii="Arial Narrow" w:hAnsi="Arial Narrow"/>
                <w:sz w:val="20"/>
                <w:szCs w:val="20"/>
              </w:rPr>
              <w:fldChar w:fldCharType="end"/>
            </w:r>
            <w:r w:rsidRPr="00FD5227">
              <w:rPr>
                <w:rFonts w:ascii="Arial Narrow" w:hAnsi="Arial Narrow"/>
                <w:sz w:val="20"/>
                <w:szCs w:val="20"/>
              </w:rPr>
              <w:t>Medical Practitioners</w:t>
            </w:r>
          </w:p>
        </w:tc>
      </w:tr>
      <w:tr w:rsidR="00864D53" w:rsidRPr="00FD5227" w14:paraId="5C793CC9" w14:textId="77777777" w:rsidTr="00864D53">
        <w:tblPrEx>
          <w:tblCellMar>
            <w:top w:w="15" w:type="dxa"/>
            <w:left w:w="15" w:type="dxa"/>
            <w:bottom w:w="15" w:type="dxa"/>
            <w:right w:w="15" w:type="dxa"/>
          </w:tblCellMar>
          <w:tblLook w:val="04A0" w:firstRow="1" w:lastRow="0" w:firstColumn="1" w:lastColumn="0" w:noHBand="0" w:noVBand="1"/>
        </w:tblPrEx>
        <w:tc>
          <w:tcPr>
            <w:tcW w:w="981" w:type="dxa"/>
            <w:vMerge/>
            <w:tcBorders>
              <w:left w:val="single" w:sz="4" w:space="0" w:color="auto"/>
              <w:bottom w:val="single" w:sz="4" w:space="0" w:color="auto"/>
              <w:right w:val="single" w:sz="4" w:space="0" w:color="auto"/>
            </w:tcBorders>
          </w:tcPr>
          <w:p w14:paraId="6D72B9EE" w14:textId="77777777" w:rsidR="00864D53" w:rsidRPr="00FD5227" w:rsidRDefault="00864D53" w:rsidP="00AF24C9">
            <w:pPr>
              <w:jc w:val="center"/>
              <w:rPr>
                <w:rFonts w:ascii="Arial Narrow" w:hAnsi="Arial Narrow"/>
                <w:sz w:val="20"/>
                <w:szCs w:val="20"/>
              </w:rPr>
            </w:pPr>
          </w:p>
        </w:tc>
        <w:tc>
          <w:tcPr>
            <w:tcW w:w="8086" w:type="dxa"/>
            <w:gridSpan w:val="6"/>
            <w:tcBorders>
              <w:top w:val="single" w:sz="4" w:space="0" w:color="auto"/>
              <w:left w:val="single" w:sz="4" w:space="0" w:color="auto"/>
              <w:bottom w:val="single" w:sz="4" w:space="0" w:color="auto"/>
              <w:right w:val="single" w:sz="4" w:space="0" w:color="auto"/>
            </w:tcBorders>
          </w:tcPr>
          <w:p w14:paraId="6553D758" w14:textId="77777777" w:rsidR="00864D53" w:rsidRPr="00FD5227" w:rsidRDefault="00864D53" w:rsidP="00AF24C9">
            <w:pPr>
              <w:rPr>
                <w:rFonts w:ascii="Arial Narrow" w:eastAsia="Calibri" w:hAnsi="Arial Narrow"/>
                <w:sz w:val="20"/>
                <w:szCs w:val="20"/>
              </w:rPr>
            </w:pPr>
            <w:r w:rsidRPr="00FD5227">
              <w:rPr>
                <w:rFonts w:ascii="Arial Narrow" w:hAnsi="Arial Narrow"/>
                <w:b/>
                <w:sz w:val="20"/>
                <w:szCs w:val="20"/>
              </w:rPr>
              <w:t xml:space="preserve">Restriction type: </w:t>
            </w:r>
            <w:r w:rsidRPr="00FD5227">
              <w:rPr>
                <w:rFonts w:ascii="Arial Narrow" w:eastAsia="Calibri" w:hAnsi="Arial Narrow"/>
                <w:sz w:val="20"/>
                <w:szCs w:val="20"/>
              </w:rPr>
              <w:fldChar w:fldCharType="begin" w:fldLock="1">
                <w:ffData>
                  <w:name w:val="Check3"/>
                  <w:enabled/>
                  <w:calcOnExit w:val="0"/>
                  <w:checkBox>
                    <w:sizeAuto/>
                    <w:default w:val="1"/>
                  </w:checkBox>
                </w:ffData>
              </w:fldChar>
            </w:r>
            <w:r w:rsidRPr="00FD5227">
              <w:rPr>
                <w:rFonts w:ascii="Arial Narrow" w:eastAsia="Calibri" w:hAnsi="Arial Narrow"/>
                <w:sz w:val="20"/>
                <w:szCs w:val="20"/>
              </w:rPr>
              <w:instrText xml:space="preserve"> FORMCHECKBOX </w:instrText>
            </w:r>
            <w:r w:rsidR="00B53F47">
              <w:rPr>
                <w:rFonts w:ascii="Arial Narrow" w:eastAsia="Calibri" w:hAnsi="Arial Narrow"/>
                <w:sz w:val="20"/>
                <w:szCs w:val="20"/>
              </w:rPr>
            </w:r>
            <w:r w:rsidR="00B53F47">
              <w:rPr>
                <w:rFonts w:ascii="Arial Narrow" w:eastAsia="Calibri" w:hAnsi="Arial Narrow"/>
                <w:sz w:val="20"/>
                <w:szCs w:val="20"/>
              </w:rPr>
              <w:fldChar w:fldCharType="separate"/>
            </w:r>
            <w:r w:rsidRPr="00FD5227">
              <w:rPr>
                <w:rFonts w:ascii="Arial Narrow" w:eastAsia="Calibri" w:hAnsi="Arial Narrow"/>
                <w:sz w:val="20"/>
                <w:szCs w:val="20"/>
              </w:rPr>
              <w:fldChar w:fldCharType="end"/>
            </w:r>
            <w:r w:rsidRPr="00FD5227">
              <w:rPr>
                <w:rFonts w:ascii="Arial Narrow" w:eastAsia="Calibri" w:hAnsi="Arial Narrow"/>
                <w:sz w:val="20"/>
                <w:szCs w:val="20"/>
              </w:rPr>
              <w:t>Authority Required – Telephone</w:t>
            </w:r>
            <w:r w:rsidRPr="00FD5227">
              <w:rPr>
                <w:rFonts w:ascii="Arial Narrow" w:eastAsia="Calibri" w:hAnsi="Arial Narrow"/>
                <w:i/>
                <w:iCs/>
                <w:sz w:val="20"/>
                <w:szCs w:val="20"/>
              </w:rPr>
              <w:t>/electronic</w:t>
            </w:r>
            <w:r w:rsidRPr="00FD5227">
              <w:rPr>
                <w:rFonts w:ascii="Arial Narrow" w:eastAsia="Calibri" w:hAnsi="Arial Narrow"/>
                <w:sz w:val="20"/>
                <w:szCs w:val="20"/>
              </w:rPr>
              <w:t xml:space="preserve"> </w:t>
            </w:r>
            <w:r w:rsidRPr="00FD5227">
              <w:rPr>
                <w:rFonts w:ascii="Arial Narrow" w:eastAsia="Calibri" w:hAnsi="Arial Narrow"/>
                <w:i/>
                <w:iCs/>
                <w:sz w:val="20"/>
                <w:szCs w:val="20"/>
              </w:rPr>
              <w:t>via Online PBS Authorities</w:t>
            </w:r>
          </w:p>
        </w:tc>
      </w:tr>
      <w:tr w:rsidR="00611B7A" w:rsidRPr="00FD5227" w14:paraId="0F77DAC7" w14:textId="77777777" w:rsidTr="009A3DAA">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tcBorders>
          </w:tcPr>
          <w:p w14:paraId="734DEC87" w14:textId="77777777" w:rsidR="00611B7A" w:rsidRPr="00FD5227" w:rsidRDefault="00611B7A" w:rsidP="00AF24C9">
            <w:pPr>
              <w:rPr>
                <w:rFonts w:ascii="Arial Narrow" w:hAnsi="Arial Narrow"/>
                <w:i/>
                <w:i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No increase in the maximum number of repeats may be authorised.</w:t>
            </w:r>
          </w:p>
        </w:tc>
      </w:tr>
      <w:tr w:rsidR="00611B7A" w:rsidRPr="00FD5227" w14:paraId="21AC221E" w14:textId="77777777" w:rsidTr="007D7A93">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tcBorders>
          </w:tcPr>
          <w:p w14:paraId="229AA4AC" w14:textId="77777777" w:rsidR="00611B7A" w:rsidRPr="00FD5227" w:rsidRDefault="00611B7A" w:rsidP="00AF24C9">
            <w:pPr>
              <w:rPr>
                <w:rFonts w:ascii="Arial Narrow" w:hAnsi="Arial Narrow"/>
                <w:b/>
                <w:bCs/>
                <w:i/>
                <w:i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Special Pricing Arrangements apply.</w:t>
            </w:r>
          </w:p>
        </w:tc>
      </w:tr>
      <w:tr w:rsidR="00611B7A" w:rsidRPr="00FD5227" w14:paraId="182BFCCC" w14:textId="77777777" w:rsidTr="00752B4C">
        <w:tblPrEx>
          <w:tblCellMar>
            <w:top w:w="15" w:type="dxa"/>
            <w:left w:w="15" w:type="dxa"/>
            <w:bottom w:w="15" w:type="dxa"/>
            <w:right w:w="15" w:type="dxa"/>
          </w:tblCellMar>
          <w:tblLook w:val="04A0" w:firstRow="1" w:lastRow="0" w:firstColumn="1" w:lastColumn="0" w:noHBand="0" w:noVBand="1"/>
        </w:tblPrEx>
        <w:trPr>
          <w:trHeight w:val="701"/>
        </w:trPr>
        <w:tc>
          <w:tcPr>
            <w:tcW w:w="9067" w:type="dxa"/>
            <w:gridSpan w:val="7"/>
            <w:tcBorders>
              <w:left w:val="single" w:sz="4" w:space="0" w:color="auto"/>
            </w:tcBorders>
          </w:tcPr>
          <w:p w14:paraId="6A63F7F2" w14:textId="77777777" w:rsidR="00611B7A" w:rsidRPr="00FD5227" w:rsidRDefault="00611B7A" w:rsidP="00AF24C9">
            <w:pPr>
              <w:rPr>
                <w:rFonts w:ascii="Arial Narrow" w:hAnsi="Arial Narrow"/>
                <w:b/>
                <w:b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611B7A" w:rsidRPr="00FD5227" w14:paraId="75D4F0E6" w14:textId="77777777" w:rsidTr="002C48F3">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E942ED1"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 xml:space="preserve">Condition: </w:t>
            </w:r>
            <w:r w:rsidRPr="00FD5227">
              <w:rPr>
                <w:rFonts w:ascii="Arial Narrow" w:hAnsi="Arial Narrow"/>
                <w:sz w:val="20"/>
                <w:szCs w:val="20"/>
              </w:rPr>
              <w:t>Chronic lymphocytic leukaemia (CLL) or small lymphocytic lymphoma (SLL)</w:t>
            </w:r>
            <w:r w:rsidRPr="00FD5227">
              <w:rPr>
                <w:rFonts w:ascii="Arial Narrow" w:hAnsi="Arial Narrow"/>
                <w:bCs/>
                <w:sz w:val="20"/>
                <w:szCs w:val="20"/>
              </w:rPr>
              <w:t xml:space="preserve"> </w:t>
            </w:r>
          </w:p>
        </w:tc>
      </w:tr>
      <w:tr w:rsidR="00611B7A" w:rsidRPr="00FD5227" w14:paraId="527A0D63" w14:textId="77777777" w:rsidTr="00CA72A7">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4D7311AE" w14:textId="77777777" w:rsidR="00611B7A" w:rsidRPr="00FD5227" w:rsidRDefault="00611B7A" w:rsidP="00AF24C9">
            <w:pPr>
              <w:rPr>
                <w:rFonts w:ascii="Arial Narrow" w:hAnsi="Arial Narrow"/>
                <w:sz w:val="20"/>
                <w:szCs w:val="20"/>
              </w:rPr>
            </w:pPr>
            <w:r w:rsidRPr="00FD5227">
              <w:rPr>
                <w:rFonts w:ascii="Arial Narrow" w:hAnsi="Arial Narrow"/>
                <w:b/>
                <w:bCs/>
                <w:sz w:val="20"/>
                <w:szCs w:val="20"/>
              </w:rPr>
              <w:t>Indication:</w:t>
            </w:r>
            <w:r w:rsidRPr="00FD5227">
              <w:rPr>
                <w:rFonts w:ascii="Arial Narrow" w:hAnsi="Arial Narrow"/>
                <w:sz w:val="20"/>
                <w:szCs w:val="20"/>
              </w:rPr>
              <w:t xml:space="preserve"> </w:t>
            </w:r>
            <w:r w:rsidRPr="00FD5227">
              <w:rPr>
                <w:rFonts w:ascii="Arial Narrow" w:hAnsi="Arial Narrow"/>
                <w:strike/>
                <w:sz w:val="20"/>
                <w:szCs w:val="20"/>
              </w:rPr>
              <w:t xml:space="preserve">Patients with previously untreated CLL/SLL </w:t>
            </w:r>
            <w:r w:rsidRPr="00FD5227">
              <w:rPr>
                <w:rFonts w:ascii="Arial Narrow" w:hAnsi="Arial Narrow"/>
                <w:i/>
                <w:iCs/>
                <w:sz w:val="20"/>
                <w:szCs w:val="20"/>
              </w:rPr>
              <w:t>Chronic lymphocytic leukaemia (CLL) or small lymphocytic lymphoma (SLL)</w:t>
            </w:r>
          </w:p>
        </w:tc>
      </w:tr>
      <w:tr w:rsidR="00611B7A" w:rsidRPr="00FD5227" w14:paraId="3E3FF396" w14:textId="77777777" w:rsidTr="007755D9">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2125B290" w14:textId="77777777" w:rsidR="00611B7A" w:rsidRPr="00FD5227" w:rsidRDefault="00611B7A" w:rsidP="00AF24C9">
            <w:pPr>
              <w:rPr>
                <w:rFonts w:ascii="Arial Narrow" w:hAnsi="Arial Narrow"/>
                <w:sz w:val="20"/>
                <w:szCs w:val="20"/>
              </w:rPr>
            </w:pPr>
            <w:r w:rsidRPr="00FD5227">
              <w:rPr>
                <w:rFonts w:ascii="Arial Narrow" w:hAnsi="Arial Narrow"/>
                <w:b/>
                <w:bCs/>
                <w:sz w:val="20"/>
                <w:szCs w:val="20"/>
              </w:rPr>
              <w:t>Treatment Phase:</w:t>
            </w:r>
            <w:r w:rsidRPr="00FD5227">
              <w:rPr>
                <w:rFonts w:ascii="Arial Narrow" w:hAnsi="Arial Narrow"/>
                <w:sz w:val="20"/>
                <w:szCs w:val="20"/>
              </w:rPr>
              <w:t xml:space="preserve"> </w:t>
            </w:r>
            <w:r w:rsidRPr="00FD5227">
              <w:rPr>
                <w:rFonts w:ascii="Arial Narrow" w:hAnsi="Arial Narrow"/>
                <w:strike/>
                <w:sz w:val="20"/>
                <w:szCs w:val="20"/>
              </w:rPr>
              <w:t>Grandfather</w:t>
            </w:r>
            <w:r w:rsidRPr="00FD5227">
              <w:rPr>
                <w:rFonts w:ascii="Arial Narrow" w:eastAsia="Arial Narrow" w:hAnsi="Arial Narrow" w:cs="Arial Narrow"/>
                <w:strike/>
                <w:color w:val="333333"/>
                <w:sz w:val="20"/>
                <w:szCs w:val="20"/>
              </w:rPr>
              <w:t xml:space="preserve"> </w:t>
            </w:r>
            <w:r w:rsidRPr="00FD5227">
              <w:rPr>
                <w:rFonts w:ascii="Arial Narrow" w:eastAsia="Arial Narrow" w:hAnsi="Arial Narrow" w:cs="Arial Narrow"/>
                <w:i/>
                <w:iCs/>
                <w:color w:val="333333"/>
                <w:sz w:val="20"/>
                <w:szCs w:val="20"/>
              </w:rPr>
              <w:t>Transitioning from non-PBS to PBS-subsidised supply in first-line therapy – Grandfather</w:t>
            </w:r>
            <w:r w:rsidRPr="00FD5227">
              <w:rPr>
                <w:rFonts w:ascii="Arial Narrow" w:eastAsia="Arial Narrow" w:hAnsi="Arial Narrow" w:cs="Arial Narrow"/>
                <w:color w:val="333333"/>
                <w:sz w:val="20"/>
                <w:szCs w:val="20"/>
              </w:rPr>
              <w:t xml:space="preserve"> </w:t>
            </w:r>
            <w:r w:rsidRPr="00FD5227">
              <w:rPr>
                <w:rFonts w:ascii="Arial Narrow" w:eastAsia="Arial Narrow" w:hAnsi="Arial Narrow" w:cs="Arial Narrow"/>
                <w:i/>
                <w:iCs/>
                <w:color w:val="333333"/>
                <w:sz w:val="20"/>
                <w:szCs w:val="20"/>
              </w:rPr>
              <w:t>arrangements</w:t>
            </w:r>
          </w:p>
        </w:tc>
      </w:tr>
      <w:tr w:rsidR="00611B7A" w:rsidRPr="00FD5227" w14:paraId="12F8496A" w14:textId="77777777" w:rsidTr="00DE2B47">
        <w:tblPrEx>
          <w:tblCellMar>
            <w:top w:w="15" w:type="dxa"/>
            <w:left w:w="15" w:type="dxa"/>
            <w:bottom w:w="15" w:type="dxa"/>
            <w:right w:w="15" w:type="dxa"/>
          </w:tblCellMar>
          <w:tblLook w:val="04A0" w:firstRow="1" w:lastRow="0" w:firstColumn="1" w:lastColumn="0" w:noHBand="0" w:noVBand="1"/>
        </w:tblPrEx>
        <w:tc>
          <w:tcPr>
            <w:tcW w:w="9067" w:type="dxa"/>
            <w:gridSpan w:val="7"/>
            <w:vAlign w:val="center"/>
            <w:hideMark/>
          </w:tcPr>
          <w:p w14:paraId="19DB73DB" w14:textId="77777777" w:rsidR="00611B7A" w:rsidRPr="00FD5227" w:rsidRDefault="00611B7A" w:rsidP="00AF24C9">
            <w:pPr>
              <w:rPr>
                <w:rFonts w:ascii="Arial Narrow" w:hAnsi="Arial Narrow"/>
                <w:sz w:val="20"/>
                <w:szCs w:val="20"/>
              </w:rPr>
            </w:pPr>
            <w:r w:rsidRPr="00FD5227">
              <w:rPr>
                <w:rFonts w:ascii="Arial Narrow" w:hAnsi="Arial Narrow"/>
                <w:b/>
                <w:bCs/>
                <w:sz w:val="20"/>
                <w:szCs w:val="20"/>
              </w:rPr>
              <w:t xml:space="preserve">Clinical criteria: </w:t>
            </w:r>
          </w:p>
        </w:tc>
      </w:tr>
      <w:tr w:rsidR="00611B7A" w:rsidRPr="00FD5227" w14:paraId="5469C8AE" w14:textId="77777777" w:rsidTr="0070756A">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F016AC4" w14:textId="77777777" w:rsidR="00611B7A" w:rsidRPr="00FD5227" w:rsidRDefault="00611B7A" w:rsidP="00AF24C9">
            <w:pPr>
              <w:rPr>
                <w:rFonts w:ascii="Arial Narrow" w:hAnsi="Arial Narrow"/>
                <w:sz w:val="20"/>
                <w:szCs w:val="20"/>
              </w:rPr>
            </w:pPr>
            <w:r w:rsidRPr="00FD5227">
              <w:rPr>
                <w:rFonts w:ascii="Arial Narrow" w:hAnsi="Arial Narrow"/>
                <w:sz w:val="20"/>
                <w:szCs w:val="20"/>
              </w:rPr>
              <w:t xml:space="preserve">The treatment must be in combination with obinutuzumab or as monotherapy </w:t>
            </w:r>
            <w:r w:rsidRPr="00FD5227">
              <w:rPr>
                <w:rFonts w:ascii="Arial Narrow" w:hAnsi="Arial Narrow"/>
                <w:i/>
                <w:iCs/>
                <w:sz w:val="20"/>
                <w:szCs w:val="20"/>
              </w:rPr>
              <w:t>following 6 cycles of obinutuzumab (refer to Product Information for timing of acalabrutinib and obinutuzumab doses)</w:t>
            </w:r>
          </w:p>
        </w:tc>
      </w:tr>
      <w:tr w:rsidR="00611B7A" w:rsidRPr="00FD5227" w14:paraId="1CB07FCC" w14:textId="77777777" w:rsidTr="008E7B6B">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5633CF9C"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AND</w:t>
            </w:r>
          </w:p>
        </w:tc>
      </w:tr>
      <w:tr w:rsidR="00611B7A" w:rsidRPr="00FD5227" w14:paraId="46E328A2" w14:textId="77777777" w:rsidTr="00BB77A9">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7C0E2D0C"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Clinical criteria:</w:t>
            </w:r>
          </w:p>
        </w:tc>
      </w:tr>
      <w:tr w:rsidR="00611B7A" w:rsidRPr="00FD5227" w14:paraId="6ADE4FB9" w14:textId="77777777" w:rsidTr="00E900C2">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309F5074" w14:textId="6891B655" w:rsidR="00611B7A" w:rsidRPr="00377E72" w:rsidRDefault="00611B7A" w:rsidP="00AF24C9">
            <w:pPr>
              <w:rPr>
                <w:rFonts w:ascii="Arial Narrow" w:hAnsi="Arial Narrow"/>
                <w:b/>
                <w:bCs/>
                <w:strike/>
                <w:sz w:val="20"/>
                <w:szCs w:val="20"/>
              </w:rPr>
            </w:pPr>
            <w:r w:rsidRPr="00377E72">
              <w:rPr>
                <w:rFonts w:ascii="Arial Narrow" w:hAnsi="Arial Narrow"/>
                <w:strike/>
                <w:sz w:val="20"/>
                <w:szCs w:val="20"/>
              </w:rPr>
              <w:t>Patient must be considered unsuitable for fludarabine-based chemoimmunotherapy,</w:t>
            </w:r>
          </w:p>
        </w:tc>
      </w:tr>
      <w:tr w:rsidR="00611B7A" w:rsidRPr="00FD5227" w14:paraId="20A979B8" w14:textId="77777777" w:rsidTr="008F3E6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7D7C327A" w14:textId="77777777" w:rsidR="00611B7A" w:rsidRPr="00FD5227" w:rsidRDefault="00611B7A" w:rsidP="00AF24C9">
            <w:pPr>
              <w:pStyle w:val="TableText"/>
              <w:rPr>
                <w:i/>
                <w:iCs/>
                <w:szCs w:val="20"/>
              </w:rPr>
            </w:pPr>
            <w:r w:rsidRPr="00FD5227">
              <w:rPr>
                <w:rFonts w:eastAsia="Arial Narrow" w:cs="Arial Narrow"/>
                <w:b/>
                <w:i/>
                <w:iCs/>
                <w:color w:val="333333"/>
                <w:szCs w:val="20"/>
              </w:rPr>
              <w:lastRenderedPageBreak/>
              <w:t>AND</w:t>
            </w:r>
          </w:p>
        </w:tc>
      </w:tr>
      <w:tr w:rsidR="00611B7A" w:rsidRPr="00FD5227" w14:paraId="324BA593" w14:textId="77777777" w:rsidTr="000E0F8C">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7ED0FB75" w14:textId="77777777" w:rsidR="00611B7A" w:rsidRPr="00FD5227" w:rsidRDefault="00611B7A" w:rsidP="00AF24C9">
            <w:pPr>
              <w:pStyle w:val="TableText"/>
              <w:rPr>
                <w:i/>
                <w:iCs/>
                <w:szCs w:val="20"/>
              </w:rPr>
            </w:pPr>
            <w:r w:rsidRPr="00FD5227">
              <w:rPr>
                <w:rFonts w:eastAsia="Arial Narrow" w:cs="Arial Narrow"/>
                <w:b/>
                <w:i/>
                <w:iCs/>
                <w:color w:val="333333"/>
                <w:szCs w:val="20"/>
              </w:rPr>
              <w:t>Clinical criteria:</w:t>
            </w:r>
          </w:p>
        </w:tc>
      </w:tr>
      <w:tr w:rsidR="00611B7A" w:rsidRPr="00FD5227" w14:paraId="2F7ED2F5" w14:textId="77777777" w:rsidTr="00B71FED">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14663152" w14:textId="77777777" w:rsidR="00611B7A" w:rsidRPr="00FD5227" w:rsidRDefault="00611B7A" w:rsidP="00AF24C9">
            <w:pPr>
              <w:pStyle w:val="TableText"/>
              <w:rPr>
                <w:i/>
                <w:iCs/>
                <w:szCs w:val="20"/>
              </w:rPr>
            </w:pPr>
            <w:r w:rsidRPr="00FD5227">
              <w:rPr>
                <w:rFonts w:eastAsia="Arial Narrow" w:cs="Arial Narrow"/>
                <w:i/>
                <w:iCs/>
                <w:color w:val="333333"/>
                <w:szCs w:val="20"/>
              </w:rPr>
              <w:t>The condition must have been untreated prior to initiating non-PBS-subsidised treatment with this drug for this condition.</w:t>
            </w:r>
          </w:p>
        </w:tc>
      </w:tr>
      <w:tr w:rsidR="00611B7A" w:rsidRPr="00FD5227" w14:paraId="364CA673" w14:textId="77777777" w:rsidTr="002918EF">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70598B94" w14:textId="77777777" w:rsidR="00611B7A" w:rsidRPr="00FD5227" w:rsidRDefault="00611B7A" w:rsidP="00AF24C9">
            <w:pPr>
              <w:pStyle w:val="TableText"/>
              <w:rPr>
                <w:rFonts w:eastAsia="Arial Narrow" w:cs="Arial Narrow"/>
                <w:i/>
                <w:iCs/>
                <w:color w:val="333333"/>
                <w:szCs w:val="20"/>
              </w:rPr>
            </w:pPr>
            <w:r w:rsidRPr="00FD5227">
              <w:rPr>
                <w:rFonts w:eastAsia="Arial Narrow" w:cs="Arial Narrow"/>
                <w:b/>
                <w:i/>
                <w:iCs/>
                <w:color w:val="333333"/>
                <w:szCs w:val="20"/>
              </w:rPr>
              <w:t>AND</w:t>
            </w:r>
          </w:p>
        </w:tc>
      </w:tr>
      <w:tr w:rsidR="00611B7A" w:rsidRPr="00FD5227" w14:paraId="5E471ACD" w14:textId="77777777" w:rsidTr="00D62742">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7ED5771A" w14:textId="77777777" w:rsidR="00611B7A" w:rsidRPr="00FD5227" w:rsidRDefault="00611B7A" w:rsidP="00AF24C9">
            <w:pPr>
              <w:pStyle w:val="TableText"/>
              <w:rPr>
                <w:rFonts w:eastAsia="Arial Narrow" w:cs="Arial Narrow"/>
                <w:i/>
                <w:iCs/>
                <w:color w:val="333333"/>
                <w:szCs w:val="20"/>
              </w:rPr>
            </w:pPr>
            <w:r w:rsidRPr="00FD5227">
              <w:rPr>
                <w:rFonts w:eastAsia="Arial Narrow" w:cs="Arial Narrow"/>
                <w:b/>
                <w:i/>
                <w:iCs/>
                <w:color w:val="333333"/>
                <w:szCs w:val="20"/>
              </w:rPr>
              <w:t>Clinical criteria:</w:t>
            </w:r>
          </w:p>
        </w:tc>
      </w:tr>
      <w:tr w:rsidR="00611B7A" w:rsidRPr="00FD5227" w14:paraId="5CEA88EA" w14:textId="77777777" w:rsidTr="006B7B99">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5F30599B" w14:textId="77777777" w:rsidR="00611B7A" w:rsidRPr="00FD5227" w:rsidRDefault="00611B7A" w:rsidP="00AF24C9">
            <w:pPr>
              <w:pStyle w:val="TableText"/>
              <w:rPr>
                <w:rFonts w:eastAsia="Arial Narrow" w:cs="Arial Narrow"/>
                <w:i/>
                <w:iCs/>
                <w:color w:val="333333"/>
                <w:szCs w:val="20"/>
              </w:rPr>
            </w:pPr>
            <w:r w:rsidRPr="00FD5227">
              <w:rPr>
                <w:strike/>
                <w:szCs w:val="20"/>
              </w:rPr>
              <w:t xml:space="preserve">Patient must have previously received non-PBS subsidised treatment with this drug for previously untreated CLL/SLL, or intolerance/adverse event requiring permanent discontinuation of venetoclax + obinutuzumab treatment prior to [PBS listing date of acalabrutinib] </w:t>
            </w:r>
            <w:r w:rsidRPr="00FD5227">
              <w:rPr>
                <w:rFonts w:eastAsia="Arial Narrow" w:cs="Arial Narrow"/>
                <w:i/>
                <w:iCs/>
                <w:color w:val="333333"/>
                <w:szCs w:val="20"/>
              </w:rPr>
              <w:t>Patient must have received non-PBS-subsidised treatment with this drug for this condition prior to [listing date],</w:t>
            </w:r>
          </w:p>
        </w:tc>
      </w:tr>
      <w:tr w:rsidR="00611B7A" w:rsidRPr="00FD5227" w14:paraId="319DCF51" w14:textId="77777777" w:rsidTr="00AD610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2F7B8B5A"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AND</w:t>
            </w:r>
          </w:p>
        </w:tc>
      </w:tr>
      <w:tr w:rsidR="00611B7A" w:rsidRPr="00FD5227" w14:paraId="77426E71" w14:textId="77777777" w:rsidTr="00AF7462">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0ECA0585"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Clinical criteria:</w:t>
            </w:r>
          </w:p>
        </w:tc>
      </w:tr>
      <w:tr w:rsidR="00611B7A" w:rsidRPr="00FD5227" w14:paraId="762EE5CD" w14:textId="77777777" w:rsidTr="00BE0925">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28418F9B" w14:textId="77777777" w:rsidR="00611B7A" w:rsidRPr="00FD5227" w:rsidRDefault="00611B7A" w:rsidP="00AF24C9">
            <w:pPr>
              <w:rPr>
                <w:rFonts w:ascii="Arial Narrow" w:hAnsi="Arial Narrow"/>
                <w:sz w:val="20"/>
                <w:szCs w:val="20"/>
              </w:rPr>
            </w:pPr>
            <w:r w:rsidRPr="00FD5227">
              <w:rPr>
                <w:rFonts w:ascii="Arial Narrow" w:hAnsi="Arial Narrow"/>
                <w:sz w:val="20"/>
                <w:szCs w:val="20"/>
              </w:rPr>
              <w:t xml:space="preserve">Patient must have </w:t>
            </w:r>
            <w:r w:rsidRPr="00FD5227">
              <w:rPr>
                <w:rFonts w:ascii="Arial Narrow" w:hAnsi="Arial Narrow"/>
                <w:i/>
                <w:iCs/>
                <w:sz w:val="20"/>
                <w:szCs w:val="20"/>
              </w:rPr>
              <w:t xml:space="preserve">had </w:t>
            </w:r>
            <w:r w:rsidRPr="00FD5227">
              <w:rPr>
                <w:rFonts w:ascii="Arial Narrow" w:hAnsi="Arial Narrow"/>
                <w:sz w:val="20"/>
                <w:szCs w:val="20"/>
              </w:rPr>
              <w:t xml:space="preserve">a creatinine clearance 30 mL/min or greater </w:t>
            </w:r>
            <w:r w:rsidRPr="00FD5227">
              <w:rPr>
                <w:rFonts w:ascii="Arial Narrow" w:hAnsi="Arial Narrow"/>
                <w:i/>
                <w:iCs/>
                <w:sz w:val="20"/>
                <w:szCs w:val="20"/>
              </w:rPr>
              <w:t>prior to initiating non-PBS-subsidised treatment with this drug for this condition</w:t>
            </w:r>
            <w:r w:rsidRPr="00FD5227">
              <w:rPr>
                <w:rFonts w:ascii="Arial Narrow" w:hAnsi="Arial Narrow"/>
                <w:sz w:val="20"/>
                <w:szCs w:val="20"/>
              </w:rPr>
              <w:t>,</w:t>
            </w:r>
          </w:p>
        </w:tc>
      </w:tr>
      <w:tr w:rsidR="00611B7A" w:rsidRPr="00FD5227" w14:paraId="535B84FC" w14:textId="77777777" w:rsidTr="002F78EE">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hideMark/>
          </w:tcPr>
          <w:p w14:paraId="3BFC2671"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AND</w:t>
            </w:r>
          </w:p>
        </w:tc>
      </w:tr>
      <w:tr w:rsidR="00611B7A" w:rsidRPr="00FD5227" w14:paraId="3355D8C0" w14:textId="77777777" w:rsidTr="004C78DA">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7DAB6530"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Clinical criteria:</w:t>
            </w:r>
          </w:p>
        </w:tc>
      </w:tr>
      <w:tr w:rsidR="00611B7A" w:rsidRPr="00FD5227" w14:paraId="368555E7" w14:textId="77777777" w:rsidTr="00AE6DE1">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2803D815" w14:textId="77777777" w:rsidR="00611B7A" w:rsidRPr="00FD5227" w:rsidRDefault="00611B7A" w:rsidP="00AF24C9">
            <w:pPr>
              <w:rPr>
                <w:rFonts w:ascii="Arial Narrow" w:hAnsi="Arial Narrow"/>
                <w:sz w:val="20"/>
                <w:szCs w:val="20"/>
              </w:rPr>
            </w:pPr>
            <w:r w:rsidRPr="00FD5227">
              <w:rPr>
                <w:rFonts w:ascii="Arial Narrow" w:hAnsi="Arial Narrow"/>
                <w:sz w:val="20"/>
                <w:szCs w:val="20"/>
              </w:rPr>
              <w:t xml:space="preserve">Patient must have </w:t>
            </w:r>
            <w:r w:rsidRPr="00FD5227">
              <w:rPr>
                <w:rFonts w:ascii="Arial Narrow" w:hAnsi="Arial Narrow"/>
                <w:i/>
                <w:iCs/>
                <w:sz w:val="20"/>
                <w:szCs w:val="20"/>
              </w:rPr>
              <w:t>had</w:t>
            </w:r>
            <w:r w:rsidRPr="00FD5227">
              <w:rPr>
                <w:rFonts w:ascii="Arial Narrow" w:hAnsi="Arial Narrow"/>
                <w:sz w:val="20"/>
                <w:szCs w:val="20"/>
              </w:rPr>
              <w:t xml:space="preserve"> a total cumulative illness rating scale (CIRS) score of greater than 6 (excluding CLL-induced illness or organ damage) </w:t>
            </w:r>
            <w:r w:rsidRPr="00FD5227">
              <w:rPr>
                <w:rFonts w:ascii="Arial Narrow" w:hAnsi="Arial Narrow"/>
                <w:i/>
                <w:iCs/>
                <w:sz w:val="20"/>
                <w:szCs w:val="20"/>
              </w:rPr>
              <w:t>prior to initiating non-PBS-subsidised treatment with this drug for this condition</w:t>
            </w:r>
            <w:r w:rsidRPr="00FD5227">
              <w:rPr>
                <w:rFonts w:ascii="Arial Narrow" w:hAnsi="Arial Narrow"/>
                <w:sz w:val="20"/>
                <w:szCs w:val="20"/>
              </w:rPr>
              <w:t>,</w:t>
            </w:r>
          </w:p>
        </w:tc>
      </w:tr>
      <w:tr w:rsidR="00611B7A" w:rsidRPr="00FD5227" w14:paraId="7E79F61A" w14:textId="77777777" w:rsidTr="006B7808">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2D21A314" w14:textId="77777777" w:rsidR="00611B7A" w:rsidRPr="00FD5227" w:rsidRDefault="00611B7A" w:rsidP="00AF24C9">
            <w:pPr>
              <w:rPr>
                <w:rFonts w:ascii="Arial Narrow" w:hAnsi="Arial Narrow"/>
                <w:b/>
                <w:bCs/>
                <w:sz w:val="20"/>
                <w:szCs w:val="20"/>
              </w:rPr>
            </w:pPr>
            <w:r w:rsidRPr="00FD5227">
              <w:rPr>
                <w:rFonts w:ascii="Arial Narrow" w:hAnsi="Arial Narrow"/>
                <w:b/>
                <w:bCs/>
                <w:sz w:val="20"/>
                <w:szCs w:val="20"/>
              </w:rPr>
              <w:t>OR</w:t>
            </w:r>
          </w:p>
        </w:tc>
      </w:tr>
      <w:tr w:rsidR="00611B7A" w:rsidRPr="00FD5227" w14:paraId="3CF7CDA4" w14:textId="77777777" w:rsidTr="00AF0042">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53429916" w14:textId="77777777" w:rsidR="00611B7A" w:rsidRPr="00FD5227" w:rsidRDefault="00611B7A" w:rsidP="00AF24C9">
            <w:pPr>
              <w:rPr>
                <w:rFonts w:ascii="Arial Narrow" w:hAnsi="Arial Narrow"/>
                <w:sz w:val="20"/>
                <w:szCs w:val="20"/>
              </w:rPr>
            </w:pPr>
            <w:r w:rsidRPr="00FD5227">
              <w:rPr>
                <w:rFonts w:ascii="Arial Narrow" w:hAnsi="Arial Narrow"/>
                <w:sz w:val="20"/>
                <w:szCs w:val="20"/>
              </w:rPr>
              <w:t xml:space="preserve">Patient must have </w:t>
            </w:r>
            <w:r w:rsidRPr="00FD5227">
              <w:rPr>
                <w:rFonts w:ascii="Arial Narrow" w:hAnsi="Arial Narrow"/>
                <w:i/>
                <w:iCs/>
                <w:sz w:val="20"/>
                <w:szCs w:val="20"/>
              </w:rPr>
              <w:t>had a creatinine</w:t>
            </w:r>
            <w:r w:rsidRPr="00FD5227">
              <w:rPr>
                <w:rFonts w:ascii="Arial Narrow" w:hAnsi="Arial Narrow"/>
                <w:sz w:val="20"/>
                <w:szCs w:val="20"/>
              </w:rPr>
              <w:t xml:space="preserve"> clearance less than </w:t>
            </w:r>
            <w:r w:rsidRPr="00FD5227">
              <w:rPr>
                <w:rFonts w:ascii="Arial Narrow" w:hAnsi="Arial Narrow"/>
                <w:strike/>
                <w:sz w:val="20"/>
                <w:szCs w:val="20"/>
              </w:rPr>
              <w:t>CrCl &lt;</w:t>
            </w:r>
            <w:r w:rsidRPr="00FD5227">
              <w:rPr>
                <w:rFonts w:ascii="Arial Narrow" w:hAnsi="Arial Narrow"/>
                <w:sz w:val="20"/>
                <w:szCs w:val="20"/>
              </w:rPr>
              <w:t xml:space="preserve"> 70 mL/min </w:t>
            </w:r>
            <w:r w:rsidRPr="00FD5227">
              <w:rPr>
                <w:rFonts w:ascii="Arial Narrow" w:hAnsi="Arial Narrow"/>
                <w:i/>
                <w:iCs/>
                <w:sz w:val="20"/>
                <w:szCs w:val="20"/>
              </w:rPr>
              <w:t>prior to initiating non-PBS-subsidised treatment with this drug for this condition.</w:t>
            </w:r>
          </w:p>
        </w:tc>
      </w:tr>
      <w:tr w:rsidR="00611B7A" w:rsidRPr="00FD5227" w14:paraId="465BECA8" w14:textId="77777777" w:rsidTr="005308BD">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tcPr>
          <w:p w14:paraId="463A51AB" w14:textId="77777777" w:rsidR="00611B7A" w:rsidRPr="00FD5227" w:rsidRDefault="00611B7A" w:rsidP="00AF24C9">
            <w:pPr>
              <w:rPr>
                <w:rFonts w:ascii="Arial Narrow" w:hAnsi="Arial Narrow"/>
                <w:i/>
                <w:iCs/>
                <w:sz w:val="20"/>
                <w:szCs w:val="20"/>
              </w:rPr>
            </w:pPr>
            <w:r w:rsidRPr="00FD5227">
              <w:rPr>
                <w:rFonts w:ascii="Arial Narrow" w:hAnsi="Arial Narrow"/>
                <w:b/>
                <w:bCs/>
                <w:i/>
                <w:iCs/>
                <w:sz w:val="20"/>
                <w:szCs w:val="20"/>
              </w:rPr>
              <w:t>Administrative advice:</w:t>
            </w:r>
            <w:r w:rsidRPr="00FD5227">
              <w:rPr>
                <w:rFonts w:ascii="Arial Narrow" w:hAnsi="Arial Narrow"/>
                <w:b/>
                <w:bCs/>
                <w:sz w:val="20"/>
                <w:szCs w:val="20"/>
              </w:rPr>
              <w:t xml:space="preserve"> </w:t>
            </w:r>
            <w:r w:rsidRPr="00FD5227">
              <w:rPr>
                <w:rFonts w:ascii="Arial Narrow" w:hAnsi="Arial Narrow"/>
                <w:bCs/>
                <w:i/>
                <w:iCs/>
                <w:sz w:val="20"/>
                <w:szCs w:val="20"/>
              </w:rPr>
              <w:t>Patients may qualify for PBS-subsidised treatment under this restriction once only. For continuing PBS-subsidised treatment, a 'Grandfathered' patient must qualify under the</w:t>
            </w:r>
            <w:r w:rsidRPr="00FD5227">
              <w:rPr>
                <w:rFonts w:ascii="Arial Narrow" w:hAnsi="Arial Narrow"/>
                <w:bCs/>
                <w:sz w:val="20"/>
                <w:szCs w:val="20"/>
              </w:rPr>
              <w:t xml:space="preserve"> </w:t>
            </w:r>
            <w:r w:rsidRPr="00DA59E4">
              <w:rPr>
                <w:rFonts w:ascii="Arial Narrow" w:eastAsia="Arial Narrow" w:hAnsi="Arial Narrow" w:cs="Arial Narrow"/>
                <w:i/>
                <w:iCs/>
                <w:sz w:val="20"/>
                <w:szCs w:val="20"/>
              </w:rPr>
              <w:t>First or subsequent continuing treatment c</w:t>
            </w:r>
            <w:r w:rsidRPr="00DA59E4">
              <w:rPr>
                <w:rFonts w:ascii="Arial Narrow" w:hAnsi="Arial Narrow"/>
                <w:bCs/>
                <w:i/>
                <w:iCs/>
                <w:sz w:val="20"/>
                <w:szCs w:val="20"/>
              </w:rPr>
              <w:t>riteria</w:t>
            </w:r>
          </w:p>
        </w:tc>
      </w:tr>
      <w:tr w:rsidR="00611B7A" w:rsidRPr="00FD5227" w14:paraId="61D2BDD0" w14:textId="77777777" w:rsidTr="00815D6C">
        <w:tblPrEx>
          <w:tblCellMar>
            <w:top w:w="15" w:type="dxa"/>
            <w:left w:w="15" w:type="dxa"/>
            <w:bottom w:w="15" w:type="dxa"/>
            <w:right w:w="15" w:type="dxa"/>
          </w:tblCellMar>
          <w:tblLook w:val="04A0" w:firstRow="1" w:lastRow="0" w:firstColumn="1" w:lastColumn="0" w:noHBand="0" w:noVBand="1"/>
        </w:tblPrEx>
        <w:tc>
          <w:tcPr>
            <w:tcW w:w="9067" w:type="dxa"/>
            <w:gridSpan w:val="7"/>
          </w:tcPr>
          <w:p w14:paraId="49F1F1B6" w14:textId="77777777" w:rsidR="00611B7A" w:rsidRPr="00FD5227" w:rsidRDefault="00611B7A" w:rsidP="00AF24C9">
            <w:pPr>
              <w:rPr>
                <w:rFonts w:ascii="Arial Narrow" w:hAnsi="Arial Narrow"/>
                <w:i/>
                <w:i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This grandfather restriction will cease to operate from 12 months after the date specified in the clinical criteria</w:t>
            </w:r>
          </w:p>
        </w:tc>
      </w:tr>
      <w:tr w:rsidR="00611B7A" w:rsidRPr="00FD5227" w14:paraId="6660816C" w14:textId="77777777" w:rsidTr="00887767">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6D9D4BA2" w14:textId="77777777" w:rsidR="00611B7A" w:rsidRPr="00FD5227" w:rsidRDefault="00611B7A" w:rsidP="00AF24C9">
            <w:pPr>
              <w:rPr>
                <w:rFonts w:ascii="Arial Narrow" w:hAnsi="Arial Narrow"/>
                <w:i/>
                <w:iCs/>
                <w:sz w:val="20"/>
                <w:szCs w:val="20"/>
              </w:rPr>
            </w:pPr>
            <w:r w:rsidRPr="00FD5227">
              <w:rPr>
                <w:rFonts w:ascii="Arial Narrow" w:hAnsi="Arial Narrow"/>
                <w:b/>
                <w:bCs/>
                <w:i/>
                <w:iCs/>
                <w:sz w:val="20"/>
                <w:szCs w:val="20"/>
              </w:rPr>
              <w:t>Prescriber Instructions:</w:t>
            </w:r>
            <w:r w:rsidRPr="00FD5227">
              <w:rPr>
                <w:rFonts w:ascii="Arial Narrow" w:hAnsi="Arial Narrow"/>
                <w:i/>
                <w:iCs/>
                <w:sz w:val="20"/>
                <w:szCs w:val="20"/>
              </w:rPr>
              <w:t xml:space="preserve"> A patient may only qualify for PBS subsidised initiation treatment once in a lifetime under:</w:t>
            </w:r>
          </w:p>
          <w:p w14:paraId="466B8228" w14:textId="77777777" w:rsidR="00611B7A" w:rsidRPr="00FD5227" w:rsidRDefault="00611B7A" w:rsidP="00C1396D">
            <w:pPr>
              <w:pStyle w:val="ListParagraph"/>
              <w:numPr>
                <w:ilvl w:val="0"/>
                <w:numId w:val="19"/>
              </w:numPr>
              <w:spacing w:after="0"/>
              <w:contextualSpacing/>
              <w:jc w:val="left"/>
              <w:rPr>
                <w:rFonts w:ascii="Arial Narrow" w:hAnsi="Arial Narrow"/>
                <w:i/>
                <w:iCs/>
                <w:sz w:val="20"/>
                <w:szCs w:val="20"/>
              </w:rPr>
            </w:pPr>
            <w:r w:rsidRPr="00FD5227">
              <w:rPr>
                <w:rFonts w:ascii="Arial Narrow" w:hAnsi="Arial Narrow"/>
                <w:i/>
                <w:iCs/>
                <w:sz w:val="20"/>
                <w:szCs w:val="20"/>
              </w:rPr>
              <w:t>The untreated CLL/SLL initial or transitioning from non-PBS-subsidised treatment restriction; or</w:t>
            </w:r>
          </w:p>
          <w:p w14:paraId="256D1F8F" w14:textId="77777777" w:rsidR="00611B7A" w:rsidRPr="00FD5227" w:rsidRDefault="00611B7A" w:rsidP="00C1396D">
            <w:pPr>
              <w:pStyle w:val="ListParagraph"/>
              <w:numPr>
                <w:ilvl w:val="0"/>
                <w:numId w:val="19"/>
              </w:numPr>
              <w:spacing w:after="0"/>
              <w:contextualSpacing/>
              <w:jc w:val="left"/>
              <w:rPr>
                <w:rFonts w:ascii="Arial Narrow" w:hAnsi="Arial Narrow"/>
                <w:i/>
                <w:iCs/>
                <w:sz w:val="20"/>
                <w:szCs w:val="20"/>
              </w:rPr>
            </w:pPr>
            <w:r w:rsidRPr="00FD5227">
              <w:rPr>
                <w:rFonts w:ascii="Arial Narrow" w:hAnsi="Arial Narrow"/>
                <w:i/>
                <w:iCs/>
                <w:sz w:val="20"/>
                <w:szCs w:val="20"/>
              </w:rPr>
              <w:t>The relapsed or refractory CLL/SLL initial treatment restriction.</w:t>
            </w:r>
          </w:p>
        </w:tc>
      </w:tr>
      <w:tr w:rsidR="00611B7A" w:rsidRPr="00FD5227" w14:paraId="02B89834" w14:textId="77777777" w:rsidTr="00DF0885">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246CF325" w14:textId="77777777" w:rsidR="00611B7A" w:rsidRPr="00FD5227" w:rsidRDefault="00611B7A" w:rsidP="00AF24C9">
            <w:pPr>
              <w:rPr>
                <w:rFonts w:ascii="Arial Narrow" w:hAnsi="Arial Narrow"/>
                <w:b/>
                <w:bCs/>
                <w:i/>
                <w:iCs/>
                <w:sz w:val="20"/>
                <w:szCs w:val="20"/>
              </w:rPr>
            </w:pPr>
          </w:p>
        </w:tc>
      </w:tr>
      <w:tr w:rsidR="00864D53" w:rsidRPr="00FD5227" w14:paraId="50061EB6" w14:textId="77777777" w:rsidTr="00864D53">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7EB3BA7C" w14:textId="641EF8E7" w:rsidR="00864D53" w:rsidRPr="00FD5227" w:rsidRDefault="00864D53" w:rsidP="00AF24C9">
            <w:pPr>
              <w:rPr>
                <w:rFonts w:ascii="Arial Narrow" w:hAnsi="Arial Narrow"/>
                <w:b/>
                <w:sz w:val="20"/>
                <w:szCs w:val="20"/>
              </w:rPr>
            </w:pPr>
            <w:r w:rsidRPr="00FD5227">
              <w:rPr>
                <w:rFonts w:ascii="Arial Narrow" w:hAnsi="Arial Narrow"/>
                <w:b/>
                <w:sz w:val="20"/>
                <w:szCs w:val="20"/>
              </w:rPr>
              <w:t>Restriction Summary / Treatment of Concept:</w:t>
            </w:r>
          </w:p>
        </w:tc>
      </w:tr>
      <w:tr w:rsidR="00611B7A" w:rsidRPr="00FD5227" w14:paraId="78096021" w14:textId="77777777" w:rsidTr="00EA5791">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right w:val="single" w:sz="4" w:space="0" w:color="auto"/>
            </w:tcBorders>
          </w:tcPr>
          <w:p w14:paraId="552B452B" w14:textId="77777777" w:rsidR="00611B7A" w:rsidRPr="00FD5227" w:rsidRDefault="00611B7A" w:rsidP="00AF24C9">
            <w:pPr>
              <w:rPr>
                <w:rFonts w:ascii="Arial Narrow" w:hAnsi="Arial Narrow"/>
                <w:sz w:val="20"/>
                <w:szCs w:val="20"/>
              </w:rPr>
            </w:pPr>
            <w:r w:rsidRPr="00FD5227">
              <w:rPr>
                <w:rFonts w:ascii="Arial Narrow" w:hAnsi="Arial Narrow"/>
                <w:b/>
                <w:sz w:val="20"/>
                <w:szCs w:val="20"/>
              </w:rPr>
              <w:t xml:space="preserve">Category / Program: </w:t>
            </w:r>
            <w:r w:rsidRPr="00FD5227">
              <w:rPr>
                <w:rFonts w:ascii="Arial Narrow" w:hAnsi="Arial Narrow"/>
                <w:sz w:val="20"/>
                <w:szCs w:val="20"/>
              </w:rPr>
              <w:t xml:space="preserve">GENERAL – General Schedule (Code GE) </w:t>
            </w:r>
          </w:p>
        </w:tc>
      </w:tr>
      <w:tr w:rsidR="00611B7A" w:rsidRPr="00FD5227" w14:paraId="5D7873B6" w14:textId="77777777" w:rsidTr="00D75D55">
        <w:tblPrEx>
          <w:tblCellMar>
            <w:top w:w="15" w:type="dxa"/>
            <w:left w:w="15" w:type="dxa"/>
            <w:bottom w:w="15" w:type="dxa"/>
            <w:right w:w="15" w:type="dxa"/>
          </w:tblCellMar>
          <w:tblLook w:val="04A0" w:firstRow="1" w:lastRow="0" w:firstColumn="1" w:lastColumn="0" w:noHBand="0" w:noVBand="1"/>
        </w:tblPrEx>
        <w:trPr>
          <w:trHeight w:val="240"/>
        </w:trPr>
        <w:tc>
          <w:tcPr>
            <w:tcW w:w="9067" w:type="dxa"/>
            <w:gridSpan w:val="7"/>
            <w:tcBorders>
              <w:left w:val="single" w:sz="4" w:space="0" w:color="auto"/>
              <w:right w:val="single" w:sz="4" w:space="0" w:color="auto"/>
            </w:tcBorders>
          </w:tcPr>
          <w:p w14:paraId="63F5883D" w14:textId="77777777" w:rsidR="00611B7A" w:rsidRPr="00FD5227" w:rsidRDefault="00611B7A" w:rsidP="00AF24C9">
            <w:pPr>
              <w:rPr>
                <w:rFonts w:ascii="Arial Narrow" w:hAnsi="Arial Narrow"/>
                <w:b/>
                <w:sz w:val="20"/>
                <w:szCs w:val="20"/>
              </w:rPr>
            </w:pPr>
            <w:r w:rsidRPr="00FD5227">
              <w:rPr>
                <w:rFonts w:ascii="Arial Narrow" w:hAnsi="Arial Narrow"/>
                <w:b/>
                <w:sz w:val="20"/>
                <w:szCs w:val="20"/>
              </w:rPr>
              <w:t xml:space="preserve">Prescriber type: </w:t>
            </w:r>
            <w:r w:rsidRPr="00FD5227">
              <w:rPr>
                <w:rFonts w:ascii="Arial Narrow" w:hAnsi="Arial Narrow"/>
                <w:sz w:val="20"/>
                <w:szCs w:val="20"/>
              </w:rPr>
              <w:fldChar w:fldCharType="begin" w:fldLock="1">
                <w:ffData>
                  <w:name w:val=""/>
                  <w:enabled/>
                  <w:calcOnExit w:val="0"/>
                  <w:checkBox>
                    <w:sizeAuto/>
                    <w:default w:val="1"/>
                  </w:checkBox>
                </w:ffData>
              </w:fldChar>
            </w:r>
            <w:r w:rsidRPr="00FD5227">
              <w:rPr>
                <w:rFonts w:ascii="Arial Narrow" w:hAnsi="Arial Narrow"/>
                <w:sz w:val="20"/>
                <w:szCs w:val="20"/>
              </w:rPr>
              <w:instrText xml:space="preserve"> FORMCHECKBOX </w:instrText>
            </w:r>
            <w:r w:rsidR="00B53F47">
              <w:rPr>
                <w:rFonts w:ascii="Arial Narrow" w:hAnsi="Arial Narrow"/>
                <w:sz w:val="20"/>
                <w:szCs w:val="20"/>
              </w:rPr>
            </w:r>
            <w:r w:rsidR="00B53F47">
              <w:rPr>
                <w:rFonts w:ascii="Arial Narrow" w:hAnsi="Arial Narrow"/>
                <w:sz w:val="20"/>
                <w:szCs w:val="20"/>
              </w:rPr>
              <w:fldChar w:fldCharType="separate"/>
            </w:r>
            <w:r w:rsidRPr="00FD5227">
              <w:rPr>
                <w:rFonts w:ascii="Arial Narrow" w:hAnsi="Arial Narrow"/>
                <w:sz w:val="20"/>
                <w:szCs w:val="20"/>
              </w:rPr>
              <w:fldChar w:fldCharType="end"/>
            </w:r>
            <w:r w:rsidRPr="00FD5227">
              <w:rPr>
                <w:rFonts w:ascii="Arial Narrow" w:hAnsi="Arial Narrow"/>
                <w:sz w:val="20"/>
                <w:szCs w:val="20"/>
              </w:rPr>
              <w:t>Medical Practitioners</w:t>
            </w:r>
          </w:p>
        </w:tc>
      </w:tr>
      <w:tr w:rsidR="00611B7A" w:rsidRPr="00FD5227" w14:paraId="26C48EB5" w14:textId="77777777" w:rsidTr="000B3B2F">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bottom w:val="single" w:sz="4" w:space="0" w:color="auto"/>
              <w:right w:val="single" w:sz="4" w:space="0" w:color="auto"/>
            </w:tcBorders>
          </w:tcPr>
          <w:p w14:paraId="0B0054DE" w14:textId="77777777" w:rsidR="00611B7A" w:rsidRPr="00FD5227" w:rsidRDefault="00611B7A" w:rsidP="00AF24C9">
            <w:pPr>
              <w:rPr>
                <w:rFonts w:ascii="Arial Narrow" w:eastAsia="Calibri" w:hAnsi="Arial Narrow"/>
                <w:sz w:val="20"/>
                <w:szCs w:val="20"/>
              </w:rPr>
            </w:pPr>
            <w:r w:rsidRPr="00FD5227">
              <w:rPr>
                <w:rFonts w:ascii="Arial Narrow" w:hAnsi="Arial Narrow"/>
                <w:b/>
                <w:sz w:val="20"/>
                <w:szCs w:val="20"/>
              </w:rPr>
              <w:t xml:space="preserve">Restriction type: </w:t>
            </w:r>
            <w:r w:rsidRPr="00FD5227">
              <w:rPr>
                <w:rFonts w:ascii="Arial Narrow" w:eastAsia="Calibri" w:hAnsi="Arial Narrow"/>
                <w:sz w:val="20"/>
                <w:szCs w:val="20"/>
              </w:rPr>
              <w:fldChar w:fldCharType="begin" w:fldLock="1">
                <w:ffData>
                  <w:name w:val="Check3"/>
                  <w:enabled/>
                  <w:calcOnExit w:val="0"/>
                  <w:checkBox>
                    <w:sizeAuto/>
                    <w:default w:val="1"/>
                  </w:checkBox>
                </w:ffData>
              </w:fldChar>
            </w:r>
            <w:r w:rsidRPr="00FD5227">
              <w:rPr>
                <w:rFonts w:ascii="Arial Narrow" w:eastAsia="Calibri" w:hAnsi="Arial Narrow"/>
                <w:sz w:val="20"/>
                <w:szCs w:val="20"/>
              </w:rPr>
              <w:instrText xml:space="preserve"> FORMCHECKBOX </w:instrText>
            </w:r>
            <w:r w:rsidR="00B53F47">
              <w:rPr>
                <w:rFonts w:ascii="Arial Narrow" w:eastAsia="Calibri" w:hAnsi="Arial Narrow"/>
                <w:sz w:val="20"/>
                <w:szCs w:val="20"/>
              </w:rPr>
            </w:r>
            <w:r w:rsidR="00B53F47">
              <w:rPr>
                <w:rFonts w:ascii="Arial Narrow" w:eastAsia="Calibri" w:hAnsi="Arial Narrow"/>
                <w:sz w:val="20"/>
                <w:szCs w:val="20"/>
              </w:rPr>
              <w:fldChar w:fldCharType="separate"/>
            </w:r>
            <w:r w:rsidRPr="00FD5227">
              <w:rPr>
                <w:rFonts w:ascii="Arial Narrow" w:eastAsia="Calibri" w:hAnsi="Arial Narrow"/>
                <w:sz w:val="20"/>
                <w:szCs w:val="20"/>
              </w:rPr>
              <w:fldChar w:fldCharType="end"/>
            </w:r>
            <w:r w:rsidRPr="00FD5227">
              <w:rPr>
                <w:rFonts w:ascii="Arial Narrow" w:eastAsia="Calibri" w:hAnsi="Arial Narrow"/>
                <w:sz w:val="20"/>
                <w:szCs w:val="20"/>
              </w:rPr>
              <w:t xml:space="preserve">Authority Required – </w:t>
            </w:r>
            <w:r w:rsidRPr="00FD5227">
              <w:rPr>
                <w:rFonts w:ascii="Arial Narrow" w:eastAsia="Calibri" w:hAnsi="Arial Narrow"/>
                <w:strike/>
                <w:sz w:val="20"/>
                <w:szCs w:val="20"/>
              </w:rPr>
              <w:t>Streamlined</w:t>
            </w:r>
            <w:r w:rsidRPr="00FD5227">
              <w:rPr>
                <w:rFonts w:ascii="Arial Narrow" w:eastAsia="Calibri" w:hAnsi="Arial Narrow"/>
                <w:i/>
                <w:iCs/>
                <w:sz w:val="20"/>
                <w:szCs w:val="20"/>
              </w:rPr>
              <w:t xml:space="preserve"> Telephone/electronic via Online PBS Authorities</w:t>
            </w:r>
          </w:p>
        </w:tc>
      </w:tr>
      <w:tr w:rsidR="00E9692C" w:rsidRPr="00FD5227" w14:paraId="547F2855" w14:textId="77777777" w:rsidTr="00AE1AB4">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tcBorders>
          </w:tcPr>
          <w:p w14:paraId="194A5A84" w14:textId="77777777" w:rsidR="00E9692C" w:rsidRPr="00FD5227" w:rsidRDefault="00E9692C" w:rsidP="00AF24C9">
            <w:pPr>
              <w:rPr>
                <w:rFonts w:ascii="Arial Narrow" w:hAnsi="Arial Narrow"/>
                <w:i/>
                <w:i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No increase in the maximum number of repeats may be authorised.</w:t>
            </w:r>
          </w:p>
        </w:tc>
      </w:tr>
      <w:tr w:rsidR="00E9692C" w:rsidRPr="00FD5227" w14:paraId="39767269" w14:textId="77777777" w:rsidTr="00A214CC">
        <w:tblPrEx>
          <w:tblCellMar>
            <w:top w:w="15" w:type="dxa"/>
            <w:left w:w="15" w:type="dxa"/>
            <w:bottom w:w="15" w:type="dxa"/>
            <w:right w:w="15" w:type="dxa"/>
          </w:tblCellMar>
          <w:tblLook w:val="04A0" w:firstRow="1" w:lastRow="0" w:firstColumn="1" w:lastColumn="0" w:noHBand="0" w:noVBand="1"/>
        </w:tblPrEx>
        <w:tc>
          <w:tcPr>
            <w:tcW w:w="9067" w:type="dxa"/>
            <w:gridSpan w:val="7"/>
            <w:tcBorders>
              <w:left w:val="single" w:sz="4" w:space="0" w:color="auto"/>
            </w:tcBorders>
          </w:tcPr>
          <w:p w14:paraId="118BC0F7" w14:textId="77777777" w:rsidR="00E9692C" w:rsidRPr="00FD5227" w:rsidRDefault="00E9692C" w:rsidP="00AF24C9">
            <w:pPr>
              <w:rPr>
                <w:rFonts w:ascii="Arial Narrow" w:hAnsi="Arial Narrow"/>
                <w:b/>
                <w:bCs/>
                <w:i/>
                <w:i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Special Pricing Arrangements apply.</w:t>
            </w:r>
          </w:p>
        </w:tc>
      </w:tr>
      <w:tr w:rsidR="00E9692C" w:rsidRPr="00FD5227" w14:paraId="04EC1C5B" w14:textId="77777777" w:rsidTr="008E7BC1">
        <w:tblPrEx>
          <w:tblCellMar>
            <w:top w:w="15" w:type="dxa"/>
            <w:left w:w="15" w:type="dxa"/>
            <w:bottom w:w="15" w:type="dxa"/>
            <w:right w:w="15" w:type="dxa"/>
          </w:tblCellMar>
          <w:tblLook w:val="04A0" w:firstRow="1" w:lastRow="0" w:firstColumn="1" w:lastColumn="0" w:noHBand="0" w:noVBand="1"/>
        </w:tblPrEx>
        <w:trPr>
          <w:trHeight w:val="701"/>
        </w:trPr>
        <w:tc>
          <w:tcPr>
            <w:tcW w:w="9067" w:type="dxa"/>
            <w:gridSpan w:val="7"/>
            <w:tcBorders>
              <w:left w:val="single" w:sz="4" w:space="0" w:color="auto"/>
            </w:tcBorders>
          </w:tcPr>
          <w:p w14:paraId="6C39EAA8" w14:textId="77777777" w:rsidR="00E9692C" w:rsidRPr="00FD5227" w:rsidRDefault="00E9692C" w:rsidP="00AF24C9">
            <w:pPr>
              <w:rPr>
                <w:rFonts w:ascii="Arial Narrow" w:hAnsi="Arial Narrow"/>
                <w:b/>
                <w:bCs/>
                <w:sz w:val="20"/>
                <w:szCs w:val="20"/>
              </w:rPr>
            </w:pPr>
            <w:r w:rsidRPr="00FD5227">
              <w:rPr>
                <w:rFonts w:ascii="Arial Narrow" w:hAnsi="Arial Narrow"/>
                <w:b/>
                <w:bCs/>
                <w:i/>
                <w:iCs/>
                <w:sz w:val="20"/>
                <w:szCs w:val="20"/>
              </w:rPr>
              <w:t xml:space="preserve">Administrative advice: </w:t>
            </w:r>
            <w:r w:rsidRPr="00FD5227">
              <w:rPr>
                <w:rFonts w:ascii="Arial Narrow" w:hAnsi="Arial Narrow"/>
                <w:bCs/>
                <w:i/>
                <w:iCs/>
                <w:sz w:val="20"/>
                <w:szCs w:val="20"/>
              </w:rPr>
              <w:t>Applications for authorisation under this restriction may be made in real time using the Online PBS Authorities system (see www.servicesaustralia.gov.au/HPOS) or by telephone by contacting Services Australia on 1800 888 333.</w:t>
            </w:r>
          </w:p>
        </w:tc>
      </w:tr>
      <w:tr w:rsidR="00E9692C" w:rsidRPr="00FD5227" w14:paraId="614C7EB7" w14:textId="77777777" w:rsidTr="00D10EB0">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E9B9267" w14:textId="77777777" w:rsidR="00E9692C" w:rsidRPr="00FD5227" w:rsidRDefault="00E9692C" w:rsidP="00AF24C9">
            <w:pPr>
              <w:rPr>
                <w:rFonts w:ascii="Arial Narrow" w:hAnsi="Arial Narrow"/>
                <w:b/>
                <w:bCs/>
                <w:i/>
                <w:iCs/>
                <w:sz w:val="20"/>
                <w:szCs w:val="20"/>
              </w:rPr>
            </w:pPr>
            <w:r w:rsidRPr="00FD5227">
              <w:rPr>
                <w:rFonts w:ascii="Arial Narrow" w:hAnsi="Arial Narrow"/>
                <w:b/>
                <w:bCs/>
                <w:sz w:val="20"/>
                <w:szCs w:val="20"/>
              </w:rPr>
              <w:t xml:space="preserve">Condition: </w:t>
            </w:r>
            <w:r w:rsidRPr="00FD5227">
              <w:rPr>
                <w:rFonts w:ascii="Arial Narrow" w:hAnsi="Arial Narrow"/>
                <w:sz w:val="20"/>
                <w:szCs w:val="20"/>
              </w:rPr>
              <w:t>Chronic lymphocytic leukaemia (CLL) or small lymphocytic lymphoma (SLL)</w:t>
            </w:r>
            <w:r w:rsidRPr="00FD5227">
              <w:rPr>
                <w:rFonts w:ascii="Arial Narrow" w:hAnsi="Arial Narrow"/>
                <w:bCs/>
                <w:sz w:val="20"/>
                <w:szCs w:val="20"/>
              </w:rPr>
              <w:t xml:space="preserve"> </w:t>
            </w:r>
          </w:p>
        </w:tc>
      </w:tr>
      <w:tr w:rsidR="00E9692C" w:rsidRPr="00FD5227" w14:paraId="7C488B62" w14:textId="77777777" w:rsidTr="00D0599C">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54026E26" w14:textId="77777777" w:rsidR="00E9692C" w:rsidRPr="00FD5227" w:rsidRDefault="00E9692C" w:rsidP="00AF24C9">
            <w:pPr>
              <w:rPr>
                <w:rFonts w:ascii="Arial Narrow" w:hAnsi="Arial Narrow"/>
                <w:b/>
                <w:bCs/>
                <w:i/>
                <w:iCs/>
                <w:sz w:val="20"/>
                <w:szCs w:val="20"/>
              </w:rPr>
            </w:pPr>
            <w:r w:rsidRPr="00FD5227">
              <w:rPr>
                <w:rFonts w:ascii="Arial Narrow" w:hAnsi="Arial Narrow"/>
                <w:b/>
                <w:bCs/>
                <w:sz w:val="20"/>
                <w:szCs w:val="20"/>
              </w:rPr>
              <w:t>Indication:</w:t>
            </w:r>
            <w:r w:rsidRPr="00FD5227">
              <w:rPr>
                <w:rFonts w:ascii="Arial Narrow" w:hAnsi="Arial Narrow"/>
                <w:sz w:val="20"/>
                <w:szCs w:val="20"/>
              </w:rPr>
              <w:t xml:space="preserve"> </w:t>
            </w:r>
            <w:r w:rsidRPr="00FD5227">
              <w:rPr>
                <w:rFonts w:ascii="Arial Narrow" w:hAnsi="Arial Narrow"/>
                <w:strike/>
                <w:sz w:val="20"/>
                <w:szCs w:val="20"/>
              </w:rPr>
              <w:t xml:space="preserve">Patients with previously untreated CLL/SLL </w:t>
            </w:r>
            <w:r w:rsidRPr="00FD5227">
              <w:rPr>
                <w:rFonts w:ascii="Arial Narrow" w:hAnsi="Arial Narrow"/>
                <w:i/>
                <w:iCs/>
                <w:sz w:val="20"/>
                <w:szCs w:val="20"/>
              </w:rPr>
              <w:t>Chronic lymphocytic leukaemia (CLL) or small lymphocytic lymphoma (SLL)</w:t>
            </w:r>
          </w:p>
        </w:tc>
      </w:tr>
      <w:tr w:rsidR="00E9692C" w:rsidRPr="00FD5227" w14:paraId="2CA0662F" w14:textId="77777777" w:rsidTr="00BD62F9">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6555EE35" w14:textId="77777777" w:rsidR="00E9692C" w:rsidRPr="00FD5227" w:rsidRDefault="00E9692C" w:rsidP="00AF24C9">
            <w:pPr>
              <w:rPr>
                <w:rFonts w:ascii="Arial Narrow" w:hAnsi="Arial Narrow"/>
                <w:b/>
                <w:bCs/>
                <w:i/>
                <w:iCs/>
                <w:sz w:val="20"/>
                <w:szCs w:val="20"/>
              </w:rPr>
            </w:pPr>
            <w:r w:rsidRPr="00FD5227">
              <w:rPr>
                <w:rFonts w:ascii="Arial Narrow" w:hAnsi="Arial Narrow"/>
                <w:b/>
                <w:bCs/>
                <w:sz w:val="20"/>
                <w:szCs w:val="20"/>
              </w:rPr>
              <w:t>Treatment Phase:</w:t>
            </w:r>
            <w:r w:rsidRPr="00FD5227">
              <w:rPr>
                <w:rFonts w:ascii="Arial Narrow" w:hAnsi="Arial Narrow"/>
                <w:sz w:val="20"/>
                <w:szCs w:val="20"/>
              </w:rPr>
              <w:t xml:space="preserve"> </w:t>
            </w:r>
            <w:r w:rsidRPr="00FD5227">
              <w:rPr>
                <w:rFonts w:ascii="Arial Narrow" w:hAnsi="Arial Narrow"/>
                <w:strike/>
                <w:sz w:val="20"/>
                <w:szCs w:val="20"/>
              </w:rPr>
              <w:t>Continuing</w:t>
            </w:r>
            <w:r w:rsidRPr="00FD5227">
              <w:rPr>
                <w:rFonts w:ascii="Arial Narrow" w:hAnsi="Arial Narrow"/>
                <w:sz w:val="20"/>
                <w:szCs w:val="20"/>
              </w:rPr>
              <w:t xml:space="preserve"> S</w:t>
            </w:r>
            <w:r w:rsidRPr="00FD5227">
              <w:rPr>
                <w:rFonts w:ascii="Arial Narrow" w:hAnsi="Arial Narrow"/>
                <w:i/>
                <w:iCs/>
                <w:sz w:val="20"/>
                <w:szCs w:val="20"/>
              </w:rPr>
              <w:t>ubsequent continuing treatment in first-line therapy</w:t>
            </w:r>
          </w:p>
        </w:tc>
      </w:tr>
      <w:tr w:rsidR="00E9692C" w:rsidRPr="00FD5227" w14:paraId="0F805571" w14:textId="77777777" w:rsidTr="00B028F2">
        <w:tblPrEx>
          <w:tblCellMar>
            <w:top w:w="15" w:type="dxa"/>
            <w:left w:w="15" w:type="dxa"/>
            <w:bottom w:w="15" w:type="dxa"/>
            <w:right w:w="15" w:type="dxa"/>
          </w:tblCellMar>
          <w:tblLook w:val="04A0" w:firstRow="1" w:lastRow="0" w:firstColumn="1" w:lastColumn="0" w:noHBand="0" w:noVBand="1"/>
        </w:tblPrEx>
        <w:trPr>
          <w:trHeight w:val="266"/>
        </w:trPr>
        <w:tc>
          <w:tcPr>
            <w:tcW w:w="9067" w:type="dxa"/>
            <w:gridSpan w:val="7"/>
            <w:vAlign w:val="center"/>
          </w:tcPr>
          <w:p w14:paraId="72C52098" w14:textId="77777777" w:rsidR="00E9692C" w:rsidRPr="00FD5227" w:rsidRDefault="00E9692C" w:rsidP="00AF24C9">
            <w:pPr>
              <w:rPr>
                <w:rFonts w:ascii="Arial Narrow" w:hAnsi="Arial Narrow"/>
                <w:b/>
                <w:bCs/>
                <w:i/>
                <w:iCs/>
                <w:sz w:val="20"/>
                <w:szCs w:val="20"/>
              </w:rPr>
            </w:pPr>
            <w:r w:rsidRPr="00FD5227">
              <w:rPr>
                <w:rFonts w:ascii="Arial Narrow" w:hAnsi="Arial Narrow"/>
                <w:b/>
                <w:bCs/>
                <w:sz w:val="20"/>
                <w:szCs w:val="20"/>
              </w:rPr>
              <w:t xml:space="preserve">Clinical criteria: </w:t>
            </w:r>
          </w:p>
        </w:tc>
      </w:tr>
      <w:tr w:rsidR="00E9692C" w:rsidRPr="00FD5227" w14:paraId="193AD9F0" w14:textId="77777777" w:rsidTr="001D1A8B">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319416C9" w14:textId="77777777" w:rsidR="00E9692C" w:rsidRPr="00FD5227" w:rsidRDefault="00E9692C" w:rsidP="00AF24C9">
            <w:pPr>
              <w:rPr>
                <w:rFonts w:ascii="Arial Narrow" w:hAnsi="Arial Narrow"/>
                <w:sz w:val="20"/>
                <w:szCs w:val="20"/>
              </w:rPr>
            </w:pPr>
            <w:r w:rsidRPr="00FD5227">
              <w:rPr>
                <w:rFonts w:ascii="Arial Narrow" w:hAnsi="Arial Narrow"/>
                <w:sz w:val="20"/>
                <w:szCs w:val="20"/>
              </w:rPr>
              <w:t>Patient must have previously received PBS-subsidised treatment with this drug for this condition</w:t>
            </w:r>
          </w:p>
        </w:tc>
      </w:tr>
      <w:tr w:rsidR="00E9692C" w:rsidRPr="00FD5227" w14:paraId="3372FFA2" w14:textId="77777777" w:rsidTr="0033286F">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615921CF" w14:textId="77777777" w:rsidR="00E9692C" w:rsidRPr="00FD5227" w:rsidRDefault="00E9692C" w:rsidP="00AF24C9">
            <w:pPr>
              <w:rPr>
                <w:rFonts w:ascii="Arial Narrow" w:hAnsi="Arial Narrow"/>
                <w:b/>
                <w:bCs/>
                <w:sz w:val="20"/>
                <w:szCs w:val="20"/>
              </w:rPr>
            </w:pPr>
            <w:r w:rsidRPr="00FD5227">
              <w:rPr>
                <w:rFonts w:ascii="Arial Narrow" w:hAnsi="Arial Narrow"/>
                <w:b/>
                <w:bCs/>
                <w:i/>
                <w:iCs/>
                <w:sz w:val="20"/>
                <w:szCs w:val="20"/>
              </w:rPr>
              <w:t>AND</w:t>
            </w:r>
          </w:p>
        </w:tc>
      </w:tr>
      <w:tr w:rsidR="00E9692C" w:rsidRPr="00FD5227" w14:paraId="449B248B" w14:textId="77777777" w:rsidTr="005C6AA5">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0505A517" w14:textId="77777777" w:rsidR="00E9692C" w:rsidRPr="00FD5227" w:rsidRDefault="00E9692C" w:rsidP="00AF24C9">
            <w:pPr>
              <w:rPr>
                <w:rFonts w:ascii="Arial Narrow" w:hAnsi="Arial Narrow"/>
                <w:b/>
                <w:bCs/>
                <w:sz w:val="20"/>
                <w:szCs w:val="20"/>
              </w:rPr>
            </w:pPr>
            <w:r w:rsidRPr="00FD5227">
              <w:rPr>
                <w:rFonts w:ascii="Arial Narrow" w:hAnsi="Arial Narrow"/>
                <w:b/>
                <w:bCs/>
                <w:i/>
                <w:iCs/>
                <w:sz w:val="20"/>
                <w:szCs w:val="20"/>
              </w:rPr>
              <w:t xml:space="preserve">Clinical criteria: </w:t>
            </w:r>
          </w:p>
        </w:tc>
      </w:tr>
      <w:tr w:rsidR="00E9692C" w:rsidRPr="00FD5227" w14:paraId="00276ADF" w14:textId="77777777" w:rsidTr="00026905">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39B56D1B" w14:textId="77777777" w:rsidR="00E9692C" w:rsidRPr="00FD5227" w:rsidRDefault="00E9692C" w:rsidP="00AF24C9">
            <w:pPr>
              <w:rPr>
                <w:rFonts w:ascii="Arial Narrow" w:hAnsi="Arial Narrow"/>
                <w:b/>
                <w:bCs/>
                <w:sz w:val="20"/>
                <w:szCs w:val="20"/>
              </w:rPr>
            </w:pPr>
            <w:r w:rsidRPr="00FD5227">
              <w:rPr>
                <w:rFonts w:ascii="Arial Narrow" w:hAnsi="Arial Narrow"/>
                <w:strike/>
                <w:sz w:val="20"/>
                <w:szCs w:val="20"/>
              </w:rPr>
              <w:t>Patient must not develop disease progression while receiving PBS-subsidised treatment with this drug for this condition</w:t>
            </w:r>
            <w:r w:rsidRPr="00FD5227">
              <w:rPr>
                <w:rFonts w:ascii="Arial Narrow" w:hAnsi="Arial Narrow"/>
                <w:i/>
                <w:iCs/>
                <w:sz w:val="20"/>
                <w:szCs w:val="20"/>
              </w:rPr>
              <w:t>The treatment must cease upon disease progression</w:t>
            </w:r>
          </w:p>
        </w:tc>
      </w:tr>
      <w:tr w:rsidR="00E9692C" w:rsidRPr="00FD5227" w14:paraId="7603BDAF" w14:textId="77777777" w:rsidTr="00DA4847">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20945814" w14:textId="77777777" w:rsidR="00E9692C" w:rsidRPr="00FD5227" w:rsidRDefault="00E9692C" w:rsidP="00AF24C9">
            <w:pPr>
              <w:rPr>
                <w:rFonts w:ascii="Arial Narrow" w:hAnsi="Arial Narrow"/>
                <w:b/>
                <w:bCs/>
                <w:sz w:val="20"/>
                <w:szCs w:val="20"/>
              </w:rPr>
            </w:pPr>
            <w:r w:rsidRPr="00FD5227">
              <w:rPr>
                <w:rFonts w:ascii="Arial Narrow" w:hAnsi="Arial Narrow"/>
                <w:b/>
                <w:bCs/>
                <w:sz w:val="20"/>
                <w:szCs w:val="20"/>
              </w:rPr>
              <w:t>AND</w:t>
            </w:r>
          </w:p>
        </w:tc>
      </w:tr>
      <w:tr w:rsidR="00E9692C" w:rsidRPr="00FD5227" w14:paraId="659BDB31" w14:textId="77777777" w:rsidTr="006203A5">
        <w:tblPrEx>
          <w:tblCellMar>
            <w:top w:w="15" w:type="dxa"/>
            <w:left w:w="15" w:type="dxa"/>
            <w:bottom w:w="15" w:type="dxa"/>
            <w:right w:w="15" w:type="dxa"/>
          </w:tblCellMar>
          <w:tblLook w:val="04A0" w:firstRow="1" w:lastRow="0" w:firstColumn="1" w:lastColumn="0" w:noHBand="0" w:noVBand="1"/>
        </w:tblPrEx>
        <w:tc>
          <w:tcPr>
            <w:tcW w:w="9067" w:type="dxa"/>
            <w:gridSpan w:val="7"/>
            <w:tcBorders>
              <w:top w:val="single" w:sz="4" w:space="0" w:color="auto"/>
              <w:left w:val="single" w:sz="4" w:space="0" w:color="auto"/>
              <w:bottom w:val="single" w:sz="4" w:space="0" w:color="auto"/>
              <w:right w:val="single" w:sz="4" w:space="0" w:color="auto"/>
            </w:tcBorders>
            <w:vAlign w:val="center"/>
          </w:tcPr>
          <w:p w14:paraId="37E19EF4" w14:textId="77777777" w:rsidR="00E9692C" w:rsidRPr="00FD5227" w:rsidRDefault="00E9692C" w:rsidP="00AF24C9">
            <w:pPr>
              <w:rPr>
                <w:rFonts w:ascii="Arial Narrow" w:hAnsi="Arial Narrow"/>
                <w:b/>
                <w:bCs/>
                <w:sz w:val="20"/>
                <w:szCs w:val="20"/>
              </w:rPr>
            </w:pPr>
            <w:r w:rsidRPr="00FD5227">
              <w:rPr>
                <w:rFonts w:ascii="Arial Narrow" w:hAnsi="Arial Narrow"/>
                <w:b/>
                <w:bCs/>
                <w:sz w:val="20"/>
                <w:szCs w:val="20"/>
              </w:rPr>
              <w:t>Clinical criteria:</w:t>
            </w:r>
          </w:p>
        </w:tc>
      </w:tr>
      <w:tr w:rsidR="00E9692C" w:rsidRPr="00FD5227" w14:paraId="7E1A32FF" w14:textId="77777777" w:rsidTr="00843973">
        <w:tblPrEx>
          <w:tblCellMar>
            <w:top w:w="15" w:type="dxa"/>
            <w:left w:w="15" w:type="dxa"/>
            <w:bottom w:w="15" w:type="dxa"/>
            <w:right w:w="15" w:type="dxa"/>
          </w:tblCellMar>
          <w:tblLook w:val="04A0" w:firstRow="1" w:lastRow="0" w:firstColumn="1" w:lastColumn="0" w:noHBand="0" w:noVBand="1"/>
        </w:tblPrEx>
        <w:tc>
          <w:tcPr>
            <w:tcW w:w="9067" w:type="dxa"/>
            <w:gridSpan w:val="7"/>
            <w:vAlign w:val="center"/>
          </w:tcPr>
          <w:p w14:paraId="323032D0" w14:textId="77777777" w:rsidR="00E9692C" w:rsidRPr="00FD5227" w:rsidRDefault="00E9692C" w:rsidP="00AF24C9">
            <w:pPr>
              <w:rPr>
                <w:rFonts w:ascii="Arial Narrow" w:hAnsi="Arial Narrow"/>
                <w:b/>
                <w:bCs/>
                <w:i/>
                <w:iCs/>
                <w:sz w:val="20"/>
                <w:szCs w:val="20"/>
              </w:rPr>
            </w:pPr>
            <w:r w:rsidRPr="00FD5227">
              <w:rPr>
                <w:rFonts w:ascii="Arial Narrow" w:hAnsi="Arial Narrow"/>
                <w:sz w:val="20"/>
                <w:szCs w:val="20"/>
              </w:rPr>
              <w:lastRenderedPageBreak/>
              <w:t>The treatment must be as monotherapy.</w:t>
            </w:r>
          </w:p>
        </w:tc>
      </w:tr>
    </w:tbl>
    <w:p w14:paraId="22BAEBD6" w14:textId="00B41644" w:rsidR="00046D64" w:rsidRPr="00E44776" w:rsidRDefault="00046D64" w:rsidP="004B1CB4"/>
    <w:p w14:paraId="6588EED1" w14:textId="5ED8A4A9" w:rsidR="007B4969" w:rsidRPr="00E44776" w:rsidRDefault="007B4969" w:rsidP="007B4969">
      <w:pPr>
        <w:pStyle w:val="COMexecsumnumberedpara"/>
      </w:pPr>
      <w:r w:rsidRPr="00E44776">
        <w:t xml:space="preserve">The resubmission proposed a special pricing arrangement. The proposed effective </w:t>
      </w:r>
      <w:r w:rsidR="0093259D" w:rsidRPr="00E44776">
        <w:t>DPMQ of $</w:t>
      </w:r>
      <w:r w:rsidR="00777DAE" w:rsidRPr="00B53F47">
        <w:rPr>
          <w:color w:val="000000"/>
          <w:w w:val="15"/>
          <w:shd w:val="solid" w:color="000000" w:fill="000000"/>
          <w:fitText w:val="-20" w:id="-1280032000"/>
          <w14:textFill>
            <w14:solidFill>
              <w14:srgbClr w14:val="000000">
                <w14:alpha w14:val="100000"/>
              </w14:srgbClr>
            </w14:solidFill>
          </w14:textFill>
        </w:rPr>
        <w:t xml:space="preserve">|  </w:t>
      </w:r>
      <w:r w:rsidR="00777DAE" w:rsidRPr="00B53F47">
        <w:rPr>
          <w:color w:val="000000"/>
          <w:spacing w:val="-69"/>
          <w:w w:val="15"/>
          <w:shd w:val="solid" w:color="000000" w:fill="000000"/>
          <w:fitText w:val="-20" w:id="-1280032000"/>
          <w14:textFill>
            <w14:solidFill>
              <w14:srgbClr w14:val="000000">
                <w14:alpha w14:val="100000"/>
              </w14:srgbClr>
            </w14:solidFill>
          </w14:textFill>
        </w:rPr>
        <w:t>|</w:t>
      </w:r>
      <w:r w:rsidR="0093259D" w:rsidRPr="00E44776">
        <w:t xml:space="preserve"> </w:t>
      </w:r>
      <w:r w:rsidRPr="00E44776">
        <w:t>is lower than the price proposed in the November 2021 resubmission (effective DPMQ: $</w:t>
      </w:r>
      <w:r w:rsidR="00777DAE" w:rsidRPr="00B53F47">
        <w:rPr>
          <w:color w:val="000000"/>
          <w:w w:val="15"/>
          <w:shd w:val="solid" w:color="000000" w:fill="000000"/>
          <w:fitText w:val="-20" w:id="-1280031999"/>
          <w14:textFill>
            <w14:solidFill>
              <w14:srgbClr w14:val="000000">
                <w14:alpha w14:val="100000"/>
              </w14:srgbClr>
            </w14:solidFill>
          </w14:textFill>
        </w:rPr>
        <w:t xml:space="preserve">|  </w:t>
      </w:r>
      <w:r w:rsidR="00777DAE" w:rsidRPr="00B53F47">
        <w:rPr>
          <w:color w:val="000000"/>
          <w:spacing w:val="-69"/>
          <w:w w:val="15"/>
          <w:shd w:val="solid" w:color="000000" w:fill="000000"/>
          <w:fitText w:val="-20" w:id="-1280031999"/>
          <w14:textFill>
            <w14:solidFill>
              <w14:srgbClr w14:val="000000">
                <w14:alpha w14:val="100000"/>
              </w14:srgbClr>
            </w14:solidFill>
          </w14:textFill>
        </w:rPr>
        <w:t>|</w:t>
      </w:r>
      <w:r w:rsidRPr="00E44776">
        <w:t>)</w:t>
      </w:r>
      <w:r w:rsidR="001338AB" w:rsidRPr="00E44776">
        <w:t xml:space="preserve">, and </w:t>
      </w:r>
      <w:r w:rsidRPr="00E44776">
        <w:t>the current relapsed/refractory CLL/SLL PBS listing (effective DPMQ: $</w:t>
      </w:r>
      <w:r w:rsidR="00777DAE" w:rsidRPr="00B53F47">
        <w:rPr>
          <w:color w:val="000000"/>
          <w:w w:val="15"/>
          <w:shd w:val="solid" w:color="000000" w:fill="000000"/>
          <w:fitText w:val="-20" w:id="-1280031998"/>
          <w14:textFill>
            <w14:solidFill>
              <w14:srgbClr w14:val="000000">
                <w14:alpha w14:val="100000"/>
              </w14:srgbClr>
            </w14:solidFill>
          </w14:textFill>
        </w:rPr>
        <w:t xml:space="preserve">|  </w:t>
      </w:r>
      <w:r w:rsidR="00777DAE" w:rsidRPr="00B53F47">
        <w:rPr>
          <w:color w:val="000000"/>
          <w:spacing w:val="-69"/>
          <w:w w:val="15"/>
          <w:shd w:val="solid" w:color="000000" w:fill="000000"/>
          <w:fitText w:val="-20" w:id="-1280031998"/>
          <w14:textFill>
            <w14:solidFill>
              <w14:srgbClr w14:val="000000">
                <w14:alpha w14:val="100000"/>
              </w14:srgbClr>
            </w14:solidFill>
          </w14:textFill>
        </w:rPr>
        <w:t>|</w:t>
      </w:r>
      <w:r w:rsidRPr="00E44776">
        <w:t>).</w:t>
      </w:r>
    </w:p>
    <w:p w14:paraId="44C7F011" w14:textId="77777777" w:rsidR="007B4969" w:rsidRPr="00E44776" w:rsidRDefault="007B4969" w:rsidP="007B4969">
      <w:pPr>
        <w:pStyle w:val="COMexecsumnumberedpara"/>
      </w:pPr>
      <w:r w:rsidRPr="00E44776">
        <w:t>The proposed restriction is narrower than the TGA indication, which does not restrict treatment on the basis of suitability for fludarabine-based chemoimmunotherapy, use in combination with obinutuzumab, CIRS score or renal function.</w:t>
      </w:r>
    </w:p>
    <w:p w14:paraId="488A2B99" w14:textId="04A8D3D2" w:rsidR="00470934" w:rsidRPr="00E44776" w:rsidRDefault="007B4969" w:rsidP="007B4969">
      <w:pPr>
        <w:pStyle w:val="COMexecsumnumberedpara"/>
      </w:pPr>
      <w:bookmarkStart w:id="16" w:name="_Ref115770390"/>
      <w:r w:rsidRPr="00E44776">
        <w:t xml:space="preserve">The proposed initial treatment </w:t>
      </w:r>
      <w:r w:rsidR="00395475">
        <w:t xml:space="preserve">restriction type (Authority Required) </w:t>
      </w:r>
      <w:r w:rsidRPr="00E44776">
        <w:t xml:space="preserve">and clinical criteria are consistent with venetoclax. However, the proposed clinical criteria differ from the eligibility criteria for the ELEVATE-TN, which recruited patients aged ≥65 years (i.e., regardless of CIRS score or renal function) and patients aged &lt;65 years with a CIRS score &gt;6 or a creatinine clearance of 30 to 69 mL/min. </w:t>
      </w:r>
      <w:bookmarkEnd w:id="16"/>
    </w:p>
    <w:p w14:paraId="74ABCB4D" w14:textId="58666C68" w:rsidR="007B4969" w:rsidRPr="00E44776" w:rsidRDefault="007B4969" w:rsidP="007B4969">
      <w:pPr>
        <w:pStyle w:val="COMexecsumnumberedpara"/>
      </w:pPr>
      <w:r w:rsidRPr="00E44776">
        <w:t>Additionally, the ELEVATE-TN trial required patients to have an ECOG score ≤2</w:t>
      </w:r>
      <w:r w:rsidR="00470934" w:rsidRPr="00E44776">
        <w:t>, while the proposed PBS restriction did not include a criterion regarding ECOG score</w:t>
      </w:r>
      <w:r w:rsidRPr="00E44776">
        <w:t>.</w:t>
      </w:r>
    </w:p>
    <w:p w14:paraId="4F22BAD8" w14:textId="46238D8F" w:rsidR="00817E9B" w:rsidRPr="00E44776" w:rsidRDefault="007B4969" w:rsidP="00817E9B">
      <w:pPr>
        <w:pStyle w:val="COMexecsumnumberedpara"/>
      </w:pPr>
      <w:r w:rsidRPr="00E44776">
        <w:t>There is a risk of acalabrutinib use outside of the proposed restriction as monotherapy</w:t>
      </w:r>
      <w:r w:rsidR="00664AB0" w:rsidRPr="00E44776">
        <w:t xml:space="preserve">. </w:t>
      </w:r>
      <w:r w:rsidR="00A82468" w:rsidRPr="00E44776">
        <w:t xml:space="preserve">The evaluation considered that acalabrutinib monotherapy may be preferred in some patients due to lower toxicity compared </w:t>
      </w:r>
      <w:r w:rsidR="006B102A" w:rsidRPr="00E44776">
        <w:t>with</w:t>
      </w:r>
      <w:r w:rsidR="00A82468" w:rsidRPr="00E44776">
        <w:t xml:space="preserve"> acalabrutinib + obinutuzumab, and given that it is an oral treatment </w:t>
      </w:r>
      <w:r w:rsidR="00F34090" w:rsidRPr="00E44776">
        <w:t>that</w:t>
      </w:r>
      <w:r w:rsidR="00A82468" w:rsidRPr="00E44776">
        <w:t xml:space="preserve"> does not require hospital attendance for administration. </w:t>
      </w:r>
      <w:r w:rsidR="00F413A0" w:rsidRPr="00E44776">
        <w:t xml:space="preserve">Listing of acalabrutinib monotherapy </w:t>
      </w:r>
      <w:r w:rsidR="00664AB0" w:rsidRPr="00E44776">
        <w:t>was not requested in the current resubmission, but had been</w:t>
      </w:r>
      <w:r w:rsidR="00F413A0" w:rsidRPr="00E44776">
        <w:t xml:space="preserve"> requested in the </w:t>
      </w:r>
      <w:r w:rsidR="00664AB0" w:rsidRPr="00E44776">
        <w:t>two previous</w:t>
      </w:r>
      <w:r w:rsidR="00F413A0" w:rsidRPr="00E44776">
        <w:t xml:space="preserve"> submissions. </w:t>
      </w:r>
      <w:r w:rsidRPr="00E44776">
        <w:t>The PBAC previously considered that acalabrutinib monotherapy was superior to chlorambucil + obinutuzumab in terms of progression-free survival (paragraph 7.8, acalabrutinib, Public Summary Document, November 2021 PBAC meeting)</w:t>
      </w:r>
      <w:r w:rsidR="00F37B51" w:rsidRPr="00E44776">
        <w:t xml:space="preserve">, and that </w:t>
      </w:r>
      <w:r w:rsidR="00817E9B" w:rsidRPr="00E44776">
        <w:t>it was likely acalabrutinib monotherapy would be used in the majority of patients unsuitable for treatment with a purine analogue given the additional toxicity of acalabrutinib + obinutuzumab combination therapy together with the general frailty of the patient population (paragraph 7.3, acalabrutinib, Public Summary Document, July 2020 PBAC meeting).</w:t>
      </w:r>
      <w:r w:rsidR="00F413A0" w:rsidRPr="00E44776">
        <w:t xml:space="preserve"> Updated results for acalabrutinib monotherapy in the ELEVATE-TN trial </w:t>
      </w:r>
      <w:r w:rsidR="00CB0ACC">
        <w:t>we</w:t>
      </w:r>
      <w:r w:rsidR="00F413A0" w:rsidRPr="00E44776">
        <w:t>re presented as part of the resubmission, including the results of an updated MAIC comparing acalabrutinib monotherapy to venetoclax + obinutuzumab.</w:t>
      </w:r>
    </w:p>
    <w:p w14:paraId="2871850C" w14:textId="33D55FBA" w:rsidR="00FB6A0E" w:rsidRPr="00E44776" w:rsidRDefault="00FB6A0E" w:rsidP="00817E9B">
      <w:pPr>
        <w:pStyle w:val="COMexecsumnumberedpara"/>
      </w:pPr>
      <w:bookmarkStart w:id="17" w:name="_Ref116028932"/>
      <w:r w:rsidRPr="00E44776">
        <w:t xml:space="preserve">The </w:t>
      </w:r>
      <w:r w:rsidR="005773F9" w:rsidRPr="00E44776">
        <w:t>Pre-Sub-Committee Response (</w:t>
      </w:r>
      <w:r w:rsidRPr="00E44776">
        <w:t>PSCR</w:t>
      </w:r>
      <w:r w:rsidR="005773F9" w:rsidRPr="00E44776">
        <w:t>)</w:t>
      </w:r>
      <w:r w:rsidRPr="00E44776">
        <w:t xml:space="preserve"> stated</w:t>
      </w:r>
      <w:r w:rsidR="005773F9" w:rsidRPr="00E44776">
        <w:t xml:space="preserve"> that while s</w:t>
      </w:r>
      <w:r w:rsidRPr="00E44776">
        <w:t xml:space="preserve">ome patients may prefer </w:t>
      </w:r>
      <w:r w:rsidR="005773F9" w:rsidRPr="00E44776">
        <w:t>acalabrutinib</w:t>
      </w:r>
      <w:r w:rsidRPr="00E44776">
        <w:t xml:space="preserve"> monotherapy, </w:t>
      </w:r>
      <w:r w:rsidR="005773F9" w:rsidRPr="00E44776">
        <w:t xml:space="preserve">listing was only being sought </w:t>
      </w:r>
      <w:r w:rsidRPr="00E44776">
        <w:t xml:space="preserve">for patients who are suitable for </w:t>
      </w:r>
      <w:r w:rsidR="005773F9" w:rsidRPr="00E44776">
        <w:t xml:space="preserve">acalabrutinib + obinutuzumab because </w:t>
      </w:r>
      <w:r w:rsidR="00664AB0" w:rsidRPr="00E44776">
        <w:t>the combination</w:t>
      </w:r>
      <w:r w:rsidR="005773F9" w:rsidRPr="00E44776">
        <w:t xml:space="preserve"> provides superior </w:t>
      </w:r>
      <w:r w:rsidRPr="00E44776">
        <w:t xml:space="preserve">progression-free survival and overall survival compared </w:t>
      </w:r>
      <w:r w:rsidR="005773F9" w:rsidRPr="00E44776">
        <w:t>with</w:t>
      </w:r>
      <w:r w:rsidRPr="00E44776">
        <w:t xml:space="preserve"> </w:t>
      </w:r>
      <w:r w:rsidR="005773F9" w:rsidRPr="00E44776">
        <w:t xml:space="preserve">acalabrutinib </w:t>
      </w:r>
      <w:r w:rsidRPr="00E44776">
        <w:t xml:space="preserve">monotherapy, </w:t>
      </w:r>
      <w:r w:rsidR="005773F9" w:rsidRPr="00E44776">
        <w:t>venetoclax + obinutuzumab</w:t>
      </w:r>
      <w:r w:rsidRPr="00E44776">
        <w:t xml:space="preserve">, </w:t>
      </w:r>
      <w:r w:rsidR="005773F9" w:rsidRPr="00E44776">
        <w:t>or</w:t>
      </w:r>
      <w:r w:rsidRPr="00E44776">
        <w:t xml:space="preserve"> </w:t>
      </w:r>
      <w:r w:rsidR="005773F9" w:rsidRPr="00E44776">
        <w:t>chlorambucil + obinutuzumab</w:t>
      </w:r>
      <w:r w:rsidRPr="00E44776">
        <w:t xml:space="preserve">. </w:t>
      </w:r>
      <w:r w:rsidR="005773F9" w:rsidRPr="00E44776">
        <w:t xml:space="preserve">The PSCR </w:t>
      </w:r>
      <w:r w:rsidR="00664AB0" w:rsidRPr="00E44776">
        <w:t xml:space="preserve">further </w:t>
      </w:r>
      <w:r w:rsidR="005773F9" w:rsidRPr="00E44776">
        <w:t>stated ‘acalabrutinib + obinutuzumab</w:t>
      </w:r>
      <w:r w:rsidRPr="00E44776">
        <w:t xml:space="preserve"> should be the regimen of choice unless there are tolerability concerns</w:t>
      </w:r>
      <w:r w:rsidR="005773F9" w:rsidRPr="00E44776">
        <w:t>’</w:t>
      </w:r>
      <w:r w:rsidRPr="00E44776">
        <w:t>.</w:t>
      </w:r>
      <w:r w:rsidR="005773F9" w:rsidRPr="00E44776">
        <w:t xml:space="preserve"> The ESC considered that</w:t>
      </w:r>
      <w:r w:rsidR="00026601" w:rsidRPr="00E44776">
        <w:t xml:space="preserve"> </w:t>
      </w:r>
      <w:r w:rsidR="005773F9" w:rsidRPr="00E44776">
        <w:t xml:space="preserve">the treatment of CLL/SLL </w:t>
      </w:r>
      <w:r w:rsidR="00026601" w:rsidRPr="00E44776">
        <w:t>is evolving</w:t>
      </w:r>
      <w:r w:rsidR="00664AB0" w:rsidRPr="00E44776">
        <w:t>,</w:t>
      </w:r>
      <w:r w:rsidR="00A82468" w:rsidRPr="00E44776">
        <w:t xml:space="preserve"> and</w:t>
      </w:r>
      <w:r w:rsidR="00664AB0" w:rsidRPr="00E44776">
        <w:t xml:space="preserve"> </w:t>
      </w:r>
      <w:r w:rsidR="00A82468" w:rsidRPr="00E44776">
        <w:t xml:space="preserve">clinicians </w:t>
      </w:r>
      <w:r w:rsidR="002626F5">
        <w:t>may</w:t>
      </w:r>
      <w:r w:rsidR="002626F5" w:rsidRPr="00E44776">
        <w:t xml:space="preserve"> </w:t>
      </w:r>
      <w:r w:rsidR="005B67E9" w:rsidRPr="00E44776">
        <w:t xml:space="preserve">now </w:t>
      </w:r>
      <w:r w:rsidR="002626F5">
        <w:t xml:space="preserve">be </w:t>
      </w:r>
      <w:r w:rsidR="00A82468" w:rsidRPr="00E44776">
        <w:t>more likely to use obinutuzumab-containing regimens in older patients as there have been</w:t>
      </w:r>
      <w:r w:rsidR="00026601" w:rsidRPr="00E44776">
        <w:t xml:space="preserve"> improvements in managing </w:t>
      </w:r>
      <w:r w:rsidR="00026601" w:rsidRPr="00E44776">
        <w:lastRenderedPageBreak/>
        <w:t>the adverse events associated with obinutuzumab therapy</w:t>
      </w:r>
      <w:r w:rsidR="005773F9" w:rsidRPr="00E44776">
        <w:t xml:space="preserve">. </w:t>
      </w:r>
      <w:r w:rsidR="00026601" w:rsidRPr="00E44776">
        <w:t>The ESC considered that some patients may cease the obinutuzumab component early (i.e.</w:t>
      </w:r>
      <w:r w:rsidR="00FA2D4B" w:rsidRPr="00E44776">
        <w:t>,</w:t>
      </w:r>
      <w:r w:rsidR="00026601" w:rsidRPr="00E44776">
        <w:t xml:space="preserve"> prior to completing six cycles) and noted </w:t>
      </w:r>
      <w:r w:rsidR="00B27F28" w:rsidRPr="00E44776">
        <w:t>that this occurred in the ELEVATE-TN trial, in which 4.5% of patients had less than 3 cycles of obinutuzumab and 10.1% had 3 to 5 cycles.</w:t>
      </w:r>
      <w:bookmarkEnd w:id="17"/>
      <w:r w:rsidR="002626F5">
        <w:t xml:space="preserve"> However, t</w:t>
      </w:r>
      <w:r w:rsidR="002626F5" w:rsidRPr="002626F5">
        <w:t>he PBAC considered that it would be clinically appropriate to enable access to acalabrutinib monotherapy given it may be preferred by some patients due to lower toxicity</w:t>
      </w:r>
      <w:r w:rsidR="002626F5">
        <w:t xml:space="preserve"> versus the combination</w:t>
      </w:r>
      <w:r w:rsidR="002626F5" w:rsidRPr="002626F5">
        <w:t xml:space="preserve"> and given that it is an oral treatment.</w:t>
      </w:r>
    </w:p>
    <w:p w14:paraId="19CF4CC7" w14:textId="1ADD5B11" w:rsidR="00A84839" w:rsidRDefault="00A84839" w:rsidP="00A84839">
      <w:pPr>
        <w:pStyle w:val="COMexecsumnumberedpara"/>
      </w:pPr>
      <w:r w:rsidRPr="00E44776">
        <w:t xml:space="preserve">The resubmission </w:t>
      </w:r>
      <w:r w:rsidR="00470934" w:rsidRPr="00E44776">
        <w:t xml:space="preserve">requested a grandfather restriction </w:t>
      </w:r>
      <w:r w:rsidRPr="00E44776">
        <w:t>stat</w:t>
      </w:r>
      <w:r w:rsidR="00470934" w:rsidRPr="00E44776">
        <w:t>ing</w:t>
      </w:r>
      <w:r w:rsidRPr="00E44776">
        <w:t xml:space="preserve"> that</w:t>
      </w:r>
      <w:r w:rsidR="00470934" w:rsidRPr="00E44776">
        <w:t xml:space="preserve"> an access program may be </w:t>
      </w:r>
      <w:r w:rsidR="005773F9" w:rsidRPr="00E44776">
        <w:t>commenced</w:t>
      </w:r>
      <w:r w:rsidR="00470934" w:rsidRPr="00E44776">
        <w:t xml:space="preserve"> if</w:t>
      </w:r>
      <w:r w:rsidRPr="00E44776">
        <w:t xml:space="preserve"> the PBAC recommend</w:t>
      </w:r>
      <w:r w:rsidR="00470934" w:rsidRPr="00E44776">
        <w:t xml:space="preserve">s </w:t>
      </w:r>
      <w:r w:rsidRPr="00E44776">
        <w:t>listing</w:t>
      </w:r>
      <w:r w:rsidR="00470934" w:rsidRPr="00E44776">
        <w:t xml:space="preserve"> </w:t>
      </w:r>
      <w:r w:rsidRPr="00E44776">
        <w:t xml:space="preserve">of acalabrutinib </w:t>
      </w:r>
      <w:r w:rsidR="00470934" w:rsidRPr="00E44776">
        <w:t>in this indication</w:t>
      </w:r>
      <w:r w:rsidRPr="00E44776">
        <w:t xml:space="preserve">. </w:t>
      </w:r>
    </w:p>
    <w:p w14:paraId="38FB4A28" w14:textId="4312C460" w:rsidR="00E44776" w:rsidRPr="00E44776" w:rsidRDefault="00E44776" w:rsidP="00E44776">
      <w:pPr>
        <w:pStyle w:val="COMH1numbered"/>
        <w:numPr>
          <w:ilvl w:val="0"/>
          <w:numId w:val="0"/>
        </w:numPr>
        <w:ind w:left="720"/>
        <w:outlineLvl w:val="9"/>
      </w:pPr>
      <w:bookmarkStart w:id="18" w:name="_Hlk76375324"/>
      <w:r w:rsidRPr="00E44776">
        <w:rPr>
          <w:b w:val="0"/>
          <w:i/>
          <w:iCs/>
          <w:sz w:val="24"/>
          <w:szCs w:val="24"/>
        </w:rPr>
        <w:t>For more detail on PBAC’s view, see section 7 PBAC outcome.</w:t>
      </w:r>
      <w:bookmarkEnd w:id="18"/>
    </w:p>
    <w:p w14:paraId="7075B85C" w14:textId="62A47B7B" w:rsidR="00B50DB8" w:rsidRPr="00E44776" w:rsidDel="00195452" w:rsidRDefault="00203181" w:rsidP="004E18E9">
      <w:pPr>
        <w:pStyle w:val="COMH1numbered"/>
      </w:pPr>
      <w:bookmarkStart w:id="19" w:name="_Toc114048843"/>
      <w:r w:rsidRPr="00E44776" w:rsidDel="00195452">
        <w:t xml:space="preserve">Population and </w:t>
      </w:r>
      <w:r w:rsidR="008E0D3C" w:rsidRPr="00E44776" w:rsidDel="00195452">
        <w:t>d</w:t>
      </w:r>
      <w:r w:rsidRPr="00E44776" w:rsidDel="00195452">
        <w:t>isease</w:t>
      </w:r>
      <w:bookmarkEnd w:id="19"/>
    </w:p>
    <w:p w14:paraId="4185E9D4" w14:textId="20F01028" w:rsidR="00A84839" w:rsidRPr="00E44776" w:rsidRDefault="00A84839" w:rsidP="00784109">
      <w:pPr>
        <w:pStyle w:val="COMexecsumnumberedpara"/>
      </w:pPr>
      <w:r w:rsidRPr="00E44776">
        <w:t>CLL is characterised by the progressive accumulation of functionally incompetent B-lymphocytes in the blood, bone marrow, lymph nodes, spleen, and liver. CLL and SLL are generally considered to be different manifestations of the same disease. In CLL, abnormal lymphocytes are predominantly found in blood, bone marrow and lymphoid tissue, whereas in SLL, abnormal lymphocytes are predominantly located in lymph nodes, bone marrow and other lymphoid tissue.</w:t>
      </w:r>
    </w:p>
    <w:p w14:paraId="3EB5691A" w14:textId="6F84EBC0" w:rsidR="00A84839" w:rsidRPr="00E44776" w:rsidRDefault="00A84839" w:rsidP="00A84839">
      <w:pPr>
        <w:pStyle w:val="COMexecsumnumberedpara"/>
      </w:pPr>
      <w:r w:rsidRPr="00E44776">
        <w:t xml:space="preserve">CLL is more common in men than women (63% versus 37%), with a mean age at diagnosis in Australia in 2018 of 71.0 years (males 70.2 years, females 72.4 years). The five-year relative survival rate in Australia for 2014 to 2018 was 85.4% (AIHW, 2022). Typical symptoms associated with CLL include fatigue, swollen lymph nodes, pain, infections, increased or unexplained bleeding/bruising, excessive nocturnal sweating, and unintentional weight loss. The resubmission noted that the results of a web-based survey of 1,482 CLL patients assessing the impact of CLL on the quality of life of patients </w:t>
      </w:r>
      <w:r w:rsidR="00AA43C5" w:rsidRPr="00E44776">
        <w:t>suggest</w:t>
      </w:r>
      <w:r w:rsidRPr="00E44776">
        <w:t xml:space="preserve"> that CLL-related symptoms and comorbidities markedly reduce quality of life, with fatigue being the most recognised disease-related symptom (Shanafelt et al., 2007).</w:t>
      </w:r>
    </w:p>
    <w:p w14:paraId="1ACC13F4" w14:textId="5EE6F33B" w:rsidR="00F566D8" w:rsidRPr="00E44776" w:rsidRDefault="00A84839" w:rsidP="00A75C06">
      <w:pPr>
        <w:pStyle w:val="COMexecsumnumberedpara"/>
      </w:pPr>
      <w:r w:rsidRPr="00E44776">
        <w:t xml:space="preserve">Characteristics associated with a worse prognosis include genetic factors (17p deletion/TP53 mutation, 11q deletion, unmutated IGHV), biochemical/cell surface markers (serum thymidine kinase, serum β2 microglobulin), and patient characteristics (male sex, older age, worse ECOG performance score). Deletion of the short arm of chromosome 17 (17p deletion) is found in 5-8% of chemotherapy-naïve patients, and is </w:t>
      </w:r>
      <w:bookmarkStart w:id="20" w:name="_Hlk113868331"/>
      <w:r w:rsidRPr="00E44776">
        <w:t xml:space="preserve">associated with resistance to genotoxic chemotherapies, including conventional chemoimmunotherapy regimens </w:t>
      </w:r>
      <w:bookmarkEnd w:id="20"/>
      <w:r w:rsidRPr="00E44776">
        <w:t>(Hallek, 2015).</w:t>
      </w:r>
    </w:p>
    <w:p w14:paraId="69267028" w14:textId="77777777" w:rsidR="00A84839" w:rsidRPr="00E44776" w:rsidRDefault="00A84839" w:rsidP="00A84839">
      <w:pPr>
        <w:pStyle w:val="COMexecsumnumberedpara"/>
      </w:pPr>
      <w:r w:rsidRPr="00E44776">
        <w:t>CLL/SLL is generally a slowly progressing cancer, with many patients managed with a ‘watch and wait’ approach until symptoms develop. The choice of therapy depends on a number of factors, including age, comorbidities, and the presence of prognostic genetic mutations.</w:t>
      </w:r>
    </w:p>
    <w:p w14:paraId="1FCD95F7" w14:textId="3A221BF7" w:rsidR="00A84839" w:rsidRPr="00E44776" w:rsidRDefault="00E93E99" w:rsidP="00A84839">
      <w:pPr>
        <w:pStyle w:val="COMexecsumnumberedpara"/>
      </w:pPr>
      <w:r w:rsidRPr="00E44776">
        <w:lastRenderedPageBreak/>
        <w:t xml:space="preserve">The proposed PBS population </w:t>
      </w:r>
      <w:r w:rsidR="00395475">
        <w:t>comprise</w:t>
      </w:r>
      <w:r w:rsidRPr="00E44776">
        <w:t xml:space="preserve">s patients with previously untreated CLL/SLL who are unsuitable for treatment with fludarabine-based chemoimmunotherapy. </w:t>
      </w:r>
      <w:r w:rsidR="00A84839" w:rsidRPr="00E44776">
        <w:t>The proposed population is broader than the proposed population in the November 2021 resubmission, which was limited to patients considered unsuitable for treatment with fludarabine-based chemoimmunotherapy and venetoclax + obinutuzumab; and patients who have permanently discontinued treatment with venetoclax + obinutuzumab due to intolerance.</w:t>
      </w:r>
    </w:p>
    <w:p w14:paraId="24E954F0" w14:textId="222D26FB" w:rsidR="00E93E99" w:rsidRPr="00E44776" w:rsidRDefault="00E93E99" w:rsidP="00E93E99">
      <w:pPr>
        <w:pStyle w:val="COMexecsumnumberedpara"/>
      </w:pPr>
      <w:r w:rsidRPr="00E44776">
        <w:t>Acalabrutinib is a small-molecule inhibitor of Bruton’s tyrosine kinase (BTK). In B cells, BTK signalling results in activation of pathways necessary for B-cell proliferation, trafficking, chemotaxis, and adhesion.</w:t>
      </w:r>
      <w:r w:rsidR="00596CC6" w:rsidRPr="00E44776">
        <w:t xml:space="preserve"> </w:t>
      </w:r>
      <w:r w:rsidR="006F2355" w:rsidRPr="00E44776">
        <w:t xml:space="preserve">No other BTK inhibitors are PBS-listed for use in previously untreated patients with CLL/SLL. </w:t>
      </w:r>
      <w:r w:rsidR="00596CC6" w:rsidRPr="00E44776">
        <w:t>Obinutuzumab is a monoclonal antibody targeting the extracellular loop of the CD20 transmembrane antigen on the surface of non-malignant and malignant pre B and mature B lymphocytes.</w:t>
      </w:r>
    </w:p>
    <w:p w14:paraId="6BCBAE90" w14:textId="3B16C520" w:rsidR="00596CC6" w:rsidRPr="00E44776" w:rsidRDefault="00050564" w:rsidP="00050564">
      <w:pPr>
        <w:pStyle w:val="COMexecsumnumberedpara"/>
      </w:pPr>
      <w:r w:rsidRPr="00E44776">
        <w:t>The resubmission’s proposed clinical management algorithm is presented in</w:t>
      </w:r>
      <w:r w:rsidR="00DA11DB" w:rsidRPr="00E44776">
        <w:t xml:space="preserve"> </w:t>
      </w:r>
      <w:r w:rsidR="00DA11DB" w:rsidRPr="00E44776">
        <w:fldChar w:fldCharType="begin" w:fldLock="1"/>
      </w:r>
      <w:r w:rsidR="00DA11DB" w:rsidRPr="00E44776">
        <w:instrText xml:space="preserve"> REF _Ref111138036 \h </w:instrText>
      </w:r>
      <w:r w:rsidR="00E44776" w:rsidRPr="00E44776">
        <w:instrText xml:space="preserve"> \* MERGEFORMAT </w:instrText>
      </w:r>
      <w:r w:rsidR="00DA11DB" w:rsidRPr="00E44776">
        <w:fldChar w:fldCharType="separate"/>
      </w:r>
      <w:r w:rsidR="00CB2B8B" w:rsidRPr="00E44776">
        <w:t xml:space="preserve">Figure </w:t>
      </w:r>
      <w:r w:rsidR="00CB2B8B">
        <w:rPr>
          <w:noProof/>
        </w:rPr>
        <w:t>1</w:t>
      </w:r>
      <w:r w:rsidR="00DA11DB" w:rsidRPr="00E44776">
        <w:fldChar w:fldCharType="end"/>
      </w:r>
      <w:r w:rsidR="00C74FEC" w:rsidRPr="00E44776">
        <w:t>.</w:t>
      </w:r>
      <w:r w:rsidR="00130BF8" w:rsidRPr="00E44776">
        <w:t xml:space="preserve"> </w:t>
      </w:r>
    </w:p>
    <w:p w14:paraId="7728367C" w14:textId="642E833D" w:rsidR="00596CC6" w:rsidRPr="00E44776" w:rsidRDefault="00596CC6" w:rsidP="00501906">
      <w:pPr>
        <w:pStyle w:val="TableFigureCaption"/>
      </w:pPr>
      <w:bookmarkStart w:id="21" w:name="_Ref111138036"/>
      <w:bookmarkStart w:id="22" w:name="_Ref111295490"/>
      <w:r w:rsidRPr="00E44776">
        <w:t xml:space="preserve">Figure </w:t>
      </w:r>
      <w:r w:rsidR="00B53F47">
        <w:fldChar w:fldCharType="begin" w:fldLock="1"/>
      </w:r>
      <w:r w:rsidR="00B53F47">
        <w:instrText xml:space="preserve"> SEQ Figure \* ARABIC </w:instrText>
      </w:r>
      <w:r w:rsidR="00B53F47">
        <w:fldChar w:fldCharType="separate"/>
      </w:r>
      <w:r w:rsidR="00CB2B8B">
        <w:rPr>
          <w:noProof/>
        </w:rPr>
        <w:t>1</w:t>
      </w:r>
      <w:r w:rsidR="00B53F47">
        <w:rPr>
          <w:noProof/>
        </w:rPr>
        <w:fldChar w:fldCharType="end"/>
      </w:r>
      <w:bookmarkEnd w:id="21"/>
      <w:r w:rsidRPr="00E44776">
        <w:t xml:space="preserve">: </w:t>
      </w:r>
      <w:r w:rsidR="00050564" w:rsidRPr="00E44776">
        <w:t>Proposed clinical management algorithm for patients with CLL/SLL</w:t>
      </w:r>
      <w:bookmarkEnd w:id="22"/>
    </w:p>
    <w:p w14:paraId="2F7CA038" w14:textId="07C0D5F6" w:rsidR="00596CC6" w:rsidRPr="00E44776" w:rsidRDefault="00050564" w:rsidP="00230BB5">
      <w:pPr>
        <w:pStyle w:val="COMexecsumnumberedpara"/>
        <w:numPr>
          <w:ilvl w:val="0"/>
          <w:numId w:val="0"/>
        </w:numPr>
        <w:spacing w:after="0"/>
        <w:rPr>
          <w:color w:val="0066FF"/>
        </w:rPr>
      </w:pPr>
      <w:r w:rsidRPr="00E44776">
        <w:rPr>
          <w:noProof/>
        </w:rPr>
        <w:drawing>
          <wp:inline distT="0" distB="0" distL="0" distR="0" wp14:anchorId="0BDCF033" wp14:editId="7B228142">
            <wp:extent cx="5732145" cy="3007995"/>
            <wp:effectExtent l="0" t="0" r="0" b="0"/>
            <wp:docPr id="17" name="Picture 17"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imelin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2145" cy="3007995"/>
                    </a:xfrm>
                    <a:prstGeom prst="rect">
                      <a:avLst/>
                    </a:prstGeom>
                    <a:noFill/>
                  </pic:spPr>
                </pic:pic>
              </a:graphicData>
            </a:graphic>
          </wp:inline>
        </w:drawing>
      </w:r>
    </w:p>
    <w:p w14:paraId="06559B3D" w14:textId="1BC62CAD" w:rsidR="00050564" w:rsidRPr="00E44776" w:rsidRDefault="00050564" w:rsidP="00050564">
      <w:pPr>
        <w:pStyle w:val="COMTablefooter"/>
        <w:jc w:val="left"/>
      </w:pPr>
      <w:r w:rsidRPr="00E44776">
        <w:t>Source: Figure 1.4 of the resubmission.</w:t>
      </w:r>
    </w:p>
    <w:p w14:paraId="4457DE7A" w14:textId="2BF237DB" w:rsidR="00596CC6" w:rsidRPr="00E44776" w:rsidRDefault="00050564" w:rsidP="00050564">
      <w:pPr>
        <w:pStyle w:val="COMTablefooter"/>
        <w:jc w:val="left"/>
      </w:pPr>
      <w:r w:rsidRPr="00E44776">
        <w:t>1L = first line, CLL = chronic lymphocytic leukaemia, FCR = fludarabine + cyclophosphamide + rituximab, SLL = small lymphocytic leukaemia</w:t>
      </w:r>
    </w:p>
    <w:p w14:paraId="6CB91D9E" w14:textId="4EE5E447" w:rsidR="00854F1C" w:rsidRPr="00E44776" w:rsidRDefault="00854F1C" w:rsidP="00854F1C">
      <w:pPr>
        <w:pStyle w:val="COMexecsumnumberedpara"/>
      </w:pPr>
      <w:r w:rsidRPr="00E44776">
        <w:t>The algorithm positioned acalabrutinib + obinutuzumab as an alternative to treatment with venetoclax + obinutuzumab and chlorambucil + obinutuzumab for patients who are unsuitable for treatment with fludarabine-based chemoimmunotherapy (i.e., frail patients with significant comorbidity who are unable to tolerate treatment with a purine analogue; patients aged ≥65 years; and patients aged &lt;65 years with significant comorbidities or high-risk factors).</w:t>
      </w:r>
    </w:p>
    <w:p w14:paraId="5DA2025E" w14:textId="6BCDE445" w:rsidR="00D05B41" w:rsidRPr="00E44776" w:rsidRDefault="005D1192" w:rsidP="009C2873">
      <w:pPr>
        <w:pStyle w:val="COMexecsumnumberedpara"/>
      </w:pPr>
      <w:bookmarkStart w:id="23" w:name="_Ref122578123"/>
      <w:r w:rsidRPr="00E44776">
        <w:lastRenderedPageBreak/>
        <w:t>The ESC noted that</w:t>
      </w:r>
      <w:r w:rsidR="00D1585D" w:rsidRPr="00E44776">
        <w:t>, while listing was sought in the ‘unfit’ population,</w:t>
      </w:r>
      <w:r w:rsidRPr="00E44776">
        <w:t xml:space="preserve"> </w:t>
      </w:r>
      <w:r w:rsidR="00B67D11" w:rsidRPr="00E44776">
        <w:t xml:space="preserve">treatment guidelines (NCCN CLL guidelines 2022) recommend the use of </w:t>
      </w:r>
      <w:r w:rsidR="00D1585D" w:rsidRPr="00E44776">
        <w:t xml:space="preserve">acalabrutinib </w:t>
      </w:r>
      <w:r w:rsidR="00B67D11" w:rsidRPr="00E44776">
        <w:rPr>
          <w:rFonts w:cstheme="minorHAnsi"/>
        </w:rPr>
        <w:t>±</w:t>
      </w:r>
      <w:r w:rsidR="00D1585D" w:rsidRPr="00E44776">
        <w:t xml:space="preserve"> obinutuzumab</w:t>
      </w:r>
      <w:r w:rsidR="00D05B41" w:rsidRPr="00E44776">
        <w:t xml:space="preserve"> </w:t>
      </w:r>
      <w:r w:rsidR="00D1585D" w:rsidRPr="00E44776">
        <w:t>(</w:t>
      </w:r>
      <w:r w:rsidR="00D05B41" w:rsidRPr="00E44776">
        <w:t>or ibrutinib monotherapy, or venetoclax + obinutuzumab) as the preferred first-line therapies for all patients (regardless of age, presence of comorbidities, or presence of del17p/TP53 mutation). The ESC noted that n</w:t>
      </w:r>
      <w:r w:rsidR="00D05B41" w:rsidRPr="00E44776">
        <w:rPr>
          <w:color w:val="000000" w:themeColor="text1"/>
        </w:rPr>
        <w:t>one of these agents or combinations are currently PBS listed for first-line use in ‘fit’ patients</w:t>
      </w:r>
      <w:r w:rsidR="00D05B41" w:rsidRPr="00E44776">
        <w:t xml:space="preserve">. </w:t>
      </w:r>
      <w:r w:rsidR="00D05B41" w:rsidRPr="00E44776">
        <w:rPr>
          <w:color w:val="000000" w:themeColor="text1"/>
        </w:rPr>
        <w:t xml:space="preserve">The ESC further noted that </w:t>
      </w:r>
      <w:r w:rsidR="00D05B41" w:rsidRPr="00E44776">
        <w:t>the key PBS-listed treatment in fit patients,</w:t>
      </w:r>
      <w:r w:rsidR="00D05B41" w:rsidRPr="00E44776">
        <w:rPr>
          <w:color w:val="000000" w:themeColor="text1"/>
        </w:rPr>
        <w:t xml:space="preserve"> FCR</w:t>
      </w:r>
      <w:r w:rsidR="00D05B41" w:rsidRPr="00E44776">
        <w:t>,</w:t>
      </w:r>
      <w:r w:rsidR="00D05B41" w:rsidRPr="00E44776">
        <w:rPr>
          <w:color w:val="000000" w:themeColor="text1"/>
        </w:rPr>
        <w:t xml:space="preserve"> is </w:t>
      </w:r>
      <w:r w:rsidR="00D05B41" w:rsidRPr="00E44776">
        <w:t xml:space="preserve">only </w:t>
      </w:r>
      <w:r w:rsidR="00D05B41" w:rsidRPr="00E44776">
        <w:rPr>
          <w:color w:val="000000" w:themeColor="text1"/>
        </w:rPr>
        <w:t xml:space="preserve">included in the NCCN guidelines as a later-line option </w:t>
      </w:r>
      <w:r w:rsidR="00D05B41" w:rsidRPr="00E44776">
        <w:t>and is poorly tolerated and associated with a</w:t>
      </w:r>
      <w:r w:rsidR="00D05B41" w:rsidRPr="00E44776">
        <w:rPr>
          <w:color w:val="000000" w:themeColor="text1"/>
        </w:rPr>
        <w:t xml:space="preserve"> risk of cytopenia and secondary malignancies</w:t>
      </w:r>
      <w:r w:rsidR="00D05B41" w:rsidRPr="00E44776">
        <w:t xml:space="preserve">. The ESC considered that Australia lags international guidelines in providing access to </w:t>
      </w:r>
      <w:r w:rsidR="008F4CFC" w:rsidRPr="00E44776">
        <w:t xml:space="preserve">small molecule inhibitors (BTK inhibitors and/or B-cell lymphoma 2 (BCL2) inhibitors) </w:t>
      </w:r>
      <w:r w:rsidR="00D05B41" w:rsidRPr="00E44776">
        <w:t>in the first-line treatment of patients with CLL</w:t>
      </w:r>
      <w:r w:rsidR="008F4CFC" w:rsidRPr="00E44776">
        <w:t xml:space="preserve"> and</w:t>
      </w:r>
      <w:r w:rsidR="00D05B41" w:rsidRPr="00E44776">
        <w:rPr>
          <w:color w:val="000000" w:themeColor="text1"/>
        </w:rPr>
        <w:t xml:space="preserve"> there is a high clinical need for alternate treatment</w:t>
      </w:r>
      <w:r w:rsidR="00D05B41" w:rsidRPr="00E44776">
        <w:t xml:space="preserve"> options</w:t>
      </w:r>
      <w:r w:rsidR="00D05B41" w:rsidRPr="00E44776">
        <w:rPr>
          <w:color w:val="000000" w:themeColor="text1"/>
        </w:rPr>
        <w:t>.</w:t>
      </w:r>
      <w:bookmarkEnd w:id="23"/>
    </w:p>
    <w:p w14:paraId="3FEEC55A" w14:textId="212F6F50" w:rsidR="001E68FA" w:rsidRPr="00E44776" w:rsidRDefault="001E68FA" w:rsidP="001E68FA">
      <w:pPr>
        <w:pStyle w:val="COMexecsumnumberedpara"/>
      </w:pPr>
      <w:r w:rsidRPr="00E44776">
        <w:t>Further, the ESC noted that</w:t>
      </w:r>
      <w:r w:rsidR="00B4659A" w:rsidRPr="00E44776">
        <w:t>, in some cases,</w:t>
      </w:r>
      <w:r w:rsidRPr="00E44776">
        <w:t xml:space="preserve"> there </w:t>
      </w:r>
      <w:r w:rsidR="00B4659A" w:rsidRPr="00E44776">
        <w:t xml:space="preserve">may </w:t>
      </w:r>
      <w:r w:rsidR="00F566D8" w:rsidRPr="00E44776">
        <w:t>also</w:t>
      </w:r>
      <w:r w:rsidR="00B4659A" w:rsidRPr="00E44776">
        <w:t xml:space="preserve"> be</w:t>
      </w:r>
      <w:r w:rsidRPr="00E44776">
        <w:t xml:space="preserve"> a gap in the PBS availability of small molecule inhibitors for patients who are young (&lt;65 years) and unfit (CIRS &gt;6 and/or creatinine clearance &lt;70 mL/min) despite this being a group with a high potential to benefit in the context of an indolent condition. The proposed restriction requires patients to be ‘unsuitable for fludarabine-based chemoimmunotherapy’, which may in clinical practice include consideration of patient age (though age is not specifically referred to in the proposed PBS restriction). </w:t>
      </w:r>
      <w:r w:rsidR="00594C12" w:rsidRPr="00E44776">
        <w:t xml:space="preserve">Further, </w:t>
      </w:r>
      <w:r w:rsidRPr="00E44776">
        <w:t xml:space="preserve">these patients </w:t>
      </w:r>
      <w:r w:rsidR="00594C12" w:rsidRPr="00E44776">
        <w:t>may not be able to</w:t>
      </w:r>
      <w:r w:rsidRPr="00E44776">
        <w:t xml:space="preserve"> access BTK inhibitors (acalabrutinib or ibrutinib) or venetoclax in the relapsed/refractory setting (</w:t>
      </w:r>
      <w:r w:rsidR="00594C12" w:rsidRPr="00E44776">
        <w:t>e.g.</w:t>
      </w:r>
      <w:r w:rsidR="003D7770" w:rsidRPr="00E44776">
        <w:t>,</w:t>
      </w:r>
      <w:r w:rsidR="00594C12" w:rsidRPr="00E44776">
        <w:t xml:space="preserve"> depending on response/progression-free interval following first-line therapy</w:t>
      </w:r>
      <w:r w:rsidR="00003863" w:rsidRPr="00E44776">
        <w:t>, del17p status or presence of specific autoimmune conditions</w:t>
      </w:r>
      <w:r w:rsidRPr="00E44776">
        <w:t xml:space="preserve">). The ESC considered that, while the listing requested in the resubmission </w:t>
      </w:r>
      <w:r w:rsidR="00E61DA7">
        <w:t>aligned to a degree with</w:t>
      </w:r>
      <w:r w:rsidRPr="00E44776">
        <w:t xml:space="preserve"> the clinical evidence provided, broader access to regimens containing </w:t>
      </w:r>
      <w:r w:rsidR="008F4CFC" w:rsidRPr="00E44776">
        <w:t>small molecule</w:t>
      </w:r>
      <w:r w:rsidRPr="00E44776">
        <w:t xml:space="preserve"> inhibitors across both fit and unfit patients in the first-line setting may help address clinical need and equity of access.</w:t>
      </w:r>
      <w:r w:rsidR="003149DB" w:rsidRPr="00E44776">
        <w:t xml:space="preserve"> </w:t>
      </w:r>
    </w:p>
    <w:p w14:paraId="05673E8B" w14:textId="5ED139B5" w:rsidR="009C2873" w:rsidRDefault="009C2873" w:rsidP="009C2873">
      <w:pPr>
        <w:pStyle w:val="COMexecsumnumberedpara"/>
      </w:pPr>
      <w:r w:rsidRPr="00E44776">
        <w:t>The ESC noted that a submission for ibrutinib is also on the agenda for the November 2022 PBAC meeting, which is requested for use in combination with venetoclax, for the treatment of previously untreated CLL/SLL.</w:t>
      </w:r>
    </w:p>
    <w:p w14:paraId="1B9FB68A" w14:textId="76BB76E3" w:rsidR="00E44776" w:rsidRPr="00E44776" w:rsidRDefault="00E44776" w:rsidP="00E44776">
      <w:pPr>
        <w:pStyle w:val="COMexecsumnumberedpara"/>
        <w:numPr>
          <w:ilvl w:val="0"/>
          <w:numId w:val="0"/>
        </w:numPr>
        <w:ind w:left="720"/>
        <w:rPr>
          <w:i/>
          <w:iCs/>
        </w:rPr>
      </w:pPr>
      <w:r w:rsidRPr="00E44776">
        <w:rPr>
          <w:i/>
          <w:iCs/>
        </w:rPr>
        <w:t>For more detail on PBAC’s view, see section 7 PBAC outcome.</w:t>
      </w:r>
    </w:p>
    <w:p w14:paraId="51E5AE96" w14:textId="06B5E34A" w:rsidR="00B50DB8" w:rsidRPr="00E44776" w:rsidRDefault="00B50DB8" w:rsidP="004E18E9">
      <w:pPr>
        <w:pStyle w:val="COMH1numbered"/>
      </w:pPr>
      <w:bookmarkStart w:id="24" w:name="_Toc114048844"/>
      <w:r w:rsidRPr="00E44776">
        <w:t>Comparator</w:t>
      </w:r>
      <w:bookmarkEnd w:id="24"/>
    </w:p>
    <w:p w14:paraId="5D70FA0E" w14:textId="6FF27702" w:rsidR="00854F1C" w:rsidRPr="00E44776" w:rsidRDefault="00854F1C" w:rsidP="00854F1C">
      <w:pPr>
        <w:pStyle w:val="COMexecsumnumberedpara"/>
        <w:rPr>
          <w:snapToGrid/>
          <w:lang w:val="en-US"/>
        </w:rPr>
      </w:pPr>
      <w:r w:rsidRPr="00E44776">
        <w:t xml:space="preserve">The </w:t>
      </w:r>
      <w:r w:rsidR="00230BB5" w:rsidRPr="00E44776">
        <w:t>re</w:t>
      </w:r>
      <w:r w:rsidRPr="00E44776">
        <w:t>submission nominated venetoclax + obinutuzumab as the main comparator. The main arguments provided in support of this nomination were:</w:t>
      </w:r>
    </w:p>
    <w:p w14:paraId="11A9DD14" w14:textId="77777777" w:rsidR="00854F1C" w:rsidRPr="00E44776" w:rsidRDefault="00854F1C" w:rsidP="00D32791">
      <w:pPr>
        <w:pStyle w:val="ListBullet"/>
        <w:numPr>
          <w:ilvl w:val="0"/>
          <w:numId w:val="11"/>
        </w:numPr>
        <w:ind w:left="1077" w:hanging="357"/>
      </w:pPr>
      <w:r w:rsidRPr="00E44776">
        <w:t>Venetoclax + obinutuzumab is the treatment most likely to be replaced by acalabrutinib + obinutuzumab, based on a higher market share compared to chlorambucil + obinutuzumab (66.2% versus 33.8%, based on obinutuzumab 2021 PBS dispensing data).</w:t>
      </w:r>
    </w:p>
    <w:p w14:paraId="76152FA5" w14:textId="072E2E10" w:rsidR="00854F1C" w:rsidRPr="00E44776" w:rsidRDefault="00854F1C" w:rsidP="003A35CB">
      <w:pPr>
        <w:pStyle w:val="ListBullet"/>
        <w:numPr>
          <w:ilvl w:val="0"/>
          <w:numId w:val="11"/>
        </w:numPr>
        <w:spacing w:after="120"/>
        <w:ind w:left="1077" w:hanging="357"/>
      </w:pPr>
      <w:r w:rsidRPr="00E44776">
        <w:lastRenderedPageBreak/>
        <w:t xml:space="preserve">The PBAC previously considered that venetoclax + obinutuzumab was superior to chlorambucil + obinutuzumab in terms of progression-free survival. </w:t>
      </w:r>
    </w:p>
    <w:p w14:paraId="67A0A923" w14:textId="59290068" w:rsidR="00854F1C" w:rsidRPr="00E44776" w:rsidRDefault="00854F1C" w:rsidP="00854F1C">
      <w:pPr>
        <w:pStyle w:val="COMexecsumnumberedpara"/>
      </w:pPr>
      <w:r w:rsidRPr="00E44776">
        <w:t xml:space="preserve">Venetoclax + obinutuzumab is an appropriate main comparator. Venetoclax + obinutuzumab was included as a near-market comparator in the July 2020 acalabrutinib submission. While venetoclax + obinutuzumab was not nominated as a comparator in the November 2021 resubmission (on the basis that the requested PBS restriction required patients to be unsuitable for treatment with venetoclax + obinutuzumab), the PBAC </w:t>
      </w:r>
      <w:r w:rsidR="00404B84" w:rsidRPr="00E44776">
        <w:t xml:space="preserve">had </w:t>
      </w:r>
      <w:r w:rsidRPr="00E44776">
        <w:t>considered that, based on the proposed restriction, venetoclax + obinutuzumab was also a relevant comparator.</w:t>
      </w:r>
    </w:p>
    <w:p w14:paraId="2FE68289" w14:textId="0D88DB57" w:rsidR="00854F1C" w:rsidRDefault="006F2355" w:rsidP="00854F1C">
      <w:pPr>
        <w:pStyle w:val="COMexecsumnumberedpara"/>
      </w:pPr>
      <w:r w:rsidRPr="00E44776">
        <w:t xml:space="preserve">The </w:t>
      </w:r>
      <w:r w:rsidR="005B67E9" w:rsidRPr="00E44776">
        <w:t>evaluation</w:t>
      </w:r>
      <w:r w:rsidRPr="00E44776">
        <w:t xml:space="preserve"> noted that i</w:t>
      </w:r>
      <w:r w:rsidR="00854F1C" w:rsidRPr="00E44776">
        <w:t xml:space="preserve">brutinib monotherapy is a potential near-market comparator for patients with 17p deletion. Ibrutinib received a positive recommendation at the November 2019 PBAC meeting for the treatment of previously untreated patients with 17p deletion, but is not currently listed on the PBS. At the November 2021 meeting, the PBAC extended the positive recommendation for an additional 12 months (PBAC Outcomes, November 2021 PBAC meeting). </w:t>
      </w:r>
      <w:r w:rsidR="00B2379F" w:rsidRPr="00E44776">
        <w:t>The July 2020 acalabrutinib submission used a cost-minimisation approach to compare acalabrutinib and ibrutinib in patients with 17p deletion.</w:t>
      </w:r>
    </w:p>
    <w:p w14:paraId="56534809" w14:textId="377CCE76" w:rsidR="00E44776" w:rsidRPr="00E44776" w:rsidRDefault="00E44776" w:rsidP="00E44776">
      <w:pPr>
        <w:pStyle w:val="COMexecsumnumberedpara"/>
        <w:numPr>
          <w:ilvl w:val="0"/>
          <w:numId w:val="0"/>
        </w:numPr>
        <w:ind w:left="720"/>
        <w:rPr>
          <w:i/>
          <w:iCs/>
        </w:rPr>
      </w:pPr>
      <w:r w:rsidRPr="00E44776">
        <w:rPr>
          <w:i/>
          <w:iCs/>
        </w:rPr>
        <w:t>For more detail on PBAC’s view, see section 7 PBAC outcome.</w:t>
      </w:r>
    </w:p>
    <w:p w14:paraId="7F9C27C8" w14:textId="77777777" w:rsidR="00223D5A" w:rsidRPr="00E44776" w:rsidRDefault="00223D5A" w:rsidP="00223D5A">
      <w:pPr>
        <w:pStyle w:val="COMH1numbered"/>
        <w:numPr>
          <w:ilvl w:val="0"/>
          <w:numId w:val="1"/>
        </w:numPr>
      </w:pPr>
      <w:bookmarkStart w:id="25" w:name="_Toc114048845"/>
      <w:bookmarkStart w:id="26" w:name="_Toc22897640"/>
      <w:r w:rsidRPr="00E44776">
        <w:t>Consideration of the evidence</w:t>
      </w:r>
      <w:bookmarkEnd w:id="25"/>
    </w:p>
    <w:p w14:paraId="446A85E3" w14:textId="77777777" w:rsidR="009800E2" w:rsidRPr="009800E2" w:rsidRDefault="009800E2" w:rsidP="00041348">
      <w:pPr>
        <w:keepNext/>
        <w:spacing w:before="120" w:after="120"/>
        <w:outlineLvl w:val="1"/>
        <w:rPr>
          <w:rFonts w:asciiTheme="minorHAnsi" w:eastAsiaTheme="majorEastAsia" w:hAnsiTheme="minorHAnsi" w:cstheme="majorBidi"/>
          <w:b/>
          <w:i/>
          <w:spacing w:val="5"/>
          <w:kern w:val="28"/>
          <w:sz w:val="28"/>
          <w:szCs w:val="36"/>
        </w:rPr>
      </w:pPr>
      <w:bookmarkStart w:id="27" w:name="_Hlk76375935"/>
      <w:bookmarkStart w:id="28" w:name="_Toc114048846"/>
      <w:r w:rsidRPr="009800E2">
        <w:rPr>
          <w:rFonts w:asciiTheme="minorHAnsi" w:eastAsiaTheme="majorEastAsia" w:hAnsiTheme="minorHAnsi" w:cstheme="majorBidi"/>
          <w:b/>
          <w:i/>
          <w:spacing w:val="5"/>
          <w:kern w:val="28"/>
          <w:sz w:val="28"/>
          <w:szCs w:val="36"/>
        </w:rPr>
        <w:t>Sponsor hearing</w:t>
      </w:r>
    </w:p>
    <w:p w14:paraId="459F3CDE" w14:textId="3EBF03ED" w:rsidR="009800E2" w:rsidRPr="00C57FF5" w:rsidRDefault="009800E2" w:rsidP="00014871">
      <w:pPr>
        <w:widowControl w:val="0"/>
        <w:numPr>
          <w:ilvl w:val="1"/>
          <w:numId w:val="1"/>
        </w:numPr>
        <w:spacing w:after="120"/>
        <w:ind w:left="720" w:hanging="720"/>
        <w:rPr>
          <w:rFonts w:asciiTheme="minorHAnsi" w:hAnsiTheme="minorHAnsi"/>
          <w:bCs/>
          <w:snapToGrid w:val="0"/>
          <w:lang w:eastAsia="en-US"/>
        </w:rPr>
      </w:pPr>
      <w:bookmarkStart w:id="29" w:name="_Ref124343831"/>
      <w:bookmarkStart w:id="30" w:name="_Hlk76382586"/>
      <w:r w:rsidRPr="00395DAD">
        <w:rPr>
          <w:rFonts w:asciiTheme="minorHAnsi" w:hAnsiTheme="minorHAnsi"/>
          <w:bCs/>
          <w:snapToGrid w:val="0"/>
          <w:lang w:eastAsia="en-US"/>
        </w:rPr>
        <w:t xml:space="preserve">The sponsor requested a hearing for this item. The clinician </w:t>
      </w:r>
      <w:r w:rsidR="00DF3078" w:rsidRPr="00395DAD">
        <w:rPr>
          <w:rFonts w:asciiTheme="minorHAnsi" w:hAnsiTheme="minorHAnsi"/>
          <w:bCs/>
          <w:snapToGrid w:val="0"/>
          <w:lang w:eastAsia="en-US"/>
        </w:rPr>
        <w:t>presented</w:t>
      </w:r>
      <w:r w:rsidR="00EA1481" w:rsidRPr="00395DAD">
        <w:rPr>
          <w:rFonts w:asciiTheme="minorHAnsi" w:hAnsiTheme="minorHAnsi"/>
          <w:bCs/>
          <w:snapToGrid w:val="0"/>
          <w:lang w:eastAsia="en-US"/>
        </w:rPr>
        <w:t xml:space="preserve"> </w:t>
      </w:r>
      <w:r w:rsidR="002B4990" w:rsidRPr="00395DAD">
        <w:rPr>
          <w:rFonts w:asciiTheme="minorHAnsi" w:hAnsiTheme="minorHAnsi"/>
          <w:bCs/>
          <w:snapToGrid w:val="0"/>
          <w:lang w:eastAsia="en-US"/>
        </w:rPr>
        <w:t xml:space="preserve">evidence supporting the </w:t>
      </w:r>
      <w:r w:rsidR="00014871" w:rsidRPr="00395DAD">
        <w:rPr>
          <w:rFonts w:asciiTheme="minorHAnsi" w:hAnsiTheme="minorHAnsi"/>
          <w:bCs/>
          <w:snapToGrid w:val="0"/>
          <w:lang w:eastAsia="en-US"/>
        </w:rPr>
        <w:t>use of BTK inhibitors</w:t>
      </w:r>
      <w:r w:rsidR="00DF3078" w:rsidRPr="00395DAD">
        <w:rPr>
          <w:rFonts w:asciiTheme="minorHAnsi" w:hAnsiTheme="minorHAnsi"/>
          <w:bCs/>
          <w:snapToGrid w:val="0"/>
          <w:lang w:eastAsia="en-US"/>
        </w:rPr>
        <w:t xml:space="preserve"> </w:t>
      </w:r>
      <w:r w:rsidR="00014871" w:rsidRPr="00395DAD">
        <w:rPr>
          <w:rFonts w:asciiTheme="minorHAnsi" w:hAnsiTheme="minorHAnsi"/>
          <w:bCs/>
          <w:snapToGrid w:val="0"/>
          <w:lang w:eastAsia="en-US"/>
        </w:rPr>
        <w:t>as a class for the first-line treatment of CLL/SLL</w:t>
      </w:r>
      <w:r w:rsidR="008B4C9D">
        <w:rPr>
          <w:rFonts w:asciiTheme="minorHAnsi" w:hAnsiTheme="minorHAnsi"/>
          <w:bCs/>
          <w:snapToGrid w:val="0"/>
          <w:lang w:eastAsia="en-US"/>
        </w:rPr>
        <w:t xml:space="preserve"> and</w:t>
      </w:r>
      <w:r w:rsidR="00014871" w:rsidRPr="00395DAD">
        <w:rPr>
          <w:rFonts w:asciiTheme="minorHAnsi" w:hAnsiTheme="minorHAnsi"/>
          <w:bCs/>
          <w:snapToGrid w:val="0"/>
          <w:lang w:eastAsia="en-US"/>
        </w:rPr>
        <w:t xml:space="preserve"> </w:t>
      </w:r>
      <w:r w:rsidR="00DF3078" w:rsidRPr="00395DAD">
        <w:rPr>
          <w:rFonts w:asciiTheme="minorHAnsi" w:hAnsiTheme="minorHAnsi"/>
          <w:bCs/>
          <w:snapToGrid w:val="0"/>
          <w:lang w:eastAsia="en-US"/>
        </w:rPr>
        <w:t>discussed first-line therapies that are recommended in</w:t>
      </w:r>
      <w:r w:rsidR="00014871" w:rsidRPr="00395DAD">
        <w:rPr>
          <w:rFonts w:asciiTheme="minorHAnsi" w:hAnsiTheme="minorHAnsi"/>
          <w:bCs/>
          <w:snapToGrid w:val="0"/>
          <w:lang w:eastAsia="en-US"/>
        </w:rPr>
        <w:t xml:space="preserve"> global guidelines</w:t>
      </w:r>
      <w:r w:rsidRPr="00395DAD">
        <w:rPr>
          <w:rFonts w:asciiTheme="minorHAnsi" w:hAnsiTheme="minorHAnsi"/>
          <w:bCs/>
          <w:snapToGrid w:val="0"/>
          <w:lang w:eastAsia="en-US"/>
        </w:rPr>
        <w:t xml:space="preserve">. </w:t>
      </w:r>
      <w:r w:rsidR="008B4C9D">
        <w:rPr>
          <w:rFonts w:asciiTheme="minorHAnsi" w:hAnsiTheme="minorHAnsi"/>
          <w:bCs/>
          <w:snapToGrid w:val="0"/>
          <w:lang w:eastAsia="en-US"/>
        </w:rPr>
        <w:t>In particular, t</w:t>
      </w:r>
      <w:r w:rsidR="00C57FF5">
        <w:rPr>
          <w:rFonts w:asciiTheme="minorHAnsi" w:hAnsiTheme="minorHAnsi"/>
          <w:bCs/>
          <w:snapToGrid w:val="0"/>
          <w:lang w:eastAsia="en-US"/>
        </w:rPr>
        <w:t xml:space="preserve">he clinician discussed that access to </w:t>
      </w:r>
      <w:r w:rsidR="008B4C9D">
        <w:rPr>
          <w:rFonts w:asciiTheme="minorHAnsi" w:hAnsiTheme="minorHAnsi"/>
          <w:bCs/>
          <w:snapToGrid w:val="0"/>
          <w:lang w:eastAsia="en-US"/>
        </w:rPr>
        <w:t xml:space="preserve">a </w:t>
      </w:r>
      <w:r w:rsidR="00C57FF5">
        <w:rPr>
          <w:rFonts w:asciiTheme="minorHAnsi" w:hAnsiTheme="minorHAnsi"/>
          <w:bCs/>
          <w:snapToGrid w:val="0"/>
          <w:lang w:eastAsia="en-US"/>
        </w:rPr>
        <w:t>BTK</w:t>
      </w:r>
      <w:r w:rsidR="008B4C9D">
        <w:rPr>
          <w:rFonts w:asciiTheme="minorHAnsi" w:hAnsiTheme="minorHAnsi"/>
          <w:bCs/>
          <w:snapToGrid w:val="0"/>
          <w:lang w:eastAsia="en-US"/>
        </w:rPr>
        <w:t>i</w:t>
      </w:r>
      <w:r w:rsidR="00C57FF5">
        <w:rPr>
          <w:rFonts w:asciiTheme="minorHAnsi" w:hAnsiTheme="minorHAnsi"/>
          <w:bCs/>
          <w:snapToGrid w:val="0"/>
          <w:lang w:eastAsia="en-US"/>
        </w:rPr>
        <w:t xml:space="preserve"> in the first-line setting is a major area of unmet need. In response to the Committee’s questions, the clinician outlined that access to BTKi monotherapy is important; </w:t>
      </w:r>
      <w:r w:rsidR="009F6C7E" w:rsidRPr="009F6C7E">
        <w:rPr>
          <w:rFonts w:asciiTheme="minorHAnsi" w:hAnsiTheme="minorHAnsi"/>
          <w:bCs/>
          <w:snapToGrid w:val="0"/>
          <w:lang w:eastAsia="en-US"/>
        </w:rPr>
        <w:t xml:space="preserve">while combination </w:t>
      </w:r>
      <w:r w:rsidR="00A61F04">
        <w:rPr>
          <w:rFonts w:asciiTheme="minorHAnsi" w:hAnsiTheme="minorHAnsi"/>
          <w:bCs/>
          <w:snapToGrid w:val="0"/>
          <w:lang w:eastAsia="en-US"/>
        </w:rPr>
        <w:t xml:space="preserve">therapy with a BTKi + obinutuzumab </w:t>
      </w:r>
      <w:r w:rsidR="009F6C7E" w:rsidRPr="009F6C7E">
        <w:rPr>
          <w:rFonts w:asciiTheme="minorHAnsi" w:hAnsiTheme="minorHAnsi"/>
          <w:bCs/>
          <w:snapToGrid w:val="0"/>
          <w:lang w:eastAsia="en-US"/>
        </w:rPr>
        <w:t>m</w:t>
      </w:r>
      <w:r w:rsidR="009F6C7E">
        <w:rPr>
          <w:rFonts w:asciiTheme="minorHAnsi" w:hAnsiTheme="minorHAnsi"/>
          <w:bCs/>
          <w:snapToGrid w:val="0"/>
          <w:lang w:eastAsia="en-US"/>
        </w:rPr>
        <w:t>ay</w:t>
      </w:r>
      <w:r w:rsidR="009F6C7E" w:rsidRPr="009F6C7E">
        <w:rPr>
          <w:rFonts w:asciiTheme="minorHAnsi" w:hAnsiTheme="minorHAnsi"/>
          <w:bCs/>
          <w:snapToGrid w:val="0"/>
          <w:lang w:eastAsia="en-US"/>
        </w:rPr>
        <w:t xml:space="preserve"> be the optimal choice for some patients, for other</w:t>
      </w:r>
      <w:r w:rsidR="009F6C7E">
        <w:rPr>
          <w:rFonts w:asciiTheme="minorHAnsi" w:hAnsiTheme="minorHAnsi"/>
          <w:bCs/>
          <w:snapToGrid w:val="0"/>
          <w:lang w:eastAsia="en-US"/>
        </w:rPr>
        <w:t>s</w:t>
      </w:r>
      <w:r w:rsidR="009F6C7E" w:rsidRPr="009F6C7E">
        <w:rPr>
          <w:rFonts w:asciiTheme="minorHAnsi" w:hAnsiTheme="minorHAnsi"/>
          <w:bCs/>
          <w:snapToGrid w:val="0"/>
          <w:lang w:eastAsia="en-US"/>
        </w:rPr>
        <w:t xml:space="preserve"> monotherapy m</w:t>
      </w:r>
      <w:r w:rsidR="009F6C7E">
        <w:rPr>
          <w:rFonts w:asciiTheme="minorHAnsi" w:hAnsiTheme="minorHAnsi"/>
          <w:bCs/>
          <w:snapToGrid w:val="0"/>
          <w:lang w:eastAsia="en-US"/>
        </w:rPr>
        <w:t>ay</w:t>
      </w:r>
      <w:r w:rsidR="009F6C7E" w:rsidRPr="009F6C7E">
        <w:rPr>
          <w:rFonts w:asciiTheme="minorHAnsi" w:hAnsiTheme="minorHAnsi"/>
          <w:bCs/>
          <w:snapToGrid w:val="0"/>
          <w:lang w:eastAsia="en-US"/>
        </w:rPr>
        <w:t xml:space="preserve"> be </w:t>
      </w:r>
      <w:r w:rsidR="009F6C7E">
        <w:rPr>
          <w:rFonts w:asciiTheme="minorHAnsi" w:hAnsiTheme="minorHAnsi"/>
          <w:bCs/>
          <w:snapToGrid w:val="0"/>
          <w:lang w:eastAsia="en-US"/>
        </w:rPr>
        <w:t>preferred</w:t>
      </w:r>
      <w:r w:rsidR="009F6C7E" w:rsidRPr="009F6C7E">
        <w:rPr>
          <w:rFonts w:asciiTheme="minorHAnsi" w:hAnsiTheme="minorHAnsi"/>
          <w:bCs/>
          <w:snapToGrid w:val="0"/>
          <w:lang w:eastAsia="en-US"/>
        </w:rPr>
        <w:t xml:space="preserve"> based on their preferences</w:t>
      </w:r>
      <w:r w:rsidR="009F6C7E">
        <w:rPr>
          <w:rFonts w:asciiTheme="minorHAnsi" w:hAnsiTheme="minorHAnsi"/>
          <w:bCs/>
          <w:snapToGrid w:val="0"/>
          <w:lang w:eastAsia="en-US"/>
        </w:rPr>
        <w:t xml:space="preserve">. Further, the clinician </w:t>
      </w:r>
      <w:r w:rsidR="00A61F04">
        <w:rPr>
          <w:rFonts w:asciiTheme="minorHAnsi" w:hAnsiTheme="minorHAnsi"/>
          <w:bCs/>
          <w:snapToGrid w:val="0"/>
          <w:lang w:eastAsia="en-US"/>
        </w:rPr>
        <w:t xml:space="preserve">outlined that the CIRS score, which is included in the existing restriction for venetoclax + obinutuzumab, </w:t>
      </w:r>
      <w:r w:rsidR="00A61F04" w:rsidRPr="00A61F04">
        <w:rPr>
          <w:rFonts w:asciiTheme="minorHAnsi" w:hAnsiTheme="minorHAnsi"/>
          <w:bCs/>
          <w:snapToGrid w:val="0"/>
          <w:lang w:eastAsia="en-US"/>
        </w:rPr>
        <w:t xml:space="preserve">was developed to assess the ability of a patient to tolerate </w:t>
      </w:r>
      <w:r w:rsidR="007D6516">
        <w:rPr>
          <w:rFonts w:asciiTheme="minorHAnsi" w:hAnsiTheme="minorHAnsi"/>
          <w:bCs/>
          <w:snapToGrid w:val="0"/>
          <w:lang w:eastAsia="en-US"/>
        </w:rPr>
        <w:t>chemoimmunotherapy</w:t>
      </w:r>
      <w:r w:rsidR="00A61F04" w:rsidRPr="00A61F04">
        <w:rPr>
          <w:rFonts w:asciiTheme="minorHAnsi" w:hAnsiTheme="minorHAnsi"/>
          <w:bCs/>
          <w:snapToGrid w:val="0"/>
          <w:lang w:eastAsia="en-US"/>
        </w:rPr>
        <w:t xml:space="preserve"> and </w:t>
      </w:r>
      <w:r w:rsidR="00A61F04">
        <w:rPr>
          <w:rFonts w:asciiTheme="minorHAnsi" w:hAnsiTheme="minorHAnsi"/>
          <w:bCs/>
          <w:snapToGrid w:val="0"/>
          <w:lang w:eastAsia="en-US"/>
        </w:rPr>
        <w:t>i</w:t>
      </w:r>
      <w:r w:rsidR="00A61F04" w:rsidRPr="00A61F04">
        <w:rPr>
          <w:rFonts w:asciiTheme="minorHAnsi" w:hAnsiTheme="minorHAnsi"/>
          <w:bCs/>
          <w:snapToGrid w:val="0"/>
          <w:lang w:eastAsia="en-US"/>
        </w:rPr>
        <w:t>s less relevant for targeted</w:t>
      </w:r>
      <w:r w:rsidR="00A61F04">
        <w:rPr>
          <w:rFonts w:asciiTheme="minorHAnsi" w:hAnsiTheme="minorHAnsi"/>
          <w:bCs/>
          <w:snapToGrid w:val="0"/>
          <w:lang w:eastAsia="en-US"/>
        </w:rPr>
        <w:t xml:space="preserve"> agents.</w:t>
      </w:r>
      <w:r w:rsidR="00C57FF5">
        <w:rPr>
          <w:rFonts w:asciiTheme="minorHAnsi" w:hAnsiTheme="minorHAnsi"/>
          <w:bCs/>
          <w:snapToGrid w:val="0"/>
          <w:lang w:eastAsia="en-US"/>
        </w:rPr>
        <w:t xml:space="preserve"> </w:t>
      </w:r>
      <w:r w:rsidRPr="00395DAD">
        <w:rPr>
          <w:rFonts w:asciiTheme="minorHAnsi" w:hAnsiTheme="minorHAnsi"/>
          <w:bCs/>
          <w:snapToGrid w:val="0"/>
          <w:lang w:eastAsia="en-US"/>
        </w:rPr>
        <w:t xml:space="preserve">The PBAC considered that the hearing was informative as it provided a </w:t>
      </w:r>
      <w:r w:rsidR="00014871" w:rsidRPr="00395DAD">
        <w:rPr>
          <w:rFonts w:asciiTheme="minorHAnsi" w:hAnsiTheme="minorHAnsi"/>
          <w:bCs/>
          <w:snapToGrid w:val="0"/>
          <w:lang w:eastAsia="en-US"/>
        </w:rPr>
        <w:t xml:space="preserve">current clinical </w:t>
      </w:r>
      <w:r w:rsidRPr="00395DAD">
        <w:rPr>
          <w:rFonts w:asciiTheme="minorHAnsi" w:hAnsiTheme="minorHAnsi"/>
          <w:bCs/>
          <w:snapToGrid w:val="0"/>
          <w:lang w:eastAsia="en-US"/>
        </w:rPr>
        <w:t xml:space="preserve">perspective on </w:t>
      </w:r>
      <w:r w:rsidR="00014871" w:rsidRPr="00395DAD">
        <w:rPr>
          <w:rFonts w:asciiTheme="minorHAnsi" w:hAnsiTheme="minorHAnsi"/>
          <w:bCs/>
          <w:snapToGrid w:val="0"/>
          <w:lang w:eastAsia="en-US"/>
        </w:rPr>
        <w:t>the role of BTK inhibitors as a class</w:t>
      </w:r>
      <w:r w:rsidR="00DF3078" w:rsidRPr="00395DAD">
        <w:rPr>
          <w:rFonts w:asciiTheme="minorHAnsi" w:hAnsiTheme="minorHAnsi"/>
          <w:bCs/>
          <w:snapToGrid w:val="0"/>
          <w:lang w:eastAsia="en-US"/>
        </w:rPr>
        <w:t xml:space="preserve"> in the midst of a changing clinical landscape</w:t>
      </w:r>
      <w:r w:rsidR="00CC284A" w:rsidRPr="00395DAD">
        <w:rPr>
          <w:rFonts w:asciiTheme="minorHAnsi" w:hAnsiTheme="minorHAnsi"/>
          <w:bCs/>
          <w:snapToGrid w:val="0"/>
          <w:lang w:eastAsia="en-US"/>
        </w:rPr>
        <w:t>.</w:t>
      </w:r>
      <w:bookmarkEnd w:id="29"/>
    </w:p>
    <w:bookmarkEnd w:id="30"/>
    <w:p w14:paraId="097CCCD4" w14:textId="2B548721" w:rsidR="009800E2" w:rsidRPr="00F926FB" w:rsidRDefault="009800E2" w:rsidP="00F926FB">
      <w:pPr>
        <w:keepNext/>
        <w:spacing w:before="120" w:after="120"/>
        <w:outlineLvl w:val="1"/>
        <w:rPr>
          <w:rFonts w:asciiTheme="minorHAnsi" w:eastAsiaTheme="majorEastAsia" w:hAnsiTheme="minorHAnsi" w:cstheme="majorBidi"/>
          <w:b/>
          <w:i/>
          <w:spacing w:val="5"/>
          <w:kern w:val="28"/>
          <w:sz w:val="28"/>
          <w:szCs w:val="36"/>
        </w:rPr>
      </w:pPr>
      <w:r w:rsidRPr="00F926FB">
        <w:rPr>
          <w:rFonts w:asciiTheme="minorHAnsi" w:eastAsiaTheme="majorEastAsia" w:hAnsiTheme="minorHAnsi" w:cstheme="majorBidi"/>
          <w:b/>
          <w:i/>
          <w:spacing w:val="5"/>
          <w:kern w:val="28"/>
          <w:sz w:val="28"/>
          <w:szCs w:val="36"/>
        </w:rPr>
        <w:t>Consumer comments</w:t>
      </w:r>
    </w:p>
    <w:p w14:paraId="13CA952B" w14:textId="3F4EFC54" w:rsidR="009800E2" w:rsidRPr="00F926FB" w:rsidRDefault="009800E2" w:rsidP="00F926FB">
      <w:pPr>
        <w:widowControl w:val="0"/>
        <w:numPr>
          <w:ilvl w:val="1"/>
          <w:numId w:val="1"/>
        </w:numPr>
        <w:spacing w:after="120"/>
        <w:ind w:left="720" w:hanging="720"/>
        <w:rPr>
          <w:rFonts w:asciiTheme="minorHAnsi" w:hAnsiTheme="minorHAnsi"/>
          <w:bCs/>
          <w:snapToGrid w:val="0"/>
          <w:lang w:eastAsia="en-US"/>
        </w:rPr>
      </w:pPr>
      <w:bookmarkStart w:id="31" w:name="_Hlk76382618"/>
      <w:r w:rsidRPr="00F926FB">
        <w:rPr>
          <w:rFonts w:asciiTheme="minorHAnsi" w:hAnsiTheme="minorHAnsi"/>
          <w:bCs/>
          <w:snapToGrid w:val="0"/>
          <w:lang w:eastAsia="en-US"/>
        </w:rPr>
        <w:t>The PBAC noted and welcomed the input from individuals (</w:t>
      </w:r>
      <w:r w:rsidR="00041348" w:rsidRPr="00F926FB">
        <w:rPr>
          <w:rFonts w:asciiTheme="minorHAnsi" w:hAnsiTheme="minorHAnsi"/>
          <w:bCs/>
          <w:snapToGrid w:val="0"/>
          <w:lang w:eastAsia="en-US"/>
        </w:rPr>
        <w:t>15</w:t>
      </w:r>
      <w:r w:rsidRPr="00F926FB">
        <w:rPr>
          <w:rFonts w:asciiTheme="minorHAnsi" w:hAnsiTheme="minorHAnsi"/>
          <w:bCs/>
          <w:snapToGrid w:val="0"/>
          <w:lang w:eastAsia="en-US"/>
        </w:rPr>
        <w:t>) and organisations (</w:t>
      </w:r>
      <w:r w:rsidR="00041348" w:rsidRPr="00F926FB">
        <w:rPr>
          <w:rFonts w:asciiTheme="minorHAnsi" w:hAnsiTheme="minorHAnsi"/>
          <w:bCs/>
          <w:snapToGrid w:val="0"/>
          <w:lang w:eastAsia="en-US"/>
        </w:rPr>
        <w:t>2</w:t>
      </w:r>
      <w:r w:rsidRPr="00F926FB">
        <w:rPr>
          <w:rFonts w:asciiTheme="minorHAnsi" w:hAnsiTheme="minorHAnsi"/>
          <w:bCs/>
          <w:snapToGrid w:val="0"/>
          <w:lang w:eastAsia="en-US"/>
        </w:rPr>
        <w:t xml:space="preserve">) via the Consumer Comments facility on the PBS website. The comments described a range of benefits of treatment with </w:t>
      </w:r>
      <w:r w:rsidR="00041348" w:rsidRPr="00F926FB">
        <w:rPr>
          <w:rFonts w:asciiTheme="minorHAnsi" w:hAnsiTheme="minorHAnsi"/>
          <w:bCs/>
          <w:snapToGrid w:val="0"/>
          <w:lang w:eastAsia="en-US"/>
        </w:rPr>
        <w:t>acalabrutinib including improved quality of life</w:t>
      </w:r>
      <w:r w:rsidR="00F926FB">
        <w:rPr>
          <w:rFonts w:asciiTheme="minorHAnsi" w:hAnsiTheme="minorHAnsi"/>
          <w:bCs/>
          <w:snapToGrid w:val="0"/>
          <w:lang w:eastAsia="en-US"/>
        </w:rPr>
        <w:t xml:space="preserve"> and</w:t>
      </w:r>
      <w:r w:rsidR="00041348" w:rsidRPr="00F926FB">
        <w:rPr>
          <w:rFonts w:asciiTheme="minorHAnsi" w:hAnsiTheme="minorHAnsi"/>
          <w:bCs/>
          <w:snapToGrid w:val="0"/>
          <w:lang w:eastAsia="en-US"/>
        </w:rPr>
        <w:t xml:space="preserve"> </w:t>
      </w:r>
      <w:r w:rsidR="0040531D">
        <w:rPr>
          <w:rFonts w:asciiTheme="minorHAnsi" w:hAnsiTheme="minorHAnsi"/>
          <w:bCs/>
          <w:snapToGrid w:val="0"/>
          <w:lang w:eastAsia="en-US"/>
        </w:rPr>
        <w:t xml:space="preserve">a </w:t>
      </w:r>
      <w:r w:rsidR="00041348" w:rsidRPr="00F926FB">
        <w:rPr>
          <w:rFonts w:asciiTheme="minorHAnsi" w:hAnsiTheme="minorHAnsi"/>
          <w:bCs/>
          <w:snapToGrid w:val="0"/>
          <w:lang w:eastAsia="en-US"/>
        </w:rPr>
        <w:t>generally manageable adverse event</w:t>
      </w:r>
      <w:r w:rsidR="0040531D">
        <w:rPr>
          <w:rFonts w:asciiTheme="minorHAnsi" w:hAnsiTheme="minorHAnsi"/>
          <w:bCs/>
          <w:snapToGrid w:val="0"/>
          <w:lang w:eastAsia="en-US"/>
        </w:rPr>
        <w:t xml:space="preserve"> profile</w:t>
      </w:r>
      <w:r w:rsidR="00F926FB">
        <w:rPr>
          <w:rFonts w:asciiTheme="minorHAnsi" w:hAnsiTheme="minorHAnsi"/>
          <w:bCs/>
          <w:snapToGrid w:val="0"/>
          <w:lang w:eastAsia="en-US"/>
        </w:rPr>
        <w:t>.</w:t>
      </w:r>
      <w:r w:rsidR="00041348" w:rsidRPr="00F926FB">
        <w:rPr>
          <w:rFonts w:asciiTheme="minorHAnsi" w:hAnsiTheme="minorHAnsi"/>
          <w:bCs/>
          <w:snapToGrid w:val="0"/>
          <w:lang w:eastAsia="en-US"/>
        </w:rPr>
        <w:t xml:space="preserve"> </w:t>
      </w:r>
      <w:r w:rsidR="00E3386C" w:rsidRPr="00F926FB">
        <w:rPr>
          <w:rFonts w:asciiTheme="minorHAnsi" w:hAnsiTheme="minorHAnsi"/>
          <w:bCs/>
          <w:snapToGrid w:val="0"/>
          <w:lang w:eastAsia="en-US"/>
        </w:rPr>
        <w:t xml:space="preserve">The comments outlined the advantages compared with FCR including improved clinical outcomes (particularly in </w:t>
      </w:r>
      <w:r w:rsidR="00E3386C" w:rsidRPr="00F926FB">
        <w:rPr>
          <w:rFonts w:asciiTheme="minorHAnsi" w:hAnsiTheme="minorHAnsi"/>
          <w:bCs/>
          <w:snapToGrid w:val="0"/>
          <w:lang w:eastAsia="en-US"/>
        </w:rPr>
        <w:lastRenderedPageBreak/>
        <w:t xml:space="preserve">patients with specific </w:t>
      </w:r>
      <w:r w:rsidR="00E3386C">
        <w:rPr>
          <w:rFonts w:asciiTheme="minorHAnsi" w:hAnsiTheme="minorHAnsi"/>
          <w:bCs/>
          <w:snapToGrid w:val="0"/>
          <w:lang w:eastAsia="en-US"/>
        </w:rPr>
        <w:t>mutations</w:t>
      </w:r>
      <w:r w:rsidR="00E3386C" w:rsidRPr="00F926FB">
        <w:rPr>
          <w:rFonts w:asciiTheme="minorHAnsi" w:hAnsiTheme="minorHAnsi"/>
          <w:bCs/>
          <w:snapToGrid w:val="0"/>
          <w:lang w:eastAsia="en-US"/>
        </w:rPr>
        <w:t xml:space="preserve">) and fewer adverse events. </w:t>
      </w:r>
      <w:r w:rsidR="00041348" w:rsidRPr="00F926FB">
        <w:rPr>
          <w:rFonts w:asciiTheme="minorHAnsi" w:hAnsiTheme="minorHAnsi"/>
          <w:bCs/>
          <w:snapToGrid w:val="0"/>
          <w:lang w:eastAsia="en-US"/>
        </w:rPr>
        <w:t xml:space="preserve">The comments also outlined that acalabrutinib </w:t>
      </w:r>
      <w:r w:rsidR="00E3386C">
        <w:rPr>
          <w:rFonts w:asciiTheme="minorHAnsi" w:hAnsiTheme="minorHAnsi"/>
          <w:bCs/>
          <w:snapToGrid w:val="0"/>
          <w:lang w:eastAsia="en-US"/>
        </w:rPr>
        <w:t xml:space="preserve">(without obinutuzumab) </w:t>
      </w:r>
      <w:r w:rsidR="00041348" w:rsidRPr="00F926FB">
        <w:rPr>
          <w:rFonts w:asciiTheme="minorHAnsi" w:hAnsiTheme="minorHAnsi"/>
          <w:bCs/>
          <w:snapToGrid w:val="0"/>
          <w:lang w:eastAsia="en-US"/>
        </w:rPr>
        <w:t xml:space="preserve">is easy to administer </w:t>
      </w:r>
      <w:r w:rsidR="0040531D">
        <w:rPr>
          <w:rFonts w:asciiTheme="minorHAnsi" w:hAnsiTheme="minorHAnsi"/>
          <w:bCs/>
          <w:snapToGrid w:val="0"/>
          <w:lang w:eastAsia="en-US"/>
        </w:rPr>
        <w:t>(</w:t>
      </w:r>
      <w:r w:rsidR="0040531D" w:rsidRPr="00F926FB">
        <w:rPr>
          <w:rFonts w:asciiTheme="minorHAnsi" w:hAnsiTheme="minorHAnsi"/>
          <w:bCs/>
          <w:snapToGrid w:val="0"/>
          <w:lang w:eastAsia="en-US"/>
        </w:rPr>
        <w:t>tablet formulation</w:t>
      </w:r>
      <w:r w:rsidR="0040531D">
        <w:rPr>
          <w:rFonts w:asciiTheme="minorHAnsi" w:hAnsiTheme="minorHAnsi"/>
          <w:bCs/>
          <w:snapToGrid w:val="0"/>
          <w:lang w:eastAsia="en-US"/>
        </w:rPr>
        <w:t>)</w:t>
      </w:r>
      <w:r w:rsidR="0040531D" w:rsidRPr="00F926FB">
        <w:rPr>
          <w:rFonts w:asciiTheme="minorHAnsi" w:hAnsiTheme="minorHAnsi"/>
          <w:bCs/>
          <w:snapToGrid w:val="0"/>
          <w:lang w:eastAsia="en-US"/>
        </w:rPr>
        <w:t xml:space="preserve"> </w:t>
      </w:r>
      <w:r w:rsidR="0040531D">
        <w:rPr>
          <w:rFonts w:asciiTheme="minorHAnsi" w:hAnsiTheme="minorHAnsi"/>
          <w:bCs/>
          <w:snapToGrid w:val="0"/>
          <w:lang w:eastAsia="en-US"/>
        </w:rPr>
        <w:t>with less intensive</w:t>
      </w:r>
      <w:r w:rsidR="00F926FB" w:rsidRPr="00F926FB">
        <w:rPr>
          <w:rFonts w:asciiTheme="minorHAnsi" w:hAnsiTheme="minorHAnsi"/>
          <w:bCs/>
          <w:snapToGrid w:val="0"/>
          <w:lang w:eastAsia="en-US"/>
        </w:rPr>
        <w:t xml:space="preserve"> monitoring requirements than </w:t>
      </w:r>
      <w:r w:rsidR="00041348" w:rsidRPr="00F926FB">
        <w:rPr>
          <w:rFonts w:asciiTheme="minorHAnsi" w:hAnsiTheme="minorHAnsi"/>
          <w:bCs/>
          <w:snapToGrid w:val="0"/>
          <w:lang w:eastAsia="en-US"/>
        </w:rPr>
        <w:t xml:space="preserve">other CLL treatments, which is a particular advantage </w:t>
      </w:r>
      <w:r w:rsidR="00F926FB" w:rsidRPr="00F926FB">
        <w:rPr>
          <w:rFonts w:asciiTheme="minorHAnsi" w:hAnsiTheme="minorHAnsi"/>
          <w:bCs/>
          <w:snapToGrid w:val="0"/>
          <w:lang w:eastAsia="en-US"/>
        </w:rPr>
        <w:t xml:space="preserve">for patients </w:t>
      </w:r>
      <w:r w:rsidR="00041348" w:rsidRPr="00F926FB">
        <w:rPr>
          <w:rFonts w:asciiTheme="minorHAnsi" w:hAnsiTheme="minorHAnsi"/>
          <w:bCs/>
          <w:snapToGrid w:val="0"/>
          <w:lang w:eastAsia="en-US"/>
        </w:rPr>
        <w:t xml:space="preserve">in rural and remote areas. </w:t>
      </w:r>
    </w:p>
    <w:p w14:paraId="228768AE" w14:textId="5CFD8761" w:rsidR="0040531D" w:rsidRDefault="009800E2" w:rsidP="00F926FB">
      <w:pPr>
        <w:widowControl w:val="0"/>
        <w:numPr>
          <w:ilvl w:val="1"/>
          <w:numId w:val="1"/>
        </w:numPr>
        <w:spacing w:after="120"/>
        <w:ind w:left="720" w:hanging="720"/>
        <w:rPr>
          <w:rFonts w:asciiTheme="minorHAnsi" w:hAnsiTheme="minorHAnsi"/>
          <w:bCs/>
          <w:snapToGrid w:val="0"/>
          <w:lang w:eastAsia="en-US"/>
        </w:rPr>
      </w:pPr>
      <w:r w:rsidRPr="00F926FB">
        <w:rPr>
          <w:rFonts w:asciiTheme="minorHAnsi" w:hAnsiTheme="minorHAnsi"/>
          <w:bCs/>
          <w:snapToGrid w:val="0"/>
          <w:lang w:eastAsia="en-US"/>
        </w:rPr>
        <w:t xml:space="preserve">The PBAC noted the advice received from </w:t>
      </w:r>
      <w:r w:rsidR="00F926FB">
        <w:rPr>
          <w:rFonts w:asciiTheme="minorHAnsi" w:hAnsiTheme="minorHAnsi"/>
          <w:bCs/>
          <w:snapToGrid w:val="0"/>
          <w:lang w:eastAsia="en-US"/>
        </w:rPr>
        <w:t xml:space="preserve">Lymphoma Australia </w:t>
      </w:r>
      <w:r w:rsidR="0040531D">
        <w:rPr>
          <w:rFonts w:asciiTheme="minorHAnsi" w:hAnsiTheme="minorHAnsi"/>
          <w:bCs/>
          <w:snapToGrid w:val="0"/>
          <w:lang w:eastAsia="en-US"/>
        </w:rPr>
        <w:t xml:space="preserve">and the Leukaemia Foundation </w:t>
      </w:r>
      <w:r w:rsidR="00F926FB">
        <w:rPr>
          <w:rFonts w:asciiTheme="minorHAnsi" w:hAnsiTheme="minorHAnsi"/>
          <w:bCs/>
          <w:snapToGrid w:val="0"/>
          <w:lang w:eastAsia="en-US"/>
        </w:rPr>
        <w:t>that many patients with CLL/SLL are unsuitable for FCR</w:t>
      </w:r>
      <w:r w:rsidR="0040531D">
        <w:rPr>
          <w:rFonts w:asciiTheme="minorHAnsi" w:hAnsiTheme="minorHAnsi"/>
          <w:bCs/>
          <w:snapToGrid w:val="0"/>
          <w:lang w:eastAsia="en-US"/>
        </w:rPr>
        <w:t>,</w:t>
      </w:r>
      <w:r w:rsidR="00F926FB">
        <w:rPr>
          <w:rFonts w:asciiTheme="minorHAnsi" w:hAnsiTheme="minorHAnsi"/>
          <w:bCs/>
          <w:snapToGrid w:val="0"/>
          <w:lang w:eastAsia="en-US"/>
        </w:rPr>
        <w:t xml:space="preserve"> some patients have specific mutations (e.g.</w:t>
      </w:r>
      <w:r w:rsidR="00A3745D">
        <w:rPr>
          <w:rFonts w:asciiTheme="minorHAnsi" w:hAnsiTheme="minorHAnsi"/>
          <w:bCs/>
          <w:snapToGrid w:val="0"/>
          <w:lang w:eastAsia="en-US"/>
        </w:rPr>
        <w:t>,</w:t>
      </w:r>
      <w:r w:rsidR="00F926FB">
        <w:rPr>
          <w:rFonts w:asciiTheme="minorHAnsi" w:hAnsiTheme="minorHAnsi"/>
          <w:bCs/>
          <w:snapToGrid w:val="0"/>
          <w:lang w:eastAsia="en-US"/>
        </w:rPr>
        <w:t xml:space="preserve"> del17p) that do not respond to FCR</w:t>
      </w:r>
      <w:r w:rsidR="0040531D">
        <w:rPr>
          <w:rFonts w:asciiTheme="minorHAnsi" w:hAnsiTheme="minorHAnsi"/>
          <w:bCs/>
          <w:snapToGrid w:val="0"/>
          <w:lang w:eastAsia="en-US"/>
        </w:rPr>
        <w:t xml:space="preserve">, and that FCR is associated with significant risk of adverse events. The comments outlined that there is currently a gap in PBS access to therapies that are recommended as best clinical practice. The comments noted that acalabrutinib is effective and </w:t>
      </w:r>
      <w:r w:rsidR="00C57FF5">
        <w:rPr>
          <w:rFonts w:asciiTheme="minorHAnsi" w:hAnsiTheme="minorHAnsi"/>
          <w:bCs/>
          <w:snapToGrid w:val="0"/>
          <w:lang w:eastAsia="en-US"/>
        </w:rPr>
        <w:t>generall</w:t>
      </w:r>
      <w:r w:rsidR="0040531D">
        <w:rPr>
          <w:rFonts w:asciiTheme="minorHAnsi" w:hAnsiTheme="minorHAnsi"/>
          <w:bCs/>
          <w:snapToGrid w:val="0"/>
          <w:lang w:eastAsia="en-US"/>
        </w:rPr>
        <w:t xml:space="preserve">y tolerable. </w:t>
      </w:r>
    </w:p>
    <w:p w14:paraId="5FFC08B9" w14:textId="3977CFC1" w:rsidR="006E47EC" w:rsidRDefault="006E47EC" w:rsidP="00F926FB">
      <w:pPr>
        <w:widowControl w:val="0"/>
        <w:numPr>
          <w:ilvl w:val="1"/>
          <w:numId w:val="1"/>
        </w:numPr>
        <w:spacing w:after="120"/>
        <w:ind w:left="720" w:hanging="720"/>
        <w:rPr>
          <w:rFonts w:asciiTheme="minorHAnsi" w:hAnsiTheme="minorHAnsi"/>
          <w:bCs/>
          <w:snapToGrid w:val="0"/>
          <w:lang w:eastAsia="en-US"/>
        </w:rPr>
      </w:pPr>
      <w:bookmarkStart w:id="32" w:name="_Ref122578048"/>
      <w:r>
        <w:rPr>
          <w:rFonts w:asciiTheme="minorHAnsi" w:hAnsiTheme="minorHAnsi"/>
          <w:bCs/>
          <w:snapToGrid w:val="0"/>
          <w:lang w:eastAsia="en-US"/>
        </w:rPr>
        <w:t xml:space="preserve">The PBAC </w:t>
      </w:r>
      <w:r w:rsidR="00943744">
        <w:rPr>
          <w:rFonts w:asciiTheme="minorHAnsi" w:hAnsiTheme="minorHAnsi"/>
          <w:bCs/>
          <w:snapToGrid w:val="0"/>
          <w:lang w:eastAsia="en-US"/>
        </w:rPr>
        <w:t xml:space="preserve">recalled that </w:t>
      </w:r>
      <w:r>
        <w:rPr>
          <w:rFonts w:asciiTheme="minorHAnsi" w:hAnsiTheme="minorHAnsi"/>
          <w:bCs/>
          <w:snapToGrid w:val="0"/>
          <w:lang w:eastAsia="en-US"/>
        </w:rPr>
        <w:t xml:space="preserve">a clinician consultation was held on 1 December 2022 to </w:t>
      </w:r>
      <w:r w:rsidR="00E61DA7">
        <w:rPr>
          <w:rFonts w:asciiTheme="minorHAnsi" w:hAnsiTheme="minorHAnsi"/>
          <w:bCs/>
          <w:snapToGrid w:val="0"/>
          <w:lang w:eastAsia="en-US"/>
        </w:rPr>
        <w:t>discuss</w:t>
      </w:r>
      <w:r w:rsidRPr="006E47EC">
        <w:rPr>
          <w:rFonts w:asciiTheme="minorHAnsi" w:hAnsiTheme="minorHAnsi"/>
          <w:bCs/>
          <w:snapToGrid w:val="0"/>
          <w:lang w:eastAsia="en-US"/>
        </w:rPr>
        <w:t xml:space="preserve"> the treatment of CLL </w:t>
      </w:r>
      <w:r w:rsidR="00943744">
        <w:rPr>
          <w:rFonts w:asciiTheme="minorHAnsi" w:hAnsiTheme="minorHAnsi"/>
          <w:bCs/>
          <w:snapToGrid w:val="0"/>
          <w:lang w:eastAsia="en-US"/>
        </w:rPr>
        <w:t>/SLL</w:t>
      </w:r>
      <w:r w:rsidRPr="006E47EC">
        <w:rPr>
          <w:rFonts w:asciiTheme="minorHAnsi" w:hAnsiTheme="minorHAnsi"/>
          <w:bCs/>
          <w:snapToGrid w:val="0"/>
          <w:lang w:eastAsia="en-US"/>
        </w:rPr>
        <w:t xml:space="preserve"> in relation to the existing </w:t>
      </w:r>
      <w:r w:rsidR="00943744">
        <w:rPr>
          <w:rFonts w:asciiTheme="minorHAnsi" w:hAnsiTheme="minorHAnsi"/>
          <w:bCs/>
          <w:snapToGrid w:val="0"/>
          <w:lang w:eastAsia="en-US"/>
        </w:rPr>
        <w:t xml:space="preserve">PBS </w:t>
      </w:r>
      <w:r w:rsidRPr="006E47EC">
        <w:rPr>
          <w:rFonts w:asciiTheme="minorHAnsi" w:hAnsiTheme="minorHAnsi"/>
          <w:bCs/>
          <w:snapToGrid w:val="0"/>
          <w:lang w:eastAsia="en-US"/>
        </w:rPr>
        <w:t>treatment algorithm and the new drug regimens proposed for PBS-listing in the context of the evolving treatment landscape.</w:t>
      </w:r>
      <w:r w:rsidR="00943744">
        <w:rPr>
          <w:rFonts w:asciiTheme="minorHAnsi" w:hAnsiTheme="minorHAnsi"/>
          <w:bCs/>
          <w:snapToGrid w:val="0"/>
          <w:lang w:eastAsia="en-US"/>
        </w:rPr>
        <w:t xml:space="preserve"> The key points were:</w:t>
      </w:r>
      <w:bookmarkEnd w:id="32"/>
    </w:p>
    <w:p w14:paraId="6585EEF5" w14:textId="09FBB111" w:rsidR="00943744" w:rsidRDefault="00943744" w:rsidP="00943744">
      <w:pPr>
        <w:pStyle w:val="COMexecsummbulletlist"/>
        <w:ind w:left="1134"/>
        <w:rPr>
          <w:lang w:eastAsia="en-US"/>
        </w:rPr>
      </w:pPr>
      <w:r w:rsidRPr="00943744">
        <w:rPr>
          <w:lang w:eastAsia="en-US"/>
        </w:rPr>
        <w:t>The clinicians emphasised that FCR is no longer a preferred regimen in any patient group, which creates a significant access issue for young and/or fit patients who do not meet the existing PBS criteria for Bruton’s tyrosine kinase inhibitors (BTKi) or venetoclax (BCL-2i).</w:t>
      </w:r>
      <w:r>
        <w:rPr>
          <w:lang w:eastAsia="en-US"/>
        </w:rPr>
        <w:t xml:space="preserve"> </w:t>
      </w:r>
      <w:r w:rsidRPr="00943744">
        <w:rPr>
          <w:lang w:eastAsia="en-US"/>
        </w:rPr>
        <w:t>The clinicians noted that, while the clinical need is highest in patients with poor risk cytogenetics, it would not be appropriate to limit access to BTKi and /or venetoclax therapy to these specific groups given the high clinical need across the broader young, fit population.</w:t>
      </w:r>
    </w:p>
    <w:p w14:paraId="34579F83" w14:textId="2EFD75A8" w:rsidR="00943744" w:rsidRPr="00943744" w:rsidRDefault="00943744" w:rsidP="00943744">
      <w:pPr>
        <w:pStyle w:val="COMexecsummbulletlist"/>
        <w:ind w:left="1134"/>
        <w:rPr>
          <w:rFonts w:cs="Times New Roman"/>
        </w:rPr>
      </w:pPr>
      <w:r>
        <w:t xml:space="preserve">The clinicians indicated that the existing PBS criteria around ‘inappropriate for fludarabine-based </w:t>
      </w:r>
      <w:r w:rsidR="007D6516">
        <w:t>chemoimmunotherapy</w:t>
      </w:r>
      <w:r>
        <w:t>’ and ‘unsuitable for treatment with a purine analogue’ are no longer relevant to current clinical practice.</w:t>
      </w:r>
    </w:p>
    <w:p w14:paraId="17C47DB5" w14:textId="1E5E0204" w:rsidR="00943744" w:rsidRDefault="00943744" w:rsidP="00943744">
      <w:pPr>
        <w:pStyle w:val="COMexecsummbulletlist"/>
        <w:ind w:left="1134"/>
        <w:rPr>
          <w:lang w:eastAsia="en-US"/>
        </w:rPr>
      </w:pPr>
      <w:r w:rsidRPr="00943744">
        <w:rPr>
          <w:lang w:eastAsia="en-US"/>
        </w:rPr>
        <w:t>The clinicians advised that there is a lack of clinical trial data available to differentiate between regimens or determine which particular regimen would be preferable in a particular patient group/setting.</w:t>
      </w:r>
      <w:r>
        <w:rPr>
          <w:lang w:eastAsia="en-US"/>
        </w:rPr>
        <w:t xml:space="preserve"> </w:t>
      </w:r>
      <w:r w:rsidRPr="00943744">
        <w:rPr>
          <w:lang w:eastAsia="en-US"/>
        </w:rPr>
        <w:t>Overall, the clinicians considered that it would be preferable to have a range of options available for all patients with CLL/SLL. The clinicians noted that any treatment option containing a BTKi and/or venetoclax would be preferable to FCR.</w:t>
      </w:r>
    </w:p>
    <w:p w14:paraId="600B6972" w14:textId="77777777" w:rsidR="0014562A" w:rsidRPr="0014562A" w:rsidRDefault="0014562A" w:rsidP="00C30F91">
      <w:pPr>
        <w:pStyle w:val="COMexecsummbulletlist"/>
        <w:ind w:left="1134"/>
        <w:rPr>
          <w:lang w:eastAsia="en-US"/>
        </w:rPr>
      </w:pPr>
      <w:bookmarkStart w:id="33" w:name="_Hlk123719647"/>
      <w:r w:rsidRPr="0014562A">
        <w:rPr>
          <w:lang w:eastAsia="en-US"/>
        </w:rPr>
        <w:t xml:space="preserve">The clinicians outlined that it would be appropriate to re-treat patients with venetoclax or BTKi therapy if they had progressed following these therapies (unless discontinued due to poor tolerability). The clinicians indicated that a longer duration of initial response was an indicator for a higher probability of responding to that same therapy again (and vice versa). The clinicians indicated that there were no firm data regarding a time-frame for a recurrence-free period after which it would be appropriate to re-treat with the same agent and advised that a range of variables would be taken into account such as patient age and treatment intent.  </w:t>
      </w:r>
    </w:p>
    <w:bookmarkEnd w:id="27"/>
    <w:bookmarkEnd w:id="31"/>
    <w:bookmarkEnd w:id="33"/>
    <w:p w14:paraId="609C0765" w14:textId="65001F39" w:rsidR="00B60939" w:rsidRPr="00E44776" w:rsidRDefault="00B60939" w:rsidP="002E4F02">
      <w:pPr>
        <w:pStyle w:val="COMH2-non-numbered"/>
        <w:rPr>
          <w:iCs/>
        </w:rPr>
      </w:pPr>
      <w:r w:rsidRPr="00F926FB">
        <w:rPr>
          <w:iCs/>
        </w:rPr>
        <w:lastRenderedPageBreak/>
        <w:t>Clinical trials</w:t>
      </w:r>
      <w:bookmarkEnd w:id="26"/>
      <w:bookmarkEnd w:id="28"/>
    </w:p>
    <w:p w14:paraId="28D1463F" w14:textId="46F2E3DC" w:rsidR="00214B38" w:rsidRPr="00E44776" w:rsidRDefault="00214B38" w:rsidP="00214B38">
      <w:pPr>
        <w:pStyle w:val="COMexecsumnumberedpara"/>
        <w:rPr>
          <w:color w:val="0066FF"/>
        </w:rPr>
      </w:pPr>
      <w:r w:rsidRPr="00E44776">
        <w:t>The resubmission was based on the following comparisons of acalabrutinib + obinutuzumab versus venetoclax + obinutuzumab:</w:t>
      </w:r>
    </w:p>
    <w:p w14:paraId="7F809A3A" w14:textId="5E394E21" w:rsidR="00214B38" w:rsidRPr="00E44776" w:rsidRDefault="00214B38" w:rsidP="00D32791">
      <w:pPr>
        <w:pStyle w:val="ListBullet"/>
        <w:numPr>
          <w:ilvl w:val="0"/>
          <w:numId w:val="11"/>
        </w:numPr>
        <w:ind w:left="1077" w:hanging="357"/>
      </w:pPr>
      <w:r w:rsidRPr="00E44776">
        <w:t>A</w:t>
      </w:r>
      <w:r w:rsidR="00995EB1">
        <w:t>n unanchored, un</w:t>
      </w:r>
      <w:r w:rsidR="004305F8">
        <w:t>adjusted</w:t>
      </w:r>
      <w:r w:rsidRPr="00E44776">
        <w:t xml:space="preserve"> </w:t>
      </w:r>
      <w:r w:rsidR="00995EB1">
        <w:t>(</w:t>
      </w:r>
      <w:r w:rsidRPr="00E44776">
        <w:t>naïve</w:t>
      </w:r>
      <w:r w:rsidR="00995EB1">
        <w:t>) indirect</w:t>
      </w:r>
      <w:r w:rsidRPr="00E44776">
        <w:t xml:space="preserve"> comparison and an unanchored MAIC of acalabrutinib + obinutuzumab (ELEVATE-TN) versus venetoclax + obinutuzumab (CLL-14), at a median duration of follow-up of 28.3 months and 28.1 months, respectively.</w:t>
      </w:r>
      <w:r w:rsidR="00E75BA0" w:rsidRPr="00E44776">
        <w:t xml:space="preserve"> Th</w:t>
      </w:r>
      <w:r w:rsidR="00F4324F" w:rsidRPr="00E44776">
        <w:t>ese comparisons were p</w:t>
      </w:r>
      <w:r w:rsidR="00E75BA0" w:rsidRPr="00E44776">
        <w:t xml:space="preserve">reviously considered at the </w:t>
      </w:r>
      <w:r w:rsidR="00E75BA0" w:rsidRPr="00E44776">
        <w:rPr>
          <w:lang w:val="en-US"/>
        </w:rPr>
        <w:t>July 2020 PBAC meeting.</w:t>
      </w:r>
    </w:p>
    <w:p w14:paraId="03A99DE2" w14:textId="3AEAC669" w:rsidR="00214B38" w:rsidRPr="00E44776" w:rsidRDefault="00214B38" w:rsidP="00D32791">
      <w:pPr>
        <w:pStyle w:val="ListBullet"/>
        <w:numPr>
          <w:ilvl w:val="0"/>
          <w:numId w:val="11"/>
        </w:numPr>
        <w:ind w:left="1077" w:hanging="357"/>
      </w:pPr>
      <w:r w:rsidRPr="00E44776">
        <w:t>A</w:t>
      </w:r>
      <w:r w:rsidR="00995EB1">
        <w:t>n unanchored, un</w:t>
      </w:r>
      <w:r w:rsidR="004305F8">
        <w:t>adjusted</w:t>
      </w:r>
      <w:r w:rsidRPr="00E44776">
        <w:t xml:space="preserve"> </w:t>
      </w:r>
      <w:r w:rsidR="00995EB1">
        <w:t>(</w:t>
      </w:r>
      <w:r w:rsidRPr="00E44776">
        <w:t>naïve</w:t>
      </w:r>
      <w:r w:rsidR="00995EB1">
        <w:t>) indirect</w:t>
      </w:r>
      <w:r w:rsidRPr="00E44776">
        <w:t xml:space="preserve"> comparison and an unanchored MAIC of acalabrutinib + obinutuzumab (ELEVATE-TN) versus venetoclax + obinutuzumab (CLL-14), at a median duration of follow-up of 46.9 months and 39.6 month</w:t>
      </w:r>
      <w:r w:rsidR="00B2379F" w:rsidRPr="00E44776">
        <w:t>s</w:t>
      </w:r>
      <w:r w:rsidRPr="00E44776">
        <w:t>, respectively.</w:t>
      </w:r>
      <w:r w:rsidR="00E75BA0" w:rsidRPr="00E44776">
        <w:t xml:space="preserve"> Results from this data</w:t>
      </w:r>
      <w:r w:rsidR="0050665B" w:rsidRPr="00E44776">
        <w:t> </w:t>
      </w:r>
      <w:r w:rsidR="00E75BA0" w:rsidRPr="00E44776">
        <w:t xml:space="preserve">cut of </w:t>
      </w:r>
      <w:r w:rsidR="00F9518F" w:rsidRPr="00E44776">
        <w:t xml:space="preserve">the </w:t>
      </w:r>
      <w:r w:rsidR="00E75BA0" w:rsidRPr="00E44776">
        <w:rPr>
          <w:lang w:val="en-US"/>
        </w:rPr>
        <w:t xml:space="preserve">ELEVATE-TN </w:t>
      </w:r>
      <w:r w:rsidR="00F9518F" w:rsidRPr="00E44776">
        <w:rPr>
          <w:lang w:val="en-US"/>
        </w:rPr>
        <w:t xml:space="preserve">trial </w:t>
      </w:r>
      <w:r w:rsidR="00E75BA0" w:rsidRPr="00E44776">
        <w:rPr>
          <w:lang w:val="en-US"/>
        </w:rPr>
        <w:t xml:space="preserve">were considered at the November 2021 PBAC meeting, </w:t>
      </w:r>
      <w:r w:rsidR="005B74FD" w:rsidRPr="00E44776">
        <w:rPr>
          <w:lang w:val="en-US"/>
        </w:rPr>
        <w:t xml:space="preserve">however </w:t>
      </w:r>
      <w:r w:rsidR="00E75BA0" w:rsidRPr="00E44776">
        <w:rPr>
          <w:lang w:val="en-US"/>
        </w:rPr>
        <w:t>no comparison was made to venetoclax + obinutuzumab in that submission.</w:t>
      </w:r>
    </w:p>
    <w:p w14:paraId="1D1A8F7E" w14:textId="167C7118" w:rsidR="00214B38" w:rsidRPr="00E44776" w:rsidRDefault="00214B38" w:rsidP="00D32791">
      <w:pPr>
        <w:pStyle w:val="ListBullet"/>
        <w:numPr>
          <w:ilvl w:val="0"/>
          <w:numId w:val="11"/>
        </w:numPr>
        <w:spacing w:after="120"/>
        <w:ind w:left="1077" w:hanging="357"/>
      </w:pPr>
      <w:r w:rsidRPr="00E44776">
        <w:t>A</w:t>
      </w:r>
      <w:r w:rsidR="00995EB1">
        <w:t>n unanchored, un</w:t>
      </w:r>
      <w:r w:rsidR="004305F8">
        <w:t>adjusted</w:t>
      </w:r>
      <w:r w:rsidRPr="00E44776">
        <w:t xml:space="preserve"> </w:t>
      </w:r>
      <w:r w:rsidR="00995EB1">
        <w:t>(</w:t>
      </w:r>
      <w:r w:rsidRPr="00E44776">
        <w:t>naïve</w:t>
      </w:r>
      <w:r w:rsidR="00995EB1">
        <w:t>)</w:t>
      </w:r>
      <w:r w:rsidRPr="00E44776">
        <w:t xml:space="preserve"> </w:t>
      </w:r>
      <w:r w:rsidR="00995EB1">
        <w:t xml:space="preserve">indirect </w:t>
      </w:r>
      <w:r w:rsidRPr="00E44776">
        <w:t>comparison of acalabrutinib + obinutuzumab (ELEVATE-TN) versus venetoclax + obinutuzumab (CLL-14) at a median duration of follow-up of 58.2 months and 52.4 months, respectively.</w:t>
      </w:r>
    </w:p>
    <w:p w14:paraId="3C8CA09B" w14:textId="7E3A0F4D" w:rsidR="00A26A29" w:rsidRPr="00E44776" w:rsidRDefault="00A26A29" w:rsidP="00A26A29">
      <w:pPr>
        <w:pStyle w:val="COMexecsumnumberedpara"/>
        <w:rPr>
          <w:snapToGrid/>
          <w:lang w:val="en-US"/>
        </w:rPr>
      </w:pPr>
      <w:r w:rsidRPr="00E44776">
        <w:rPr>
          <w:snapToGrid/>
          <w:lang w:val="en-US"/>
        </w:rPr>
        <w:t>During the evaluation, an additional publication for the CLL-14 trial was identified (Al-Sawaf et al., 2022) which reported outcomes at a median follow-up of 65.4 months</w:t>
      </w:r>
      <w:r w:rsidR="00E75BA0" w:rsidRPr="00E44776">
        <w:rPr>
          <w:snapToGrid/>
          <w:lang w:val="en-US"/>
        </w:rPr>
        <w:t xml:space="preserve">, the results of which </w:t>
      </w:r>
      <w:r w:rsidRPr="00E44776">
        <w:rPr>
          <w:snapToGrid/>
          <w:lang w:val="en-US"/>
        </w:rPr>
        <w:t xml:space="preserve">are also presented </w:t>
      </w:r>
      <w:r w:rsidR="005B67E9" w:rsidRPr="00E44776">
        <w:rPr>
          <w:snapToGrid/>
          <w:lang w:val="en-US"/>
        </w:rPr>
        <w:t>below</w:t>
      </w:r>
      <w:r w:rsidRPr="00E44776">
        <w:rPr>
          <w:snapToGrid/>
          <w:lang w:val="en-US"/>
        </w:rPr>
        <w:t>.</w:t>
      </w:r>
    </w:p>
    <w:p w14:paraId="78B9A513" w14:textId="2C63D0FA" w:rsidR="00A26A29" w:rsidRPr="00E44776" w:rsidRDefault="00620BB5" w:rsidP="00A26A29">
      <w:pPr>
        <w:pStyle w:val="COMexecsumnumberedpara"/>
        <w:rPr>
          <w:snapToGrid/>
          <w:lang w:val="en-US"/>
        </w:rPr>
      </w:pPr>
      <w:r w:rsidRPr="00E44776">
        <w:rPr>
          <w:snapToGrid/>
          <w:lang w:val="en-US"/>
        </w:rPr>
        <w:t>N</w:t>
      </w:r>
      <w:r w:rsidR="00A26A29" w:rsidRPr="00E44776">
        <w:rPr>
          <w:snapToGrid/>
          <w:lang w:val="en-US"/>
        </w:rPr>
        <w:t>aïve comparisons and unanchored MAICs were also presented for acalabrutinib monotherapy versus venetoclax + obinutuzumab.</w:t>
      </w:r>
    </w:p>
    <w:p w14:paraId="15C52A34" w14:textId="39804E7E" w:rsidR="00A26A29" w:rsidRPr="00E44776" w:rsidRDefault="00A26A29" w:rsidP="00A26A29">
      <w:pPr>
        <w:pStyle w:val="ExecSumBodyText"/>
        <w:numPr>
          <w:ilvl w:val="1"/>
          <w:numId w:val="1"/>
        </w:numPr>
      </w:pPr>
      <w:r w:rsidRPr="00E44776">
        <w:rPr>
          <w:snapToGrid/>
        </w:rPr>
        <w:t xml:space="preserve">Details of the trial reports presented in the </w:t>
      </w:r>
      <w:r w:rsidR="00387AA3" w:rsidRPr="00E44776">
        <w:rPr>
          <w:snapToGrid/>
        </w:rPr>
        <w:t>re</w:t>
      </w:r>
      <w:r w:rsidRPr="00E44776">
        <w:rPr>
          <w:snapToGrid/>
        </w:rPr>
        <w:t>submission are provided in</w:t>
      </w:r>
      <w:r w:rsidR="00DA11DB" w:rsidRPr="00E44776">
        <w:rPr>
          <w:snapToGrid/>
        </w:rPr>
        <w:t xml:space="preserve"> </w:t>
      </w:r>
      <w:r w:rsidR="00DA11DB" w:rsidRPr="00E44776">
        <w:rPr>
          <w:snapToGrid/>
        </w:rPr>
        <w:fldChar w:fldCharType="begin" w:fldLock="1"/>
      </w:r>
      <w:r w:rsidR="00DA11DB" w:rsidRPr="00E44776">
        <w:rPr>
          <w:snapToGrid/>
        </w:rPr>
        <w:instrText xml:space="preserve"> REF _Ref111475773 \h </w:instrText>
      </w:r>
      <w:r w:rsidR="00E44776" w:rsidRPr="00E44776">
        <w:rPr>
          <w:snapToGrid/>
        </w:rPr>
        <w:instrText xml:space="preserve"> \* MERGEFORMAT </w:instrText>
      </w:r>
      <w:r w:rsidR="00DA11DB" w:rsidRPr="00E44776">
        <w:rPr>
          <w:snapToGrid/>
        </w:rPr>
      </w:r>
      <w:r w:rsidR="00DA11DB" w:rsidRPr="00E44776">
        <w:rPr>
          <w:snapToGrid/>
        </w:rPr>
        <w:fldChar w:fldCharType="separate"/>
      </w:r>
      <w:r w:rsidR="00CB2B8B" w:rsidRPr="00E44776">
        <w:t xml:space="preserve">Table </w:t>
      </w:r>
      <w:r w:rsidR="00CB2B8B">
        <w:rPr>
          <w:noProof/>
        </w:rPr>
        <w:t>3</w:t>
      </w:r>
      <w:r w:rsidR="00DA11DB" w:rsidRPr="00E44776">
        <w:rPr>
          <w:snapToGrid/>
        </w:rPr>
        <w:fldChar w:fldCharType="end"/>
      </w:r>
      <w:r w:rsidRPr="00E44776">
        <w:rPr>
          <w:snapToGrid/>
        </w:rPr>
        <w:t>.</w:t>
      </w:r>
    </w:p>
    <w:p w14:paraId="254109EA" w14:textId="38824824" w:rsidR="00A26A29" w:rsidRPr="00E44776" w:rsidRDefault="00501906" w:rsidP="00A26A29">
      <w:pPr>
        <w:pStyle w:val="COMtablefigcaption"/>
      </w:pPr>
      <w:bookmarkStart w:id="34" w:name="_Ref111475773"/>
      <w:bookmarkStart w:id="35" w:name="_Ref111295436"/>
      <w:r w:rsidRPr="00E44776">
        <w:lastRenderedPageBreak/>
        <w:t xml:space="preserve">Table </w:t>
      </w:r>
      <w:r w:rsidR="00B53F47">
        <w:fldChar w:fldCharType="begin" w:fldLock="1"/>
      </w:r>
      <w:r w:rsidR="00B53F47">
        <w:instrText xml:space="preserve"> SEQ Table \* ARABIC </w:instrText>
      </w:r>
      <w:r w:rsidR="00B53F47">
        <w:fldChar w:fldCharType="separate"/>
      </w:r>
      <w:r w:rsidR="00CB2B8B">
        <w:rPr>
          <w:noProof/>
        </w:rPr>
        <w:t>3</w:t>
      </w:r>
      <w:r w:rsidR="00B53F47">
        <w:rPr>
          <w:noProof/>
        </w:rPr>
        <w:fldChar w:fldCharType="end"/>
      </w:r>
      <w:bookmarkEnd w:id="34"/>
      <w:r w:rsidRPr="00E44776">
        <w:t>:</w:t>
      </w:r>
      <w:r w:rsidR="00A26A29" w:rsidRPr="00E44776">
        <w:t xml:space="preserve"> Trials and associated reports presented in the resubmission</w:t>
      </w:r>
      <w:bookmarkEnd w:id="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3: Trials and associated reports presented in the resubmission"/>
      </w:tblPr>
      <w:tblGrid>
        <w:gridCol w:w="1271"/>
        <w:gridCol w:w="5246"/>
        <w:gridCol w:w="2500"/>
      </w:tblGrid>
      <w:tr w:rsidR="00A26A29" w:rsidRPr="00E44776" w14:paraId="66ED83C1" w14:textId="77777777" w:rsidTr="00A57E5C">
        <w:trPr>
          <w:tblHeader/>
        </w:trPr>
        <w:tc>
          <w:tcPr>
            <w:tcW w:w="705" w:type="pct"/>
            <w:tcBorders>
              <w:top w:val="single" w:sz="4" w:space="0" w:color="auto"/>
              <w:left w:val="single" w:sz="4" w:space="0" w:color="auto"/>
            </w:tcBorders>
            <w:vAlign w:val="center"/>
          </w:tcPr>
          <w:p w14:paraId="0F3183FA" w14:textId="77777777" w:rsidR="00A26A29" w:rsidRPr="00E44776" w:rsidRDefault="00A26A29" w:rsidP="00013B37">
            <w:pPr>
              <w:pStyle w:val="Tableheadingrow"/>
              <w:rPr>
                <w:lang w:val="en-AU"/>
              </w:rPr>
            </w:pPr>
            <w:r w:rsidRPr="00E44776">
              <w:rPr>
                <w:lang w:val="en-AU"/>
              </w:rPr>
              <w:t>Trial ID</w:t>
            </w:r>
          </w:p>
        </w:tc>
        <w:tc>
          <w:tcPr>
            <w:tcW w:w="2909" w:type="pct"/>
            <w:tcBorders>
              <w:top w:val="single" w:sz="4" w:space="0" w:color="auto"/>
            </w:tcBorders>
            <w:vAlign w:val="center"/>
          </w:tcPr>
          <w:p w14:paraId="79A0B8FA" w14:textId="77777777" w:rsidR="00A26A29" w:rsidRPr="00E44776" w:rsidRDefault="00A26A29" w:rsidP="00013B37">
            <w:pPr>
              <w:pStyle w:val="Tableheadingrow"/>
              <w:jc w:val="center"/>
              <w:rPr>
                <w:lang w:val="en-AU"/>
              </w:rPr>
            </w:pPr>
            <w:r w:rsidRPr="00E44776">
              <w:rPr>
                <w:lang w:val="en-AU"/>
              </w:rPr>
              <w:t>Protocol title/ Publication title</w:t>
            </w:r>
          </w:p>
        </w:tc>
        <w:tc>
          <w:tcPr>
            <w:tcW w:w="1386" w:type="pct"/>
            <w:tcBorders>
              <w:top w:val="single" w:sz="4" w:space="0" w:color="auto"/>
              <w:right w:val="single" w:sz="4" w:space="0" w:color="auto"/>
            </w:tcBorders>
            <w:vAlign w:val="center"/>
          </w:tcPr>
          <w:p w14:paraId="25E540A3" w14:textId="77777777" w:rsidR="00A26A29" w:rsidRPr="00E44776" w:rsidRDefault="00A26A29" w:rsidP="00013B37">
            <w:pPr>
              <w:pStyle w:val="Tableheadingrow"/>
              <w:jc w:val="center"/>
              <w:rPr>
                <w:lang w:val="en-AU"/>
              </w:rPr>
            </w:pPr>
            <w:r w:rsidRPr="00E44776">
              <w:rPr>
                <w:lang w:val="en-AU"/>
              </w:rPr>
              <w:t>Publication citation</w:t>
            </w:r>
          </w:p>
        </w:tc>
      </w:tr>
      <w:tr w:rsidR="00A26A29" w:rsidRPr="00E44776" w14:paraId="7E60C514" w14:textId="77777777" w:rsidTr="00A57E5C">
        <w:tc>
          <w:tcPr>
            <w:tcW w:w="705" w:type="pct"/>
            <w:vMerge w:val="restart"/>
            <w:tcBorders>
              <w:left w:val="single" w:sz="4" w:space="0" w:color="auto"/>
            </w:tcBorders>
            <w:vAlign w:val="center"/>
          </w:tcPr>
          <w:p w14:paraId="40E47B73" w14:textId="77777777" w:rsidR="00A26A29" w:rsidRPr="00E44776" w:rsidRDefault="00A26A29" w:rsidP="00013B37">
            <w:pPr>
              <w:pStyle w:val="TableText"/>
            </w:pPr>
            <w:r w:rsidRPr="00E44776">
              <w:t>ELEVATE-TN</w:t>
            </w:r>
          </w:p>
          <w:p w14:paraId="1860B9AE" w14:textId="77777777" w:rsidR="00A26A29" w:rsidRPr="00E44776" w:rsidRDefault="00A26A29" w:rsidP="00013B37">
            <w:pPr>
              <w:pStyle w:val="TableText"/>
            </w:pPr>
            <w:r w:rsidRPr="00E44776">
              <w:t>NCT02475681</w:t>
            </w:r>
          </w:p>
        </w:tc>
        <w:tc>
          <w:tcPr>
            <w:tcW w:w="2909" w:type="pct"/>
          </w:tcPr>
          <w:p w14:paraId="51C005F3" w14:textId="77777777" w:rsidR="00A26A29" w:rsidRPr="00E44776" w:rsidRDefault="00A26A29" w:rsidP="00013B37">
            <w:pPr>
              <w:pStyle w:val="TableText"/>
              <w:rPr>
                <w:szCs w:val="18"/>
              </w:rPr>
            </w:pPr>
            <w:r w:rsidRPr="00E44776">
              <w:rPr>
                <w:szCs w:val="18"/>
              </w:rPr>
              <w:t xml:space="preserve">A randomized, multicentre, open-label, 3 arm phase 3 study of obinutuzumab in combination with chlorambucil, ACP-196 in combination with obinutuzumab, and ACP-196 monotherapy in subjects with previously untreated chronic lymphocytic leukaemia. </w:t>
            </w:r>
          </w:p>
        </w:tc>
        <w:tc>
          <w:tcPr>
            <w:tcW w:w="1386" w:type="pct"/>
            <w:tcBorders>
              <w:right w:val="single" w:sz="4" w:space="0" w:color="auto"/>
            </w:tcBorders>
          </w:tcPr>
          <w:p w14:paraId="4EB12EE4" w14:textId="77777777" w:rsidR="00A26A29" w:rsidRPr="00E44776" w:rsidRDefault="00A26A29" w:rsidP="00013B37">
            <w:pPr>
              <w:pStyle w:val="TableText"/>
            </w:pPr>
            <w:r w:rsidRPr="00E44776">
              <w:t xml:space="preserve">Interim clinical Study Report, </w:t>
            </w:r>
            <w:r w:rsidRPr="00E44776">
              <w:rPr>
                <w:szCs w:val="18"/>
              </w:rPr>
              <w:t>16 August 2019.</w:t>
            </w:r>
          </w:p>
        </w:tc>
      </w:tr>
      <w:tr w:rsidR="00A26A29" w:rsidRPr="00E44776" w14:paraId="72E2DB7B" w14:textId="77777777" w:rsidTr="00A57E5C">
        <w:tc>
          <w:tcPr>
            <w:tcW w:w="705" w:type="pct"/>
            <w:vMerge/>
            <w:tcBorders>
              <w:left w:val="single" w:sz="4" w:space="0" w:color="auto"/>
            </w:tcBorders>
          </w:tcPr>
          <w:p w14:paraId="617591D1" w14:textId="77777777" w:rsidR="00A26A29" w:rsidRPr="00E44776" w:rsidRDefault="00A26A29" w:rsidP="00013B37">
            <w:pPr>
              <w:pStyle w:val="TableText"/>
            </w:pPr>
          </w:p>
        </w:tc>
        <w:tc>
          <w:tcPr>
            <w:tcW w:w="2909" w:type="pct"/>
          </w:tcPr>
          <w:p w14:paraId="7667DB02" w14:textId="77777777" w:rsidR="00A26A29" w:rsidRPr="00E44776" w:rsidRDefault="00A26A29" w:rsidP="00013B37">
            <w:pPr>
              <w:pStyle w:val="TableText"/>
              <w:rPr>
                <w:szCs w:val="18"/>
              </w:rPr>
            </w:pPr>
            <w:r w:rsidRPr="00E44776">
              <w:rPr>
                <w:szCs w:val="18"/>
              </w:rPr>
              <w:t>Xu W. ELEVATE-TN high level results (11 September 2020 data cut).</w:t>
            </w:r>
          </w:p>
        </w:tc>
        <w:tc>
          <w:tcPr>
            <w:tcW w:w="1386" w:type="pct"/>
            <w:tcBorders>
              <w:right w:val="single" w:sz="4" w:space="0" w:color="auto"/>
            </w:tcBorders>
          </w:tcPr>
          <w:p w14:paraId="0949E500" w14:textId="77777777" w:rsidR="00A26A29" w:rsidRPr="00E44776" w:rsidRDefault="00A26A29" w:rsidP="00013B37">
            <w:pPr>
              <w:pStyle w:val="TableText"/>
            </w:pPr>
            <w:r w:rsidRPr="00E44776">
              <w:rPr>
                <w:szCs w:val="18"/>
              </w:rPr>
              <w:t>PowerPoint slides, Attachment 2D of the resubmission, 7 January 2021.</w:t>
            </w:r>
          </w:p>
        </w:tc>
      </w:tr>
      <w:tr w:rsidR="00A26A29" w:rsidRPr="00E44776" w14:paraId="32E5CBCD" w14:textId="77777777" w:rsidTr="00A57E5C">
        <w:trPr>
          <w:trHeight w:val="71"/>
        </w:trPr>
        <w:tc>
          <w:tcPr>
            <w:tcW w:w="705" w:type="pct"/>
            <w:vMerge/>
            <w:tcBorders>
              <w:left w:val="single" w:sz="4" w:space="0" w:color="auto"/>
            </w:tcBorders>
          </w:tcPr>
          <w:p w14:paraId="040AFD84" w14:textId="77777777" w:rsidR="00A26A29" w:rsidRPr="00E44776" w:rsidRDefault="00A26A29" w:rsidP="00013B37">
            <w:pPr>
              <w:pStyle w:val="TableText"/>
            </w:pPr>
          </w:p>
        </w:tc>
        <w:tc>
          <w:tcPr>
            <w:tcW w:w="2909" w:type="pct"/>
          </w:tcPr>
          <w:p w14:paraId="34AC5FEF" w14:textId="6AB26A80" w:rsidR="00A26A29" w:rsidRPr="00E44776" w:rsidRDefault="00A26A29" w:rsidP="00013B37">
            <w:pPr>
              <w:pStyle w:val="TableText"/>
              <w:rPr>
                <w:szCs w:val="18"/>
              </w:rPr>
            </w:pPr>
            <w:r w:rsidRPr="00E44776">
              <w:rPr>
                <w:szCs w:val="18"/>
              </w:rPr>
              <w:t xml:space="preserve">Sharman JP, Egyed M, Jurczak W, Skarbnik A et al. Acalabrutinib ± </w:t>
            </w:r>
            <w:r w:rsidR="003113C4" w:rsidRPr="00E44776">
              <w:rPr>
                <w:szCs w:val="18"/>
              </w:rPr>
              <w:t>o</w:t>
            </w:r>
            <w:r w:rsidRPr="00E44776">
              <w:rPr>
                <w:szCs w:val="18"/>
              </w:rPr>
              <w:t xml:space="preserve">binutuzumab vs </w:t>
            </w:r>
            <w:r w:rsidR="003113C4" w:rsidRPr="00E44776">
              <w:rPr>
                <w:szCs w:val="18"/>
              </w:rPr>
              <w:t>o</w:t>
            </w:r>
            <w:r w:rsidRPr="00E44776">
              <w:rPr>
                <w:szCs w:val="18"/>
              </w:rPr>
              <w:t xml:space="preserve">binutuzumab + </w:t>
            </w:r>
            <w:r w:rsidR="003113C4" w:rsidRPr="00E44776">
              <w:rPr>
                <w:szCs w:val="18"/>
              </w:rPr>
              <w:t>c</w:t>
            </w:r>
            <w:r w:rsidRPr="00E44776">
              <w:rPr>
                <w:szCs w:val="18"/>
              </w:rPr>
              <w:t xml:space="preserve">hlorambucil in </w:t>
            </w:r>
            <w:r w:rsidR="003113C4" w:rsidRPr="00E44776">
              <w:rPr>
                <w:szCs w:val="18"/>
              </w:rPr>
              <w:t>t</w:t>
            </w:r>
            <w:r w:rsidRPr="00E44776">
              <w:rPr>
                <w:szCs w:val="18"/>
              </w:rPr>
              <w:t>reatment-</w:t>
            </w:r>
            <w:r w:rsidR="003113C4" w:rsidRPr="00E44776">
              <w:rPr>
                <w:szCs w:val="18"/>
              </w:rPr>
              <w:t>n</w:t>
            </w:r>
            <w:r w:rsidRPr="00E44776">
              <w:rPr>
                <w:szCs w:val="18"/>
              </w:rPr>
              <w:t xml:space="preserve">aive </w:t>
            </w:r>
            <w:r w:rsidR="003113C4" w:rsidRPr="00E44776">
              <w:rPr>
                <w:szCs w:val="18"/>
              </w:rPr>
              <w:t>c</w:t>
            </w:r>
            <w:r w:rsidRPr="00E44776">
              <w:rPr>
                <w:szCs w:val="18"/>
              </w:rPr>
              <w:t xml:space="preserve">hronic </w:t>
            </w:r>
            <w:r w:rsidR="003113C4" w:rsidRPr="00E44776">
              <w:rPr>
                <w:szCs w:val="18"/>
              </w:rPr>
              <w:t>l</w:t>
            </w:r>
            <w:r w:rsidRPr="00E44776">
              <w:rPr>
                <w:szCs w:val="18"/>
              </w:rPr>
              <w:t xml:space="preserve">ymphocytic </w:t>
            </w:r>
            <w:r w:rsidR="003113C4" w:rsidRPr="00E44776">
              <w:rPr>
                <w:szCs w:val="18"/>
              </w:rPr>
              <w:t>l</w:t>
            </w:r>
            <w:r w:rsidRPr="00E44776">
              <w:rPr>
                <w:szCs w:val="18"/>
              </w:rPr>
              <w:t>eukemia: 5-</w:t>
            </w:r>
            <w:r w:rsidR="003113C4" w:rsidRPr="00E44776">
              <w:rPr>
                <w:szCs w:val="18"/>
              </w:rPr>
              <w:t>y</w:t>
            </w:r>
            <w:r w:rsidRPr="00E44776">
              <w:rPr>
                <w:szCs w:val="18"/>
              </w:rPr>
              <w:t xml:space="preserve">ear </w:t>
            </w:r>
            <w:r w:rsidR="003113C4" w:rsidRPr="00E44776">
              <w:rPr>
                <w:szCs w:val="18"/>
              </w:rPr>
              <w:t>f</w:t>
            </w:r>
            <w:r w:rsidRPr="00E44776">
              <w:rPr>
                <w:szCs w:val="18"/>
              </w:rPr>
              <w:t>ollow-</w:t>
            </w:r>
            <w:r w:rsidR="003113C4" w:rsidRPr="00E44776">
              <w:rPr>
                <w:szCs w:val="18"/>
              </w:rPr>
              <w:t>u</w:t>
            </w:r>
            <w:r w:rsidRPr="00E44776">
              <w:rPr>
                <w:szCs w:val="18"/>
              </w:rPr>
              <w:t>p of ELEVATE-TN.</w:t>
            </w:r>
          </w:p>
        </w:tc>
        <w:tc>
          <w:tcPr>
            <w:tcW w:w="1386" w:type="pct"/>
            <w:tcBorders>
              <w:right w:val="single" w:sz="4" w:space="0" w:color="auto"/>
            </w:tcBorders>
          </w:tcPr>
          <w:p w14:paraId="53E92964" w14:textId="77777777" w:rsidR="00A26A29" w:rsidRPr="00E44776" w:rsidRDefault="00A26A29" w:rsidP="00013B37">
            <w:pPr>
              <w:pStyle w:val="TableText"/>
              <w:rPr>
                <w:szCs w:val="18"/>
              </w:rPr>
            </w:pPr>
            <w:r w:rsidRPr="00E44776">
              <w:rPr>
                <w:szCs w:val="18"/>
              </w:rPr>
              <w:t>Journal of Clinical Oncology 2022; 40(16_suppl).</w:t>
            </w:r>
          </w:p>
        </w:tc>
      </w:tr>
      <w:tr w:rsidR="00A26A29" w:rsidRPr="00E44776" w14:paraId="5E8B2DB8" w14:textId="77777777" w:rsidTr="00A57E5C">
        <w:trPr>
          <w:trHeight w:val="918"/>
        </w:trPr>
        <w:tc>
          <w:tcPr>
            <w:tcW w:w="705" w:type="pct"/>
            <w:vMerge/>
            <w:tcBorders>
              <w:left w:val="single" w:sz="4" w:space="0" w:color="auto"/>
            </w:tcBorders>
          </w:tcPr>
          <w:p w14:paraId="34C85595" w14:textId="77777777" w:rsidR="00A26A29" w:rsidRPr="00E44776" w:rsidRDefault="00A26A29" w:rsidP="00013B37">
            <w:pPr>
              <w:pStyle w:val="TableText"/>
            </w:pPr>
          </w:p>
        </w:tc>
        <w:tc>
          <w:tcPr>
            <w:tcW w:w="2909" w:type="pct"/>
          </w:tcPr>
          <w:p w14:paraId="0488145E" w14:textId="77777777" w:rsidR="00A26A29" w:rsidRPr="00E44776" w:rsidRDefault="00A26A29" w:rsidP="00013B37">
            <w:pPr>
              <w:pStyle w:val="TableText"/>
              <w:rPr>
                <w:szCs w:val="18"/>
              </w:rPr>
            </w:pPr>
            <w:r w:rsidRPr="00E44776">
              <w:rPr>
                <w:szCs w:val="18"/>
              </w:rPr>
              <w:t xml:space="preserve">Sharman J, Egyed M, Jurczak W, Sharbnik A et al. Acalabrutinib ± obinutuzumab versus obinutuzumab + chlorambucil in treatment-naïve chronic lymphocytic leukaemia: ELEVATE-TN four-year follow up. </w:t>
            </w:r>
          </w:p>
        </w:tc>
        <w:tc>
          <w:tcPr>
            <w:tcW w:w="1386" w:type="pct"/>
            <w:tcBorders>
              <w:right w:val="single" w:sz="4" w:space="0" w:color="auto"/>
            </w:tcBorders>
          </w:tcPr>
          <w:p w14:paraId="73820874" w14:textId="77777777" w:rsidR="00A26A29" w:rsidRPr="00E44776" w:rsidRDefault="00A26A29" w:rsidP="00013B37">
            <w:pPr>
              <w:pStyle w:val="TableText"/>
            </w:pPr>
            <w:r w:rsidRPr="00E44776">
              <w:rPr>
                <w:szCs w:val="18"/>
              </w:rPr>
              <w:t>Journal of Clinical Oncology 2021; 39 (15_suppl): 7509-7509.</w:t>
            </w:r>
          </w:p>
        </w:tc>
      </w:tr>
      <w:tr w:rsidR="00A26A29" w:rsidRPr="00E44776" w14:paraId="0CC16996" w14:textId="77777777" w:rsidTr="00A57E5C">
        <w:trPr>
          <w:trHeight w:val="71"/>
        </w:trPr>
        <w:tc>
          <w:tcPr>
            <w:tcW w:w="705" w:type="pct"/>
            <w:vMerge/>
            <w:tcBorders>
              <w:left w:val="single" w:sz="4" w:space="0" w:color="auto"/>
            </w:tcBorders>
          </w:tcPr>
          <w:p w14:paraId="1C65D51F" w14:textId="77777777" w:rsidR="00A26A29" w:rsidRPr="00E44776" w:rsidRDefault="00A26A29" w:rsidP="00013B37">
            <w:pPr>
              <w:pStyle w:val="TableText"/>
            </w:pPr>
          </w:p>
        </w:tc>
        <w:tc>
          <w:tcPr>
            <w:tcW w:w="2909" w:type="pct"/>
          </w:tcPr>
          <w:p w14:paraId="09ADC19C" w14:textId="77777777" w:rsidR="00A26A29" w:rsidRPr="00E44776" w:rsidRDefault="00A26A29" w:rsidP="00013B37">
            <w:pPr>
              <w:pStyle w:val="TableText"/>
              <w:rPr>
                <w:szCs w:val="18"/>
              </w:rPr>
            </w:pPr>
            <w:r w:rsidRPr="00E44776">
              <w:rPr>
                <w:szCs w:val="18"/>
              </w:rPr>
              <w:t xml:space="preserve">Sharman J, Egyed M, Jurczak W, Sharbnik A et al. Acalabrutinib with or without obinutuzumab versus chlorambucil and obinutuzumab for treatment-naive chronic lymphocytic leukaemia (ELEVATE TN): a randomised, controlled, phase 3 trial. </w:t>
            </w:r>
          </w:p>
        </w:tc>
        <w:tc>
          <w:tcPr>
            <w:tcW w:w="1386" w:type="pct"/>
            <w:tcBorders>
              <w:right w:val="single" w:sz="4" w:space="0" w:color="auto"/>
            </w:tcBorders>
          </w:tcPr>
          <w:p w14:paraId="69E92BC0" w14:textId="77777777" w:rsidR="00A26A29" w:rsidRPr="00E44776" w:rsidRDefault="00A26A29" w:rsidP="00013B37">
            <w:pPr>
              <w:pStyle w:val="TableText"/>
              <w:rPr>
                <w:szCs w:val="18"/>
              </w:rPr>
            </w:pPr>
            <w:r w:rsidRPr="00E44776">
              <w:rPr>
                <w:szCs w:val="18"/>
              </w:rPr>
              <w:t>The Lancet 2020; 395 (10232): 1278-1291.</w:t>
            </w:r>
          </w:p>
          <w:p w14:paraId="314059CA" w14:textId="77777777" w:rsidR="00A26A29" w:rsidRPr="00E44776" w:rsidRDefault="00A26A29" w:rsidP="00013B37">
            <w:pPr>
              <w:pStyle w:val="TableText"/>
            </w:pPr>
          </w:p>
        </w:tc>
      </w:tr>
      <w:tr w:rsidR="00A26A29" w:rsidRPr="00E44776" w14:paraId="2E7289B5" w14:textId="77777777" w:rsidTr="00A57E5C">
        <w:trPr>
          <w:trHeight w:val="71"/>
        </w:trPr>
        <w:tc>
          <w:tcPr>
            <w:tcW w:w="705" w:type="pct"/>
            <w:vMerge w:val="restart"/>
            <w:tcBorders>
              <w:top w:val="single" w:sz="4" w:space="0" w:color="auto"/>
            </w:tcBorders>
          </w:tcPr>
          <w:p w14:paraId="72FC52BE" w14:textId="77777777" w:rsidR="00A26A29" w:rsidRPr="00E44776" w:rsidRDefault="00A26A29" w:rsidP="00013B37">
            <w:pPr>
              <w:pStyle w:val="TableText"/>
            </w:pPr>
            <w:r w:rsidRPr="00E44776">
              <w:t>CLL-14</w:t>
            </w:r>
          </w:p>
        </w:tc>
        <w:tc>
          <w:tcPr>
            <w:tcW w:w="2909" w:type="pct"/>
            <w:tcBorders>
              <w:top w:val="single" w:sz="4" w:space="0" w:color="auto"/>
            </w:tcBorders>
          </w:tcPr>
          <w:p w14:paraId="54FF2627" w14:textId="77777777" w:rsidR="00A26A29" w:rsidRPr="00E44776" w:rsidRDefault="00A26A29" w:rsidP="00013B37">
            <w:pPr>
              <w:pStyle w:val="TableText"/>
              <w:rPr>
                <w:szCs w:val="18"/>
              </w:rPr>
            </w:pPr>
            <w:r w:rsidRPr="00E44776">
              <w:t xml:space="preserve">Al-Sawaf O, Gentile B, Devine J, Zhang C et al. Health-related quality of life with fixed-duration venetoclax-obinutuzumab for previously untreated chronic lymphocytic leukemia: Results from the randomized, phase 3 CLL14 trial. </w:t>
            </w:r>
          </w:p>
        </w:tc>
        <w:tc>
          <w:tcPr>
            <w:tcW w:w="1386" w:type="pct"/>
            <w:tcBorders>
              <w:top w:val="single" w:sz="4" w:space="0" w:color="auto"/>
            </w:tcBorders>
          </w:tcPr>
          <w:p w14:paraId="5B678BFF" w14:textId="77777777" w:rsidR="00A26A29" w:rsidRPr="00E44776" w:rsidRDefault="00A26A29" w:rsidP="00013B37">
            <w:pPr>
              <w:pStyle w:val="TableText"/>
              <w:rPr>
                <w:szCs w:val="18"/>
              </w:rPr>
            </w:pPr>
            <w:r w:rsidRPr="00E44776">
              <w:t>American Journal of Hematology 2021; 96(9):1112-9.</w:t>
            </w:r>
          </w:p>
        </w:tc>
      </w:tr>
      <w:tr w:rsidR="00A26A29" w:rsidRPr="00E44776" w14:paraId="4174BFE3" w14:textId="77777777" w:rsidTr="00A57E5C">
        <w:trPr>
          <w:trHeight w:val="71"/>
        </w:trPr>
        <w:tc>
          <w:tcPr>
            <w:tcW w:w="705" w:type="pct"/>
            <w:vMerge/>
          </w:tcPr>
          <w:p w14:paraId="7B19B6F2" w14:textId="77777777" w:rsidR="00A26A29" w:rsidRPr="00E44776" w:rsidRDefault="00A26A29" w:rsidP="00013B37">
            <w:pPr>
              <w:pStyle w:val="TableText"/>
            </w:pPr>
          </w:p>
        </w:tc>
        <w:tc>
          <w:tcPr>
            <w:tcW w:w="2909" w:type="pct"/>
            <w:tcBorders>
              <w:top w:val="single" w:sz="4" w:space="0" w:color="auto"/>
            </w:tcBorders>
          </w:tcPr>
          <w:p w14:paraId="248C6C15" w14:textId="58C3E57E" w:rsidR="00A26A29" w:rsidRPr="00E44776" w:rsidRDefault="00A26A29" w:rsidP="00013B37">
            <w:pPr>
              <w:pStyle w:val="TableText"/>
              <w:rPr>
                <w:szCs w:val="18"/>
              </w:rPr>
            </w:pPr>
            <w:r w:rsidRPr="00E44776">
              <w:t xml:space="preserve">Al-Sawaf O, Zhang C, Lu T, Liao MZ, et al. Minimal </w:t>
            </w:r>
            <w:r w:rsidR="003113C4" w:rsidRPr="00E44776">
              <w:t>r</w:t>
            </w:r>
            <w:r w:rsidRPr="00E44776">
              <w:t xml:space="preserve">esidual </w:t>
            </w:r>
            <w:r w:rsidR="003113C4" w:rsidRPr="00E44776">
              <w:t>d</w:t>
            </w:r>
            <w:r w:rsidRPr="00E44776">
              <w:t xml:space="preserve">isease </w:t>
            </w:r>
            <w:r w:rsidR="003113C4" w:rsidRPr="00E44776">
              <w:t>d</w:t>
            </w:r>
            <w:r w:rsidRPr="00E44776">
              <w:t xml:space="preserve">ynamics after </w:t>
            </w:r>
            <w:r w:rsidR="003113C4" w:rsidRPr="00E44776">
              <w:t>v</w:t>
            </w:r>
            <w:r w:rsidRPr="00E44776">
              <w:t>enetoclax-</w:t>
            </w:r>
            <w:r w:rsidR="003113C4" w:rsidRPr="00E44776">
              <w:t>o</w:t>
            </w:r>
            <w:r w:rsidRPr="00E44776">
              <w:t xml:space="preserve">binutuzumab </w:t>
            </w:r>
            <w:r w:rsidR="003113C4" w:rsidRPr="00E44776">
              <w:t>t</w:t>
            </w:r>
            <w:r w:rsidRPr="00E44776">
              <w:t>reatment:</w:t>
            </w:r>
            <w:r w:rsidR="003113C4" w:rsidRPr="00E44776">
              <w:t xml:space="preserve"> e</w:t>
            </w:r>
            <w:r w:rsidRPr="00E44776">
              <w:t xml:space="preserve">xtended </w:t>
            </w:r>
            <w:r w:rsidR="003113C4" w:rsidRPr="00E44776">
              <w:t>o</w:t>
            </w:r>
            <w:r w:rsidRPr="00E44776">
              <w:t>ff-</w:t>
            </w:r>
            <w:r w:rsidR="003113C4" w:rsidRPr="00E44776">
              <w:t>t</w:t>
            </w:r>
            <w:r w:rsidRPr="00E44776">
              <w:t xml:space="preserve">reatment </w:t>
            </w:r>
            <w:r w:rsidR="003113C4" w:rsidRPr="00E44776">
              <w:t>f</w:t>
            </w:r>
            <w:r w:rsidRPr="00E44776">
              <w:t xml:space="preserve">ollow-up </w:t>
            </w:r>
            <w:r w:rsidR="003113C4" w:rsidRPr="00E44776">
              <w:t>f</w:t>
            </w:r>
            <w:r w:rsidRPr="00E44776">
              <w:t xml:space="preserve">rom the </w:t>
            </w:r>
            <w:r w:rsidR="003113C4" w:rsidRPr="00E44776">
              <w:t>r</w:t>
            </w:r>
            <w:r w:rsidRPr="00E44776">
              <w:t xml:space="preserve">andomized CLL14 </w:t>
            </w:r>
            <w:r w:rsidR="003113C4" w:rsidRPr="00E44776">
              <w:t>s</w:t>
            </w:r>
            <w:r w:rsidRPr="00E44776">
              <w:t xml:space="preserve">tudy. </w:t>
            </w:r>
          </w:p>
        </w:tc>
        <w:tc>
          <w:tcPr>
            <w:tcW w:w="1386" w:type="pct"/>
            <w:tcBorders>
              <w:top w:val="single" w:sz="4" w:space="0" w:color="auto"/>
            </w:tcBorders>
          </w:tcPr>
          <w:p w14:paraId="3A1B395F" w14:textId="77777777" w:rsidR="00A26A29" w:rsidRPr="00E44776" w:rsidRDefault="00A26A29" w:rsidP="00013B37">
            <w:pPr>
              <w:pStyle w:val="TableText"/>
              <w:rPr>
                <w:szCs w:val="18"/>
              </w:rPr>
            </w:pPr>
            <w:r w:rsidRPr="00E44776">
              <w:t>Journal of Clinical Oncology 2021; 39(36):4049-60.</w:t>
            </w:r>
          </w:p>
        </w:tc>
      </w:tr>
      <w:tr w:rsidR="00A26A29" w:rsidRPr="00E44776" w14:paraId="209ED1B8" w14:textId="77777777" w:rsidTr="00A57E5C">
        <w:trPr>
          <w:trHeight w:val="71"/>
        </w:trPr>
        <w:tc>
          <w:tcPr>
            <w:tcW w:w="705" w:type="pct"/>
            <w:vMerge/>
          </w:tcPr>
          <w:p w14:paraId="36F24128" w14:textId="77777777" w:rsidR="00A26A29" w:rsidRPr="00E44776" w:rsidRDefault="00A26A29" w:rsidP="00013B37">
            <w:pPr>
              <w:pStyle w:val="TableText"/>
            </w:pPr>
          </w:p>
        </w:tc>
        <w:tc>
          <w:tcPr>
            <w:tcW w:w="2909" w:type="pct"/>
            <w:tcBorders>
              <w:top w:val="single" w:sz="4" w:space="0" w:color="auto"/>
            </w:tcBorders>
          </w:tcPr>
          <w:p w14:paraId="06BA5F45" w14:textId="77777777" w:rsidR="00A26A29" w:rsidRPr="00E44776" w:rsidRDefault="00A26A29" w:rsidP="00013B37">
            <w:pPr>
              <w:pStyle w:val="TableText"/>
              <w:rPr>
                <w:szCs w:val="18"/>
              </w:rPr>
            </w:pPr>
            <w:r w:rsidRPr="00E44776">
              <w:t xml:space="preserve">Al-Sawaf O, Zhang C, Robrecht S, Tandon M et al. Venetoclax-obinutuzumab for previously untreated chronic lymphocytic leukemia: 4-year follow-up analysis of the randomized CLL14 study. </w:t>
            </w:r>
          </w:p>
        </w:tc>
        <w:tc>
          <w:tcPr>
            <w:tcW w:w="1386" w:type="pct"/>
            <w:tcBorders>
              <w:top w:val="single" w:sz="4" w:space="0" w:color="auto"/>
            </w:tcBorders>
          </w:tcPr>
          <w:p w14:paraId="36E59556" w14:textId="77777777" w:rsidR="00A26A29" w:rsidRPr="00E44776" w:rsidRDefault="00A26A29" w:rsidP="00013B37">
            <w:pPr>
              <w:pStyle w:val="TableText"/>
              <w:rPr>
                <w:szCs w:val="18"/>
              </w:rPr>
            </w:pPr>
            <w:r w:rsidRPr="00E44776">
              <w:t>Hematological Oncology 2021; 39(SUPPL 2):201-3.</w:t>
            </w:r>
          </w:p>
        </w:tc>
      </w:tr>
      <w:tr w:rsidR="00A26A29" w:rsidRPr="00E44776" w14:paraId="2CD740F6" w14:textId="77777777" w:rsidTr="00A57E5C">
        <w:trPr>
          <w:trHeight w:val="71"/>
        </w:trPr>
        <w:tc>
          <w:tcPr>
            <w:tcW w:w="705" w:type="pct"/>
            <w:vMerge/>
          </w:tcPr>
          <w:p w14:paraId="07E052A5" w14:textId="77777777" w:rsidR="00A26A29" w:rsidRPr="00E44776" w:rsidRDefault="00A26A29" w:rsidP="00013B37">
            <w:pPr>
              <w:pStyle w:val="TableText"/>
            </w:pPr>
          </w:p>
        </w:tc>
        <w:tc>
          <w:tcPr>
            <w:tcW w:w="2909" w:type="pct"/>
            <w:tcBorders>
              <w:top w:val="single" w:sz="4" w:space="0" w:color="auto"/>
            </w:tcBorders>
          </w:tcPr>
          <w:p w14:paraId="43CF2C67" w14:textId="77777777" w:rsidR="00A26A29" w:rsidRPr="00E44776" w:rsidRDefault="00A26A29" w:rsidP="00013B37">
            <w:pPr>
              <w:pStyle w:val="TableText"/>
              <w:rPr>
                <w:szCs w:val="18"/>
              </w:rPr>
            </w:pPr>
            <w:r w:rsidRPr="00E44776">
              <w:t xml:space="preserve">Al-Sawaf O, Zhang C, Tandon M, Sinha A et al. Venetoclax plus obinutuzumab versus chlorambucil plus obinutuzumab for previously untreated chronic lymphocytic leukaemia (CLL14): follow-up results from a multicentre, open-label, randomised, phase 3 trial. </w:t>
            </w:r>
          </w:p>
        </w:tc>
        <w:tc>
          <w:tcPr>
            <w:tcW w:w="1386" w:type="pct"/>
            <w:tcBorders>
              <w:top w:val="single" w:sz="4" w:space="0" w:color="auto"/>
            </w:tcBorders>
          </w:tcPr>
          <w:p w14:paraId="7DE7488D" w14:textId="77777777" w:rsidR="00A26A29" w:rsidRPr="00E44776" w:rsidRDefault="00A26A29" w:rsidP="00013B37">
            <w:pPr>
              <w:pStyle w:val="TableText"/>
              <w:rPr>
                <w:szCs w:val="18"/>
              </w:rPr>
            </w:pPr>
            <w:r w:rsidRPr="00E44776">
              <w:t>Lancet Oncology. 2020; 21(9):1188-200.</w:t>
            </w:r>
          </w:p>
        </w:tc>
      </w:tr>
      <w:tr w:rsidR="00A26A29" w:rsidRPr="00E44776" w14:paraId="105BAB66" w14:textId="77777777" w:rsidTr="00A57E5C">
        <w:trPr>
          <w:trHeight w:val="71"/>
        </w:trPr>
        <w:tc>
          <w:tcPr>
            <w:tcW w:w="705" w:type="pct"/>
            <w:vMerge/>
          </w:tcPr>
          <w:p w14:paraId="58E3DB08" w14:textId="77777777" w:rsidR="00A26A29" w:rsidRPr="00E44776" w:rsidRDefault="00A26A29" w:rsidP="00013B37">
            <w:pPr>
              <w:pStyle w:val="TableText"/>
            </w:pPr>
          </w:p>
        </w:tc>
        <w:tc>
          <w:tcPr>
            <w:tcW w:w="2909" w:type="pct"/>
            <w:tcBorders>
              <w:top w:val="single" w:sz="4" w:space="0" w:color="auto"/>
            </w:tcBorders>
          </w:tcPr>
          <w:p w14:paraId="3856AE8E" w14:textId="05F3A2CC" w:rsidR="00A26A29" w:rsidRPr="00E44776" w:rsidRDefault="00A26A29" w:rsidP="00013B37">
            <w:pPr>
              <w:pStyle w:val="TableText"/>
              <w:rPr>
                <w:szCs w:val="18"/>
              </w:rPr>
            </w:pPr>
            <w:r w:rsidRPr="00E44776">
              <w:t xml:space="preserve">Fischer K, Al-Sawaf O, Bahlo J, Fink AM et al. Venetoclax and </w:t>
            </w:r>
            <w:r w:rsidR="003113C4" w:rsidRPr="00E44776">
              <w:t>o</w:t>
            </w:r>
            <w:r w:rsidRPr="00E44776">
              <w:t xml:space="preserve">binutuzumab in </w:t>
            </w:r>
            <w:r w:rsidR="003113C4" w:rsidRPr="00E44776">
              <w:t>p</w:t>
            </w:r>
            <w:r w:rsidRPr="00E44776">
              <w:t xml:space="preserve">atients with CLL and </w:t>
            </w:r>
            <w:r w:rsidR="003113C4" w:rsidRPr="00E44776">
              <w:t>c</w:t>
            </w:r>
            <w:r w:rsidRPr="00E44776">
              <w:t xml:space="preserve">oexisting </w:t>
            </w:r>
            <w:r w:rsidR="003113C4" w:rsidRPr="00E44776">
              <w:t>c</w:t>
            </w:r>
            <w:r w:rsidRPr="00E44776">
              <w:t xml:space="preserve">onditions. </w:t>
            </w:r>
          </w:p>
        </w:tc>
        <w:tc>
          <w:tcPr>
            <w:tcW w:w="1386" w:type="pct"/>
            <w:tcBorders>
              <w:top w:val="single" w:sz="4" w:space="0" w:color="auto"/>
            </w:tcBorders>
          </w:tcPr>
          <w:p w14:paraId="70733F98" w14:textId="77777777" w:rsidR="00A26A29" w:rsidRPr="00E44776" w:rsidRDefault="00A26A29" w:rsidP="00013B37">
            <w:pPr>
              <w:pStyle w:val="TableText"/>
              <w:rPr>
                <w:szCs w:val="18"/>
              </w:rPr>
            </w:pPr>
            <w:r w:rsidRPr="00E44776">
              <w:t>New England Journal of Medicine 2019; 380(23):2225-36.</w:t>
            </w:r>
          </w:p>
        </w:tc>
      </w:tr>
      <w:tr w:rsidR="00A26A29" w:rsidRPr="00E44776" w14:paraId="5666D4AA" w14:textId="77777777" w:rsidTr="00A57E5C">
        <w:trPr>
          <w:trHeight w:val="71"/>
        </w:trPr>
        <w:tc>
          <w:tcPr>
            <w:tcW w:w="705" w:type="pct"/>
            <w:vMerge/>
          </w:tcPr>
          <w:p w14:paraId="27CB213A" w14:textId="77777777" w:rsidR="00A26A29" w:rsidRPr="00E44776" w:rsidRDefault="00A26A29" w:rsidP="00013B37">
            <w:pPr>
              <w:pStyle w:val="TableText"/>
            </w:pPr>
          </w:p>
        </w:tc>
        <w:tc>
          <w:tcPr>
            <w:tcW w:w="2909" w:type="pct"/>
            <w:tcBorders>
              <w:top w:val="single" w:sz="4" w:space="0" w:color="auto"/>
              <w:bottom w:val="single" w:sz="4" w:space="0" w:color="auto"/>
            </w:tcBorders>
          </w:tcPr>
          <w:p w14:paraId="36C67840" w14:textId="77777777" w:rsidR="00A26A29" w:rsidRPr="00E44776" w:rsidRDefault="00A26A29" w:rsidP="00013B37">
            <w:pPr>
              <w:pStyle w:val="TableText"/>
              <w:rPr>
                <w:szCs w:val="18"/>
              </w:rPr>
            </w:pPr>
            <w:r w:rsidRPr="00E44776">
              <w:t xml:space="preserve">Tausch E, Schneider C, Robrecht S, Zhang C et al. Prognostic and predictive impact of genetic markers in patients with CLL treated with obinutuzumab and venetoclax. </w:t>
            </w:r>
          </w:p>
        </w:tc>
        <w:tc>
          <w:tcPr>
            <w:tcW w:w="1386" w:type="pct"/>
            <w:tcBorders>
              <w:top w:val="single" w:sz="4" w:space="0" w:color="auto"/>
              <w:bottom w:val="single" w:sz="4" w:space="0" w:color="auto"/>
            </w:tcBorders>
          </w:tcPr>
          <w:p w14:paraId="77000258" w14:textId="77777777" w:rsidR="00A26A29" w:rsidRPr="00E44776" w:rsidRDefault="00A26A29" w:rsidP="00013B37">
            <w:pPr>
              <w:pStyle w:val="TableText"/>
              <w:rPr>
                <w:szCs w:val="18"/>
              </w:rPr>
            </w:pPr>
            <w:r w:rsidRPr="00E44776">
              <w:t>Blood 2020; 135(26):2402-12.</w:t>
            </w:r>
          </w:p>
        </w:tc>
      </w:tr>
      <w:tr w:rsidR="00A26A29" w:rsidRPr="00E44776" w14:paraId="19DE0D98" w14:textId="77777777" w:rsidTr="00A57E5C">
        <w:trPr>
          <w:trHeight w:val="179"/>
        </w:trPr>
        <w:tc>
          <w:tcPr>
            <w:tcW w:w="705" w:type="pct"/>
            <w:vMerge/>
            <w:tcBorders>
              <w:bottom w:val="single" w:sz="4" w:space="0" w:color="auto"/>
            </w:tcBorders>
          </w:tcPr>
          <w:p w14:paraId="41F970C6" w14:textId="77777777" w:rsidR="00A26A29" w:rsidRPr="00E44776" w:rsidRDefault="00A26A29" w:rsidP="00013B37">
            <w:pPr>
              <w:pStyle w:val="TableText"/>
            </w:pPr>
          </w:p>
        </w:tc>
        <w:tc>
          <w:tcPr>
            <w:tcW w:w="2909" w:type="pct"/>
            <w:tcBorders>
              <w:top w:val="single" w:sz="4" w:space="0" w:color="auto"/>
              <w:bottom w:val="single" w:sz="4" w:space="0" w:color="auto"/>
            </w:tcBorders>
          </w:tcPr>
          <w:p w14:paraId="4CD84444" w14:textId="7A74FC66" w:rsidR="00A26A29" w:rsidRPr="00E44776" w:rsidRDefault="00A26A29" w:rsidP="00013B37">
            <w:pPr>
              <w:pStyle w:val="TableText"/>
            </w:pPr>
            <w:r w:rsidRPr="00E44776">
              <w:t>Al-Sawaf O, Zhang C, Robrecht S, Kotak A et al. Venetoclax-obinutuzumab for previously untreated chronic lymphocytic leukemia: 5-year results of the randomized CLL14 study.</w:t>
            </w:r>
          </w:p>
        </w:tc>
        <w:tc>
          <w:tcPr>
            <w:tcW w:w="1386" w:type="pct"/>
            <w:tcBorders>
              <w:top w:val="single" w:sz="4" w:space="0" w:color="auto"/>
              <w:bottom w:val="single" w:sz="4" w:space="0" w:color="auto"/>
            </w:tcBorders>
          </w:tcPr>
          <w:p w14:paraId="1FBFBDB8" w14:textId="77777777" w:rsidR="00A26A29" w:rsidRPr="00E44776" w:rsidRDefault="00A26A29" w:rsidP="00013B37">
            <w:pPr>
              <w:pStyle w:val="TableText"/>
            </w:pPr>
            <w:r w:rsidRPr="00E44776">
              <w:t>Hemasphere 2022; 6:S3.</w:t>
            </w:r>
          </w:p>
        </w:tc>
      </w:tr>
    </w:tbl>
    <w:p w14:paraId="76BC3A36" w14:textId="1CACB4FA" w:rsidR="00A26A29" w:rsidRPr="00E44776" w:rsidRDefault="00A26A29" w:rsidP="00A26A29">
      <w:pPr>
        <w:pStyle w:val="COMTablefooter"/>
      </w:pPr>
      <w:r w:rsidRPr="00E44776">
        <w:t>Source: Table 2.5 of the resubmission.</w:t>
      </w:r>
    </w:p>
    <w:p w14:paraId="2E121A16" w14:textId="77777777" w:rsidR="00A26A29" w:rsidRPr="00E44776" w:rsidRDefault="00A26A29" w:rsidP="00A26A29">
      <w:pPr>
        <w:pStyle w:val="COMTablefooter"/>
        <w:rPr>
          <w:sz w:val="20"/>
        </w:rPr>
      </w:pPr>
      <w:r w:rsidRPr="00E44776">
        <w:t xml:space="preserve">Selected references to conference abstracts omitted. </w:t>
      </w:r>
    </w:p>
    <w:p w14:paraId="558A62DE" w14:textId="1B75D339" w:rsidR="00501906" w:rsidRPr="00E44776" w:rsidRDefault="00501906" w:rsidP="00501906">
      <w:pPr>
        <w:pStyle w:val="ExecSumBodyText"/>
        <w:numPr>
          <w:ilvl w:val="1"/>
          <w:numId w:val="1"/>
        </w:numPr>
        <w:rPr>
          <w:snapToGrid/>
        </w:rPr>
      </w:pPr>
      <w:r w:rsidRPr="00E44776">
        <w:rPr>
          <w:snapToGrid/>
        </w:rPr>
        <w:t xml:space="preserve">The key features of the ELEVATE-TN </w:t>
      </w:r>
      <w:r w:rsidR="00387AA3" w:rsidRPr="00E44776">
        <w:rPr>
          <w:snapToGrid/>
        </w:rPr>
        <w:t xml:space="preserve">and CLL-14 </w:t>
      </w:r>
      <w:r w:rsidRPr="00E44776">
        <w:rPr>
          <w:snapToGrid/>
        </w:rPr>
        <w:t>trial</w:t>
      </w:r>
      <w:r w:rsidR="00387AA3" w:rsidRPr="00E44776">
        <w:rPr>
          <w:snapToGrid/>
        </w:rPr>
        <w:t>s</w:t>
      </w:r>
      <w:r w:rsidRPr="00E44776">
        <w:rPr>
          <w:snapToGrid/>
        </w:rPr>
        <w:t xml:space="preserve"> are summarised in</w:t>
      </w:r>
      <w:r w:rsidR="00DA11DB" w:rsidRPr="00E44776">
        <w:rPr>
          <w:snapToGrid/>
        </w:rPr>
        <w:t xml:space="preserve"> </w:t>
      </w:r>
      <w:r w:rsidR="00DA11DB" w:rsidRPr="00E44776">
        <w:rPr>
          <w:snapToGrid/>
        </w:rPr>
        <w:fldChar w:fldCharType="begin" w:fldLock="1"/>
      </w:r>
      <w:r w:rsidR="00DA11DB" w:rsidRPr="00E44776">
        <w:rPr>
          <w:snapToGrid/>
        </w:rPr>
        <w:instrText xml:space="preserve"> REF _Ref111475798 \h </w:instrText>
      </w:r>
      <w:r w:rsidR="00E44776" w:rsidRPr="00E44776">
        <w:rPr>
          <w:snapToGrid/>
        </w:rPr>
        <w:instrText xml:space="preserve"> \* MERGEFORMAT </w:instrText>
      </w:r>
      <w:r w:rsidR="00DA11DB" w:rsidRPr="00E44776">
        <w:rPr>
          <w:snapToGrid/>
        </w:rPr>
      </w:r>
      <w:r w:rsidR="00DA11DB" w:rsidRPr="00E44776">
        <w:rPr>
          <w:snapToGrid/>
        </w:rPr>
        <w:fldChar w:fldCharType="separate"/>
      </w:r>
      <w:r w:rsidR="00CB2B8B" w:rsidRPr="00E44776">
        <w:t xml:space="preserve">Table </w:t>
      </w:r>
      <w:r w:rsidR="00CB2B8B">
        <w:rPr>
          <w:noProof/>
        </w:rPr>
        <w:t>4</w:t>
      </w:r>
      <w:r w:rsidR="00DA11DB" w:rsidRPr="00E44776">
        <w:rPr>
          <w:snapToGrid/>
        </w:rPr>
        <w:fldChar w:fldCharType="end"/>
      </w:r>
      <w:r w:rsidRPr="00E44776">
        <w:rPr>
          <w:snapToGrid/>
        </w:rPr>
        <w:t>.</w:t>
      </w:r>
    </w:p>
    <w:p w14:paraId="37AB3215" w14:textId="57045B7B" w:rsidR="00557DF6" w:rsidRPr="00E44776" w:rsidRDefault="00557DF6" w:rsidP="00967F9D">
      <w:pPr>
        <w:pStyle w:val="COMtablefigcaption"/>
      </w:pPr>
      <w:bookmarkStart w:id="36" w:name="_Ref111475798"/>
      <w:bookmarkStart w:id="37" w:name="_Ref111295702"/>
      <w:r w:rsidRPr="00E44776">
        <w:lastRenderedPageBreak/>
        <w:t xml:space="preserve">Table </w:t>
      </w:r>
      <w:r w:rsidR="00B53F47">
        <w:fldChar w:fldCharType="begin" w:fldLock="1"/>
      </w:r>
      <w:r w:rsidR="00B53F47">
        <w:instrText xml:space="preserve"> SEQ Table \* ARABIC </w:instrText>
      </w:r>
      <w:r w:rsidR="00B53F47">
        <w:fldChar w:fldCharType="separate"/>
      </w:r>
      <w:r w:rsidR="00CB2B8B">
        <w:rPr>
          <w:noProof/>
        </w:rPr>
        <w:t>4</w:t>
      </w:r>
      <w:r w:rsidR="00B53F47">
        <w:rPr>
          <w:noProof/>
        </w:rPr>
        <w:fldChar w:fldCharType="end"/>
      </w:r>
      <w:bookmarkEnd w:id="36"/>
      <w:r w:rsidRPr="00E44776">
        <w:t>: Key features of the included evidence</w:t>
      </w:r>
      <w:bookmarkEnd w:id="3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4: Key features of the included evidence"/>
      </w:tblPr>
      <w:tblGrid>
        <w:gridCol w:w="849"/>
        <w:gridCol w:w="330"/>
        <w:gridCol w:w="1870"/>
        <w:gridCol w:w="736"/>
        <w:gridCol w:w="1775"/>
        <w:gridCol w:w="1847"/>
        <w:gridCol w:w="1610"/>
      </w:tblGrid>
      <w:tr w:rsidR="00B730AB" w:rsidRPr="00E44776" w14:paraId="66569A42" w14:textId="77777777" w:rsidTr="00A57E5C">
        <w:trPr>
          <w:cantSplit/>
          <w:tblHeader/>
        </w:trPr>
        <w:tc>
          <w:tcPr>
            <w:tcW w:w="471" w:type="pct"/>
            <w:shd w:val="clear" w:color="auto" w:fill="auto"/>
            <w:vAlign w:val="center"/>
          </w:tcPr>
          <w:p w14:paraId="3DAD135B" w14:textId="77777777" w:rsidR="00557DF6" w:rsidRPr="00E44776" w:rsidRDefault="00557DF6" w:rsidP="00013B37">
            <w:pPr>
              <w:pStyle w:val="Tableheadingrow"/>
              <w:rPr>
                <w:lang w:val="en-AU"/>
              </w:rPr>
            </w:pPr>
            <w:r w:rsidRPr="00E44776">
              <w:rPr>
                <w:lang w:val="en-AU"/>
              </w:rPr>
              <w:t>Trial</w:t>
            </w:r>
          </w:p>
        </w:tc>
        <w:tc>
          <w:tcPr>
            <w:tcW w:w="183" w:type="pct"/>
            <w:shd w:val="clear" w:color="auto" w:fill="auto"/>
            <w:vAlign w:val="center"/>
          </w:tcPr>
          <w:p w14:paraId="33CC5C68" w14:textId="77777777" w:rsidR="00557DF6" w:rsidRPr="00E44776" w:rsidRDefault="00557DF6" w:rsidP="00013B37">
            <w:pPr>
              <w:pStyle w:val="Tableheadingrow"/>
              <w:jc w:val="center"/>
              <w:rPr>
                <w:lang w:val="en-AU"/>
              </w:rPr>
            </w:pPr>
            <w:r w:rsidRPr="00E44776">
              <w:rPr>
                <w:lang w:val="en-AU"/>
              </w:rPr>
              <w:t>N</w:t>
            </w:r>
          </w:p>
        </w:tc>
        <w:tc>
          <w:tcPr>
            <w:tcW w:w="1037" w:type="pct"/>
            <w:shd w:val="clear" w:color="auto" w:fill="auto"/>
            <w:vAlign w:val="center"/>
          </w:tcPr>
          <w:p w14:paraId="4201CD29" w14:textId="77777777" w:rsidR="00557DF6" w:rsidRPr="00E44776" w:rsidRDefault="00557DF6" w:rsidP="00013B37">
            <w:pPr>
              <w:pStyle w:val="Tableheadingrow"/>
              <w:jc w:val="center"/>
              <w:rPr>
                <w:lang w:val="en-AU"/>
              </w:rPr>
            </w:pPr>
            <w:r w:rsidRPr="00E44776">
              <w:rPr>
                <w:lang w:val="en-AU"/>
              </w:rPr>
              <w:t>Design/duration of follow-up</w:t>
            </w:r>
          </w:p>
        </w:tc>
        <w:tc>
          <w:tcPr>
            <w:tcW w:w="408" w:type="pct"/>
            <w:shd w:val="clear" w:color="auto" w:fill="auto"/>
            <w:vAlign w:val="center"/>
          </w:tcPr>
          <w:p w14:paraId="5A286D64" w14:textId="77777777" w:rsidR="00557DF6" w:rsidRPr="00E44776" w:rsidRDefault="00557DF6" w:rsidP="00013B37">
            <w:pPr>
              <w:pStyle w:val="Tableheadingrow"/>
              <w:jc w:val="center"/>
              <w:rPr>
                <w:lang w:val="en-AU"/>
              </w:rPr>
            </w:pPr>
            <w:r w:rsidRPr="00E44776">
              <w:rPr>
                <w:lang w:val="en-AU"/>
              </w:rPr>
              <w:t>Risk of bias</w:t>
            </w:r>
          </w:p>
        </w:tc>
        <w:tc>
          <w:tcPr>
            <w:tcW w:w="984" w:type="pct"/>
            <w:shd w:val="clear" w:color="auto" w:fill="auto"/>
            <w:vAlign w:val="center"/>
          </w:tcPr>
          <w:p w14:paraId="5BF98AD0" w14:textId="77777777" w:rsidR="00557DF6" w:rsidRPr="00E44776" w:rsidRDefault="00557DF6" w:rsidP="00013B37">
            <w:pPr>
              <w:pStyle w:val="Tableheadingrow"/>
              <w:jc w:val="center"/>
              <w:rPr>
                <w:lang w:val="en-AU"/>
              </w:rPr>
            </w:pPr>
            <w:r w:rsidRPr="00E44776">
              <w:rPr>
                <w:lang w:val="en-AU"/>
              </w:rPr>
              <w:t>Patient population</w:t>
            </w:r>
          </w:p>
        </w:tc>
        <w:tc>
          <w:tcPr>
            <w:tcW w:w="1024" w:type="pct"/>
            <w:shd w:val="clear" w:color="auto" w:fill="auto"/>
            <w:vAlign w:val="center"/>
          </w:tcPr>
          <w:p w14:paraId="0F4F4693" w14:textId="77777777" w:rsidR="00557DF6" w:rsidRPr="00E44776" w:rsidRDefault="00557DF6" w:rsidP="00013B37">
            <w:pPr>
              <w:pStyle w:val="Tableheadingrow"/>
              <w:jc w:val="center"/>
              <w:rPr>
                <w:lang w:val="en-AU"/>
              </w:rPr>
            </w:pPr>
            <w:r w:rsidRPr="00E44776">
              <w:rPr>
                <w:lang w:val="en-AU"/>
              </w:rPr>
              <w:t>Outcomes</w:t>
            </w:r>
          </w:p>
        </w:tc>
        <w:tc>
          <w:tcPr>
            <w:tcW w:w="893" w:type="pct"/>
          </w:tcPr>
          <w:p w14:paraId="6F53364A" w14:textId="77777777" w:rsidR="00557DF6" w:rsidRPr="00E44776" w:rsidRDefault="00557DF6" w:rsidP="00013B37">
            <w:pPr>
              <w:pStyle w:val="Tableheadingrow"/>
              <w:jc w:val="center"/>
              <w:rPr>
                <w:lang w:val="en-AU"/>
              </w:rPr>
            </w:pPr>
            <w:r w:rsidRPr="00E44776">
              <w:rPr>
                <w:lang w:val="en-AU"/>
              </w:rPr>
              <w:t>Use in modelled evaluation</w:t>
            </w:r>
          </w:p>
        </w:tc>
      </w:tr>
      <w:tr w:rsidR="00557DF6" w:rsidRPr="00E44776" w14:paraId="068EC42A" w14:textId="77777777" w:rsidTr="00A57E5C">
        <w:trPr>
          <w:cantSplit/>
        </w:trPr>
        <w:tc>
          <w:tcPr>
            <w:tcW w:w="5000" w:type="pct"/>
            <w:gridSpan w:val="7"/>
            <w:shd w:val="clear" w:color="auto" w:fill="auto"/>
            <w:vAlign w:val="center"/>
          </w:tcPr>
          <w:p w14:paraId="2368CD0A" w14:textId="786C85DA" w:rsidR="00557DF6" w:rsidRPr="00E44776" w:rsidRDefault="00557DF6" w:rsidP="00013B37">
            <w:pPr>
              <w:pStyle w:val="Tableheadingrow"/>
              <w:rPr>
                <w:lang w:val="en-AU"/>
              </w:rPr>
            </w:pPr>
            <w:r w:rsidRPr="00E44776">
              <w:rPr>
                <w:lang w:val="en-AU"/>
              </w:rPr>
              <w:t>Acalabrutinib + obinutuzumab vs acalabrutinib monotherapy vs chlorambucil + obinutuzumab</w:t>
            </w:r>
          </w:p>
        </w:tc>
      </w:tr>
      <w:tr w:rsidR="00B730AB" w:rsidRPr="00E44776" w14:paraId="463FC882" w14:textId="77777777" w:rsidTr="00A57E5C">
        <w:trPr>
          <w:cantSplit/>
        </w:trPr>
        <w:tc>
          <w:tcPr>
            <w:tcW w:w="471" w:type="pct"/>
            <w:shd w:val="clear" w:color="auto" w:fill="auto"/>
            <w:vAlign w:val="center"/>
          </w:tcPr>
          <w:p w14:paraId="2E083655" w14:textId="77777777" w:rsidR="00557DF6" w:rsidRPr="00E44776" w:rsidRDefault="00557DF6" w:rsidP="00013B37">
            <w:pPr>
              <w:pStyle w:val="TableText"/>
            </w:pPr>
            <w:r w:rsidRPr="00E44776">
              <w:t>ELEVATE-TN</w:t>
            </w:r>
          </w:p>
        </w:tc>
        <w:tc>
          <w:tcPr>
            <w:tcW w:w="183" w:type="pct"/>
            <w:shd w:val="clear" w:color="auto" w:fill="auto"/>
            <w:vAlign w:val="center"/>
          </w:tcPr>
          <w:p w14:paraId="0C1921C4" w14:textId="77777777" w:rsidR="00557DF6" w:rsidRPr="00E44776" w:rsidRDefault="00557DF6" w:rsidP="00013B37">
            <w:pPr>
              <w:pStyle w:val="TableText"/>
              <w:jc w:val="center"/>
            </w:pPr>
            <w:r w:rsidRPr="00E44776">
              <w:t>535</w:t>
            </w:r>
          </w:p>
        </w:tc>
        <w:tc>
          <w:tcPr>
            <w:tcW w:w="1037" w:type="pct"/>
            <w:shd w:val="clear" w:color="auto" w:fill="auto"/>
          </w:tcPr>
          <w:p w14:paraId="3B31093C" w14:textId="77777777" w:rsidR="00557DF6" w:rsidRPr="00E44776" w:rsidRDefault="00557DF6" w:rsidP="00013B37">
            <w:pPr>
              <w:pStyle w:val="TableText"/>
            </w:pPr>
            <w:r w:rsidRPr="00E44776">
              <w:t>Phase 3, randomised, open-label trial.</w:t>
            </w:r>
          </w:p>
          <w:p w14:paraId="1517BFE6" w14:textId="77777777" w:rsidR="00557DF6" w:rsidRPr="00E44776" w:rsidRDefault="00557DF6" w:rsidP="00013B37">
            <w:pPr>
              <w:pStyle w:val="TableText"/>
            </w:pPr>
            <w:r w:rsidRPr="00E44776">
              <w:t xml:space="preserve">Median duration of follow-up: </w:t>
            </w:r>
          </w:p>
          <w:p w14:paraId="4B29888F" w14:textId="6D7CA5A7" w:rsidR="00557DF6" w:rsidRPr="00E44776" w:rsidRDefault="00557DF6" w:rsidP="00D32791">
            <w:pPr>
              <w:pStyle w:val="TableText"/>
              <w:numPr>
                <w:ilvl w:val="0"/>
                <w:numId w:val="9"/>
              </w:numPr>
              <w:ind w:left="113" w:hanging="113"/>
            </w:pPr>
            <w:r w:rsidRPr="00E44776">
              <w:t xml:space="preserve">28.3 months </w:t>
            </w:r>
            <w:r w:rsidR="003C1A1D" w:rsidRPr="00E44776">
              <w:t>(February 2019 data cut)</w:t>
            </w:r>
          </w:p>
          <w:p w14:paraId="4F40DBE0" w14:textId="144DE85D" w:rsidR="00557DF6" w:rsidRPr="00E44776" w:rsidRDefault="00557DF6" w:rsidP="00D32791">
            <w:pPr>
              <w:pStyle w:val="TableText"/>
              <w:numPr>
                <w:ilvl w:val="0"/>
                <w:numId w:val="9"/>
              </w:numPr>
              <w:ind w:left="113" w:hanging="113"/>
            </w:pPr>
            <w:r w:rsidRPr="00E44776">
              <w:t xml:space="preserve">46.9 months </w:t>
            </w:r>
            <w:r w:rsidR="003C1A1D" w:rsidRPr="00E44776">
              <w:t>(</w:t>
            </w:r>
            <w:r w:rsidRPr="00E44776">
              <w:t>September 2020 data cut</w:t>
            </w:r>
            <w:r w:rsidR="003C1A1D" w:rsidRPr="00E44776">
              <w:t>)</w:t>
            </w:r>
          </w:p>
          <w:p w14:paraId="1368C406" w14:textId="5C1F3B32" w:rsidR="00557DF6" w:rsidRPr="00E44776" w:rsidRDefault="00557DF6" w:rsidP="00D32791">
            <w:pPr>
              <w:pStyle w:val="TableText"/>
              <w:numPr>
                <w:ilvl w:val="0"/>
                <w:numId w:val="9"/>
              </w:numPr>
              <w:ind w:left="113" w:hanging="113"/>
            </w:pPr>
            <w:r w:rsidRPr="00E44776">
              <w:t xml:space="preserve">58.2 months </w:t>
            </w:r>
            <w:r w:rsidR="003C1A1D" w:rsidRPr="00E44776">
              <w:t>(</w:t>
            </w:r>
            <w:r w:rsidRPr="00E44776">
              <w:t>October 2021 data cut</w:t>
            </w:r>
            <w:r w:rsidR="003C1A1D" w:rsidRPr="00E44776">
              <w:t>)</w:t>
            </w:r>
          </w:p>
        </w:tc>
        <w:tc>
          <w:tcPr>
            <w:tcW w:w="408" w:type="pct"/>
            <w:shd w:val="clear" w:color="auto" w:fill="auto"/>
            <w:vAlign w:val="center"/>
          </w:tcPr>
          <w:p w14:paraId="3534C723" w14:textId="77777777" w:rsidR="00557DF6" w:rsidRPr="00E44776" w:rsidRDefault="00557DF6" w:rsidP="00013B37">
            <w:pPr>
              <w:pStyle w:val="TableText"/>
              <w:jc w:val="center"/>
            </w:pPr>
            <w:r w:rsidRPr="00E44776">
              <w:t>Unclear</w:t>
            </w:r>
          </w:p>
        </w:tc>
        <w:tc>
          <w:tcPr>
            <w:tcW w:w="984" w:type="pct"/>
            <w:shd w:val="clear" w:color="auto" w:fill="auto"/>
          </w:tcPr>
          <w:p w14:paraId="44C862F4" w14:textId="4A4BF90E"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Age ≥ 65 years</w:t>
            </w:r>
            <w:r w:rsidR="00A65EA7" w:rsidRPr="00E44776">
              <w:rPr>
                <w:rFonts w:ascii="Arial Narrow" w:hAnsi="Arial Narrow"/>
                <w:sz w:val="20"/>
                <w:szCs w:val="20"/>
              </w:rPr>
              <w:t>,</w:t>
            </w:r>
            <w:r w:rsidRPr="00E44776">
              <w:rPr>
                <w:rFonts w:ascii="Arial Narrow" w:hAnsi="Arial Narrow"/>
                <w:sz w:val="20"/>
                <w:szCs w:val="20"/>
              </w:rPr>
              <w:t xml:space="preserve"> or 18-65 years meeting additional criteria (CrCl of 30-69 mL/min or CIRS score &gt;6).</w:t>
            </w:r>
          </w:p>
          <w:p w14:paraId="5689114B" w14:textId="77777777"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Active CD20+ CLL disease requiring treatment.</w:t>
            </w:r>
          </w:p>
          <w:p w14:paraId="63693E3D" w14:textId="5F9E6BE5"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ECOG score ≤2.</w:t>
            </w:r>
          </w:p>
          <w:p w14:paraId="57859BC0" w14:textId="77777777"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No prior systemic treatment for CLL.</w:t>
            </w:r>
          </w:p>
        </w:tc>
        <w:tc>
          <w:tcPr>
            <w:tcW w:w="1024" w:type="pct"/>
            <w:shd w:val="clear" w:color="auto" w:fill="auto"/>
          </w:tcPr>
          <w:p w14:paraId="3BB4FCAD" w14:textId="77777777"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Progression-free survival</w:t>
            </w:r>
          </w:p>
          <w:p w14:paraId="294E5037" w14:textId="77777777"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Overall response rate</w:t>
            </w:r>
          </w:p>
          <w:p w14:paraId="3C681FE1" w14:textId="77777777"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Overall survival</w:t>
            </w:r>
          </w:p>
          <w:p w14:paraId="019BC2AC" w14:textId="24042DE8"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Time to next treatment</w:t>
            </w:r>
          </w:p>
          <w:p w14:paraId="4F880259" w14:textId="77777777"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Adverse events</w:t>
            </w:r>
          </w:p>
          <w:p w14:paraId="2FCEDD36" w14:textId="4B2D891F"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Health-related quality of life (FACIT-Fatigue, EORTC QLQ-C30, EQ-5D-3L)</w:t>
            </w:r>
          </w:p>
        </w:tc>
        <w:tc>
          <w:tcPr>
            <w:tcW w:w="893" w:type="pct"/>
          </w:tcPr>
          <w:p w14:paraId="2E092D7F" w14:textId="77777777"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Progression-free survival</w:t>
            </w:r>
          </w:p>
          <w:p w14:paraId="3123228D" w14:textId="77777777"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Overall survival</w:t>
            </w:r>
          </w:p>
          <w:p w14:paraId="2BF144A7" w14:textId="4F61F39A" w:rsidR="00557DF6" w:rsidRPr="00E44776" w:rsidRDefault="00557DF6"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Time to next treatment</w:t>
            </w:r>
          </w:p>
          <w:p w14:paraId="72D09061" w14:textId="0D61A81C" w:rsidR="00557DF6" w:rsidRPr="00E44776" w:rsidRDefault="00960C28"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Time to treatment discontinuation</w:t>
            </w:r>
          </w:p>
        </w:tc>
      </w:tr>
      <w:tr w:rsidR="00557DF6" w:rsidRPr="00E44776" w14:paraId="5B34E82D" w14:textId="77777777" w:rsidTr="00557DF6">
        <w:trPr>
          <w:cantSplit/>
        </w:trPr>
        <w:tc>
          <w:tcPr>
            <w:tcW w:w="5000" w:type="pct"/>
            <w:gridSpan w:val="7"/>
            <w:shd w:val="clear" w:color="auto" w:fill="auto"/>
            <w:vAlign w:val="center"/>
          </w:tcPr>
          <w:p w14:paraId="5847F2A7" w14:textId="404B304A" w:rsidR="00557DF6" w:rsidRPr="00E44776" w:rsidRDefault="00557DF6" w:rsidP="00013B37">
            <w:pPr>
              <w:keepNext/>
              <w:rPr>
                <w:rFonts w:ascii="Arial Narrow" w:hAnsi="Arial Narrow"/>
                <w:b/>
                <w:bCs/>
                <w:sz w:val="20"/>
                <w:szCs w:val="20"/>
              </w:rPr>
            </w:pPr>
            <w:r w:rsidRPr="00E44776">
              <w:rPr>
                <w:rFonts w:ascii="Arial Narrow" w:hAnsi="Arial Narrow"/>
                <w:b/>
                <w:bCs/>
                <w:sz w:val="20"/>
                <w:szCs w:val="20"/>
              </w:rPr>
              <w:t>Venetoclax + obinutuzumab versus chlorambucil + obinutuzumab</w:t>
            </w:r>
          </w:p>
        </w:tc>
      </w:tr>
      <w:tr w:rsidR="003C1A1D" w:rsidRPr="00E44776" w14:paraId="2C41311A" w14:textId="77777777" w:rsidTr="00F8512B">
        <w:trPr>
          <w:cantSplit/>
        </w:trPr>
        <w:tc>
          <w:tcPr>
            <w:tcW w:w="471" w:type="pct"/>
            <w:shd w:val="clear" w:color="auto" w:fill="auto"/>
            <w:vAlign w:val="center"/>
          </w:tcPr>
          <w:p w14:paraId="24FBD501" w14:textId="3671E8CD" w:rsidR="003C1A1D" w:rsidRPr="00E44776" w:rsidRDefault="003C1A1D" w:rsidP="00013B37">
            <w:pPr>
              <w:pStyle w:val="TableText"/>
            </w:pPr>
            <w:r w:rsidRPr="00E44776">
              <w:rPr>
                <w:lang w:val="en-US"/>
              </w:rPr>
              <w:t>CLL-14</w:t>
            </w:r>
          </w:p>
        </w:tc>
        <w:tc>
          <w:tcPr>
            <w:tcW w:w="183" w:type="pct"/>
            <w:shd w:val="clear" w:color="auto" w:fill="auto"/>
            <w:vAlign w:val="center"/>
          </w:tcPr>
          <w:p w14:paraId="6C27403B" w14:textId="4AFCCD59" w:rsidR="003C1A1D" w:rsidRPr="00E44776" w:rsidRDefault="003C1A1D" w:rsidP="00013B37">
            <w:pPr>
              <w:pStyle w:val="TableText"/>
            </w:pPr>
            <w:r w:rsidRPr="00E44776">
              <w:rPr>
                <w:lang w:val="en-US"/>
              </w:rPr>
              <w:t>432</w:t>
            </w:r>
          </w:p>
        </w:tc>
        <w:tc>
          <w:tcPr>
            <w:tcW w:w="1037" w:type="pct"/>
            <w:shd w:val="clear" w:color="auto" w:fill="auto"/>
          </w:tcPr>
          <w:p w14:paraId="5F5EB71B" w14:textId="5401DF55" w:rsidR="003C1A1D" w:rsidRPr="00E44776" w:rsidRDefault="003C1A1D" w:rsidP="00013B37">
            <w:pPr>
              <w:pStyle w:val="TableText"/>
              <w:rPr>
                <w:lang w:val="en-US"/>
              </w:rPr>
            </w:pPr>
            <w:r w:rsidRPr="00E44776">
              <w:rPr>
                <w:lang w:val="en-US"/>
              </w:rPr>
              <w:t>Phase 3, randomised, open-label trial.</w:t>
            </w:r>
          </w:p>
          <w:p w14:paraId="12EA6B8F" w14:textId="77777777" w:rsidR="003C1A1D" w:rsidRPr="00E44776" w:rsidRDefault="003C1A1D" w:rsidP="00013B37">
            <w:pPr>
              <w:pStyle w:val="TableText"/>
              <w:rPr>
                <w:lang w:val="en-US"/>
              </w:rPr>
            </w:pPr>
            <w:r w:rsidRPr="00E44776">
              <w:rPr>
                <w:lang w:val="en-US"/>
              </w:rPr>
              <w:t>Median duration of follow-up:</w:t>
            </w:r>
          </w:p>
          <w:p w14:paraId="462D13FB" w14:textId="681A401E" w:rsidR="003C1A1D" w:rsidRPr="00E44776" w:rsidRDefault="003C1A1D" w:rsidP="00D32791">
            <w:pPr>
              <w:pStyle w:val="TableText"/>
              <w:numPr>
                <w:ilvl w:val="0"/>
                <w:numId w:val="9"/>
              </w:numPr>
              <w:ind w:left="113" w:hanging="113"/>
            </w:pPr>
            <w:r w:rsidRPr="00E44776">
              <w:t>28.1 months (</w:t>
            </w:r>
            <w:r w:rsidR="00A65EA7" w:rsidRPr="00E44776">
              <w:t>Fischer et al., 2019)</w:t>
            </w:r>
          </w:p>
          <w:p w14:paraId="26C595B4" w14:textId="77777777" w:rsidR="00A65EA7" w:rsidRPr="00E44776" w:rsidRDefault="00A65EA7" w:rsidP="00D32791">
            <w:pPr>
              <w:pStyle w:val="TableText"/>
              <w:numPr>
                <w:ilvl w:val="0"/>
                <w:numId w:val="9"/>
              </w:numPr>
              <w:ind w:left="113" w:hanging="113"/>
            </w:pPr>
            <w:r w:rsidRPr="00E44776">
              <w:t>39.6 months (Al-Sawaf et al., 2020)</w:t>
            </w:r>
          </w:p>
          <w:p w14:paraId="050CD9B5" w14:textId="507AB5EF" w:rsidR="00A65EA7" w:rsidRPr="00E44776" w:rsidRDefault="00A65EA7" w:rsidP="00D32791">
            <w:pPr>
              <w:pStyle w:val="TableText"/>
              <w:numPr>
                <w:ilvl w:val="0"/>
                <w:numId w:val="9"/>
              </w:numPr>
              <w:ind w:left="113" w:hanging="113"/>
            </w:pPr>
            <w:r w:rsidRPr="00E44776">
              <w:t>52.4 months (Al-Sawaf et al., 2021)</w:t>
            </w:r>
          </w:p>
          <w:p w14:paraId="38D81277" w14:textId="0A19EEBB" w:rsidR="00A65EA7" w:rsidRPr="00E44776" w:rsidRDefault="00A65EA7" w:rsidP="00D32791">
            <w:pPr>
              <w:pStyle w:val="TableText"/>
              <w:numPr>
                <w:ilvl w:val="0"/>
                <w:numId w:val="9"/>
              </w:numPr>
              <w:ind w:left="113" w:hanging="113"/>
            </w:pPr>
            <w:r w:rsidRPr="00E44776">
              <w:t>65.4 months (Al-Sawaf et al., 2022)</w:t>
            </w:r>
          </w:p>
        </w:tc>
        <w:tc>
          <w:tcPr>
            <w:tcW w:w="408" w:type="pct"/>
            <w:shd w:val="clear" w:color="auto" w:fill="auto"/>
            <w:vAlign w:val="center"/>
          </w:tcPr>
          <w:p w14:paraId="544942F6" w14:textId="4D09CC15" w:rsidR="003C1A1D" w:rsidRPr="00E44776" w:rsidRDefault="003C1A1D" w:rsidP="00013B37">
            <w:pPr>
              <w:pStyle w:val="TableText"/>
              <w:jc w:val="center"/>
            </w:pPr>
            <w:r w:rsidRPr="00E44776">
              <w:t>Unclear</w:t>
            </w:r>
          </w:p>
        </w:tc>
        <w:tc>
          <w:tcPr>
            <w:tcW w:w="984" w:type="pct"/>
            <w:shd w:val="clear" w:color="auto" w:fill="auto"/>
          </w:tcPr>
          <w:p w14:paraId="0BE72F2D" w14:textId="60E3D10E"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Age ≥ 18 years</w:t>
            </w:r>
            <w:r w:rsidR="00A65EA7" w:rsidRPr="00E44776">
              <w:rPr>
                <w:rFonts w:ascii="Arial Narrow" w:hAnsi="Arial Narrow"/>
                <w:sz w:val="20"/>
                <w:szCs w:val="20"/>
              </w:rPr>
              <w:t>.</w:t>
            </w:r>
          </w:p>
          <w:p w14:paraId="3F099A41" w14:textId="3A3CD1DE"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CIRS score &gt;6 or CrCl &lt;70 mL/min</w:t>
            </w:r>
            <w:r w:rsidR="00A65EA7" w:rsidRPr="00E44776">
              <w:rPr>
                <w:rFonts w:ascii="Arial Narrow" w:hAnsi="Arial Narrow"/>
                <w:sz w:val="20"/>
                <w:szCs w:val="20"/>
              </w:rPr>
              <w:t>.</w:t>
            </w:r>
          </w:p>
          <w:p w14:paraId="3FFF0A38" w14:textId="3637EB7F" w:rsidR="00960C28"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CLL disease requiring treatment</w:t>
            </w:r>
            <w:r w:rsidR="00960C28" w:rsidRPr="00E44776">
              <w:rPr>
                <w:rFonts w:ascii="Arial Narrow" w:hAnsi="Arial Narrow"/>
                <w:sz w:val="20"/>
                <w:szCs w:val="20"/>
              </w:rPr>
              <w:t>.</w:t>
            </w:r>
          </w:p>
          <w:p w14:paraId="199AA824" w14:textId="1A524938"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Documented previously untreated CLL</w:t>
            </w:r>
            <w:r w:rsidR="00960C28" w:rsidRPr="00E44776">
              <w:rPr>
                <w:rFonts w:ascii="Arial Narrow" w:hAnsi="Arial Narrow"/>
                <w:sz w:val="20"/>
                <w:szCs w:val="20"/>
              </w:rPr>
              <w:t>.</w:t>
            </w:r>
          </w:p>
        </w:tc>
        <w:tc>
          <w:tcPr>
            <w:tcW w:w="1024" w:type="pct"/>
            <w:shd w:val="clear" w:color="auto" w:fill="auto"/>
          </w:tcPr>
          <w:p w14:paraId="0E4C45CA" w14:textId="77777777"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Progression-free survival</w:t>
            </w:r>
          </w:p>
          <w:p w14:paraId="1F1E1F5E" w14:textId="77777777"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Overall response rate</w:t>
            </w:r>
          </w:p>
          <w:p w14:paraId="61A6097A" w14:textId="77777777"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Overall survival</w:t>
            </w:r>
          </w:p>
          <w:p w14:paraId="39C66D3B" w14:textId="77777777"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Time to next treatment</w:t>
            </w:r>
          </w:p>
          <w:p w14:paraId="0C593718" w14:textId="77777777"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MRD response rate</w:t>
            </w:r>
          </w:p>
          <w:p w14:paraId="55A35235" w14:textId="77777777"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Duration of response</w:t>
            </w:r>
          </w:p>
          <w:p w14:paraId="7595A7D2" w14:textId="77777777"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Event-free survival</w:t>
            </w:r>
          </w:p>
          <w:p w14:paraId="09542B10" w14:textId="77777777"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Adverse events</w:t>
            </w:r>
          </w:p>
          <w:p w14:paraId="5D313F93" w14:textId="7D04BD61" w:rsidR="003C1A1D" w:rsidRPr="00E44776" w:rsidRDefault="003C1A1D"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HRQOL (MDASI, EORTC QLQ-C30, EQ-5D-5L).</w:t>
            </w:r>
          </w:p>
        </w:tc>
        <w:tc>
          <w:tcPr>
            <w:tcW w:w="893" w:type="pct"/>
          </w:tcPr>
          <w:p w14:paraId="2083C103" w14:textId="77777777" w:rsidR="00065BA0" w:rsidRPr="00E44776" w:rsidRDefault="00065BA0"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Progression-free survival</w:t>
            </w:r>
          </w:p>
          <w:p w14:paraId="799046EF" w14:textId="77777777" w:rsidR="00065BA0" w:rsidRPr="00E44776" w:rsidRDefault="00065BA0"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Overall survival</w:t>
            </w:r>
          </w:p>
          <w:p w14:paraId="4560C3B8" w14:textId="74D74215" w:rsidR="003C1A1D" w:rsidRPr="00E44776" w:rsidRDefault="00065BA0" w:rsidP="00D32791">
            <w:pPr>
              <w:keepNext/>
              <w:numPr>
                <w:ilvl w:val="0"/>
                <w:numId w:val="8"/>
              </w:numPr>
              <w:ind w:left="113" w:hanging="113"/>
              <w:jc w:val="left"/>
              <w:rPr>
                <w:rFonts w:ascii="Arial Narrow" w:hAnsi="Arial Narrow"/>
                <w:sz w:val="20"/>
                <w:szCs w:val="20"/>
              </w:rPr>
            </w:pPr>
            <w:r w:rsidRPr="00E44776">
              <w:rPr>
                <w:rFonts w:ascii="Arial Narrow" w:hAnsi="Arial Narrow"/>
                <w:sz w:val="20"/>
                <w:szCs w:val="20"/>
              </w:rPr>
              <w:t>Time to next treatment</w:t>
            </w:r>
          </w:p>
        </w:tc>
      </w:tr>
    </w:tbl>
    <w:p w14:paraId="17FBF307" w14:textId="28A7A347" w:rsidR="00557DF6" w:rsidRPr="00E44776" w:rsidRDefault="00557DF6" w:rsidP="00557DF6">
      <w:pPr>
        <w:pStyle w:val="TableFigureFooter"/>
      </w:pPr>
      <w:r w:rsidRPr="00E44776">
        <w:t>Source: Table S1 of the ELEVATE-TN interim clinical study report.</w:t>
      </w:r>
    </w:p>
    <w:p w14:paraId="37A7182E" w14:textId="45A2D2CE" w:rsidR="00557DF6" w:rsidRPr="00E44776" w:rsidRDefault="00557DF6" w:rsidP="00557DF6">
      <w:pPr>
        <w:pStyle w:val="TableFigureFooter"/>
      </w:pPr>
      <w:r w:rsidRPr="00E44776">
        <w:t>CD</w:t>
      </w:r>
      <w:r w:rsidR="00F8512B" w:rsidRPr="00E44776">
        <w:t xml:space="preserve"> =</w:t>
      </w:r>
      <w:r w:rsidRPr="00E44776">
        <w:t xml:space="preserve"> cluster of differentiation</w:t>
      </w:r>
      <w:r w:rsidR="00F8512B" w:rsidRPr="00E44776">
        <w:t>,</w:t>
      </w:r>
      <w:r w:rsidRPr="00E44776">
        <w:t xml:space="preserve"> CIRS</w:t>
      </w:r>
      <w:r w:rsidR="00F8512B" w:rsidRPr="00E44776">
        <w:t xml:space="preserve"> =</w:t>
      </w:r>
      <w:r w:rsidRPr="00E44776">
        <w:t xml:space="preserve"> cumulative illness rating scale</w:t>
      </w:r>
      <w:r w:rsidR="00F8512B" w:rsidRPr="00E44776">
        <w:t>,</w:t>
      </w:r>
      <w:r w:rsidRPr="00E44776">
        <w:t xml:space="preserve"> CLL</w:t>
      </w:r>
      <w:r w:rsidR="00F8512B" w:rsidRPr="00E44776">
        <w:t xml:space="preserve"> =</w:t>
      </w:r>
      <w:r w:rsidRPr="00E44776">
        <w:t xml:space="preserve"> chronic lymphocytic leukaemia</w:t>
      </w:r>
      <w:r w:rsidR="00F8512B" w:rsidRPr="00E44776">
        <w:t>,</w:t>
      </w:r>
      <w:r w:rsidRPr="00E44776">
        <w:t xml:space="preserve"> CrCl</w:t>
      </w:r>
      <w:r w:rsidR="00F8512B" w:rsidRPr="00E44776">
        <w:t xml:space="preserve"> =</w:t>
      </w:r>
      <w:r w:rsidRPr="00E44776">
        <w:t xml:space="preserve"> creatinine clearance</w:t>
      </w:r>
      <w:r w:rsidR="00F8512B" w:rsidRPr="00E44776">
        <w:t>,</w:t>
      </w:r>
      <w:r w:rsidRPr="00E44776">
        <w:t xml:space="preserve"> ECOG</w:t>
      </w:r>
      <w:r w:rsidR="00F8512B" w:rsidRPr="00E44776">
        <w:t xml:space="preserve"> =</w:t>
      </w:r>
      <w:r w:rsidRPr="00E44776">
        <w:t xml:space="preserve"> European Cooperative Oncology Group</w:t>
      </w:r>
      <w:r w:rsidR="00F8512B" w:rsidRPr="00E44776">
        <w:t>,</w:t>
      </w:r>
      <w:r w:rsidRPr="00E44776">
        <w:t xml:space="preserve"> EQ-5D-3L</w:t>
      </w:r>
      <w:r w:rsidR="00F8512B" w:rsidRPr="00E44776">
        <w:t xml:space="preserve"> =</w:t>
      </w:r>
      <w:r w:rsidRPr="00E44776">
        <w:t xml:space="preserve"> EuroQol five-dimension 3-level</w:t>
      </w:r>
      <w:r w:rsidR="00F8512B" w:rsidRPr="00E44776">
        <w:t>,</w:t>
      </w:r>
      <w:r w:rsidRPr="00E44776">
        <w:t xml:space="preserve"> EORTC</w:t>
      </w:r>
      <w:r w:rsidR="00F8512B" w:rsidRPr="00E44776">
        <w:t xml:space="preserve"> =</w:t>
      </w:r>
      <w:r w:rsidRPr="00E44776">
        <w:t xml:space="preserve"> European Organisation for Research and Treatment of Cancer</w:t>
      </w:r>
      <w:r w:rsidR="00F8512B" w:rsidRPr="00E44776">
        <w:t>,</w:t>
      </w:r>
      <w:r w:rsidRPr="00E44776">
        <w:t xml:space="preserve"> FACIT</w:t>
      </w:r>
      <w:r w:rsidR="00F8512B" w:rsidRPr="00E44776">
        <w:t xml:space="preserve"> =</w:t>
      </w:r>
      <w:r w:rsidRPr="00E44776">
        <w:t xml:space="preserve"> Functional Assessment of Chronic Illness Therapy</w:t>
      </w:r>
      <w:r w:rsidR="00F8512B" w:rsidRPr="00E44776">
        <w:t>,</w:t>
      </w:r>
      <w:r w:rsidRPr="00E44776">
        <w:t xml:space="preserve"> </w:t>
      </w:r>
      <w:r w:rsidR="005C7A43" w:rsidRPr="00E44776">
        <w:t>MDASI</w:t>
      </w:r>
      <w:r w:rsidR="00F8512B" w:rsidRPr="00E44776">
        <w:t xml:space="preserve"> =</w:t>
      </w:r>
      <w:r w:rsidR="005C7A43" w:rsidRPr="00E44776">
        <w:t xml:space="preserve"> MD Anderson Symptom Inventory</w:t>
      </w:r>
      <w:r w:rsidR="00F8512B" w:rsidRPr="00E44776">
        <w:t xml:space="preserve"> =</w:t>
      </w:r>
      <w:r w:rsidR="005C7A43" w:rsidRPr="00E44776">
        <w:t xml:space="preserve"> </w:t>
      </w:r>
      <w:r w:rsidRPr="00E44776">
        <w:t>QLQ-C30</w:t>
      </w:r>
      <w:r w:rsidR="00F8512B" w:rsidRPr="00E44776">
        <w:t xml:space="preserve"> =</w:t>
      </w:r>
      <w:r w:rsidRPr="00E44776">
        <w:t xml:space="preserve"> quality of life questionnaire Core 30</w:t>
      </w:r>
    </w:p>
    <w:p w14:paraId="7CF1E181" w14:textId="1A05B34F" w:rsidR="000B75C4" w:rsidRPr="00E44776" w:rsidRDefault="00F8512B" w:rsidP="000B75C4">
      <w:pPr>
        <w:pStyle w:val="COMexecsumnumberedpara"/>
        <w:rPr>
          <w:snapToGrid/>
          <w:lang w:val="en-US"/>
        </w:rPr>
      </w:pPr>
      <w:r w:rsidRPr="00E44776">
        <w:rPr>
          <w:snapToGrid/>
          <w:lang w:val="en-US"/>
        </w:rPr>
        <w:t>The ELEVATE-TN and CLL-14 trials had an unclear risk of bias. As the trials were open label, investigators, patients, and study personnel were not blinded to treatment allocation, which may have influenced the treatment of patients in the trial. Assessments made by study investigators (who were not blinded to treatment allocation) were at high risk of bias. Each trial included blinded assessments by an independent review committee, which had a lower risk of assessment bias. However, longer</w:t>
      </w:r>
      <w:r w:rsidR="00F0341C" w:rsidRPr="00E44776">
        <w:rPr>
          <w:snapToGrid/>
          <w:lang w:val="en-US"/>
        </w:rPr>
        <w:t xml:space="preserve"> </w:t>
      </w:r>
      <w:r w:rsidRPr="00E44776">
        <w:rPr>
          <w:snapToGrid/>
          <w:lang w:val="en-US"/>
        </w:rPr>
        <w:t xml:space="preserve">term </w:t>
      </w:r>
      <w:r w:rsidR="00F0341C" w:rsidRPr="00E44776">
        <w:rPr>
          <w:snapToGrid/>
          <w:lang w:val="en-US"/>
        </w:rPr>
        <w:t xml:space="preserve">progression-free survival </w:t>
      </w:r>
      <w:r w:rsidRPr="00E44776">
        <w:rPr>
          <w:snapToGrid/>
          <w:lang w:val="en-US"/>
        </w:rPr>
        <w:t>results were based on investigator assessments.</w:t>
      </w:r>
    </w:p>
    <w:p w14:paraId="384495FA" w14:textId="40770B3F" w:rsidR="00B542E7" w:rsidRPr="00E44776" w:rsidRDefault="008D0B74" w:rsidP="000B75C4">
      <w:pPr>
        <w:pStyle w:val="COMexecsumnumberedpara"/>
        <w:rPr>
          <w:snapToGrid/>
          <w:lang w:val="en-US"/>
        </w:rPr>
      </w:pPr>
      <w:r w:rsidRPr="00E44776">
        <w:rPr>
          <w:snapToGrid/>
          <w:lang w:val="en-US"/>
        </w:rPr>
        <w:t xml:space="preserve">There were differences in the eligibility criteria between the ELEVATE-TN and CLL-14 trials. While the ELEVATE-TN and CLL-14 trials </w:t>
      </w:r>
      <w:r w:rsidR="00C113E5" w:rsidRPr="00E44776">
        <w:rPr>
          <w:snapToGrid/>
          <w:lang w:val="en-US"/>
        </w:rPr>
        <w:t xml:space="preserve">both </w:t>
      </w:r>
      <w:r w:rsidRPr="00E44776">
        <w:rPr>
          <w:snapToGrid/>
          <w:lang w:val="en-US"/>
        </w:rPr>
        <w:t xml:space="preserve">recruited adult patients with previously untreated CLL, the ELEVATE-TN trial </w:t>
      </w:r>
      <w:r w:rsidR="00C113E5" w:rsidRPr="00E44776">
        <w:rPr>
          <w:snapToGrid/>
          <w:lang w:val="en-US"/>
        </w:rPr>
        <w:t>included</w:t>
      </w:r>
      <w:r w:rsidR="00B542E7" w:rsidRPr="00E44776">
        <w:rPr>
          <w:snapToGrid/>
          <w:lang w:val="en-US"/>
        </w:rPr>
        <w:t xml:space="preserve"> patients who </w:t>
      </w:r>
      <w:r w:rsidRPr="00E44776">
        <w:rPr>
          <w:snapToGrid/>
          <w:lang w:val="en-US"/>
        </w:rPr>
        <w:t>were aged ≥65 years</w:t>
      </w:r>
      <w:r w:rsidR="00C113E5" w:rsidRPr="00E44776">
        <w:rPr>
          <w:snapToGrid/>
          <w:lang w:val="en-US"/>
        </w:rPr>
        <w:t xml:space="preserve">, and patients </w:t>
      </w:r>
      <w:r w:rsidR="00B542E7" w:rsidRPr="00E44776">
        <w:rPr>
          <w:snapToGrid/>
          <w:lang w:val="en-US"/>
        </w:rPr>
        <w:t>aged</w:t>
      </w:r>
      <w:r w:rsidRPr="00E44776">
        <w:rPr>
          <w:snapToGrid/>
          <w:lang w:val="en-US"/>
        </w:rPr>
        <w:t xml:space="preserve"> &lt;65 years </w:t>
      </w:r>
      <w:r w:rsidR="00B542E7" w:rsidRPr="00E44776">
        <w:rPr>
          <w:snapToGrid/>
          <w:lang w:val="en-US"/>
        </w:rPr>
        <w:t xml:space="preserve">if they met </w:t>
      </w:r>
      <w:r w:rsidRPr="00E44776">
        <w:rPr>
          <w:snapToGrid/>
          <w:lang w:val="en-US"/>
        </w:rPr>
        <w:t xml:space="preserve">additional criteria (creatinine clearance of 30 to 69 mL/min or a CIRS score &gt;6). </w:t>
      </w:r>
      <w:r w:rsidR="00C113E5" w:rsidRPr="00E44776">
        <w:rPr>
          <w:snapToGrid/>
          <w:lang w:val="en-US"/>
        </w:rPr>
        <w:t xml:space="preserve">Patients recruited for the </w:t>
      </w:r>
      <w:r w:rsidRPr="00E44776">
        <w:rPr>
          <w:snapToGrid/>
          <w:lang w:val="en-US"/>
        </w:rPr>
        <w:t xml:space="preserve">CLL-14 trial </w:t>
      </w:r>
      <w:r w:rsidR="00C113E5" w:rsidRPr="00E44776">
        <w:rPr>
          <w:snapToGrid/>
          <w:lang w:val="en-US"/>
        </w:rPr>
        <w:t xml:space="preserve">were required to have a </w:t>
      </w:r>
      <w:r w:rsidRPr="00E44776">
        <w:rPr>
          <w:snapToGrid/>
          <w:lang w:val="en-US"/>
        </w:rPr>
        <w:t>CIRS score &gt;6 or a creatinine clearance &lt;70 mL/min.</w:t>
      </w:r>
    </w:p>
    <w:p w14:paraId="7CFC7624" w14:textId="3D4480E8" w:rsidR="000B75C4" w:rsidRPr="00E44776" w:rsidRDefault="000B75C4" w:rsidP="00A57E5C">
      <w:pPr>
        <w:pStyle w:val="COMexecsumnumberedpara"/>
        <w:rPr>
          <w:snapToGrid/>
          <w:lang w:val="en-US"/>
        </w:rPr>
      </w:pPr>
      <w:r w:rsidRPr="00E44776">
        <w:rPr>
          <w:snapToGrid/>
          <w:lang w:val="en-US"/>
        </w:rPr>
        <w:t xml:space="preserve">The median age of patients in the ELEVATE-TN trial was 70 years and 61% of the trial population was male. The disease was Rai Stage 3 or 4 in 47% of patients, 32% had </w:t>
      </w:r>
      <w:r w:rsidRPr="00E44776">
        <w:rPr>
          <w:snapToGrid/>
          <w:lang w:val="en-US"/>
        </w:rPr>
        <w:lastRenderedPageBreak/>
        <w:t xml:space="preserve">bulky disease (≥5cm), 94% had an ECOG score of 0 to 1, 9% had 17p deletion, 63% had unmutated IGHV, and 75% had β2-microglobulin &gt;3.5 mg. The median age of patients in the CLL-14 trial was 72 years and 67% of the trial population was male. The disease was Binet Stage A in 21% of patients (Stage B: 36%; Stage C 43%), 88% had an ECOG score of 0 to 1, 8% had 17p deletion, 60% had unmutated IGHV, and 60% had β2-microglobulin &gt;3.5 mg. Data for a number of characteristics, including bulky disease, Rai Stage, mean age, race and geographic region were not available in publications for the CLL-14 trial. </w:t>
      </w:r>
    </w:p>
    <w:p w14:paraId="23400438" w14:textId="0B06E5F2" w:rsidR="000B75C4" w:rsidRPr="00E44776" w:rsidRDefault="000B75C4" w:rsidP="000B75C4">
      <w:pPr>
        <w:pStyle w:val="COMexecsumnumberedpara"/>
        <w:rPr>
          <w:snapToGrid/>
          <w:lang w:val="en-US"/>
        </w:rPr>
      </w:pPr>
      <w:r w:rsidRPr="00E44776">
        <w:rPr>
          <w:snapToGrid/>
          <w:lang w:val="en-US"/>
        </w:rPr>
        <w:t xml:space="preserve">While the proportion of patients in the ELEVATE-TN trial with a CIRS score&gt;6 was not reported for the full trial population, data provided for the MAIC analysis indicates that the proportion of patients with a CIRS score &gt;6 in the acalabrutinib + obinutuzumab and acalabrutinib monotherapy arms was </w:t>
      </w:r>
      <w:r w:rsidR="00C25801" w:rsidRPr="00E44776">
        <w:rPr>
          <w:snapToGrid/>
          <w:lang w:val="en-US"/>
        </w:rPr>
        <w:t>substantially</w:t>
      </w:r>
      <w:r w:rsidRPr="00E44776">
        <w:rPr>
          <w:snapToGrid/>
          <w:lang w:val="en-US"/>
        </w:rPr>
        <w:t xml:space="preserve"> lower than the proportion in the venetoclax + obinutuzumab arm of the CLL-14 trial (47% versus 86%).</w:t>
      </w:r>
    </w:p>
    <w:p w14:paraId="7B619C0D" w14:textId="4E804DDC" w:rsidR="00823727" w:rsidRPr="00E44776" w:rsidRDefault="00D775B3" w:rsidP="00A57E5C">
      <w:pPr>
        <w:pStyle w:val="COMexecsumnumberedpara"/>
        <w:rPr>
          <w:snapToGrid/>
          <w:lang w:val="en-US"/>
        </w:rPr>
      </w:pPr>
      <w:r w:rsidRPr="00E44776">
        <w:rPr>
          <w:snapToGrid/>
          <w:lang w:val="en-US"/>
        </w:rPr>
        <w:t>There were differences between the trials in the duration of treatments. In the CLL-14 trial, treatment with venetoclax was based on a fixed treatment duration of 12 cycles (48 weeks)</w:t>
      </w:r>
      <w:r w:rsidR="00F9518F" w:rsidRPr="00E44776">
        <w:rPr>
          <w:snapToGrid/>
          <w:lang w:val="en-US"/>
        </w:rPr>
        <w:t xml:space="preserve">, whereas </w:t>
      </w:r>
      <w:r w:rsidR="002F7071" w:rsidRPr="00E44776">
        <w:rPr>
          <w:snapToGrid/>
          <w:lang w:val="en-US"/>
        </w:rPr>
        <w:t>treatment with acalabrutinib in the ELEVATE-TN trial was ongoing until disease progression or unacceptable toxicity.</w:t>
      </w:r>
      <w:r w:rsidRPr="00E44776">
        <w:rPr>
          <w:snapToGrid/>
          <w:lang w:val="en-US"/>
        </w:rPr>
        <w:t xml:space="preserve"> </w:t>
      </w:r>
      <w:r w:rsidR="00B54E8C" w:rsidRPr="00E44776">
        <w:rPr>
          <w:snapToGrid/>
          <w:lang w:val="en-US"/>
        </w:rPr>
        <w:t>At a median follow-up of</w:t>
      </w:r>
      <w:r w:rsidR="00184FC8" w:rsidRPr="00E44776">
        <w:rPr>
          <w:snapToGrid/>
          <w:lang w:val="en-US"/>
        </w:rPr>
        <w:t xml:space="preserve"> 58.2 months</w:t>
      </w:r>
      <w:r w:rsidR="00B54E8C" w:rsidRPr="00E44776">
        <w:rPr>
          <w:snapToGrid/>
          <w:lang w:val="en-US"/>
        </w:rPr>
        <w:t xml:space="preserve">, treatment was ongoing in 64.8% of patients treated with acalabrutinib + obinutuzumab and 59.8% of patients treated with acalabrutinib monotherapy. </w:t>
      </w:r>
      <w:r w:rsidR="002F7071" w:rsidRPr="00E44776">
        <w:rPr>
          <w:snapToGrid/>
          <w:lang w:val="en-US"/>
        </w:rPr>
        <w:t>P</w:t>
      </w:r>
      <w:r w:rsidRPr="00E44776">
        <w:rPr>
          <w:snapToGrid/>
          <w:lang w:val="en-US"/>
        </w:rPr>
        <w:t xml:space="preserve">atients </w:t>
      </w:r>
      <w:r w:rsidR="002F7071" w:rsidRPr="00E44776">
        <w:rPr>
          <w:snapToGrid/>
          <w:lang w:val="en-US"/>
        </w:rPr>
        <w:t xml:space="preserve">in the chlorambucil + obinutuzumab arm of the ELEVATE-TN trial </w:t>
      </w:r>
      <w:r w:rsidRPr="00E44776">
        <w:rPr>
          <w:snapToGrid/>
          <w:lang w:val="en-US"/>
        </w:rPr>
        <w:t>received up to 6 cycles (24 weeks)</w:t>
      </w:r>
      <w:r w:rsidR="000C33E4" w:rsidRPr="00E44776">
        <w:rPr>
          <w:snapToGrid/>
          <w:lang w:val="en-US"/>
        </w:rPr>
        <w:t xml:space="preserve"> of chlorambucil</w:t>
      </w:r>
      <w:r w:rsidRPr="00E44776">
        <w:rPr>
          <w:snapToGrid/>
          <w:lang w:val="en-US"/>
        </w:rPr>
        <w:t xml:space="preserve">, whereas patients </w:t>
      </w:r>
      <w:r w:rsidR="00781DA1" w:rsidRPr="00E44776">
        <w:rPr>
          <w:snapToGrid/>
          <w:lang w:val="en-US"/>
        </w:rPr>
        <w:t xml:space="preserve">in </w:t>
      </w:r>
      <w:r w:rsidR="0086436E" w:rsidRPr="00E44776">
        <w:rPr>
          <w:snapToGrid/>
          <w:lang w:val="en-US"/>
        </w:rPr>
        <w:t>the</w:t>
      </w:r>
      <w:r w:rsidRPr="00E44776">
        <w:rPr>
          <w:snapToGrid/>
          <w:lang w:val="en-US"/>
        </w:rPr>
        <w:t xml:space="preserve"> </w:t>
      </w:r>
      <w:r w:rsidR="000C33E4" w:rsidRPr="00E44776">
        <w:rPr>
          <w:snapToGrid/>
          <w:lang w:val="en-US"/>
        </w:rPr>
        <w:t xml:space="preserve">chlorambucil + obinutuzumab arm of the </w:t>
      </w:r>
      <w:r w:rsidRPr="00E44776">
        <w:rPr>
          <w:snapToGrid/>
          <w:lang w:val="en-US"/>
        </w:rPr>
        <w:t>CLL-14</w:t>
      </w:r>
      <w:r w:rsidR="0086436E" w:rsidRPr="00E44776">
        <w:rPr>
          <w:snapToGrid/>
          <w:lang w:val="en-US"/>
        </w:rPr>
        <w:t xml:space="preserve"> trial</w:t>
      </w:r>
      <w:r w:rsidRPr="00E44776">
        <w:rPr>
          <w:snapToGrid/>
          <w:lang w:val="en-US"/>
        </w:rPr>
        <w:t xml:space="preserve"> received up to 12 cycles</w:t>
      </w:r>
      <w:r w:rsidR="000C33E4" w:rsidRPr="00E44776">
        <w:rPr>
          <w:snapToGrid/>
          <w:lang w:val="en-US"/>
        </w:rPr>
        <w:t xml:space="preserve"> (48 weeks)</w:t>
      </w:r>
      <w:r w:rsidRPr="00E44776">
        <w:rPr>
          <w:snapToGrid/>
          <w:lang w:val="en-US"/>
        </w:rPr>
        <w:t xml:space="preserve"> of chlorambucil</w:t>
      </w:r>
      <w:r w:rsidR="000C33E4" w:rsidRPr="00E44776">
        <w:rPr>
          <w:snapToGrid/>
          <w:lang w:val="en-US"/>
        </w:rPr>
        <w:t>.</w:t>
      </w:r>
    </w:p>
    <w:p w14:paraId="6E18FE38" w14:textId="7ECE54D7" w:rsidR="00B542E7" w:rsidRPr="00E44776" w:rsidRDefault="00823727" w:rsidP="00823727">
      <w:pPr>
        <w:pStyle w:val="COMexecsumnumberedpara"/>
        <w:rPr>
          <w:snapToGrid/>
          <w:lang w:val="en-US"/>
        </w:rPr>
      </w:pPr>
      <w:r w:rsidRPr="00E44776">
        <w:rPr>
          <w:snapToGrid/>
          <w:lang w:val="en-US"/>
        </w:rPr>
        <w:t>Patients in the chlorambucil + obinutuzumab arm</w:t>
      </w:r>
      <w:r w:rsidR="001708BF" w:rsidRPr="00E44776">
        <w:rPr>
          <w:snapToGrid/>
          <w:lang w:val="en-US"/>
        </w:rPr>
        <w:t xml:space="preserve"> of the ELEVATE-TN trial</w:t>
      </w:r>
      <w:r w:rsidRPr="00E44776">
        <w:rPr>
          <w:snapToGrid/>
          <w:lang w:val="en-US"/>
        </w:rPr>
        <w:t xml:space="preserve"> who had independent review committee-assessed disease progression were eligible to receive crossover treatment with acalabrutinib monotherapy (100 mg twice daily) until disease progression or unacceptable toxicity. </w:t>
      </w:r>
      <w:r w:rsidR="00E5772A" w:rsidRPr="00E44776">
        <w:t>At the October 2021 data cut,</w:t>
      </w:r>
      <w:r w:rsidR="00E5772A" w:rsidRPr="00E44776">
        <w:rPr>
          <w:snapToGrid/>
          <w:lang w:val="en-US"/>
        </w:rPr>
        <w:t xml:space="preserve"> 41% </w:t>
      </w:r>
      <w:r w:rsidR="00B3712E" w:rsidRPr="00E44776">
        <w:rPr>
          <w:snapToGrid/>
          <w:lang w:val="en-US"/>
        </w:rPr>
        <w:t xml:space="preserve">of patients in the chlorambucil + obinutuzumab treatment arm had crossed over to receive acalabrutinib treatment. </w:t>
      </w:r>
      <w:r w:rsidRPr="00E44776">
        <w:rPr>
          <w:snapToGrid/>
          <w:lang w:val="en-US"/>
        </w:rPr>
        <w:t>Crossover was not permitted in the CLL-14 trial.</w:t>
      </w:r>
    </w:p>
    <w:p w14:paraId="6C499813" w14:textId="7AE6CC0A" w:rsidR="00823727" w:rsidRPr="00E44776" w:rsidRDefault="00823727" w:rsidP="00823727">
      <w:pPr>
        <w:pStyle w:val="COMexecsumnumberedpara"/>
        <w:rPr>
          <w:snapToGrid/>
          <w:lang w:val="en-US"/>
        </w:rPr>
      </w:pPr>
      <w:r w:rsidRPr="00E44776">
        <w:rPr>
          <w:snapToGrid/>
          <w:lang w:val="en-US"/>
        </w:rPr>
        <w:t xml:space="preserve">As in the November 2021 resubmission, </w:t>
      </w:r>
      <w:r w:rsidR="000F5618" w:rsidRPr="00E44776">
        <w:rPr>
          <w:snapToGrid/>
          <w:lang w:val="en-US"/>
        </w:rPr>
        <w:t>t</w:t>
      </w:r>
      <w:r w:rsidRPr="00E44776">
        <w:rPr>
          <w:snapToGrid/>
          <w:lang w:val="en-US"/>
        </w:rPr>
        <w:t>he resubmission argued that it is difficult to define a minimal clinically important difference (MCID) for efficacy outcomes (i.e.</w:t>
      </w:r>
      <w:r w:rsidR="00B3712E" w:rsidRPr="00E44776">
        <w:rPr>
          <w:snapToGrid/>
          <w:lang w:val="en-US"/>
        </w:rPr>
        <w:t>,</w:t>
      </w:r>
      <w:r w:rsidRPr="00E44776">
        <w:rPr>
          <w:snapToGrid/>
          <w:lang w:val="en-US"/>
        </w:rPr>
        <w:t xml:space="preserve"> </w:t>
      </w:r>
      <w:r w:rsidR="00B3712E" w:rsidRPr="00E44776">
        <w:rPr>
          <w:snapToGrid/>
          <w:lang w:val="en-US"/>
        </w:rPr>
        <w:t>progression-free survival</w:t>
      </w:r>
      <w:r w:rsidRPr="00E44776">
        <w:rPr>
          <w:snapToGrid/>
          <w:lang w:val="en-US"/>
        </w:rPr>
        <w:t xml:space="preserve">, </w:t>
      </w:r>
      <w:r w:rsidR="00B3712E" w:rsidRPr="00E44776">
        <w:rPr>
          <w:snapToGrid/>
          <w:lang w:val="en-US"/>
        </w:rPr>
        <w:t>overall survival, overall response rate, time to next treatment)</w:t>
      </w:r>
      <w:r w:rsidRPr="00E44776">
        <w:rPr>
          <w:snapToGrid/>
          <w:lang w:val="en-US"/>
        </w:rPr>
        <w:t>, as there is no generally accepted level of clinically important difference for efficacy outcome measures for CLL patients. As in the November 2021 resubmission, the current resubmission proposed an MCID of approximately 18 months for progression-free survival, based on the sample size calculation for the ELEVATE-TN trial, which was calculated according to a target hazard ratio of 0.6 for acalabrutinib + obinutuzumab versus chlorambucil + obinutuzumab (equating to an approximately 18-month absolute increase in median progression-free survival).</w:t>
      </w:r>
    </w:p>
    <w:p w14:paraId="4A4FE085" w14:textId="686B74A4" w:rsidR="00B60939" w:rsidRPr="00E44776" w:rsidRDefault="00B60939" w:rsidP="00EC5836">
      <w:pPr>
        <w:pStyle w:val="COMH2-non-numbered"/>
        <w:rPr>
          <w:iCs/>
        </w:rPr>
      </w:pPr>
      <w:bookmarkStart w:id="38" w:name="_Toc22897641"/>
      <w:bookmarkStart w:id="39" w:name="_Toc114048847"/>
      <w:r w:rsidRPr="00E44776">
        <w:rPr>
          <w:iCs/>
        </w:rPr>
        <w:lastRenderedPageBreak/>
        <w:t>Comparative effectiveness</w:t>
      </w:r>
      <w:bookmarkEnd w:id="38"/>
      <w:bookmarkEnd w:id="39"/>
    </w:p>
    <w:p w14:paraId="7D66AA4A" w14:textId="614ADA66" w:rsidR="00B95B1B" w:rsidRPr="00E44776" w:rsidRDefault="00B95B1B" w:rsidP="00B9213A">
      <w:pPr>
        <w:pStyle w:val="COMH3"/>
        <w:spacing w:before="120" w:after="120"/>
        <w:outlineLvl w:val="2"/>
        <w:rPr>
          <w:iCs w:val="0"/>
        </w:rPr>
      </w:pPr>
      <w:bookmarkStart w:id="40" w:name="_Hlk112418631"/>
      <w:bookmarkStart w:id="41" w:name="_Toc114048848"/>
      <w:r w:rsidRPr="00E44776">
        <w:rPr>
          <w:iCs w:val="0"/>
        </w:rPr>
        <w:t>Naïv</w:t>
      </w:r>
      <w:bookmarkEnd w:id="40"/>
      <w:r w:rsidRPr="00E44776">
        <w:rPr>
          <w:iCs w:val="0"/>
        </w:rPr>
        <w:t>e comparison of</w:t>
      </w:r>
      <w:r w:rsidR="00E75BA0" w:rsidRPr="00E44776">
        <w:rPr>
          <w:iCs w:val="0"/>
        </w:rPr>
        <w:t xml:space="preserve"> PFS and OS from</w:t>
      </w:r>
      <w:r w:rsidRPr="00E44776">
        <w:rPr>
          <w:iCs w:val="0"/>
        </w:rPr>
        <w:t xml:space="preserve"> ELEVATE-TN and CLL-14 (median follow-up: 58.2 and </w:t>
      </w:r>
      <w:r w:rsidR="00E75BA0" w:rsidRPr="00E44776">
        <w:rPr>
          <w:iCs w:val="0"/>
        </w:rPr>
        <w:t>6</w:t>
      </w:r>
      <w:r w:rsidR="00B9213A" w:rsidRPr="00E44776">
        <w:rPr>
          <w:iCs w:val="0"/>
        </w:rPr>
        <w:t>5</w:t>
      </w:r>
      <w:r w:rsidRPr="00E44776">
        <w:rPr>
          <w:iCs w:val="0"/>
        </w:rPr>
        <w:t>.4 months, respectively)</w:t>
      </w:r>
      <w:bookmarkEnd w:id="41"/>
    </w:p>
    <w:p w14:paraId="56F12935" w14:textId="589BB3E3" w:rsidR="007E2974" w:rsidRPr="00E44776" w:rsidRDefault="007E2974" w:rsidP="007E2974">
      <w:pPr>
        <w:pStyle w:val="COMexecsumnumberedpara"/>
      </w:pPr>
      <w:r w:rsidRPr="00E44776">
        <w:t>Kaplan-Meier plot</w:t>
      </w:r>
      <w:r w:rsidR="007A56F2" w:rsidRPr="00E44776">
        <w:t>s</w:t>
      </w:r>
      <w:r w:rsidRPr="00E44776">
        <w:t xml:space="preserve"> of investigator-assessed progression-free survival for the ELEVATE-TN trial </w:t>
      </w:r>
      <w:r w:rsidR="005F129E" w:rsidRPr="00E44776">
        <w:t xml:space="preserve">and the CLL-14 trial are presented in </w:t>
      </w:r>
      <w:r w:rsidR="004272AF" w:rsidRPr="00E44776">
        <w:fldChar w:fldCharType="begin" w:fldLock="1"/>
      </w:r>
      <w:r w:rsidR="004272AF" w:rsidRPr="00E44776">
        <w:instrText xml:space="preserve"> REF _Ref111138046 \h  \* MERGEFORMAT </w:instrText>
      </w:r>
      <w:r w:rsidR="004272AF" w:rsidRPr="00E44776">
        <w:fldChar w:fldCharType="separate"/>
      </w:r>
      <w:r w:rsidR="00CB2B8B" w:rsidRPr="00CB2B8B">
        <w:t xml:space="preserve">Figure </w:t>
      </w:r>
      <w:r w:rsidR="00CB2B8B" w:rsidRPr="00CB2B8B">
        <w:rPr>
          <w:noProof/>
        </w:rPr>
        <w:t>2</w:t>
      </w:r>
      <w:r w:rsidR="004272AF" w:rsidRPr="00E44776">
        <w:fldChar w:fldCharType="end"/>
      </w:r>
      <w:r w:rsidR="004272AF" w:rsidRPr="00E44776">
        <w:t xml:space="preserve"> and </w:t>
      </w:r>
      <w:r w:rsidR="004272AF" w:rsidRPr="00E44776">
        <w:fldChar w:fldCharType="begin" w:fldLock="1"/>
      </w:r>
      <w:r w:rsidR="004272AF" w:rsidRPr="00E44776">
        <w:instrText xml:space="preserve"> REF _Ref111138049 \h  \* MERGEFORMAT </w:instrText>
      </w:r>
      <w:r w:rsidR="004272AF" w:rsidRPr="00E44776">
        <w:fldChar w:fldCharType="separate"/>
      </w:r>
      <w:r w:rsidR="00CB2B8B" w:rsidRPr="00CB2B8B">
        <w:t xml:space="preserve">Figure </w:t>
      </w:r>
      <w:r w:rsidR="00CB2B8B" w:rsidRPr="00CB2B8B">
        <w:rPr>
          <w:noProof/>
        </w:rPr>
        <w:t>3</w:t>
      </w:r>
      <w:r w:rsidR="004272AF" w:rsidRPr="00E44776">
        <w:fldChar w:fldCharType="end"/>
      </w:r>
      <w:r w:rsidR="004272AF" w:rsidRPr="00E44776">
        <w:t xml:space="preserve">, </w:t>
      </w:r>
      <w:r w:rsidR="0005787C" w:rsidRPr="00E44776">
        <w:t>respectively.</w:t>
      </w:r>
    </w:p>
    <w:p w14:paraId="7CC6AC58" w14:textId="77777777" w:rsidR="007E2974" w:rsidRPr="00E44776" w:rsidRDefault="007E2974" w:rsidP="007E2974"/>
    <w:p w14:paraId="6CCEA0DB" w14:textId="1D65064E" w:rsidR="007E2974" w:rsidRPr="00E44776" w:rsidRDefault="00C9258A" w:rsidP="007E2974">
      <w:pPr>
        <w:pStyle w:val="TableHeading"/>
        <w:keepLines w:val="0"/>
        <w:jc w:val="both"/>
      </w:pPr>
      <w:bookmarkStart w:id="42" w:name="_Ref111138046"/>
      <w:r w:rsidRPr="00E44776">
        <w:rPr>
          <w:bCs/>
        </w:rPr>
        <w:t xml:space="preserve">Figure </w:t>
      </w:r>
      <w:r w:rsidRPr="00E44776">
        <w:rPr>
          <w:bCs/>
        </w:rPr>
        <w:fldChar w:fldCharType="begin" w:fldLock="1"/>
      </w:r>
      <w:r w:rsidRPr="00E44776">
        <w:rPr>
          <w:bCs/>
        </w:rPr>
        <w:instrText xml:space="preserve"> SEQ Figure \* ARABIC </w:instrText>
      </w:r>
      <w:r w:rsidRPr="00E44776">
        <w:rPr>
          <w:bCs/>
        </w:rPr>
        <w:fldChar w:fldCharType="separate"/>
      </w:r>
      <w:r w:rsidR="00CB2B8B">
        <w:rPr>
          <w:bCs/>
          <w:noProof/>
        </w:rPr>
        <w:t>2</w:t>
      </w:r>
      <w:r w:rsidRPr="00E44776">
        <w:rPr>
          <w:bCs/>
        </w:rPr>
        <w:fldChar w:fldCharType="end"/>
      </w:r>
      <w:bookmarkEnd w:id="42"/>
      <w:r w:rsidR="007E2974" w:rsidRPr="00E44776">
        <w:t xml:space="preserve">: Kaplan-Meier plot of investigator-assessed progression-free survival for the ELEVATE-TN trial </w:t>
      </w:r>
      <w:r w:rsidR="007E2974" w:rsidRPr="00E44776">
        <w:rPr>
          <w:snapToGrid w:val="0"/>
        </w:rPr>
        <w:t>at median follow-up of 58.2 months</w:t>
      </w:r>
    </w:p>
    <w:p w14:paraId="4DFDD92F" w14:textId="77777777" w:rsidR="007E2974" w:rsidRPr="00E44776" w:rsidRDefault="007E2974" w:rsidP="007E2974">
      <w:pPr>
        <w:keepNext/>
        <w:rPr>
          <w:color w:val="3366FF"/>
        </w:rPr>
      </w:pPr>
      <w:r w:rsidRPr="00E44776">
        <w:rPr>
          <w:noProof/>
        </w:rPr>
        <w:drawing>
          <wp:inline distT="0" distB="0" distL="0" distR="0" wp14:anchorId="14A334AD" wp14:editId="542888E5">
            <wp:extent cx="5732145" cy="1860543"/>
            <wp:effectExtent l="0" t="0" r="0" b="0"/>
            <wp:docPr id="18" name="Picture 18"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hart, line chart&#10;&#10;Description automatically generated"/>
                    <pic:cNvPicPr/>
                  </pic:nvPicPr>
                  <pic:blipFill>
                    <a:blip r:embed="rId9"/>
                    <a:stretch>
                      <a:fillRect/>
                    </a:stretch>
                  </pic:blipFill>
                  <pic:spPr>
                    <a:xfrm>
                      <a:off x="0" y="0"/>
                      <a:ext cx="5732145" cy="1860543"/>
                    </a:xfrm>
                    <a:prstGeom prst="rect">
                      <a:avLst/>
                    </a:prstGeom>
                  </pic:spPr>
                </pic:pic>
              </a:graphicData>
            </a:graphic>
          </wp:inline>
        </w:drawing>
      </w:r>
    </w:p>
    <w:p w14:paraId="1E81C202" w14:textId="77777777" w:rsidR="007E2974" w:rsidRPr="00E44776" w:rsidRDefault="007E2974" w:rsidP="007E2974">
      <w:pPr>
        <w:pStyle w:val="COMTablefooter"/>
        <w:keepNext/>
      </w:pPr>
      <w:r w:rsidRPr="00E44776">
        <w:t>Source: Figure 2.4, p72 of the resubmission.</w:t>
      </w:r>
    </w:p>
    <w:p w14:paraId="72FC89B6" w14:textId="77777777" w:rsidR="007E2974" w:rsidRPr="00E44776" w:rsidRDefault="007E2974" w:rsidP="007E2974">
      <w:pPr>
        <w:pStyle w:val="COMTablefooter"/>
        <w:keepNext/>
      </w:pPr>
      <w:r w:rsidRPr="00E44776">
        <w:t>A = acalabrutinib, CI = confidence interval, Clb = chlorambucil, HR = hazard ratio, NR = not reported, O = obinutuzumab, PFS = progression-free survival</w:t>
      </w:r>
    </w:p>
    <w:p w14:paraId="5D3BF3CA" w14:textId="47207B21" w:rsidR="007E2974" w:rsidRPr="00E44776" w:rsidRDefault="00C9258A" w:rsidP="007E2974">
      <w:pPr>
        <w:pStyle w:val="TableHeading"/>
        <w:keepLines w:val="0"/>
        <w:jc w:val="both"/>
      </w:pPr>
      <w:bookmarkStart w:id="43" w:name="_Ref111138049"/>
      <w:r w:rsidRPr="00E44776">
        <w:rPr>
          <w:bCs/>
        </w:rPr>
        <w:t xml:space="preserve">Figure </w:t>
      </w:r>
      <w:r w:rsidRPr="00E44776">
        <w:rPr>
          <w:bCs/>
        </w:rPr>
        <w:fldChar w:fldCharType="begin" w:fldLock="1"/>
      </w:r>
      <w:r w:rsidRPr="00E44776">
        <w:rPr>
          <w:bCs/>
        </w:rPr>
        <w:instrText xml:space="preserve"> SEQ Figure \* ARABIC </w:instrText>
      </w:r>
      <w:r w:rsidRPr="00E44776">
        <w:rPr>
          <w:bCs/>
        </w:rPr>
        <w:fldChar w:fldCharType="separate"/>
      </w:r>
      <w:r w:rsidR="00CB2B8B">
        <w:rPr>
          <w:bCs/>
          <w:noProof/>
        </w:rPr>
        <w:t>3</w:t>
      </w:r>
      <w:r w:rsidRPr="00E44776">
        <w:rPr>
          <w:bCs/>
        </w:rPr>
        <w:fldChar w:fldCharType="end"/>
      </w:r>
      <w:bookmarkEnd w:id="43"/>
      <w:r w:rsidR="007E2974" w:rsidRPr="00E44776">
        <w:t xml:space="preserve">: Kaplan-Meier plot of investigator-assessed progression-free survival for the CLL-14 trial at a </w:t>
      </w:r>
      <w:r w:rsidR="007E2974" w:rsidRPr="00E44776">
        <w:rPr>
          <w:snapToGrid w:val="0"/>
        </w:rPr>
        <w:t>median follow-up of 65.4 months</w:t>
      </w:r>
    </w:p>
    <w:p w14:paraId="60048324" w14:textId="77777777" w:rsidR="007E2974" w:rsidRPr="00E44776" w:rsidRDefault="007E2974" w:rsidP="007E2974">
      <w:pPr>
        <w:rPr>
          <w:color w:val="000000" w:themeColor="text1"/>
        </w:rPr>
      </w:pPr>
      <w:r w:rsidRPr="00E44776">
        <w:rPr>
          <w:noProof/>
        </w:rPr>
        <w:drawing>
          <wp:inline distT="0" distB="0" distL="0" distR="0" wp14:anchorId="32188DF0" wp14:editId="7309F45F">
            <wp:extent cx="5732145" cy="3292475"/>
            <wp:effectExtent l="0" t="0" r="0" b="0"/>
            <wp:docPr id="20" name="Picture 2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Chart, line chart&#10;&#10;Description automatically generated"/>
                    <pic:cNvPicPr/>
                  </pic:nvPicPr>
                  <pic:blipFill>
                    <a:blip r:embed="rId10"/>
                    <a:stretch>
                      <a:fillRect/>
                    </a:stretch>
                  </pic:blipFill>
                  <pic:spPr>
                    <a:xfrm>
                      <a:off x="0" y="0"/>
                      <a:ext cx="5732145" cy="3292475"/>
                    </a:xfrm>
                    <a:prstGeom prst="rect">
                      <a:avLst/>
                    </a:prstGeom>
                  </pic:spPr>
                </pic:pic>
              </a:graphicData>
            </a:graphic>
          </wp:inline>
        </w:drawing>
      </w:r>
    </w:p>
    <w:p w14:paraId="2827F876" w14:textId="77777777" w:rsidR="007E2974" w:rsidRPr="00E44776" w:rsidRDefault="007E2974" w:rsidP="007E2974">
      <w:pPr>
        <w:pStyle w:val="COMTablefooter"/>
      </w:pPr>
      <w:r w:rsidRPr="00E44776">
        <w:t>Source: Al-Sawaf et al. (2022).</w:t>
      </w:r>
    </w:p>
    <w:p w14:paraId="20738E6D" w14:textId="77777777" w:rsidR="007E2974" w:rsidRPr="00E44776" w:rsidRDefault="007E2974" w:rsidP="007E2974">
      <w:pPr>
        <w:pStyle w:val="COMTablefooter"/>
      </w:pPr>
      <w:r w:rsidRPr="00E44776">
        <w:lastRenderedPageBreak/>
        <w:t>Clb = chlorambucil, Obi = obinutuzumab, Ven = venetoclax</w:t>
      </w:r>
    </w:p>
    <w:p w14:paraId="0C2BB0FC" w14:textId="496AB5BD" w:rsidR="007E2974" w:rsidRPr="00E44776" w:rsidRDefault="004272AF" w:rsidP="004272AF">
      <w:pPr>
        <w:pStyle w:val="COMexecsumnumberedpara"/>
      </w:pPr>
      <w:r w:rsidRPr="00E44776">
        <w:t>T</w:t>
      </w:r>
      <w:r w:rsidR="007E2974" w:rsidRPr="00E44776">
        <w:t xml:space="preserve">he results for investigator-assessed progression-free survival for the ELEVATE-TN and CLL-14 trials </w:t>
      </w:r>
      <w:r w:rsidRPr="00E44776">
        <w:t xml:space="preserve">are </w:t>
      </w:r>
      <w:r w:rsidR="00FF39DC" w:rsidRPr="00E44776">
        <w:t xml:space="preserve">summarised </w:t>
      </w:r>
      <w:r w:rsidRPr="00E44776">
        <w:t xml:space="preserve">in </w:t>
      </w:r>
      <w:r w:rsidR="00DA11DB" w:rsidRPr="00E44776">
        <w:fldChar w:fldCharType="begin" w:fldLock="1"/>
      </w:r>
      <w:r w:rsidR="00DA11DB" w:rsidRPr="00E44776">
        <w:instrText xml:space="preserve"> REF _Ref111475824 \h </w:instrText>
      </w:r>
      <w:r w:rsidR="00E44776" w:rsidRPr="00E44776">
        <w:instrText xml:space="preserve"> \* MERGEFORMAT </w:instrText>
      </w:r>
      <w:r w:rsidR="00DA11DB" w:rsidRPr="00E44776">
        <w:fldChar w:fldCharType="separate"/>
      </w:r>
      <w:r w:rsidR="00CB2B8B" w:rsidRPr="00E44776">
        <w:t xml:space="preserve">Table </w:t>
      </w:r>
      <w:r w:rsidR="00CB2B8B">
        <w:rPr>
          <w:noProof/>
        </w:rPr>
        <w:t>5</w:t>
      </w:r>
      <w:r w:rsidR="00DA11DB" w:rsidRPr="00E44776">
        <w:fldChar w:fldCharType="end"/>
      </w:r>
      <w:r w:rsidRPr="00E44776">
        <w:t>.</w:t>
      </w:r>
    </w:p>
    <w:p w14:paraId="1A6F55AA" w14:textId="301C56C0" w:rsidR="007E2974" w:rsidRPr="00E44776" w:rsidRDefault="00967F9D" w:rsidP="00967F9D">
      <w:pPr>
        <w:pStyle w:val="TableFigureCaption"/>
        <w:rPr>
          <w:snapToGrid w:val="0"/>
        </w:rPr>
      </w:pPr>
      <w:bookmarkStart w:id="44" w:name="_Ref111475824"/>
      <w:bookmarkStart w:id="45" w:name="_Ref111295801"/>
      <w:bookmarkStart w:id="46" w:name="_Hlk116308853"/>
      <w:r w:rsidRPr="00E44776">
        <w:t xml:space="preserve">Table </w:t>
      </w:r>
      <w:r w:rsidR="00B53F47">
        <w:fldChar w:fldCharType="begin" w:fldLock="1"/>
      </w:r>
      <w:r w:rsidR="00B53F47">
        <w:instrText xml:space="preserve"> SEQ Table \* ARABIC </w:instrText>
      </w:r>
      <w:r w:rsidR="00B53F47">
        <w:fldChar w:fldCharType="separate"/>
      </w:r>
      <w:r w:rsidR="00CB2B8B">
        <w:rPr>
          <w:noProof/>
        </w:rPr>
        <w:t>5</w:t>
      </w:r>
      <w:r w:rsidR="00B53F47">
        <w:rPr>
          <w:noProof/>
        </w:rPr>
        <w:fldChar w:fldCharType="end"/>
      </w:r>
      <w:bookmarkEnd w:id="44"/>
      <w:r w:rsidRPr="00E44776">
        <w:t xml:space="preserve">: </w:t>
      </w:r>
      <w:r w:rsidR="007E2974" w:rsidRPr="00E44776">
        <w:rPr>
          <w:snapToGrid w:val="0"/>
        </w:rPr>
        <w:t>Investigator-assessed progression-free survival results for the ELEVATE-TN and CLL-14 trials</w:t>
      </w:r>
      <w:bookmarkEnd w:id="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5: Investigator-assessed progression-free survival results for the ELEVATE-TN and CLL-14 trials"/>
      </w:tblPr>
      <w:tblGrid>
        <w:gridCol w:w="2405"/>
        <w:gridCol w:w="1322"/>
        <w:gridCol w:w="1322"/>
        <w:gridCol w:w="1324"/>
        <w:gridCol w:w="1322"/>
        <w:gridCol w:w="1322"/>
      </w:tblGrid>
      <w:tr w:rsidR="007E2974" w:rsidRPr="00E44776" w14:paraId="3D046274" w14:textId="77777777" w:rsidTr="00FC7B41">
        <w:trPr>
          <w:trHeight w:val="70"/>
          <w:tblHeader/>
        </w:trPr>
        <w:tc>
          <w:tcPr>
            <w:tcW w:w="1333" w:type="pct"/>
            <w:shd w:val="clear" w:color="auto" w:fill="FFFFFF"/>
            <w:vAlign w:val="center"/>
          </w:tcPr>
          <w:p w14:paraId="3C360F6F" w14:textId="77777777" w:rsidR="007E2974" w:rsidRPr="00E44776" w:rsidRDefault="007E2974" w:rsidP="00013B37">
            <w:pPr>
              <w:keepNext/>
              <w:rPr>
                <w:rFonts w:ascii="Arial Narrow" w:hAnsi="Arial Narrow"/>
                <w:b/>
                <w:sz w:val="20"/>
                <w:szCs w:val="18"/>
              </w:rPr>
            </w:pPr>
            <w:bookmarkStart w:id="47" w:name="_Hlk121755126"/>
          </w:p>
        </w:tc>
        <w:tc>
          <w:tcPr>
            <w:tcW w:w="2200" w:type="pct"/>
            <w:gridSpan w:val="3"/>
            <w:shd w:val="clear" w:color="auto" w:fill="FFFFFF"/>
          </w:tcPr>
          <w:p w14:paraId="00FAFA68"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ELEVATE-TN</w:t>
            </w:r>
          </w:p>
        </w:tc>
        <w:tc>
          <w:tcPr>
            <w:tcW w:w="1466" w:type="pct"/>
            <w:gridSpan w:val="2"/>
            <w:shd w:val="clear" w:color="auto" w:fill="FFFFFF"/>
          </w:tcPr>
          <w:p w14:paraId="37651C88"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CLL-14</w:t>
            </w:r>
          </w:p>
        </w:tc>
      </w:tr>
      <w:tr w:rsidR="007E2974" w:rsidRPr="00E44776" w14:paraId="215E61D1" w14:textId="77777777" w:rsidTr="00FC7B41">
        <w:trPr>
          <w:trHeight w:val="349"/>
          <w:tblHeader/>
        </w:trPr>
        <w:tc>
          <w:tcPr>
            <w:tcW w:w="1333" w:type="pct"/>
            <w:shd w:val="clear" w:color="auto" w:fill="FFFFFF"/>
            <w:vAlign w:val="center"/>
          </w:tcPr>
          <w:p w14:paraId="6C41C14C" w14:textId="77777777" w:rsidR="007E2974" w:rsidRPr="00E44776" w:rsidRDefault="007E2974" w:rsidP="00013B37">
            <w:pPr>
              <w:keepNext/>
              <w:rPr>
                <w:rFonts w:ascii="Arial Narrow" w:hAnsi="Arial Narrow"/>
                <w:b/>
                <w:sz w:val="20"/>
                <w:szCs w:val="18"/>
              </w:rPr>
            </w:pPr>
          </w:p>
        </w:tc>
        <w:tc>
          <w:tcPr>
            <w:tcW w:w="733" w:type="pct"/>
            <w:shd w:val="clear" w:color="auto" w:fill="FFFFFF"/>
          </w:tcPr>
          <w:p w14:paraId="31A1738D"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ACAL + OBI</w:t>
            </w:r>
          </w:p>
          <w:p w14:paraId="19DAB447"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(N=179)</w:t>
            </w:r>
          </w:p>
        </w:tc>
        <w:tc>
          <w:tcPr>
            <w:tcW w:w="733" w:type="pct"/>
            <w:shd w:val="clear" w:color="auto" w:fill="FFFFFF"/>
            <w:vAlign w:val="center"/>
          </w:tcPr>
          <w:p w14:paraId="7642C947"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 xml:space="preserve">ACAL </w:t>
            </w:r>
          </w:p>
          <w:p w14:paraId="7B309F8D"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(N=179)</w:t>
            </w:r>
          </w:p>
        </w:tc>
        <w:tc>
          <w:tcPr>
            <w:tcW w:w="734" w:type="pct"/>
            <w:shd w:val="clear" w:color="auto" w:fill="FFFFFF"/>
            <w:vAlign w:val="center"/>
          </w:tcPr>
          <w:p w14:paraId="1365E0AE"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CHL + OBI</w:t>
            </w:r>
          </w:p>
          <w:p w14:paraId="466941D0"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(N=177)</w:t>
            </w:r>
          </w:p>
        </w:tc>
        <w:tc>
          <w:tcPr>
            <w:tcW w:w="733" w:type="pct"/>
            <w:shd w:val="clear" w:color="auto" w:fill="FFFFFF"/>
          </w:tcPr>
          <w:p w14:paraId="4F0E90CB"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VEN + OBI</w:t>
            </w:r>
          </w:p>
          <w:p w14:paraId="7CD5997A"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(N=216)</w:t>
            </w:r>
          </w:p>
        </w:tc>
        <w:tc>
          <w:tcPr>
            <w:tcW w:w="733" w:type="pct"/>
            <w:shd w:val="clear" w:color="auto" w:fill="FFFFFF"/>
          </w:tcPr>
          <w:p w14:paraId="296DE671"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CHL + OBI</w:t>
            </w:r>
          </w:p>
          <w:p w14:paraId="782E401C"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(N=216)</w:t>
            </w:r>
          </w:p>
        </w:tc>
      </w:tr>
      <w:bookmarkEnd w:id="47"/>
      <w:tr w:rsidR="007E2974" w:rsidRPr="00E44776" w14:paraId="283302EF" w14:textId="77777777" w:rsidTr="00FC7B41">
        <w:trPr>
          <w:trHeight w:val="49"/>
        </w:trPr>
        <w:tc>
          <w:tcPr>
            <w:tcW w:w="1333" w:type="pct"/>
            <w:shd w:val="clear" w:color="auto" w:fill="FFFFFF"/>
            <w:vAlign w:val="center"/>
          </w:tcPr>
          <w:p w14:paraId="3CDB5B47" w14:textId="77777777" w:rsidR="007E2974" w:rsidRPr="00E44776" w:rsidRDefault="007E2974" w:rsidP="00013B37">
            <w:pPr>
              <w:keepNext/>
              <w:jc w:val="left"/>
              <w:rPr>
                <w:rFonts w:ascii="Arial Narrow" w:hAnsi="Arial Narrow"/>
                <w:sz w:val="20"/>
              </w:rPr>
            </w:pPr>
            <w:r w:rsidRPr="00E44776">
              <w:rPr>
                <w:rFonts w:ascii="Arial Narrow" w:hAnsi="Arial Narrow"/>
                <w:sz w:val="20"/>
              </w:rPr>
              <w:t>Median duration of follow-up, months (range)</w:t>
            </w:r>
          </w:p>
        </w:tc>
        <w:tc>
          <w:tcPr>
            <w:tcW w:w="2200" w:type="pct"/>
            <w:gridSpan w:val="3"/>
            <w:shd w:val="clear" w:color="auto" w:fill="FFFFFF"/>
            <w:vAlign w:val="center"/>
          </w:tcPr>
          <w:p w14:paraId="46499027" w14:textId="77777777" w:rsidR="007E2974" w:rsidRPr="00E44776" w:rsidRDefault="007E2974" w:rsidP="00013B37">
            <w:pPr>
              <w:keepNext/>
              <w:jc w:val="center"/>
              <w:rPr>
                <w:rFonts w:ascii="Arial Narrow" w:hAnsi="Arial Narrow"/>
                <w:sz w:val="20"/>
              </w:rPr>
            </w:pPr>
            <w:r w:rsidRPr="00E44776">
              <w:rPr>
                <w:rFonts w:ascii="Arial Narrow" w:hAnsi="Arial Narrow"/>
                <w:sz w:val="20"/>
              </w:rPr>
              <w:t>58.2 (NR)</w:t>
            </w:r>
          </w:p>
        </w:tc>
        <w:tc>
          <w:tcPr>
            <w:tcW w:w="1466" w:type="pct"/>
            <w:gridSpan w:val="2"/>
            <w:shd w:val="clear" w:color="auto" w:fill="FFFFFF"/>
            <w:vAlign w:val="center"/>
          </w:tcPr>
          <w:p w14:paraId="0F2C0E73" w14:textId="77777777" w:rsidR="007E2974" w:rsidRPr="00E44776" w:rsidRDefault="007E2974" w:rsidP="00013B37">
            <w:pPr>
              <w:keepNext/>
              <w:jc w:val="center"/>
              <w:rPr>
                <w:rFonts w:ascii="Arial Narrow" w:hAnsi="Arial Narrow"/>
                <w:sz w:val="20"/>
              </w:rPr>
            </w:pPr>
            <w:r w:rsidRPr="00E44776">
              <w:rPr>
                <w:rFonts w:ascii="Arial Narrow" w:hAnsi="Arial Narrow"/>
                <w:sz w:val="20"/>
              </w:rPr>
              <w:t>65.4 (NR)</w:t>
            </w:r>
          </w:p>
        </w:tc>
      </w:tr>
      <w:tr w:rsidR="007E2974" w:rsidRPr="00E44776" w14:paraId="731AA4E8" w14:textId="77777777" w:rsidTr="00FC7B41">
        <w:tc>
          <w:tcPr>
            <w:tcW w:w="1333" w:type="pct"/>
            <w:vAlign w:val="center"/>
          </w:tcPr>
          <w:p w14:paraId="759C6795" w14:textId="37B3EF1C" w:rsidR="007E2974" w:rsidRPr="00E44776" w:rsidRDefault="007A7D8F" w:rsidP="00013B37">
            <w:pPr>
              <w:keepNext/>
              <w:jc w:val="left"/>
              <w:rPr>
                <w:rFonts w:ascii="Arial Narrow" w:hAnsi="Arial Narrow"/>
                <w:sz w:val="20"/>
              </w:rPr>
            </w:pPr>
            <w:r w:rsidRPr="00E44776">
              <w:rPr>
                <w:rFonts w:ascii="Arial Narrow" w:hAnsi="Arial Narrow"/>
                <w:sz w:val="20"/>
              </w:rPr>
              <w:t>Events</w:t>
            </w:r>
            <w:r w:rsidR="007E2974" w:rsidRPr="00E44776">
              <w:rPr>
                <w:rFonts w:ascii="Arial Narrow" w:hAnsi="Arial Narrow"/>
                <w:sz w:val="20"/>
              </w:rPr>
              <w:t>, n (%)</w:t>
            </w:r>
          </w:p>
        </w:tc>
        <w:tc>
          <w:tcPr>
            <w:tcW w:w="733" w:type="pct"/>
            <w:shd w:val="clear" w:color="auto" w:fill="FFFFFF"/>
          </w:tcPr>
          <w:p w14:paraId="2C5516CE" w14:textId="03924F16" w:rsidR="007E2974" w:rsidRPr="00E44776" w:rsidRDefault="007E2974" w:rsidP="00013B37">
            <w:pPr>
              <w:keepNext/>
              <w:jc w:val="center"/>
              <w:rPr>
                <w:rFonts w:ascii="Arial Narrow" w:hAnsi="Arial Narrow"/>
                <w:sz w:val="20"/>
              </w:rPr>
            </w:pPr>
            <w:r w:rsidRPr="00E44776">
              <w:rPr>
                <w:rFonts w:ascii="Arial Narrow" w:hAnsi="Arial Narrow"/>
                <w:sz w:val="20"/>
              </w:rPr>
              <w:t>NR</w:t>
            </w:r>
          </w:p>
        </w:tc>
        <w:tc>
          <w:tcPr>
            <w:tcW w:w="733" w:type="pct"/>
            <w:shd w:val="clear" w:color="auto" w:fill="FFFFFF"/>
          </w:tcPr>
          <w:p w14:paraId="6613BAAD" w14:textId="02521C6D" w:rsidR="007E2974" w:rsidRPr="00E44776" w:rsidRDefault="007E2974" w:rsidP="00013B37">
            <w:pPr>
              <w:keepNext/>
              <w:jc w:val="center"/>
              <w:rPr>
                <w:rFonts w:ascii="Arial Narrow" w:hAnsi="Arial Narrow"/>
                <w:sz w:val="20"/>
              </w:rPr>
            </w:pPr>
            <w:r w:rsidRPr="00E44776">
              <w:rPr>
                <w:rFonts w:ascii="Arial Narrow" w:hAnsi="Arial Narrow"/>
                <w:sz w:val="20"/>
              </w:rPr>
              <w:t>NR</w:t>
            </w:r>
          </w:p>
        </w:tc>
        <w:tc>
          <w:tcPr>
            <w:tcW w:w="734" w:type="pct"/>
            <w:shd w:val="clear" w:color="auto" w:fill="FFFFFF"/>
          </w:tcPr>
          <w:p w14:paraId="7D0C9D28" w14:textId="3F638AC8" w:rsidR="007E2974" w:rsidRPr="00E44776" w:rsidRDefault="007E2974" w:rsidP="00013B37">
            <w:pPr>
              <w:keepNext/>
              <w:jc w:val="center"/>
              <w:rPr>
                <w:rFonts w:ascii="Arial Narrow" w:hAnsi="Arial Narrow"/>
                <w:sz w:val="20"/>
              </w:rPr>
            </w:pPr>
            <w:r w:rsidRPr="00E44776">
              <w:rPr>
                <w:rFonts w:ascii="Arial Narrow" w:hAnsi="Arial Narrow"/>
                <w:sz w:val="20"/>
              </w:rPr>
              <w:t>NR</w:t>
            </w:r>
          </w:p>
        </w:tc>
        <w:tc>
          <w:tcPr>
            <w:tcW w:w="733" w:type="pct"/>
            <w:shd w:val="clear" w:color="auto" w:fill="FFFFFF"/>
          </w:tcPr>
          <w:p w14:paraId="7FB5EFF2" w14:textId="27D89805" w:rsidR="007E2974" w:rsidRPr="00E44776" w:rsidRDefault="007E2974" w:rsidP="00013B37">
            <w:pPr>
              <w:keepNext/>
              <w:jc w:val="center"/>
              <w:rPr>
                <w:rFonts w:ascii="Arial Narrow" w:hAnsi="Arial Narrow"/>
                <w:sz w:val="20"/>
              </w:rPr>
            </w:pPr>
            <w:r w:rsidRPr="00E44776">
              <w:rPr>
                <w:rFonts w:ascii="Arial Narrow" w:hAnsi="Arial Narrow"/>
                <w:sz w:val="20"/>
              </w:rPr>
              <w:t>52 (NR)</w:t>
            </w:r>
          </w:p>
        </w:tc>
        <w:tc>
          <w:tcPr>
            <w:tcW w:w="733" w:type="pct"/>
            <w:shd w:val="clear" w:color="auto" w:fill="FFFFFF"/>
          </w:tcPr>
          <w:p w14:paraId="5C9C4BF4" w14:textId="334EE243" w:rsidR="007E2974" w:rsidRPr="00E44776" w:rsidRDefault="00F323C2" w:rsidP="00013B37">
            <w:pPr>
              <w:keepNext/>
              <w:jc w:val="center"/>
              <w:rPr>
                <w:rFonts w:ascii="Arial Narrow" w:hAnsi="Arial Narrow"/>
                <w:sz w:val="20"/>
              </w:rPr>
            </w:pPr>
            <w:r w:rsidRPr="00E44776">
              <w:rPr>
                <w:rFonts w:ascii="Arial Narrow" w:hAnsi="Arial Narrow"/>
                <w:sz w:val="20"/>
              </w:rPr>
              <w:t>132</w:t>
            </w:r>
            <w:r w:rsidR="007E2974" w:rsidRPr="00E44776">
              <w:rPr>
                <w:rFonts w:ascii="Arial Narrow" w:hAnsi="Arial Narrow"/>
                <w:sz w:val="20"/>
              </w:rPr>
              <w:t xml:space="preserve"> (NR)</w:t>
            </w:r>
          </w:p>
        </w:tc>
      </w:tr>
      <w:tr w:rsidR="007E2974" w:rsidRPr="00E44776" w14:paraId="5B971817" w14:textId="77777777" w:rsidTr="00FC7B41">
        <w:tc>
          <w:tcPr>
            <w:tcW w:w="1333" w:type="pct"/>
            <w:vAlign w:val="center"/>
          </w:tcPr>
          <w:p w14:paraId="60354D3E" w14:textId="77777777" w:rsidR="007E2974" w:rsidRPr="00E44776" w:rsidRDefault="007E2974" w:rsidP="00013B37">
            <w:pPr>
              <w:keepNext/>
              <w:jc w:val="left"/>
              <w:rPr>
                <w:rFonts w:ascii="Arial Narrow" w:hAnsi="Arial Narrow"/>
                <w:sz w:val="20"/>
              </w:rPr>
            </w:pPr>
            <w:r w:rsidRPr="00E44776">
              <w:rPr>
                <w:rFonts w:ascii="Arial Narrow" w:hAnsi="Arial Narrow"/>
                <w:sz w:val="20"/>
              </w:rPr>
              <w:t>Median PFS, months (95% CI)</w:t>
            </w:r>
          </w:p>
        </w:tc>
        <w:tc>
          <w:tcPr>
            <w:tcW w:w="733" w:type="pct"/>
            <w:shd w:val="clear" w:color="auto" w:fill="FFFFFF"/>
            <w:vAlign w:val="center"/>
          </w:tcPr>
          <w:p w14:paraId="77E13230"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Not reached</w:t>
            </w:r>
          </w:p>
        </w:tc>
        <w:tc>
          <w:tcPr>
            <w:tcW w:w="733" w:type="pct"/>
            <w:shd w:val="clear" w:color="auto" w:fill="FFFFFF"/>
            <w:vAlign w:val="center"/>
          </w:tcPr>
          <w:p w14:paraId="154F6682"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Not reached</w:t>
            </w:r>
          </w:p>
        </w:tc>
        <w:tc>
          <w:tcPr>
            <w:tcW w:w="734" w:type="pct"/>
            <w:shd w:val="clear" w:color="auto" w:fill="FFFFFF"/>
            <w:vAlign w:val="center"/>
          </w:tcPr>
          <w:p w14:paraId="221C4180"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27.8 (22.6, 28.8)</w:t>
            </w:r>
          </w:p>
        </w:tc>
        <w:tc>
          <w:tcPr>
            <w:tcW w:w="733" w:type="pct"/>
            <w:shd w:val="clear" w:color="auto" w:fill="FFFFFF"/>
          </w:tcPr>
          <w:p w14:paraId="31098EC9"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Not reached</w:t>
            </w:r>
          </w:p>
        </w:tc>
        <w:tc>
          <w:tcPr>
            <w:tcW w:w="733" w:type="pct"/>
            <w:shd w:val="clear" w:color="auto" w:fill="FFFFFF"/>
          </w:tcPr>
          <w:p w14:paraId="56B79334"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36.4 (NR)</w:t>
            </w:r>
          </w:p>
        </w:tc>
      </w:tr>
      <w:tr w:rsidR="007E2974" w:rsidRPr="00E44776" w14:paraId="2B8D4D0F" w14:textId="77777777" w:rsidTr="00FC7B41">
        <w:tc>
          <w:tcPr>
            <w:tcW w:w="1333" w:type="pct"/>
          </w:tcPr>
          <w:p w14:paraId="4E842144" w14:textId="77777777" w:rsidR="007E2974" w:rsidRPr="00E44776" w:rsidRDefault="007E2974" w:rsidP="00013B37">
            <w:pPr>
              <w:keepNext/>
              <w:jc w:val="left"/>
              <w:rPr>
                <w:rFonts w:ascii="Arial Narrow" w:hAnsi="Arial Narrow"/>
                <w:sz w:val="20"/>
              </w:rPr>
            </w:pPr>
            <w:r w:rsidRPr="00E44776">
              <w:rPr>
                <w:rFonts w:ascii="Arial Narrow" w:hAnsi="Arial Narrow"/>
                <w:sz w:val="20"/>
              </w:rPr>
              <w:t>HR vs CHL + OBI (95% CI)</w:t>
            </w:r>
          </w:p>
        </w:tc>
        <w:tc>
          <w:tcPr>
            <w:tcW w:w="733" w:type="pct"/>
            <w:shd w:val="clear" w:color="auto" w:fill="FFFFFF"/>
            <w:vAlign w:val="center"/>
          </w:tcPr>
          <w:p w14:paraId="3DFD11A8" w14:textId="77777777" w:rsidR="007E2974" w:rsidRPr="00E44776" w:rsidRDefault="007E2974" w:rsidP="00013B37">
            <w:pPr>
              <w:keepNext/>
              <w:jc w:val="center"/>
              <w:rPr>
                <w:rFonts w:ascii="Arial Narrow" w:hAnsi="Arial Narrow"/>
                <w:b/>
                <w:bCs/>
                <w:sz w:val="20"/>
              </w:rPr>
            </w:pPr>
            <w:r w:rsidRPr="00E44776">
              <w:rPr>
                <w:rFonts w:ascii="Arial Narrow" w:hAnsi="Arial Narrow"/>
                <w:b/>
                <w:bCs/>
                <w:sz w:val="20"/>
              </w:rPr>
              <w:t>0.11 (0.07, 0.16)</w:t>
            </w:r>
          </w:p>
        </w:tc>
        <w:tc>
          <w:tcPr>
            <w:tcW w:w="733" w:type="pct"/>
            <w:shd w:val="clear" w:color="auto" w:fill="FFFFFF"/>
            <w:vAlign w:val="center"/>
          </w:tcPr>
          <w:p w14:paraId="309B3FB6" w14:textId="77777777" w:rsidR="007E2974" w:rsidRPr="00E44776" w:rsidRDefault="007E2974" w:rsidP="00013B37">
            <w:pPr>
              <w:keepNext/>
              <w:jc w:val="center"/>
              <w:rPr>
                <w:rFonts w:ascii="Arial Narrow" w:hAnsi="Arial Narrow"/>
                <w:b/>
                <w:bCs/>
                <w:sz w:val="20"/>
              </w:rPr>
            </w:pPr>
            <w:r w:rsidRPr="00E44776">
              <w:rPr>
                <w:rFonts w:ascii="Arial Narrow" w:hAnsi="Arial Narrow"/>
                <w:b/>
                <w:bCs/>
                <w:sz w:val="20"/>
              </w:rPr>
              <w:t>0.21 (0.15, 0.30)</w:t>
            </w:r>
          </w:p>
        </w:tc>
        <w:tc>
          <w:tcPr>
            <w:tcW w:w="734" w:type="pct"/>
            <w:shd w:val="clear" w:color="auto" w:fill="FFFFFF"/>
            <w:vAlign w:val="center"/>
          </w:tcPr>
          <w:p w14:paraId="4EE7EF40" w14:textId="77777777" w:rsidR="007E2974" w:rsidRPr="00E44776" w:rsidRDefault="007E2974" w:rsidP="00013B37">
            <w:pPr>
              <w:keepNext/>
              <w:jc w:val="center"/>
              <w:rPr>
                <w:rFonts w:ascii="Arial Narrow" w:hAnsi="Arial Narrow"/>
                <w:sz w:val="20"/>
              </w:rPr>
            </w:pPr>
            <w:r w:rsidRPr="00E44776">
              <w:rPr>
                <w:rFonts w:ascii="Arial Narrow" w:hAnsi="Arial Narrow"/>
                <w:sz w:val="20"/>
              </w:rPr>
              <w:t>-</w:t>
            </w:r>
          </w:p>
        </w:tc>
        <w:tc>
          <w:tcPr>
            <w:tcW w:w="733" w:type="pct"/>
            <w:shd w:val="clear" w:color="auto" w:fill="FFFFFF"/>
            <w:vAlign w:val="center"/>
          </w:tcPr>
          <w:p w14:paraId="32D244B1" w14:textId="77777777" w:rsidR="007E2974" w:rsidRPr="00E44776" w:rsidRDefault="007E2974" w:rsidP="00013B37">
            <w:pPr>
              <w:keepNext/>
              <w:jc w:val="center"/>
              <w:rPr>
                <w:rFonts w:ascii="Arial Narrow" w:hAnsi="Arial Narrow"/>
                <w:b/>
                <w:bCs/>
                <w:sz w:val="20"/>
              </w:rPr>
            </w:pPr>
            <w:r w:rsidRPr="00E44776">
              <w:rPr>
                <w:rFonts w:ascii="Arial Narrow" w:hAnsi="Arial Narrow"/>
                <w:b/>
                <w:bCs/>
                <w:sz w:val="20"/>
              </w:rPr>
              <w:t>0.35 (0.26,0.46)</w:t>
            </w:r>
          </w:p>
        </w:tc>
        <w:tc>
          <w:tcPr>
            <w:tcW w:w="733" w:type="pct"/>
            <w:shd w:val="clear" w:color="auto" w:fill="FFFFFF"/>
            <w:vAlign w:val="center"/>
          </w:tcPr>
          <w:p w14:paraId="47A1F6FE" w14:textId="77777777" w:rsidR="007E2974" w:rsidRPr="00E44776" w:rsidRDefault="007E2974" w:rsidP="00013B37">
            <w:pPr>
              <w:keepNext/>
              <w:jc w:val="center"/>
              <w:rPr>
                <w:rFonts w:ascii="Arial Narrow" w:hAnsi="Arial Narrow"/>
                <w:sz w:val="20"/>
              </w:rPr>
            </w:pPr>
            <w:r w:rsidRPr="00E44776">
              <w:rPr>
                <w:rFonts w:ascii="Arial Narrow" w:hAnsi="Arial Narrow"/>
                <w:sz w:val="20"/>
              </w:rPr>
              <w:t>-</w:t>
            </w:r>
          </w:p>
        </w:tc>
      </w:tr>
      <w:tr w:rsidR="007E2974" w:rsidRPr="00E44776" w14:paraId="0F53039F" w14:textId="77777777" w:rsidTr="00FC7B41">
        <w:tc>
          <w:tcPr>
            <w:tcW w:w="1333" w:type="pct"/>
          </w:tcPr>
          <w:p w14:paraId="66D209AB" w14:textId="77777777" w:rsidR="007E2974" w:rsidRPr="00E44776" w:rsidRDefault="007E2974" w:rsidP="00013B37">
            <w:pPr>
              <w:keepNext/>
              <w:widowControl w:val="0"/>
              <w:jc w:val="left"/>
              <w:rPr>
                <w:rFonts w:ascii="Arial Narrow" w:hAnsi="Arial Narrow"/>
                <w:snapToGrid w:val="0"/>
                <w:sz w:val="20"/>
              </w:rPr>
            </w:pPr>
            <w:r w:rsidRPr="00E44776">
              <w:rPr>
                <w:rFonts w:ascii="Arial Narrow" w:hAnsi="Arial Narrow"/>
                <w:snapToGrid w:val="0"/>
                <w:sz w:val="20"/>
              </w:rPr>
              <w:t>KM estimate of PFS</w:t>
            </w:r>
          </w:p>
          <w:p w14:paraId="22C9E16E" w14:textId="77777777" w:rsidR="007E2974" w:rsidRPr="00E44776" w:rsidRDefault="007E2974" w:rsidP="00013B37">
            <w:pPr>
              <w:keepNext/>
              <w:widowControl w:val="0"/>
              <w:jc w:val="left"/>
              <w:rPr>
                <w:rFonts w:ascii="Arial Narrow" w:hAnsi="Arial Narrow"/>
                <w:snapToGrid w:val="0"/>
                <w:sz w:val="20"/>
              </w:rPr>
            </w:pPr>
            <w:r w:rsidRPr="00E44776">
              <w:rPr>
                <w:rFonts w:ascii="Arial Narrow" w:hAnsi="Arial Narrow"/>
                <w:snapToGrid w:val="0"/>
                <w:sz w:val="20"/>
              </w:rPr>
              <w:t>- 12 months, % (95% CI)</w:t>
            </w:r>
          </w:p>
          <w:p w14:paraId="35D9F98D"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- 24 months, % (95% CI)</w:t>
            </w:r>
          </w:p>
          <w:p w14:paraId="06475FBB"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- 36 months, % (95% CI)</w:t>
            </w:r>
          </w:p>
          <w:p w14:paraId="7B3043AD"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- 48 months, % (95% CI)</w:t>
            </w:r>
          </w:p>
          <w:p w14:paraId="05A12D47"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- 60 months, % (95% CI)</w:t>
            </w:r>
          </w:p>
        </w:tc>
        <w:tc>
          <w:tcPr>
            <w:tcW w:w="733" w:type="pct"/>
            <w:shd w:val="clear" w:color="auto" w:fill="FFFFFF"/>
          </w:tcPr>
          <w:p w14:paraId="13529FCA" w14:textId="77777777" w:rsidR="007E2974" w:rsidRPr="00E44776" w:rsidRDefault="007E2974" w:rsidP="00013B37">
            <w:pPr>
              <w:keepNext/>
              <w:jc w:val="center"/>
              <w:rPr>
                <w:rFonts w:ascii="Arial Narrow" w:hAnsi="Arial Narrow"/>
                <w:sz w:val="20"/>
              </w:rPr>
            </w:pPr>
          </w:p>
          <w:p w14:paraId="63C8B530" w14:textId="77777777" w:rsidR="007E2974" w:rsidRPr="00E44776" w:rsidRDefault="007E2974" w:rsidP="00013B37">
            <w:pPr>
              <w:keepNext/>
              <w:jc w:val="center"/>
              <w:rPr>
                <w:rFonts w:ascii="Arial Narrow" w:hAnsi="Arial Narrow"/>
                <w:sz w:val="20"/>
              </w:rPr>
            </w:pPr>
            <w:r w:rsidRPr="00E44776">
              <w:rPr>
                <w:rFonts w:ascii="Arial Narrow" w:hAnsi="Arial Narrow"/>
                <w:sz w:val="20"/>
              </w:rPr>
              <w:t>95.4 (91.1, 99.5)</w:t>
            </w:r>
          </w:p>
          <w:p w14:paraId="25DBE41B" w14:textId="77777777" w:rsidR="007E2974" w:rsidRPr="00E44776" w:rsidRDefault="007E2974" w:rsidP="00013B37">
            <w:pPr>
              <w:keepNext/>
              <w:jc w:val="center"/>
              <w:rPr>
                <w:rFonts w:ascii="Arial Narrow" w:hAnsi="Arial Narrow"/>
                <w:sz w:val="20"/>
              </w:rPr>
            </w:pPr>
            <w:r w:rsidRPr="00E44776">
              <w:rPr>
                <w:rFonts w:ascii="Arial Narrow" w:hAnsi="Arial Narrow"/>
                <w:sz w:val="20"/>
              </w:rPr>
              <w:t>91.9 (86.7, 95.1)</w:t>
            </w:r>
          </w:p>
          <w:p w14:paraId="7FCAA856" w14:textId="77777777" w:rsidR="007E2974" w:rsidRPr="00E44776" w:rsidRDefault="007E2974" w:rsidP="00013B37">
            <w:pPr>
              <w:keepNext/>
              <w:jc w:val="center"/>
              <w:rPr>
                <w:rFonts w:ascii="Arial Narrow" w:hAnsi="Arial Narrow"/>
                <w:sz w:val="20"/>
              </w:rPr>
            </w:pPr>
            <w:r w:rsidRPr="00E44776">
              <w:rPr>
                <w:rFonts w:ascii="Arial Narrow" w:hAnsi="Arial Narrow"/>
                <w:sz w:val="20"/>
              </w:rPr>
              <w:t>90.9 (85.3, 94.5)</w:t>
            </w:r>
          </w:p>
          <w:p w14:paraId="1CA8E4DA" w14:textId="77777777" w:rsidR="007E2974" w:rsidRPr="00E44776" w:rsidRDefault="007E2974" w:rsidP="00013B37">
            <w:pPr>
              <w:keepNext/>
              <w:jc w:val="center"/>
              <w:rPr>
                <w:rFonts w:ascii="Arial Narrow" w:hAnsi="Arial Narrow"/>
                <w:sz w:val="20"/>
              </w:rPr>
            </w:pPr>
            <w:r w:rsidRPr="00E44776">
              <w:rPr>
                <w:rFonts w:ascii="Arial Narrow" w:hAnsi="Arial Narrow"/>
                <w:sz w:val="20"/>
              </w:rPr>
              <w:t>87 (NR)</w:t>
            </w:r>
          </w:p>
          <w:p w14:paraId="1660518B" w14:textId="77777777" w:rsidR="007E2974" w:rsidRPr="00E44776" w:rsidRDefault="007E2974" w:rsidP="00013B37">
            <w:pPr>
              <w:keepNext/>
              <w:jc w:val="center"/>
              <w:rPr>
                <w:rFonts w:ascii="Arial Narrow" w:hAnsi="Arial Narrow"/>
                <w:sz w:val="20"/>
              </w:rPr>
            </w:pPr>
            <w:r w:rsidRPr="00E44776">
              <w:rPr>
                <w:rFonts w:ascii="Arial Narrow" w:hAnsi="Arial Narrow"/>
                <w:sz w:val="20"/>
              </w:rPr>
              <w:t>84 (NR)</w:t>
            </w:r>
          </w:p>
        </w:tc>
        <w:tc>
          <w:tcPr>
            <w:tcW w:w="733" w:type="pct"/>
            <w:shd w:val="clear" w:color="auto" w:fill="FFFFFF"/>
          </w:tcPr>
          <w:p w14:paraId="08250CE1" w14:textId="77777777" w:rsidR="007E2974" w:rsidRPr="00E44776" w:rsidRDefault="007E2974" w:rsidP="00013B37">
            <w:pPr>
              <w:keepNext/>
              <w:jc w:val="center"/>
              <w:rPr>
                <w:rFonts w:ascii="Arial Narrow" w:hAnsi="Arial Narrow"/>
                <w:sz w:val="20"/>
                <w:szCs w:val="18"/>
              </w:rPr>
            </w:pPr>
          </w:p>
          <w:p w14:paraId="106BBCE1"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94.7 (90.1, 97.2)</w:t>
            </w:r>
          </w:p>
          <w:p w14:paraId="1039AC81"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90.4 (84.9, 94.0)</w:t>
            </w:r>
          </w:p>
          <w:p w14:paraId="0F9B7D26"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87.6 (81.0, 92.1)</w:t>
            </w:r>
          </w:p>
          <w:p w14:paraId="5B1CDBB1"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 xml:space="preserve">78 </w:t>
            </w:r>
            <w:r w:rsidRPr="00E44776">
              <w:rPr>
                <w:rFonts w:ascii="Arial Narrow" w:hAnsi="Arial Narrow"/>
                <w:sz w:val="20"/>
              </w:rPr>
              <w:t>(NR)</w:t>
            </w:r>
          </w:p>
          <w:p w14:paraId="7D24FAAD"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 xml:space="preserve">72 </w:t>
            </w:r>
            <w:r w:rsidRPr="00E44776">
              <w:rPr>
                <w:rFonts w:ascii="Arial Narrow" w:hAnsi="Arial Narrow"/>
                <w:sz w:val="20"/>
              </w:rPr>
              <w:t>(NR)</w:t>
            </w:r>
          </w:p>
        </w:tc>
        <w:tc>
          <w:tcPr>
            <w:tcW w:w="734" w:type="pct"/>
            <w:shd w:val="clear" w:color="auto" w:fill="FFFFFF"/>
          </w:tcPr>
          <w:p w14:paraId="0EB1B5D6" w14:textId="77777777" w:rsidR="007E2974" w:rsidRPr="00E44776" w:rsidRDefault="007E2974" w:rsidP="00013B37">
            <w:pPr>
              <w:keepNext/>
              <w:jc w:val="center"/>
              <w:rPr>
                <w:rFonts w:ascii="Arial Narrow" w:hAnsi="Arial Narrow"/>
                <w:sz w:val="20"/>
                <w:szCs w:val="18"/>
              </w:rPr>
            </w:pPr>
          </w:p>
          <w:p w14:paraId="5299974D"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85.5 (79.1, 90.0)</w:t>
            </w:r>
          </w:p>
          <w:p w14:paraId="694E4687"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54.7 (46.7, 62.0)</w:t>
            </w:r>
          </w:p>
          <w:p w14:paraId="7AF495E9"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36.9 (26.6, 47.1)</w:t>
            </w:r>
          </w:p>
          <w:p w14:paraId="142808ED"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25</w:t>
            </w:r>
            <w:r w:rsidRPr="00E44776">
              <w:rPr>
                <w:rFonts w:ascii="Arial Narrow" w:hAnsi="Arial Narrow"/>
                <w:sz w:val="20"/>
              </w:rPr>
              <w:t xml:space="preserve"> (NR)</w:t>
            </w:r>
          </w:p>
          <w:p w14:paraId="5EEB3A8C"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21</w:t>
            </w:r>
            <w:r w:rsidRPr="00E44776">
              <w:rPr>
                <w:rFonts w:ascii="Arial Narrow" w:hAnsi="Arial Narrow"/>
                <w:sz w:val="20"/>
              </w:rPr>
              <w:t xml:space="preserve"> (NR)</w:t>
            </w:r>
          </w:p>
        </w:tc>
        <w:tc>
          <w:tcPr>
            <w:tcW w:w="733" w:type="pct"/>
            <w:shd w:val="clear" w:color="auto" w:fill="FFFFFF"/>
          </w:tcPr>
          <w:p w14:paraId="0131ED85" w14:textId="77777777" w:rsidR="007E2974" w:rsidRPr="00E44776" w:rsidRDefault="007E2974" w:rsidP="00013B37">
            <w:pPr>
              <w:keepNext/>
              <w:jc w:val="center"/>
              <w:rPr>
                <w:rFonts w:ascii="Arial Narrow" w:hAnsi="Arial Narrow"/>
                <w:sz w:val="20"/>
                <w:szCs w:val="18"/>
              </w:rPr>
            </w:pPr>
          </w:p>
          <w:p w14:paraId="7371C6ED" w14:textId="5141D106" w:rsidR="007E2974" w:rsidRPr="00E44776" w:rsidRDefault="00805C9B" w:rsidP="00013B37">
            <w:pPr>
              <w:keepNext/>
              <w:jc w:val="center"/>
              <w:rPr>
                <w:rFonts w:ascii="Arial Narrow" w:hAnsi="Arial Narrow"/>
                <w:sz w:val="20"/>
                <w:szCs w:val="18"/>
              </w:rPr>
            </w:pPr>
            <w:r w:rsidRPr="00E44776">
              <w:rPr>
                <w:rFonts w:ascii="Arial Narrow" w:hAnsi="Arial Narrow"/>
                <w:sz w:val="20"/>
                <w:szCs w:val="18"/>
              </w:rPr>
              <w:t>NR</w:t>
            </w:r>
          </w:p>
          <w:p w14:paraId="64FCC020" w14:textId="566B6867" w:rsidR="00805C9B" w:rsidRPr="00E44776" w:rsidRDefault="00805C9B" w:rsidP="00013B37">
            <w:pPr>
              <w:keepNext/>
              <w:jc w:val="center"/>
              <w:rPr>
                <w:rFonts w:ascii="Arial Narrow" w:hAnsi="Arial Narrow"/>
                <w:sz w:val="20"/>
                <w:szCs w:val="18"/>
              </w:rPr>
            </w:pPr>
            <w:r w:rsidRPr="00E44776">
              <w:rPr>
                <w:rFonts w:ascii="Arial Narrow" w:hAnsi="Arial Narrow"/>
                <w:sz w:val="20"/>
                <w:szCs w:val="18"/>
              </w:rPr>
              <w:t>NR</w:t>
            </w:r>
          </w:p>
          <w:p w14:paraId="719119DF" w14:textId="302F0914" w:rsidR="00805C9B" w:rsidRPr="00E44776" w:rsidRDefault="00805C9B" w:rsidP="00013B37">
            <w:pPr>
              <w:keepNext/>
              <w:jc w:val="center"/>
              <w:rPr>
                <w:rFonts w:ascii="Arial Narrow" w:hAnsi="Arial Narrow"/>
                <w:sz w:val="20"/>
                <w:szCs w:val="18"/>
              </w:rPr>
            </w:pPr>
            <w:r w:rsidRPr="00E44776">
              <w:rPr>
                <w:rFonts w:ascii="Arial Narrow" w:hAnsi="Arial Narrow"/>
                <w:sz w:val="20"/>
                <w:szCs w:val="18"/>
              </w:rPr>
              <w:t>NR</w:t>
            </w:r>
          </w:p>
          <w:p w14:paraId="02AAE693" w14:textId="0C558501" w:rsidR="007E2974" w:rsidRPr="00E44776" w:rsidRDefault="00805C9B" w:rsidP="00013B37">
            <w:pPr>
              <w:keepNext/>
              <w:jc w:val="center"/>
              <w:rPr>
                <w:rFonts w:ascii="Arial Narrow" w:hAnsi="Arial Narrow"/>
                <w:sz w:val="20"/>
                <w:szCs w:val="18"/>
              </w:rPr>
            </w:pPr>
            <w:r w:rsidRPr="00E44776">
              <w:rPr>
                <w:rFonts w:ascii="Arial Narrow" w:hAnsi="Arial Narrow"/>
                <w:sz w:val="20"/>
                <w:szCs w:val="18"/>
              </w:rPr>
              <w:t>NR</w:t>
            </w:r>
          </w:p>
          <w:p w14:paraId="715C583C"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62.6 (NR)</w:t>
            </w:r>
          </w:p>
        </w:tc>
        <w:tc>
          <w:tcPr>
            <w:tcW w:w="733" w:type="pct"/>
            <w:shd w:val="clear" w:color="auto" w:fill="FFFFFF"/>
          </w:tcPr>
          <w:p w14:paraId="7EB1F6E6" w14:textId="47DC228F" w:rsidR="007E2974" w:rsidRPr="00E44776" w:rsidRDefault="007E2974" w:rsidP="00013B37">
            <w:pPr>
              <w:keepNext/>
              <w:jc w:val="center"/>
              <w:rPr>
                <w:rFonts w:ascii="Arial Narrow" w:hAnsi="Arial Narrow"/>
                <w:sz w:val="20"/>
                <w:szCs w:val="18"/>
              </w:rPr>
            </w:pPr>
          </w:p>
          <w:p w14:paraId="6326AA11" w14:textId="3B1F9E02" w:rsidR="00805C9B" w:rsidRPr="00E44776" w:rsidRDefault="00805C9B" w:rsidP="00013B37">
            <w:pPr>
              <w:keepNext/>
              <w:jc w:val="center"/>
              <w:rPr>
                <w:rFonts w:ascii="Arial Narrow" w:hAnsi="Arial Narrow"/>
                <w:sz w:val="20"/>
                <w:szCs w:val="18"/>
              </w:rPr>
            </w:pPr>
            <w:r w:rsidRPr="00E44776">
              <w:rPr>
                <w:rFonts w:ascii="Arial Narrow" w:hAnsi="Arial Narrow"/>
                <w:sz w:val="20"/>
                <w:szCs w:val="18"/>
              </w:rPr>
              <w:t>NR</w:t>
            </w:r>
          </w:p>
          <w:p w14:paraId="46FD78C9" w14:textId="0FC28CE8" w:rsidR="00805C9B" w:rsidRPr="00E44776" w:rsidRDefault="00805C9B" w:rsidP="00013B37">
            <w:pPr>
              <w:keepNext/>
              <w:jc w:val="center"/>
              <w:rPr>
                <w:rFonts w:ascii="Arial Narrow" w:hAnsi="Arial Narrow"/>
                <w:sz w:val="20"/>
                <w:szCs w:val="18"/>
              </w:rPr>
            </w:pPr>
            <w:r w:rsidRPr="00E44776">
              <w:rPr>
                <w:rFonts w:ascii="Arial Narrow" w:hAnsi="Arial Narrow"/>
                <w:sz w:val="20"/>
                <w:szCs w:val="18"/>
              </w:rPr>
              <w:t>NR</w:t>
            </w:r>
          </w:p>
          <w:p w14:paraId="35A44EAA" w14:textId="047320AE" w:rsidR="00805C9B" w:rsidRPr="00E44776" w:rsidRDefault="00805C9B" w:rsidP="00013B37">
            <w:pPr>
              <w:keepNext/>
              <w:jc w:val="center"/>
              <w:rPr>
                <w:rFonts w:ascii="Arial Narrow" w:hAnsi="Arial Narrow"/>
                <w:sz w:val="20"/>
                <w:szCs w:val="18"/>
              </w:rPr>
            </w:pPr>
            <w:r w:rsidRPr="00E44776">
              <w:rPr>
                <w:rFonts w:ascii="Arial Narrow" w:hAnsi="Arial Narrow"/>
                <w:sz w:val="20"/>
                <w:szCs w:val="18"/>
              </w:rPr>
              <w:t>NR</w:t>
            </w:r>
          </w:p>
          <w:p w14:paraId="1BECD545" w14:textId="2326D3EA" w:rsidR="007E2974" w:rsidRPr="00E44776" w:rsidRDefault="00805C9B" w:rsidP="00013B37">
            <w:pPr>
              <w:keepNext/>
              <w:jc w:val="center"/>
              <w:rPr>
                <w:rFonts w:ascii="Arial Narrow" w:hAnsi="Arial Narrow"/>
                <w:sz w:val="20"/>
                <w:szCs w:val="18"/>
              </w:rPr>
            </w:pPr>
            <w:r w:rsidRPr="00E44776">
              <w:rPr>
                <w:rFonts w:ascii="Arial Narrow" w:hAnsi="Arial Narrow"/>
                <w:sz w:val="20"/>
                <w:szCs w:val="18"/>
              </w:rPr>
              <w:t>NR</w:t>
            </w:r>
          </w:p>
          <w:p w14:paraId="67BE6C70"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27.0 (NR)</w:t>
            </w:r>
          </w:p>
        </w:tc>
      </w:tr>
    </w:tbl>
    <w:bookmarkEnd w:id="46"/>
    <w:p w14:paraId="7EBE92B2" w14:textId="7CBA1BDB" w:rsidR="007E2974" w:rsidRPr="00E44776" w:rsidRDefault="007E2974" w:rsidP="007E2974">
      <w:pPr>
        <w:pStyle w:val="TableFooter"/>
        <w:keepNext/>
        <w:keepLines/>
      </w:pPr>
      <w:r w:rsidRPr="00E44776">
        <w:t xml:space="preserve">Source: </w:t>
      </w:r>
      <w:r w:rsidR="007771E9" w:rsidRPr="00E44776">
        <w:t>Table 2.23,</w:t>
      </w:r>
      <w:r w:rsidR="00DB304B" w:rsidRPr="00E44776">
        <w:t xml:space="preserve"> Table 2.24 of the </w:t>
      </w:r>
      <w:r w:rsidR="007771E9" w:rsidRPr="00E44776">
        <w:t xml:space="preserve">resubmission; </w:t>
      </w:r>
      <w:r w:rsidR="000E30C3" w:rsidRPr="00E44776">
        <w:t>Al-Sawaf et al. (2022).</w:t>
      </w:r>
    </w:p>
    <w:p w14:paraId="700EAFBF" w14:textId="77777777" w:rsidR="007E2974" w:rsidRPr="00E44776" w:rsidRDefault="007E2974" w:rsidP="007E2974">
      <w:pPr>
        <w:pStyle w:val="TableFooter"/>
        <w:keepNext/>
        <w:keepLines/>
      </w:pPr>
      <w:r w:rsidRPr="00E44776">
        <w:t>ACAL = acalabrutinib, CHL = chlorambucil, CI = confidence interval, HR = hazard ratio, KM = Kaplan-Meier, NE = not estimable, NR = not reported, OBI = obinutuzumab, PFS = progression-free survival</w:t>
      </w:r>
    </w:p>
    <w:p w14:paraId="7E79209A" w14:textId="77777777" w:rsidR="007E2974" w:rsidRPr="00E44776" w:rsidRDefault="007E2974" w:rsidP="007E2974">
      <w:pPr>
        <w:pStyle w:val="TableFooter"/>
        <w:keepNext/>
        <w:keepLines/>
        <w:rPr>
          <w:color w:val="3366FF"/>
        </w:rPr>
      </w:pPr>
      <w:r w:rsidRPr="00E44776">
        <w:t>Bold indicates statistically significant results.</w:t>
      </w:r>
    </w:p>
    <w:p w14:paraId="07E4BBA5" w14:textId="3887C376" w:rsidR="007E2974" w:rsidRPr="00E44776" w:rsidRDefault="007E2974" w:rsidP="004272AF">
      <w:pPr>
        <w:pStyle w:val="COMexecsumnumberedpara"/>
      </w:pPr>
      <w:bookmarkStart w:id="48" w:name="_Ref115948032"/>
      <w:r w:rsidRPr="00E44776">
        <w:t>At a median duration of follow-up of 58.2 months in the ELEVATE-TN trial, investigator-assessed progression-free survival was statistically significantly longer among patients in the acalabrutinib + obinutuzumab and acalabrutinib monotherapy arms compared to the chlorambucil + obinutuzumab arm</w:t>
      </w:r>
      <w:r w:rsidR="00E5772A" w:rsidRPr="00E44776">
        <w:t>.</w:t>
      </w:r>
      <w:r w:rsidR="00766C7A" w:rsidRPr="00E44776">
        <w:t xml:space="preserve"> A post hoc analysis based on the October 2021 data cut (Sharman et al., 2022) was suggestive of a statistically significant difference in favour of acalabrutinib + obinutuzumab</w:t>
      </w:r>
      <w:r w:rsidR="00AC2EEB" w:rsidRPr="00E44776">
        <w:t xml:space="preserve"> compared to acalabrutinib monotherapy</w:t>
      </w:r>
      <w:r w:rsidR="00766C7A" w:rsidRPr="00E44776">
        <w:t xml:space="preserve"> (HR = 0.51 [95% CI: 0.32, 0.81]).</w:t>
      </w:r>
      <w:bookmarkEnd w:id="48"/>
    </w:p>
    <w:p w14:paraId="586CDC90" w14:textId="2B342E60" w:rsidR="007E2974" w:rsidRPr="00E44776" w:rsidRDefault="007E2974" w:rsidP="004272AF">
      <w:pPr>
        <w:pStyle w:val="COMexecsumnumberedpara"/>
      </w:pPr>
      <w:r w:rsidRPr="00E44776">
        <w:t>At a median duration of follow-up of 65.4 months in the CLL-14 trial, investigator-assessed progression-free survival was statistically significantly longer among patients in the venetoclax + obinutuzumab arm compared to the chlorambucil + obinutuzumab arm</w:t>
      </w:r>
      <w:r w:rsidR="00766C7A" w:rsidRPr="00E44776">
        <w:t>.</w:t>
      </w:r>
      <w:r w:rsidRPr="00E44776">
        <w:t xml:space="preserve"> </w:t>
      </w:r>
    </w:p>
    <w:p w14:paraId="065F72B8" w14:textId="79BB96C3" w:rsidR="007E2974" w:rsidRPr="00E44776" w:rsidRDefault="007E2974" w:rsidP="004272AF">
      <w:pPr>
        <w:pStyle w:val="COMexecsumnumberedpara"/>
      </w:pPr>
      <w:r w:rsidRPr="00E44776">
        <w:t>Based on a naïve comparison of 60-month Kaplan-Meier estimates for the ELEVATE-TN and CLL-14 trials, progression-free survival was numerically higher for acalabrutinib + obinutuzumab compared to venetoclax + obinutuzumab (84% versus 62.6%). However, this comparison should be interpreted with caution due to differences in trial inclusion criteria</w:t>
      </w:r>
      <w:r w:rsidR="009D5CE8" w:rsidRPr="00E44776">
        <w:t xml:space="preserve"> and</w:t>
      </w:r>
      <w:r w:rsidRPr="00E44776">
        <w:t xml:space="preserve"> patient characteristics between the trials.   </w:t>
      </w:r>
    </w:p>
    <w:p w14:paraId="783C16D7" w14:textId="03E19072" w:rsidR="007E2974" w:rsidRPr="00E44776" w:rsidRDefault="007E2974" w:rsidP="00C34A0B">
      <w:pPr>
        <w:pStyle w:val="COMexecsumnumberedpara"/>
      </w:pPr>
      <w:r w:rsidRPr="00E44776">
        <w:t>Kaplan-Meier plot</w:t>
      </w:r>
      <w:r w:rsidR="00377707" w:rsidRPr="00E44776">
        <w:t>s</w:t>
      </w:r>
      <w:r w:rsidRPr="00E44776">
        <w:t xml:space="preserve"> of overall survival for the ELEVATE-TN trial </w:t>
      </w:r>
      <w:r w:rsidR="00377707" w:rsidRPr="00E44776">
        <w:t xml:space="preserve">and the </w:t>
      </w:r>
      <w:r w:rsidRPr="00E44776">
        <w:t>CLL-14 trial</w:t>
      </w:r>
      <w:r w:rsidR="00F73C9C" w:rsidRPr="00E44776">
        <w:t xml:space="preserve"> are presented in </w:t>
      </w:r>
      <w:r w:rsidR="00F73C9C" w:rsidRPr="00E44776">
        <w:fldChar w:fldCharType="begin" w:fldLock="1"/>
      </w:r>
      <w:r w:rsidR="00F73C9C" w:rsidRPr="00E44776">
        <w:instrText xml:space="preserve"> REF _Ref111140827 \h  \* MERGEFORMAT </w:instrText>
      </w:r>
      <w:r w:rsidR="00F73C9C" w:rsidRPr="00E44776">
        <w:fldChar w:fldCharType="separate"/>
      </w:r>
      <w:r w:rsidR="00CB2B8B" w:rsidRPr="00CB2B8B">
        <w:t xml:space="preserve">Figure </w:t>
      </w:r>
      <w:r w:rsidR="00CB2B8B" w:rsidRPr="00CB2B8B">
        <w:rPr>
          <w:noProof/>
        </w:rPr>
        <w:t>4</w:t>
      </w:r>
      <w:r w:rsidR="00F73C9C" w:rsidRPr="00E44776">
        <w:fldChar w:fldCharType="end"/>
      </w:r>
      <w:r w:rsidR="0021706F" w:rsidRPr="00E44776">
        <w:t xml:space="preserve"> and </w:t>
      </w:r>
      <w:r w:rsidR="00F73C9C" w:rsidRPr="00E44776">
        <w:fldChar w:fldCharType="begin" w:fldLock="1"/>
      </w:r>
      <w:r w:rsidR="00F73C9C" w:rsidRPr="00E44776">
        <w:instrText xml:space="preserve"> REF _Ref111140832 \h  \* MERGEFORMAT </w:instrText>
      </w:r>
      <w:r w:rsidR="00F73C9C" w:rsidRPr="00E44776">
        <w:fldChar w:fldCharType="separate"/>
      </w:r>
      <w:r w:rsidR="00CB2B8B" w:rsidRPr="00E44776">
        <w:t xml:space="preserve">Figure </w:t>
      </w:r>
      <w:r w:rsidR="00CB2B8B">
        <w:rPr>
          <w:noProof/>
        </w:rPr>
        <w:t>5</w:t>
      </w:r>
      <w:r w:rsidR="00F73C9C" w:rsidRPr="00E44776">
        <w:fldChar w:fldCharType="end"/>
      </w:r>
      <w:r w:rsidR="0021706F" w:rsidRPr="00E44776">
        <w:t>, respectively.</w:t>
      </w:r>
    </w:p>
    <w:p w14:paraId="344520E1" w14:textId="77777777" w:rsidR="007E2974" w:rsidRPr="00E44776" w:rsidRDefault="007E2974" w:rsidP="007E2974"/>
    <w:p w14:paraId="5B0B2B6F" w14:textId="08D4D228" w:rsidR="007E2974" w:rsidRPr="00E44776" w:rsidRDefault="00C9258A" w:rsidP="007E2974">
      <w:pPr>
        <w:pStyle w:val="TableHeading"/>
        <w:keepLines w:val="0"/>
        <w:jc w:val="both"/>
      </w:pPr>
      <w:bookmarkStart w:id="49" w:name="_Ref111140827"/>
      <w:r w:rsidRPr="00E44776">
        <w:rPr>
          <w:bCs/>
        </w:rPr>
        <w:lastRenderedPageBreak/>
        <w:t xml:space="preserve">Figure </w:t>
      </w:r>
      <w:r w:rsidRPr="00E44776">
        <w:rPr>
          <w:bCs/>
        </w:rPr>
        <w:fldChar w:fldCharType="begin" w:fldLock="1"/>
      </w:r>
      <w:r w:rsidRPr="00E44776">
        <w:rPr>
          <w:bCs/>
        </w:rPr>
        <w:instrText xml:space="preserve"> SEQ Figure \* ARABIC </w:instrText>
      </w:r>
      <w:r w:rsidRPr="00E44776">
        <w:rPr>
          <w:bCs/>
        </w:rPr>
        <w:fldChar w:fldCharType="separate"/>
      </w:r>
      <w:r w:rsidR="00CB2B8B">
        <w:rPr>
          <w:bCs/>
          <w:noProof/>
        </w:rPr>
        <w:t>4</w:t>
      </w:r>
      <w:r w:rsidRPr="00E44776">
        <w:rPr>
          <w:bCs/>
        </w:rPr>
        <w:fldChar w:fldCharType="end"/>
      </w:r>
      <w:bookmarkEnd w:id="49"/>
      <w:r w:rsidR="007E2974" w:rsidRPr="00E44776">
        <w:t>: Kaplan-Meier plot of overall survival for the ELEVATE-TN trial at median follow-up of 58.2 months</w:t>
      </w:r>
    </w:p>
    <w:p w14:paraId="568E170B" w14:textId="77777777" w:rsidR="007E2974" w:rsidRPr="00E44776" w:rsidRDefault="007E2974" w:rsidP="007E2974">
      <w:pPr>
        <w:keepNext/>
      </w:pPr>
      <w:r w:rsidRPr="00E44776">
        <w:rPr>
          <w:noProof/>
        </w:rPr>
        <w:drawing>
          <wp:inline distT="0" distB="0" distL="0" distR="0" wp14:anchorId="5FF0C597" wp14:editId="32D90D0B">
            <wp:extent cx="5732145" cy="2341245"/>
            <wp:effectExtent l="0" t="0" r="0" b="0"/>
            <wp:docPr id="21" name="Picture 21" descr="A picture containing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ine chart&#10;&#10;Description automatically generated"/>
                    <pic:cNvPicPr/>
                  </pic:nvPicPr>
                  <pic:blipFill>
                    <a:blip r:embed="rId11"/>
                    <a:stretch>
                      <a:fillRect/>
                    </a:stretch>
                  </pic:blipFill>
                  <pic:spPr>
                    <a:xfrm>
                      <a:off x="0" y="0"/>
                      <a:ext cx="5732145" cy="2341245"/>
                    </a:xfrm>
                    <a:prstGeom prst="rect">
                      <a:avLst/>
                    </a:prstGeom>
                  </pic:spPr>
                </pic:pic>
              </a:graphicData>
            </a:graphic>
          </wp:inline>
        </w:drawing>
      </w:r>
    </w:p>
    <w:p w14:paraId="2416D30B" w14:textId="0ACB9E11" w:rsidR="007E2974" w:rsidRPr="00E44776" w:rsidRDefault="007E2974" w:rsidP="007E2974">
      <w:pPr>
        <w:pStyle w:val="COMTablefooter"/>
        <w:keepNext/>
      </w:pPr>
      <w:r w:rsidRPr="00E44776">
        <w:t>Source: Figure 2.4 of the resubmission.</w:t>
      </w:r>
    </w:p>
    <w:p w14:paraId="1AAB22DE" w14:textId="77777777" w:rsidR="007E2974" w:rsidRPr="00E44776" w:rsidRDefault="007E2974" w:rsidP="007E2974">
      <w:pPr>
        <w:pStyle w:val="COMTablefooter"/>
        <w:keepNext/>
      </w:pPr>
      <w:r w:rsidRPr="00E44776">
        <w:t>A = acalabrutinib, CI = confidence interval, Clb = chlorambucil, HR = hazard ratio, NR = not reported, O = obinutuzumab, OS = overall survival</w:t>
      </w:r>
    </w:p>
    <w:p w14:paraId="32655845" w14:textId="5AFEE11E" w:rsidR="007E2974" w:rsidRPr="00E44776" w:rsidRDefault="00C9258A" w:rsidP="007E2974">
      <w:pPr>
        <w:pStyle w:val="COMtablefigcaption"/>
        <w:rPr>
          <w:color w:val="000000" w:themeColor="text1"/>
        </w:rPr>
      </w:pPr>
      <w:bookmarkStart w:id="50" w:name="_Ref111140832"/>
      <w:r w:rsidRPr="00E44776">
        <w:t xml:space="preserve">Figure </w:t>
      </w:r>
      <w:r w:rsidR="00B53F47">
        <w:fldChar w:fldCharType="begin" w:fldLock="1"/>
      </w:r>
      <w:r w:rsidR="00B53F47">
        <w:instrText xml:space="preserve"> SEQ Figure \* ARABIC </w:instrText>
      </w:r>
      <w:r w:rsidR="00B53F47">
        <w:fldChar w:fldCharType="separate"/>
      </w:r>
      <w:r w:rsidR="00CB2B8B">
        <w:rPr>
          <w:noProof/>
        </w:rPr>
        <w:t>5</w:t>
      </w:r>
      <w:r w:rsidR="00B53F47">
        <w:rPr>
          <w:noProof/>
        </w:rPr>
        <w:fldChar w:fldCharType="end"/>
      </w:r>
      <w:bookmarkEnd w:id="50"/>
      <w:r w:rsidR="007E2974" w:rsidRPr="00E44776">
        <w:t xml:space="preserve">: Kaplan-Meier plot of overall survival for the CLL-14 trial at a </w:t>
      </w:r>
      <w:r w:rsidR="007E2974" w:rsidRPr="00E44776">
        <w:rPr>
          <w:snapToGrid w:val="0"/>
        </w:rPr>
        <w:t>median follow-up of 65.4 months</w:t>
      </w:r>
    </w:p>
    <w:p w14:paraId="74F81CB0" w14:textId="4A162DA7" w:rsidR="007E2974" w:rsidRPr="00E44776" w:rsidRDefault="003F25DE" w:rsidP="007E2974">
      <w:pPr>
        <w:pStyle w:val="TableFooter"/>
        <w:keepNext/>
        <w:keepLines/>
      </w:pPr>
      <w:r w:rsidRPr="00E44776">
        <w:rPr>
          <w:noProof/>
        </w:rPr>
        <w:drawing>
          <wp:inline distT="0" distB="0" distL="0" distR="0" wp14:anchorId="4FE2383C" wp14:editId="0DBA4290">
            <wp:extent cx="5732145" cy="3320415"/>
            <wp:effectExtent l="0" t="0" r="1905" b="0"/>
            <wp:docPr id="40" name="Picture 4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descr="Chart, line chart&#10;&#10;Description automatically generated"/>
                    <pic:cNvPicPr/>
                  </pic:nvPicPr>
                  <pic:blipFill>
                    <a:blip r:embed="rId12"/>
                    <a:stretch>
                      <a:fillRect/>
                    </a:stretch>
                  </pic:blipFill>
                  <pic:spPr>
                    <a:xfrm>
                      <a:off x="0" y="0"/>
                      <a:ext cx="5732145" cy="3320415"/>
                    </a:xfrm>
                    <a:prstGeom prst="rect">
                      <a:avLst/>
                    </a:prstGeom>
                  </pic:spPr>
                </pic:pic>
              </a:graphicData>
            </a:graphic>
          </wp:inline>
        </w:drawing>
      </w:r>
    </w:p>
    <w:p w14:paraId="6D719308" w14:textId="77777777" w:rsidR="007E2974" w:rsidRPr="00E44776" w:rsidRDefault="007E2974" w:rsidP="007E2974">
      <w:pPr>
        <w:pStyle w:val="COMTablefooter"/>
      </w:pPr>
      <w:r w:rsidRPr="00E44776">
        <w:t>Source: Al-Sawaf et al. (2022).</w:t>
      </w:r>
    </w:p>
    <w:p w14:paraId="392286ED" w14:textId="77777777" w:rsidR="007E2974" w:rsidRPr="00E44776" w:rsidRDefault="007E2974" w:rsidP="007E2974">
      <w:pPr>
        <w:pStyle w:val="COMTablefooter"/>
      </w:pPr>
      <w:r w:rsidRPr="00E44776">
        <w:t>Clb = chlorambucil, Obi= obinutuzumab, PFS = progression-free survival, Ven = venetoclax</w:t>
      </w:r>
    </w:p>
    <w:p w14:paraId="7C9F1706" w14:textId="6F794498" w:rsidR="007E2974" w:rsidRPr="00E44776" w:rsidRDefault="0021706F" w:rsidP="006C66A7">
      <w:pPr>
        <w:pStyle w:val="COMexecsumnumberedpara"/>
      </w:pPr>
      <w:r w:rsidRPr="00E44776">
        <w:t>T</w:t>
      </w:r>
      <w:r w:rsidR="007E2974" w:rsidRPr="00E44776">
        <w:t>he results for overall survival for the ELEVATE-TN and CLL-14 trials</w:t>
      </w:r>
      <w:r w:rsidR="00FF39DC" w:rsidRPr="00E44776">
        <w:t xml:space="preserve"> </w:t>
      </w:r>
      <w:r w:rsidRPr="00E44776">
        <w:t xml:space="preserve">are </w:t>
      </w:r>
      <w:r w:rsidR="00FF39DC" w:rsidRPr="00E44776">
        <w:t xml:space="preserve">summarised </w:t>
      </w:r>
      <w:r w:rsidRPr="00E44776">
        <w:t>in</w:t>
      </w:r>
      <w:r w:rsidR="00DA11DB" w:rsidRPr="00E44776">
        <w:t xml:space="preserve"> </w:t>
      </w:r>
      <w:r w:rsidR="00DA11DB" w:rsidRPr="00E44776">
        <w:fldChar w:fldCharType="begin" w:fldLock="1"/>
      </w:r>
      <w:r w:rsidR="00DA11DB" w:rsidRPr="00E44776">
        <w:instrText xml:space="preserve"> REF _Ref111475844 \h </w:instrText>
      </w:r>
      <w:r w:rsidR="00E44776" w:rsidRPr="00E44776">
        <w:instrText xml:space="preserve"> \* MERGEFORMAT </w:instrText>
      </w:r>
      <w:r w:rsidR="00DA11DB" w:rsidRPr="00E44776">
        <w:fldChar w:fldCharType="separate"/>
      </w:r>
      <w:r w:rsidR="00CB2B8B" w:rsidRPr="00E44776">
        <w:t xml:space="preserve">Table </w:t>
      </w:r>
      <w:r w:rsidR="00CB2B8B">
        <w:rPr>
          <w:noProof/>
        </w:rPr>
        <w:t>6</w:t>
      </w:r>
      <w:r w:rsidR="00DA11DB" w:rsidRPr="00E44776">
        <w:fldChar w:fldCharType="end"/>
      </w:r>
      <w:r w:rsidR="00DA11DB" w:rsidRPr="00E44776">
        <w:t>.</w:t>
      </w:r>
    </w:p>
    <w:p w14:paraId="7E4334B7" w14:textId="77777777" w:rsidR="007E2974" w:rsidRPr="00E44776" w:rsidRDefault="007E2974" w:rsidP="007E2974"/>
    <w:p w14:paraId="734A5447" w14:textId="116DAA9C" w:rsidR="007E2974" w:rsidRPr="00E44776" w:rsidRDefault="00967F9D" w:rsidP="00967F9D">
      <w:pPr>
        <w:pStyle w:val="TableFigureCaption"/>
        <w:rPr>
          <w:snapToGrid w:val="0"/>
        </w:rPr>
      </w:pPr>
      <w:bookmarkStart w:id="51" w:name="_Ref111475844"/>
      <w:bookmarkStart w:id="52" w:name="_Ref111295818"/>
      <w:bookmarkStart w:id="53" w:name="_Hlk116308962"/>
      <w:r w:rsidRPr="00E44776">
        <w:lastRenderedPageBreak/>
        <w:t xml:space="preserve">Table </w:t>
      </w:r>
      <w:r w:rsidR="00B53F47">
        <w:fldChar w:fldCharType="begin" w:fldLock="1"/>
      </w:r>
      <w:r w:rsidR="00B53F47">
        <w:instrText xml:space="preserve"> SEQ Table \* ARABIC </w:instrText>
      </w:r>
      <w:r w:rsidR="00B53F47">
        <w:fldChar w:fldCharType="separate"/>
      </w:r>
      <w:r w:rsidR="00CB2B8B">
        <w:rPr>
          <w:noProof/>
        </w:rPr>
        <w:t>6</w:t>
      </w:r>
      <w:r w:rsidR="00B53F47">
        <w:rPr>
          <w:noProof/>
        </w:rPr>
        <w:fldChar w:fldCharType="end"/>
      </w:r>
      <w:bookmarkEnd w:id="51"/>
      <w:r w:rsidR="007E2974" w:rsidRPr="00E44776">
        <w:rPr>
          <w:snapToGrid w:val="0"/>
        </w:rPr>
        <w:t>: Overall survival results for the ELEVATE-TN and CLL-14 trials</w:t>
      </w:r>
      <w:bookmarkEnd w:id="5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6: Overall survival results for the ELEVATE-TN and CLL-14 trials"/>
      </w:tblPr>
      <w:tblGrid>
        <w:gridCol w:w="2405"/>
        <w:gridCol w:w="1322"/>
        <w:gridCol w:w="1322"/>
        <w:gridCol w:w="1324"/>
        <w:gridCol w:w="1322"/>
        <w:gridCol w:w="1322"/>
      </w:tblGrid>
      <w:tr w:rsidR="007E2974" w:rsidRPr="00E44776" w14:paraId="2B91B260" w14:textId="77777777" w:rsidTr="00A57E5C">
        <w:trPr>
          <w:trHeight w:val="70"/>
          <w:tblHeader/>
        </w:trPr>
        <w:tc>
          <w:tcPr>
            <w:tcW w:w="1334" w:type="pct"/>
            <w:shd w:val="clear" w:color="auto" w:fill="FFFFFF"/>
            <w:vAlign w:val="center"/>
          </w:tcPr>
          <w:p w14:paraId="0590151E" w14:textId="77777777" w:rsidR="007E2974" w:rsidRPr="00E44776" w:rsidRDefault="007E2974" w:rsidP="00013B37">
            <w:pPr>
              <w:keepNext/>
              <w:rPr>
                <w:rFonts w:ascii="Arial Narrow" w:hAnsi="Arial Narrow"/>
                <w:b/>
                <w:sz w:val="20"/>
                <w:szCs w:val="18"/>
              </w:rPr>
            </w:pPr>
          </w:p>
        </w:tc>
        <w:tc>
          <w:tcPr>
            <w:tcW w:w="2200" w:type="pct"/>
            <w:gridSpan w:val="3"/>
            <w:shd w:val="clear" w:color="auto" w:fill="FFFFFF"/>
          </w:tcPr>
          <w:p w14:paraId="0386D3FA"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ELEVATE-TN</w:t>
            </w:r>
          </w:p>
        </w:tc>
        <w:tc>
          <w:tcPr>
            <w:tcW w:w="1466" w:type="pct"/>
            <w:gridSpan w:val="2"/>
            <w:shd w:val="clear" w:color="auto" w:fill="FFFFFF"/>
          </w:tcPr>
          <w:p w14:paraId="667EDA83"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CLL-14</w:t>
            </w:r>
          </w:p>
        </w:tc>
      </w:tr>
      <w:tr w:rsidR="007E2974" w:rsidRPr="00E44776" w14:paraId="097256A6" w14:textId="77777777" w:rsidTr="00A57E5C">
        <w:trPr>
          <w:trHeight w:val="56"/>
        </w:trPr>
        <w:tc>
          <w:tcPr>
            <w:tcW w:w="1333" w:type="pct"/>
            <w:shd w:val="clear" w:color="auto" w:fill="FFFFFF"/>
            <w:vAlign w:val="center"/>
          </w:tcPr>
          <w:p w14:paraId="0F74DE1A" w14:textId="77777777" w:rsidR="007E2974" w:rsidRPr="00E44776" w:rsidRDefault="007E2974" w:rsidP="00013B37">
            <w:pPr>
              <w:keepNext/>
              <w:rPr>
                <w:rFonts w:ascii="Arial Narrow" w:hAnsi="Arial Narrow"/>
                <w:b/>
                <w:sz w:val="20"/>
                <w:szCs w:val="18"/>
              </w:rPr>
            </w:pPr>
            <w:r w:rsidRPr="00E44776">
              <w:rPr>
                <w:rFonts w:ascii="Arial Narrow" w:hAnsi="Arial Narrow"/>
                <w:b/>
                <w:sz w:val="20"/>
                <w:szCs w:val="18"/>
              </w:rPr>
              <w:t>Cohort</w:t>
            </w:r>
          </w:p>
        </w:tc>
        <w:tc>
          <w:tcPr>
            <w:tcW w:w="733" w:type="pct"/>
            <w:shd w:val="clear" w:color="auto" w:fill="FFFFFF"/>
          </w:tcPr>
          <w:p w14:paraId="11793B07"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ACAL + OBI</w:t>
            </w:r>
          </w:p>
          <w:p w14:paraId="72DA3C21"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(N=179)</w:t>
            </w:r>
          </w:p>
        </w:tc>
        <w:tc>
          <w:tcPr>
            <w:tcW w:w="733" w:type="pct"/>
            <w:shd w:val="clear" w:color="auto" w:fill="FFFFFF"/>
            <w:vAlign w:val="center"/>
          </w:tcPr>
          <w:p w14:paraId="3941ADDB"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 xml:space="preserve">ACAL </w:t>
            </w:r>
          </w:p>
          <w:p w14:paraId="27B78BBE"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(N=179)</w:t>
            </w:r>
          </w:p>
        </w:tc>
        <w:tc>
          <w:tcPr>
            <w:tcW w:w="734" w:type="pct"/>
            <w:shd w:val="clear" w:color="auto" w:fill="FFFFFF"/>
            <w:vAlign w:val="center"/>
          </w:tcPr>
          <w:p w14:paraId="4778C20D"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CHL + OBI</w:t>
            </w:r>
          </w:p>
          <w:p w14:paraId="7EB9583E"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(N=177)</w:t>
            </w:r>
          </w:p>
        </w:tc>
        <w:tc>
          <w:tcPr>
            <w:tcW w:w="733" w:type="pct"/>
            <w:shd w:val="clear" w:color="auto" w:fill="FFFFFF"/>
          </w:tcPr>
          <w:p w14:paraId="277B3577"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VEN + OBI</w:t>
            </w:r>
          </w:p>
          <w:p w14:paraId="3CBEE249"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(N=216)</w:t>
            </w:r>
          </w:p>
        </w:tc>
        <w:tc>
          <w:tcPr>
            <w:tcW w:w="733" w:type="pct"/>
            <w:shd w:val="clear" w:color="auto" w:fill="FFFFFF"/>
          </w:tcPr>
          <w:p w14:paraId="01FBCC03"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CHL + OBI</w:t>
            </w:r>
          </w:p>
          <w:p w14:paraId="33CE3920"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(N=216)</w:t>
            </w:r>
          </w:p>
        </w:tc>
      </w:tr>
      <w:tr w:rsidR="007E2974" w:rsidRPr="00E44776" w14:paraId="2DEF6847" w14:textId="77777777" w:rsidTr="00A57E5C">
        <w:trPr>
          <w:trHeight w:val="92"/>
        </w:trPr>
        <w:tc>
          <w:tcPr>
            <w:tcW w:w="1333" w:type="pct"/>
            <w:shd w:val="clear" w:color="auto" w:fill="FFFFFF"/>
            <w:vAlign w:val="center"/>
          </w:tcPr>
          <w:p w14:paraId="0272D681" w14:textId="77777777" w:rsidR="007E2974" w:rsidRPr="00E44776" w:rsidRDefault="007E2974" w:rsidP="00013B37">
            <w:pPr>
              <w:keepNext/>
              <w:jc w:val="left"/>
              <w:rPr>
                <w:rFonts w:ascii="Arial Narrow" w:hAnsi="Arial Narrow"/>
                <w:sz w:val="20"/>
              </w:rPr>
            </w:pPr>
            <w:r w:rsidRPr="00E44776">
              <w:rPr>
                <w:rFonts w:ascii="Arial Narrow" w:hAnsi="Arial Narrow"/>
                <w:sz w:val="20"/>
              </w:rPr>
              <w:t>Median duration of follow-up, months (range)</w:t>
            </w:r>
          </w:p>
        </w:tc>
        <w:tc>
          <w:tcPr>
            <w:tcW w:w="2200" w:type="pct"/>
            <w:gridSpan w:val="3"/>
            <w:shd w:val="clear" w:color="auto" w:fill="FFFFFF"/>
            <w:vAlign w:val="center"/>
          </w:tcPr>
          <w:p w14:paraId="0A9BCF2F" w14:textId="77777777" w:rsidR="007E2974" w:rsidRPr="00E44776" w:rsidRDefault="007E2974" w:rsidP="00013B37">
            <w:pPr>
              <w:keepNext/>
              <w:jc w:val="center"/>
              <w:rPr>
                <w:rFonts w:ascii="Arial Narrow" w:hAnsi="Arial Narrow"/>
                <w:sz w:val="20"/>
              </w:rPr>
            </w:pPr>
            <w:r w:rsidRPr="00E44776">
              <w:rPr>
                <w:rFonts w:ascii="Arial Narrow" w:hAnsi="Arial Narrow"/>
                <w:sz w:val="20"/>
              </w:rPr>
              <w:t>58.2 (NR)</w:t>
            </w:r>
          </w:p>
        </w:tc>
        <w:tc>
          <w:tcPr>
            <w:tcW w:w="1466" w:type="pct"/>
            <w:gridSpan w:val="2"/>
            <w:shd w:val="clear" w:color="auto" w:fill="FFFFFF"/>
            <w:vAlign w:val="center"/>
          </w:tcPr>
          <w:p w14:paraId="1667FA06" w14:textId="77777777" w:rsidR="007E2974" w:rsidRPr="00E44776" w:rsidRDefault="007E2974" w:rsidP="00013B37">
            <w:pPr>
              <w:keepNext/>
              <w:jc w:val="center"/>
              <w:rPr>
                <w:rFonts w:ascii="Arial Narrow" w:hAnsi="Arial Narrow"/>
                <w:sz w:val="20"/>
              </w:rPr>
            </w:pPr>
            <w:r w:rsidRPr="00E44776">
              <w:rPr>
                <w:rFonts w:ascii="Arial Narrow" w:hAnsi="Arial Narrow"/>
                <w:sz w:val="20"/>
              </w:rPr>
              <w:t>65.4 (NR)</w:t>
            </w:r>
          </w:p>
        </w:tc>
      </w:tr>
      <w:tr w:rsidR="007E2974" w:rsidRPr="00E44776" w14:paraId="645C82BC" w14:textId="77777777" w:rsidTr="00A57E5C">
        <w:tc>
          <w:tcPr>
            <w:tcW w:w="1333" w:type="pct"/>
            <w:vAlign w:val="center"/>
          </w:tcPr>
          <w:p w14:paraId="5480278C" w14:textId="77777777" w:rsidR="007E2974" w:rsidRPr="00E44776" w:rsidRDefault="007E2974" w:rsidP="00013B37">
            <w:pPr>
              <w:keepNext/>
              <w:jc w:val="left"/>
              <w:rPr>
                <w:rFonts w:ascii="Arial Narrow" w:hAnsi="Arial Narrow"/>
                <w:sz w:val="20"/>
              </w:rPr>
            </w:pPr>
            <w:r w:rsidRPr="00E44776">
              <w:rPr>
                <w:rFonts w:ascii="Arial Narrow" w:hAnsi="Arial Narrow"/>
                <w:sz w:val="20"/>
              </w:rPr>
              <w:t>Death, n (%)</w:t>
            </w:r>
          </w:p>
        </w:tc>
        <w:tc>
          <w:tcPr>
            <w:tcW w:w="733" w:type="pct"/>
            <w:shd w:val="clear" w:color="auto" w:fill="FFFFFF"/>
          </w:tcPr>
          <w:p w14:paraId="537A0D72" w14:textId="77777777" w:rsidR="007E2974" w:rsidRPr="00E44776" w:rsidRDefault="007E2974" w:rsidP="00013B37">
            <w:pPr>
              <w:keepNext/>
              <w:jc w:val="center"/>
              <w:rPr>
                <w:rFonts w:ascii="Arial Narrow" w:hAnsi="Arial Narrow"/>
                <w:sz w:val="20"/>
              </w:rPr>
            </w:pPr>
            <w:r w:rsidRPr="00E44776">
              <w:rPr>
                <w:rFonts w:ascii="Arial Narrow" w:hAnsi="Arial Narrow"/>
                <w:sz w:val="20"/>
              </w:rPr>
              <w:t>NR</w:t>
            </w:r>
          </w:p>
        </w:tc>
        <w:tc>
          <w:tcPr>
            <w:tcW w:w="733" w:type="pct"/>
            <w:shd w:val="clear" w:color="auto" w:fill="FFFFFF"/>
          </w:tcPr>
          <w:p w14:paraId="0C62C002" w14:textId="77777777" w:rsidR="007E2974" w:rsidRPr="00E44776" w:rsidRDefault="007E2974" w:rsidP="00013B37">
            <w:pPr>
              <w:keepNext/>
              <w:jc w:val="center"/>
              <w:rPr>
                <w:rFonts w:ascii="Arial Narrow" w:hAnsi="Arial Narrow"/>
                <w:sz w:val="20"/>
              </w:rPr>
            </w:pPr>
            <w:r w:rsidRPr="00E44776">
              <w:rPr>
                <w:rFonts w:ascii="Arial Narrow" w:hAnsi="Arial Narrow"/>
                <w:sz w:val="20"/>
              </w:rPr>
              <w:t>NR</w:t>
            </w:r>
          </w:p>
        </w:tc>
        <w:tc>
          <w:tcPr>
            <w:tcW w:w="734" w:type="pct"/>
            <w:shd w:val="clear" w:color="auto" w:fill="FFFFFF"/>
          </w:tcPr>
          <w:p w14:paraId="436CCE4A" w14:textId="77777777" w:rsidR="007E2974" w:rsidRPr="00E44776" w:rsidRDefault="007E2974" w:rsidP="00013B37">
            <w:pPr>
              <w:keepNext/>
              <w:jc w:val="center"/>
              <w:rPr>
                <w:rFonts w:ascii="Arial Narrow" w:hAnsi="Arial Narrow"/>
                <w:sz w:val="20"/>
              </w:rPr>
            </w:pPr>
            <w:r w:rsidRPr="00E44776">
              <w:rPr>
                <w:rFonts w:ascii="Arial Narrow" w:hAnsi="Arial Narrow"/>
                <w:sz w:val="20"/>
              </w:rPr>
              <w:t>NR</w:t>
            </w:r>
          </w:p>
        </w:tc>
        <w:tc>
          <w:tcPr>
            <w:tcW w:w="733" w:type="pct"/>
            <w:shd w:val="clear" w:color="auto" w:fill="FFFFFF"/>
          </w:tcPr>
          <w:p w14:paraId="4032C440" w14:textId="77777777" w:rsidR="007E2974" w:rsidRPr="00E44776" w:rsidRDefault="007E2974" w:rsidP="00013B37">
            <w:pPr>
              <w:keepNext/>
              <w:jc w:val="center"/>
              <w:rPr>
                <w:rFonts w:ascii="Arial Narrow" w:hAnsi="Arial Narrow"/>
                <w:sz w:val="20"/>
              </w:rPr>
            </w:pPr>
            <w:r w:rsidRPr="00E44776">
              <w:rPr>
                <w:rFonts w:ascii="Arial Narrow" w:hAnsi="Arial Narrow"/>
                <w:sz w:val="20"/>
              </w:rPr>
              <w:t>40 (NR)</w:t>
            </w:r>
          </w:p>
        </w:tc>
        <w:tc>
          <w:tcPr>
            <w:tcW w:w="733" w:type="pct"/>
            <w:shd w:val="clear" w:color="auto" w:fill="FFFFFF"/>
          </w:tcPr>
          <w:p w14:paraId="769F9D25" w14:textId="77777777" w:rsidR="007E2974" w:rsidRPr="00E44776" w:rsidRDefault="007E2974" w:rsidP="00013B37">
            <w:pPr>
              <w:keepNext/>
              <w:jc w:val="center"/>
              <w:rPr>
                <w:rFonts w:ascii="Arial Narrow" w:hAnsi="Arial Narrow"/>
                <w:sz w:val="20"/>
              </w:rPr>
            </w:pPr>
            <w:r w:rsidRPr="00E44776">
              <w:rPr>
                <w:rFonts w:ascii="Arial Narrow" w:hAnsi="Arial Narrow"/>
                <w:sz w:val="20"/>
              </w:rPr>
              <w:t>57 (NR)</w:t>
            </w:r>
          </w:p>
        </w:tc>
      </w:tr>
      <w:tr w:rsidR="007E2974" w:rsidRPr="00E44776" w14:paraId="5347B930" w14:textId="77777777" w:rsidTr="00A57E5C">
        <w:tc>
          <w:tcPr>
            <w:tcW w:w="1333" w:type="pct"/>
            <w:vAlign w:val="center"/>
          </w:tcPr>
          <w:p w14:paraId="4C104E86" w14:textId="77777777" w:rsidR="007E2974" w:rsidRPr="00E44776" w:rsidRDefault="007E2974" w:rsidP="00013B37">
            <w:pPr>
              <w:keepNext/>
              <w:jc w:val="left"/>
              <w:rPr>
                <w:rFonts w:ascii="Arial Narrow" w:hAnsi="Arial Narrow"/>
                <w:sz w:val="20"/>
              </w:rPr>
            </w:pPr>
            <w:r w:rsidRPr="00E44776">
              <w:rPr>
                <w:rFonts w:ascii="Arial Narrow" w:hAnsi="Arial Narrow"/>
                <w:sz w:val="20"/>
              </w:rPr>
              <w:t>Median OS, months (95% CI)</w:t>
            </w:r>
          </w:p>
        </w:tc>
        <w:tc>
          <w:tcPr>
            <w:tcW w:w="733" w:type="pct"/>
            <w:shd w:val="clear" w:color="auto" w:fill="FFFFFF"/>
          </w:tcPr>
          <w:p w14:paraId="28A1378F"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Not reached</w:t>
            </w:r>
          </w:p>
        </w:tc>
        <w:tc>
          <w:tcPr>
            <w:tcW w:w="733" w:type="pct"/>
            <w:shd w:val="clear" w:color="auto" w:fill="FFFFFF"/>
          </w:tcPr>
          <w:p w14:paraId="4BDD2A5C"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Not reached</w:t>
            </w:r>
          </w:p>
        </w:tc>
        <w:tc>
          <w:tcPr>
            <w:tcW w:w="734" w:type="pct"/>
            <w:shd w:val="clear" w:color="auto" w:fill="FFFFFF"/>
          </w:tcPr>
          <w:p w14:paraId="7EAEFB36"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Not reached</w:t>
            </w:r>
          </w:p>
        </w:tc>
        <w:tc>
          <w:tcPr>
            <w:tcW w:w="733" w:type="pct"/>
            <w:shd w:val="clear" w:color="auto" w:fill="FFFFFF"/>
          </w:tcPr>
          <w:p w14:paraId="19E8471F"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Not reached</w:t>
            </w:r>
          </w:p>
        </w:tc>
        <w:tc>
          <w:tcPr>
            <w:tcW w:w="733" w:type="pct"/>
            <w:shd w:val="clear" w:color="auto" w:fill="FFFFFF"/>
          </w:tcPr>
          <w:p w14:paraId="7EFD3784"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Not reached</w:t>
            </w:r>
          </w:p>
        </w:tc>
      </w:tr>
      <w:tr w:rsidR="007E2974" w:rsidRPr="00E44776" w14:paraId="3FAD203F" w14:textId="77777777" w:rsidTr="00A57E5C">
        <w:trPr>
          <w:trHeight w:val="157"/>
        </w:trPr>
        <w:tc>
          <w:tcPr>
            <w:tcW w:w="1333" w:type="pct"/>
          </w:tcPr>
          <w:p w14:paraId="0198588F" w14:textId="77777777" w:rsidR="007E2974" w:rsidRPr="00E44776" w:rsidRDefault="007E2974" w:rsidP="00013B37">
            <w:pPr>
              <w:keepNext/>
              <w:jc w:val="left"/>
              <w:rPr>
                <w:rFonts w:ascii="Arial Narrow" w:hAnsi="Arial Narrow"/>
                <w:sz w:val="20"/>
              </w:rPr>
            </w:pPr>
            <w:r w:rsidRPr="00E44776">
              <w:rPr>
                <w:rFonts w:ascii="Arial Narrow" w:hAnsi="Arial Narrow"/>
                <w:sz w:val="20"/>
              </w:rPr>
              <w:t>HR vs CHL + OBI (95% CI)</w:t>
            </w:r>
          </w:p>
        </w:tc>
        <w:tc>
          <w:tcPr>
            <w:tcW w:w="733" w:type="pct"/>
            <w:shd w:val="clear" w:color="auto" w:fill="FFFFFF"/>
            <w:vAlign w:val="center"/>
          </w:tcPr>
          <w:p w14:paraId="4C8A0B90"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0.55 (0.30, 0.99)</w:t>
            </w:r>
          </w:p>
        </w:tc>
        <w:tc>
          <w:tcPr>
            <w:tcW w:w="733" w:type="pct"/>
            <w:shd w:val="clear" w:color="auto" w:fill="FFFFFF"/>
            <w:vAlign w:val="center"/>
          </w:tcPr>
          <w:p w14:paraId="66EA7432"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0.98 (0.58, 1.64)</w:t>
            </w:r>
          </w:p>
        </w:tc>
        <w:tc>
          <w:tcPr>
            <w:tcW w:w="734" w:type="pct"/>
            <w:shd w:val="clear" w:color="auto" w:fill="FFFFFF"/>
            <w:vAlign w:val="center"/>
          </w:tcPr>
          <w:p w14:paraId="4B788226"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w:t>
            </w:r>
          </w:p>
        </w:tc>
        <w:tc>
          <w:tcPr>
            <w:tcW w:w="733" w:type="pct"/>
            <w:shd w:val="clear" w:color="auto" w:fill="FFFFFF"/>
            <w:vAlign w:val="center"/>
          </w:tcPr>
          <w:p w14:paraId="6925B96E"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0.72 (0.48, 1.09)</w:t>
            </w:r>
          </w:p>
        </w:tc>
        <w:tc>
          <w:tcPr>
            <w:tcW w:w="733" w:type="pct"/>
            <w:shd w:val="clear" w:color="auto" w:fill="FFFFFF"/>
            <w:vAlign w:val="center"/>
          </w:tcPr>
          <w:p w14:paraId="674791B1"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rPr>
              <w:t>-</w:t>
            </w:r>
          </w:p>
        </w:tc>
      </w:tr>
      <w:tr w:rsidR="007E2974" w:rsidRPr="00E44776" w14:paraId="21894384" w14:textId="77777777" w:rsidTr="00A57E5C">
        <w:tc>
          <w:tcPr>
            <w:tcW w:w="1333" w:type="pct"/>
          </w:tcPr>
          <w:p w14:paraId="6FBAEEC5" w14:textId="77777777" w:rsidR="007E2974" w:rsidRPr="00E44776" w:rsidRDefault="007E2974" w:rsidP="00013B37">
            <w:pPr>
              <w:keepNext/>
              <w:widowControl w:val="0"/>
              <w:jc w:val="left"/>
              <w:rPr>
                <w:rFonts w:ascii="Arial Narrow" w:hAnsi="Arial Narrow"/>
                <w:snapToGrid w:val="0"/>
                <w:sz w:val="20"/>
              </w:rPr>
            </w:pPr>
            <w:r w:rsidRPr="00E44776">
              <w:rPr>
                <w:rFonts w:ascii="Arial Narrow" w:hAnsi="Arial Narrow"/>
                <w:snapToGrid w:val="0"/>
                <w:sz w:val="20"/>
              </w:rPr>
              <w:t>KM estimate of OS</w:t>
            </w:r>
          </w:p>
          <w:p w14:paraId="7166EC42" w14:textId="77777777" w:rsidR="007E2974" w:rsidRPr="00E44776" w:rsidRDefault="007E2974" w:rsidP="00013B37">
            <w:pPr>
              <w:keepNext/>
              <w:widowControl w:val="0"/>
              <w:jc w:val="left"/>
              <w:rPr>
                <w:rFonts w:ascii="Arial Narrow" w:hAnsi="Arial Narrow"/>
                <w:snapToGrid w:val="0"/>
                <w:sz w:val="20"/>
              </w:rPr>
            </w:pPr>
            <w:r w:rsidRPr="00E44776">
              <w:rPr>
                <w:rFonts w:ascii="Arial Narrow" w:hAnsi="Arial Narrow"/>
                <w:snapToGrid w:val="0"/>
                <w:sz w:val="20"/>
              </w:rPr>
              <w:t>- 12 months, % (95% CI)</w:t>
            </w:r>
          </w:p>
          <w:p w14:paraId="14828103"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- 24 months, % (95% CI)</w:t>
            </w:r>
          </w:p>
          <w:p w14:paraId="6D9C0C41"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- 36 months, % (95% CI)</w:t>
            </w:r>
          </w:p>
          <w:p w14:paraId="168F1459"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- 48 months, % (95% CI)</w:t>
            </w:r>
          </w:p>
          <w:p w14:paraId="0A0C6231"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- 60 months, % (95% CI)</w:t>
            </w:r>
          </w:p>
        </w:tc>
        <w:tc>
          <w:tcPr>
            <w:tcW w:w="733" w:type="pct"/>
            <w:shd w:val="clear" w:color="auto" w:fill="FFFFFF"/>
          </w:tcPr>
          <w:p w14:paraId="181FACB2" w14:textId="77777777" w:rsidR="007E2974" w:rsidRPr="00E44776" w:rsidRDefault="007E2974" w:rsidP="00013B37">
            <w:pPr>
              <w:keepNext/>
              <w:jc w:val="center"/>
              <w:rPr>
                <w:rFonts w:ascii="Arial Narrow" w:hAnsi="Arial Narrow"/>
                <w:sz w:val="20"/>
                <w:szCs w:val="18"/>
              </w:rPr>
            </w:pPr>
          </w:p>
          <w:p w14:paraId="1230F9AA"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96.1 (91.9, 98.1)</w:t>
            </w:r>
          </w:p>
          <w:p w14:paraId="7BE6AFCB"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94.9 (90.5, 97.3)</w:t>
            </w:r>
          </w:p>
          <w:p w14:paraId="5BF2F20F"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94.3 (89.7, 96.9)</w:t>
            </w:r>
          </w:p>
          <w:p w14:paraId="123D1845"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93 (NR)</w:t>
            </w:r>
          </w:p>
          <w:p w14:paraId="4CD8DB58"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90 (NR)</w:t>
            </w:r>
          </w:p>
        </w:tc>
        <w:tc>
          <w:tcPr>
            <w:tcW w:w="733" w:type="pct"/>
            <w:shd w:val="clear" w:color="auto" w:fill="FFFFFF"/>
          </w:tcPr>
          <w:p w14:paraId="3663955D" w14:textId="77777777" w:rsidR="007E2974" w:rsidRPr="00E44776" w:rsidRDefault="007E2974" w:rsidP="00013B37">
            <w:pPr>
              <w:keepNext/>
              <w:jc w:val="center"/>
              <w:rPr>
                <w:rFonts w:ascii="Arial Narrow" w:hAnsi="Arial Narrow"/>
                <w:sz w:val="20"/>
                <w:szCs w:val="18"/>
              </w:rPr>
            </w:pPr>
          </w:p>
          <w:p w14:paraId="2565D4D2"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98.3 (94.8, 99.4)</w:t>
            </w:r>
          </w:p>
          <w:p w14:paraId="4EA2536E"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94.7 (90.2, 97.2)</w:t>
            </w:r>
          </w:p>
          <w:p w14:paraId="44678651"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93.5 (88.6, 96.3)</w:t>
            </w:r>
          </w:p>
          <w:p w14:paraId="5298A5B8"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88 (NR)</w:t>
            </w:r>
          </w:p>
          <w:p w14:paraId="451A6AF2"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84 (NR)</w:t>
            </w:r>
          </w:p>
        </w:tc>
        <w:tc>
          <w:tcPr>
            <w:tcW w:w="734" w:type="pct"/>
            <w:shd w:val="clear" w:color="auto" w:fill="FFFFFF"/>
          </w:tcPr>
          <w:p w14:paraId="21859D5C" w14:textId="77777777" w:rsidR="007E2974" w:rsidRPr="00E44776" w:rsidRDefault="007E2974" w:rsidP="00013B37">
            <w:pPr>
              <w:keepNext/>
              <w:jc w:val="center"/>
              <w:rPr>
                <w:rFonts w:ascii="Arial Narrow" w:hAnsi="Arial Narrow"/>
                <w:sz w:val="20"/>
                <w:szCs w:val="18"/>
              </w:rPr>
            </w:pPr>
          </w:p>
          <w:p w14:paraId="1DF284ED"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96.5 (92.4, 98.4)</w:t>
            </w:r>
          </w:p>
          <w:p w14:paraId="7BE23BE8"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91.7 (86.3, 95.0)</w:t>
            </w:r>
          </w:p>
          <w:p w14:paraId="31211BE2"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88.1 (80.7, 92.8)</w:t>
            </w:r>
          </w:p>
          <w:p w14:paraId="5E377674"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88 (NR)</w:t>
            </w:r>
          </w:p>
          <w:p w14:paraId="10C839AD"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82 (NR)</w:t>
            </w:r>
          </w:p>
        </w:tc>
        <w:tc>
          <w:tcPr>
            <w:tcW w:w="733" w:type="pct"/>
            <w:shd w:val="clear" w:color="auto" w:fill="FFFFFF"/>
          </w:tcPr>
          <w:p w14:paraId="6C596D26" w14:textId="77777777" w:rsidR="007E2974" w:rsidRPr="00E44776" w:rsidRDefault="007E2974" w:rsidP="00013B37">
            <w:pPr>
              <w:keepNext/>
              <w:jc w:val="center"/>
              <w:rPr>
                <w:rFonts w:ascii="Arial Narrow" w:hAnsi="Arial Narrow"/>
                <w:sz w:val="20"/>
                <w:szCs w:val="18"/>
              </w:rPr>
            </w:pPr>
          </w:p>
          <w:p w14:paraId="3DBD39B3" w14:textId="648F6D0E" w:rsidR="007E2974" w:rsidRPr="00E44776" w:rsidRDefault="00807EEC" w:rsidP="00013B37">
            <w:pPr>
              <w:keepNext/>
              <w:jc w:val="center"/>
              <w:rPr>
                <w:rFonts w:ascii="Arial Narrow" w:hAnsi="Arial Narrow"/>
                <w:sz w:val="20"/>
                <w:szCs w:val="18"/>
              </w:rPr>
            </w:pPr>
            <w:r w:rsidRPr="00E44776">
              <w:rPr>
                <w:rFonts w:ascii="Arial Narrow" w:hAnsi="Arial Narrow"/>
                <w:sz w:val="20"/>
                <w:szCs w:val="18"/>
              </w:rPr>
              <w:t>NR</w:t>
            </w:r>
          </w:p>
          <w:p w14:paraId="6D57A5FF" w14:textId="4A4DE588" w:rsidR="00807EEC" w:rsidRPr="00E44776" w:rsidRDefault="00807EEC" w:rsidP="00013B37">
            <w:pPr>
              <w:keepNext/>
              <w:jc w:val="center"/>
              <w:rPr>
                <w:rFonts w:ascii="Arial Narrow" w:hAnsi="Arial Narrow"/>
                <w:sz w:val="20"/>
                <w:szCs w:val="18"/>
              </w:rPr>
            </w:pPr>
            <w:r w:rsidRPr="00E44776">
              <w:rPr>
                <w:rFonts w:ascii="Arial Narrow" w:hAnsi="Arial Narrow"/>
                <w:sz w:val="20"/>
                <w:szCs w:val="18"/>
              </w:rPr>
              <w:t>NR</w:t>
            </w:r>
          </w:p>
          <w:p w14:paraId="296B7E61" w14:textId="5BE861E6" w:rsidR="00807EEC" w:rsidRPr="00E44776" w:rsidRDefault="00807EEC" w:rsidP="00013B37">
            <w:pPr>
              <w:keepNext/>
              <w:jc w:val="center"/>
              <w:rPr>
                <w:rFonts w:ascii="Arial Narrow" w:hAnsi="Arial Narrow"/>
                <w:sz w:val="20"/>
                <w:szCs w:val="18"/>
              </w:rPr>
            </w:pPr>
            <w:r w:rsidRPr="00E44776">
              <w:rPr>
                <w:rFonts w:ascii="Arial Narrow" w:hAnsi="Arial Narrow"/>
                <w:sz w:val="20"/>
                <w:szCs w:val="18"/>
              </w:rPr>
              <w:t>NR</w:t>
            </w:r>
          </w:p>
          <w:p w14:paraId="5E42E3CC" w14:textId="7293E27C" w:rsidR="007E2974" w:rsidRPr="00E44776" w:rsidRDefault="00807EEC" w:rsidP="00013B37">
            <w:pPr>
              <w:keepNext/>
              <w:jc w:val="center"/>
              <w:rPr>
                <w:rFonts w:ascii="Arial Narrow" w:hAnsi="Arial Narrow"/>
                <w:sz w:val="20"/>
                <w:szCs w:val="18"/>
              </w:rPr>
            </w:pPr>
            <w:r w:rsidRPr="00E44776">
              <w:rPr>
                <w:rFonts w:ascii="Arial Narrow" w:hAnsi="Arial Narrow"/>
                <w:sz w:val="20"/>
                <w:szCs w:val="18"/>
              </w:rPr>
              <w:t>NR</w:t>
            </w:r>
          </w:p>
          <w:p w14:paraId="472A0318"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81.9 (NR)</w:t>
            </w:r>
          </w:p>
        </w:tc>
        <w:tc>
          <w:tcPr>
            <w:tcW w:w="733" w:type="pct"/>
            <w:shd w:val="clear" w:color="auto" w:fill="FFFFFF"/>
          </w:tcPr>
          <w:p w14:paraId="31C57E78" w14:textId="77777777" w:rsidR="007E2974" w:rsidRPr="00E44776" w:rsidRDefault="007E2974" w:rsidP="00013B37">
            <w:pPr>
              <w:keepNext/>
              <w:jc w:val="center"/>
              <w:rPr>
                <w:rFonts w:ascii="Arial Narrow" w:hAnsi="Arial Narrow"/>
                <w:sz w:val="20"/>
                <w:szCs w:val="18"/>
              </w:rPr>
            </w:pPr>
          </w:p>
          <w:p w14:paraId="009197C4" w14:textId="1D51828D" w:rsidR="007E2974" w:rsidRPr="00E44776" w:rsidRDefault="00807EEC" w:rsidP="00013B37">
            <w:pPr>
              <w:keepNext/>
              <w:jc w:val="center"/>
              <w:rPr>
                <w:rFonts w:ascii="Arial Narrow" w:hAnsi="Arial Narrow"/>
                <w:sz w:val="20"/>
                <w:szCs w:val="18"/>
              </w:rPr>
            </w:pPr>
            <w:r w:rsidRPr="00E44776">
              <w:rPr>
                <w:rFonts w:ascii="Arial Narrow" w:hAnsi="Arial Narrow"/>
                <w:sz w:val="20"/>
                <w:szCs w:val="18"/>
              </w:rPr>
              <w:t>NR</w:t>
            </w:r>
          </w:p>
          <w:p w14:paraId="5B0A2B9F" w14:textId="73754B5C" w:rsidR="00807EEC" w:rsidRPr="00E44776" w:rsidRDefault="00807EEC" w:rsidP="00013B37">
            <w:pPr>
              <w:keepNext/>
              <w:jc w:val="center"/>
              <w:rPr>
                <w:rFonts w:ascii="Arial Narrow" w:hAnsi="Arial Narrow"/>
                <w:sz w:val="20"/>
                <w:szCs w:val="18"/>
              </w:rPr>
            </w:pPr>
            <w:r w:rsidRPr="00E44776">
              <w:rPr>
                <w:rFonts w:ascii="Arial Narrow" w:hAnsi="Arial Narrow"/>
                <w:sz w:val="20"/>
                <w:szCs w:val="18"/>
              </w:rPr>
              <w:t>NR</w:t>
            </w:r>
          </w:p>
          <w:p w14:paraId="75D9106A" w14:textId="13514594" w:rsidR="00807EEC" w:rsidRPr="00E44776" w:rsidRDefault="00807EEC" w:rsidP="00013B37">
            <w:pPr>
              <w:keepNext/>
              <w:jc w:val="center"/>
              <w:rPr>
                <w:rFonts w:ascii="Arial Narrow" w:hAnsi="Arial Narrow"/>
                <w:sz w:val="20"/>
                <w:szCs w:val="18"/>
              </w:rPr>
            </w:pPr>
            <w:r w:rsidRPr="00E44776">
              <w:rPr>
                <w:rFonts w:ascii="Arial Narrow" w:hAnsi="Arial Narrow"/>
                <w:sz w:val="20"/>
                <w:szCs w:val="18"/>
              </w:rPr>
              <w:t>NR</w:t>
            </w:r>
          </w:p>
          <w:p w14:paraId="4955AE5F" w14:textId="129AB4C8" w:rsidR="007E2974" w:rsidRPr="00E44776" w:rsidRDefault="00807EEC" w:rsidP="00013B37">
            <w:pPr>
              <w:keepNext/>
              <w:jc w:val="center"/>
              <w:rPr>
                <w:rFonts w:ascii="Arial Narrow" w:hAnsi="Arial Narrow"/>
                <w:sz w:val="20"/>
                <w:szCs w:val="18"/>
              </w:rPr>
            </w:pPr>
            <w:r w:rsidRPr="00E44776">
              <w:rPr>
                <w:rFonts w:ascii="Arial Narrow" w:hAnsi="Arial Narrow"/>
                <w:sz w:val="20"/>
                <w:szCs w:val="18"/>
              </w:rPr>
              <w:t>NR</w:t>
            </w:r>
          </w:p>
          <w:p w14:paraId="770F5052"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77.0 (NR)</w:t>
            </w:r>
          </w:p>
        </w:tc>
      </w:tr>
    </w:tbl>
    <w:p w14:paraId="29EFDDD2" w14:textId="3E03DA00" w:rsidR="007E2974" w:rsidRPr="00E44776" w:rsidRDefault="007E2974" w:rsidP="007E2974">
      <w:pPr>
        <w:pStyle w:val="TableFooter"/>
      </w:pPr>
      <w:bookmarkStart w:id="54" w:name="_Hlk116308977"/>
      <w:bookmarkEnd w:id="53"/>
      <w:r w:rsidRPr="00E44776">
        <w:t>Source: Table 2.30,</w:t>
      </w:r>
      <w:r w:rsidR="00DB304B" w:rsidRPr="00E44776">
        <w:t xml:space="preserve"> Table 2.31</w:t>
      </w:r>
      <w:r w:rsidRPr="00E44776">
        <w:t xml:space="preserve"> of the resubmission</w:t>
      </w:r>
      <w:r w:rsidR="00807EEC" w:rsidRPr="00E44776">
        <w:t>; Al</w:t>
      </w:r>
      <w:r w:rsidR="00051CF5" w:rsidRPr="00E44776">
        <w:t>-</w:t>
      </w:r>
      <w:r w:rsidR="00807EEC" w:rsidRPr="00E44776">
        <w:t>Sawaf et al. (2022).</w:t>
      </w:r>
    </w:p>
    <w:bookmarkEnd w:id="54"/>
    <w:p w14:paraId="721D83F9" w14:textId="77777777" w:rsidR="007E2974" w:rsidRPr="00E44776" w:rsidRDefault="007E2974" w:rsidP="007E2974">
      <w:pPr>
        <w:pStyle w:val="TableFooter"/>
        <w:keepNext/>
        <w:keepLines/>
      </w:pPr>
      <w:r w:rsidRPr="00E44776">
        <w:t>ACAL = acalabrutinib, CHL = chlorambucil, CI = confidence interval, HR = hazard ratio, KM = Kaplan-Meier, NE = not estimable, NR = not reported, OBI = obinutuzumab, OS = overall survival</w:t>
      </w:r>
    </w:p>
    <w:p w14:paraId="715CDA9E" w14:textId="0EEF5D1C" w:rsidR="007E2974" w:rsidRPr="00E44776" w:rsidRDefault="007E2974" w:rsidP="00766C7A">
      <w:pPr>
        <w:pStyle w:val="COMexecsumnumberedpara"/>
      </w:pPr>
      <w:r w:rsidRPr="00E44776">
        <w:t>At a median duration of follow-up of 58.2 months in the ELEVATE-TN trial,</w:t>
      </w:r>
      <w:r w:rsidR="00766C7A" w:rsidRPr="00E44776">
        <w:t xml:space="preserve"> t</w:t>
      </w:r>
      <w:r w:rsidRPr="00E44776">
        <w:t>here was a statistically significant difference in overall survival for acalabrutinib + obinutuzumab compared to chlorambucil + obinutuzuma</w:t>
      </w:r>
      <w:r w:rsidR="00766C7A" w:rsidRPr="00E44776">
        <w:t>b</w:t>
      </w:r>
      <w:r w:rsidRPr="00E44776">
        <w:t>, but not for acalabrutinib monotherapy compared to chlorambucil + obinutuzumab</w:t>
      </w:r>
      <w:r w:rsidR="00766C7A" w:rsidRPr="00E44776">
        <w:t>.</w:t>
      </w:r>
      <w:r w:rsidRPr="00E44776">
        <w:t xml:space="preserve"> </w:t>
      </w:r>
      <w:r w:rsidR="00563D55" w:rsidRPr="00E44776">
        <w:t xml:space="preserve">A post hoc analysis comparing acalabrutinib + obinutuzumab versus acalabrutinib (Sharman et al., 2022) favoured acalabrutinib + obinutuzumab, but the difference was not statistically significant (HR = 0.56 [95% CI: 0.31, 1.00]). </w:t>
      </w:r>
      <w:r w:rsidRPr="00E44776">
        <w:t>Overall survival results are likely to have been affected by differences in post-progression treatments received by patients who had experienced disease progression, including crossover of patients in the chlorambucil + obinutuzumab arm to receive acalabrutinib.</w:t>
      </w:r>
      <w:r w:rsidR="00404B84" w:rsidRPr="00E44776">
        <w:t xml:space="preserve"> As such, the ESC considered that </w:t>
      </w:r>
      <w:r w:rsidR="00D80B28" w:rsidRPr="00E44776">
        <w:t>the overall survival results were</w:t>
      </w:r>
      <w:r w:rsidR="00404B84" w:rsidRPr="00E44776">
        <w:t xml:space="preserve"> difficult to interpret. </w:t>
      </w:r>
    </w:p>
    <w:p w14:paraId="1F0C1C8A" w14:textId="75006B35" w:rsidR="007E2974" w:rsidRPr="00E44776" w:rsidRDefault="007E2974" w:rsidP="009C3AF0">
      <w:pPr>
        <w:pStyle w:val="COMexecsumnumberedpara"/>
      </w:pPr>
      <w:r w:rsidRPr="00E44776">
        <w:t>At a median duration of follow-up of 65.4 months in the CLL-14 trial</w:t>
      </w:r>
      <w:r w:rsidR="006A46E8" w:rsidRPr="00E44776">
        <w:t>, t</w:t>
      </w:r>
      <w:r w:rsidRPr="00E44776">
        <w:t>here was no statistically significant difference in overall survival for venetoclax + obinutuzumab compared to chlorambucil + obinutuzumab</w:t>
      </w:r>
      <w:r w:rsidR="006A46E8" w:rsidRPr="00E44776">
        <w:t>.</w:t>
      </w:r>
    </w:p>
    <w:p w14:paraId="2042C690" w14:textId="40238288" w:rsidR="007E2974" w:rsidRPr="00E44776" w:rsidRDefault="007E2974" w:rsidP="009C3AF0">
      <w:pPr>
        <w:pStyle w:val="COMexecsumnumberedpara"/>
      </w:pPr>
      <w:r w:rsidRPr="00E44776">
        <w:t xml:space="preserve">Based on a naïve comparison of 60-month Kaplan-Meier estimates for the ELEVATE-TN and CLL-14 trials, overall survival was numerically higher for acalabrutinib + obinutuzumab compared to venetoclax + obinutuzumab (90% versus 81.9%). </w:t>
      </w:r>
      <w:r w:rsidR="009C3AF0" w:rsidRPr="00E44776">
        <w:t>H</w:t>
      </w:r>
      <w:r w:rsidRPr="00E44776">
        <w:t xml:space="preserve">owever, </w:t>
      </w:r>
      <w:r w:rsidR="005643E9" w:rsidRPr="00E44776">
        <w:t>the results of the naive</w:t>
      </w:r>
      <w:r w:rsidRPr="00E44776">
        <w:t xml:space="preserve"> comparison should be interpreted with caution due to differences in trial inclusion criteria, patient characteristics, and </w:t>
      </w:r>
      <w:r w:rsidR="00276FC3" w:rsidRPr="00E44776">
        <w:t xml:space="preserve">subsequent anti-leukaemic </w:t>
      </w:r>
      <w:r w:rsidRPr="00E44776">
        <w:t xml:space="preserve">treatments between the trials.   </w:t>
      </w:r>
    </w:p>
    <w:p w14:paraId="2B182DEF" w14:textId="1469F2FD" w:rsidR="007A7D8F" w:rsidRPr="00E44776" w:rsidRDefault="00E75BA0" w:rsidP="006C66A7">
      <w:pPr>
        <w:pStyle w:val="COMH3"/>
        <w:spacing w:before="120" w:after="120"/>
        <w:rPr>
          <w:iCs w:val="0"/>
        </w:rPr>
      </w:pPr>
      <w:r w:rsidRPr="00E44776">
        <w:rPr>
          <w:iCs w:val="0"/>
        </w:rPr>
        <w:t xml:space="preserve">Other outcomes </w:t>
      </w:r>
      <w:r w:rsidR="005B74FD" w:rsidRPr="00E44776">
        <w:rPr>
          <w:iCs w:val="0"/>
        </w:rPr>
        <w:t>from ELEVATE-TN and CLL-14 (various data</w:t>
      </w:r>
      <w:r w:rsidR="0050665B" w:rsidRPr="00E44776">
        <w:rPr>
          <w:iCs w:val="0"/>
        </w:rPr>
        <w:t xml:space="preserve"> </w:t>
      </w:r>
      <w:r w:rsidR="005B74FD" w:rsidRPr="00E44776">
        <w:rPr>
          <w:iCs w:val="0"/>
        </w:rPr>
        <w:t>cuts)</w:t>
      </w:r>
    </w:p>
    <w:p w14:paraId="12C5DC4D" w14:textId="00AB806B" w:rsidR="00E14656" w:rsidRPr="00E44776" w:rsidRDefault="0030382F" w:rsidP="007A7D8F">
      <w:pPr>
        <w:pStyle w:val="COMexecsumnumberedpara"/>
      </w:pPr>
      <w:r w:rsidRPr="00E44776">
        <w:t>I</w:t>
      </w:r>
      <w:r w:rsidR="00E14656" w:rsidRPr="00E44776">
        <w:t>nvestigator-assessed overall response rate</w:t>
      </w:r>
      <w:r w:rsidRPr="00E44776">
        <w:t>s</w:t>
      </w:r>
      <w:r w:rsidR="00E14656" w:rsidRPr="00E44776">
        <w:t xml:space="preserve"> for the ELEVATE-TN trial at the February 2019 data cut (median follow-up of 28.3 months) and the CLL-14 trial at a median follow-up of 28.1 months</w:t>
      </w:r>
      <w:r w:rsidRPr="00E44776">
        <w:t xml:space="preserve"> are presented in </w:t>
      </w:r>
      <w:r w:rsidR="008B15F2" w:rsidRPr="00E44776">
        <w:fldChar w:fldCharType="begin" w:fldLock="1"/>
      </w:r>
      <w:r w:rsidR="008B15F2" w:rsidRPr="00E44776">
        <w:instrText xml:space="preserve"> REF _Ref111475865 \h </w:instrText>
      </w:r>
      <w:r w:rsidR="00E44776" w:rsidRPr="00E44776">
        <w:instrText xml:space="preserve"> \* MERGEFORMAT </w:instrText>
      </w:r>
      <w:r w:rsidR="008B15F2" w:rsidRPr="00E44776">
        <w:fldChar w:fldCharType="separate"/>
      </w:r>
      <w:r w:rsidR="00CB2B8B" w:rsidRPr="00E44776">
        <w:t xml:space="preserve">Table </w:t>
      </w:r>
      <w:r w:rsidR="00CB2B8B">
        <w:rPr>
          <w:noProof/>
        </w:rPr>
        <w:t>7</w:t>
      </w:r>
      <w:r w:rsidR="008B15F2" w:rsidRPr="00E44776">
        <w:fldChar w:fldCharType="end"/>
      </w:r>
      <w:r w:rsidRPr="00E44776">
        <w:t>. Overall response rate data for the CLL-14 trial was only available at a median follow-up of 28.1 months.</w:t>
      </w:r>
    </w:p>
    <w:p w14:paraId="00C5B232" w14:textId="155BA6EA" w:rsidR="00E14656" w:rsidRPr="00E44776" w:rsidRDefault="00AD0C4B" w:rsidP="001C694E">
      <w:pPr>
        <w:pStyle w:val="TableFigureCaption"/>
        <w:rPr>
          <w:snapToGrid w:val="0"/>
        </w:rPr>
      </w:pPr>
      <w:bookmarkStart w:id="55" w:name="_Ref111475865"/>
      <w:bookmarkStart w:id="56" w:name="_Ref111295837"/>
      <w:r w:rsidRPr="00E44776">
        <w:lastRenderedPageBreak/>
        <w:t xml:space="preserve">Table </w:t>
      </w:r>
      <w:r w:rsidR="00B53F47">
        <w:fldChar w:fldCharType="begin" w:fldLock="1"/>
      </w:r>
      <w:r w:rsidR="00B53F47">
        <w:instrText xml:space="preserve"> SEQ Table \*</w:instrText>
      </w:r>
      <w:r w:rsidR="00B53F47">
        <w:instrText xml:space="preserve"> ARABIC </w:instrText>
      </w:r>
      <w:r w:rsidR="00B53F47">
        <w:fldChar w:fldCharType="separate"/>
      </w:r>
      <w:r w:rsidR="00CB2B8B">
        <w:rPr>
          <w:noProof/>
        </w:rPr>
        <w:t>7</w:t>
      </w:r>
      <w:r w:rsidR="00B53F47">
        <w:rPr>
          <w:noProof/>
        </w:rPr>
        <w:fldChar w:fldCharType="end"/>
      </w:r>
      <w:bookmarkEnd w:id="55"/>
      <w:r w:rsidR="00E14656" w:rsidRPr="00E44776">
        <w:rPr>
          <w:snapToGrid w:val="0"/>
        </w:rPr>
        <w:t>: Investigator-assessed overall response rate results for the ELEVATE-TN trial (median follow-up 28.3 months) and CLL-14 trials (median follow-up 28.1 months)</w:t>
      </w:r>
      <w:bookmarkEnd w:id="5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7: Investigator-assessed overall response rate results for the ELEVATE-TN trial (median follow-up 28.3 months) and CLL-14 trials (median follow-up 28.1 months)"/>
      </w:tblPr>
      <w:tblGrid>
        <w:gridCol w:w="2531"/>
        <w:gridCol w:w="1273"/>
        <w:gridCol w:w="1273"/>
        <w:gridCol w:w="1282"/>
        <w:gridCol w:w="1329"/>
        <w:gridCol w:w="1329"/>
      </w:tblGrid>
      <w:tr w:rsidR="00E14656" w:rsidRPr="00E44776" w14:paraId="2DAE1A7F" w14:textId="77777777" w:rsidTr="00A57E5C">
        <w:trPr>
          <w:trHeight w:val="70"/>
        </w:trPr>
        <w:tc>
          <w:tcPr>
            <w:tcW w:w="1403" w:type="pct"/>
            <w:vMerge w:val="restart"/>
            <w:shd w:val="clear" w:color="auto" w:fill="FFFFFF"/>
            <w:vAlign w:val="center"/>
          </w:tcPr>
          <w:p w14:paraId="3B51D2F3" w14:textId="77777777" w:rsidR="00E14656" w:rsidRPr="00E44776" w:rsidRDefault="00E14656" w:rsidP="00013B37">
            <w:pPr>
              <w:keepNext/>
              <w:rPr>
                <w:rFonts w:ascii="Arial Narrow" w:hAnsi="Arial Narrow"/>
                <w:b/>
                <w:sz w:val="20"/>
                <w:szCs w:val="20"/>
              </w:rPr>
            </w:pPr>
          </w:p>
        </w:tc>
        <w:tc>
          <w:tcPr>
            <w:tcW w:w="2123" w:type="pct"/>
            <w:gridSpan w:val="3"/>
            <w:shd w:val="clear" w:color="auto" w:fill="FFFFFF"/>
            <w:vAlign w:val="center"/>
          </w:tcPr>
          <w:p w14:paraId="4D168341" w14:textId="77777777" w:rsidR="00E14656" w:rsidRPr="00E44776" w:rsidRDefault="00E14656" w:rsidP="00013B37">
            <w:pPr>
              <w:keepNext/>
              <w:jc w:val="center"/>
              <w:rPr>
                <w:rFonts w:ascii="Arial Narrow" w:hAnsi="Arial Narrow"/>
                <w:b/>
                <w:sz w:val="20"/>
                <w:szCs w:val="20"/>
              </w:rPr>
            </w:pPr>
            <w:r w:rsidRPr="00E44776">
              <w:rPr>
                <w:rFonts w:ascii="Arial Narrow" w:hAnsi="Arial Narrow"/>
                <w:b/>
                <w:sz w:val="20"/>
                <w:szCs w:val="20"/>
              </w:rPr>
              <w:t>ELEVATE-TN</w:t>
            </w:r>
          </w:p>
        </w:tc>
        <w:tc>
          <w:tcPr>
            <w:tcW w:w="1474" w:type="pct"/>
            <w:gridSpan w:val="2"/>
            <w:shd w:val="clear" w:color="auto" w:fill="FFFFFF"/>
            <w:vAlign w:val="center"/>
          </w:tcPr>
          <w:p w14:paraId="73B624C9" w14:textId="4CABCCA7" w:rsidR="00E14656" w:rsidRPr="00E44776" w:rsidRDefault="00E14656" w:rsidP="00013B37">
            <w:pPr>
              <w:keepNext/>
              <w:jc w:val="center"/>
              <w:rPr>
                <w:rFonts w:ascii="Arial Narrow" w:hAnsi="Arial Narrow"/>
                <w:b/>
                <w:sz w:val="20"/>
                <w:szCs w:val="20"/>
                <w:vertAlign w:val="superscript"/>
              </w:rPr>
            </w:pPr>
            <w:r w:rsidRPr="00E44776">
              <w:rPr>
                <w:rFonts w:ascii="Arial Narrow" w:hAnsi="Arial Narrow"/>
                <w:b/>
                <w:sz w:val="20"/>
                <w:szCs w:val="20"/>
              </w:rPr>
              <w:t>CLL-14</w:t>
            </w:r>
            <w:r w:rsidR="00AD2F46" w:rsidRPr="00E44776">
              <w:rPr>
                <w:rFonts w:ascii="Arial Narrow" w:hAnsi="Arial Narrow"/>
                <w:b/>
                <w:sz w:val="20"/>
                <w:szCs w:val="20"/>
                <w:vertAlign w:val="superscript"/>
              </w:rPr>
              <w:t>a</w:t>
            </w:r>
          </w:p>
        </w:tc>
      </w:tr>
      <w:tr w:rsidR="00E14656" w:rsidRPr="00E44776" w14:paraId="334D38D2" w14:textId="77777777" w:rsidTr="00A57E5C">
        <w:trPr>
          <w:trHeight w:val="349"/>
        </w:trPr>
        <w:tc>
          <w:tcPr>
            <w:tcW w:w="1403" w:type="pct"/>
            <w:vMerge/>
            <w:shd w:val="clear" w:color="auto" w:fill="FFFFFF"/>
            <w:vAlign w:val="center"/>
          </w:tcPr>
          <w:p w14:paraId="0B3B4E23" w14:textId="77777777" w:rsidR="00E14656" w:rsidRPr="00E44776" w:rsidRDefault="00E14656" w:rsidP="00013B37">
            <w:pPr>
              <w:keepNext/>
              <w:rPr>
                <w:rFonts w:ascii="Arial Narrow" w:hAnsi="Arial Narrow"/>
                <w:b/>
                <w:sz w:val="20"/>
                <w:szCs w:val="20"/>
              </w:rPr>
            </w:pPr>
          </w:p>
        </w:tc>
        <w:tc>
          <w:tcPr>
            <w:tcW w:w="706" w:type="pct"/>
            <w:shd w:val="clear" w:color="auto" w:fill="FFFFFF"/>
          </w:tcPr>
          <w:p w14:paraId="7D313993" w14:textId="77777777" w:rsidR="00E14656" w:rsidRPr="00E44776" w:rsidRDefault="00E14656" w:rsidP="00013B37">
            <w:pPr>
              <w:keepNext/>
              <w:jc w:val="center"/>
              <w:rPr>
                <w:rFonts w:ascii="Arial Narrow" w:hAnsi="Arial Narrow"/>
                <w:b/>
                <w:sz w:val="20"/>
                <w:szCs w:val="20"/>
              </w:rPr>
            </w:pPr>
            <w:r w:rsidRPr="00E44776">
              <w:rPr>
                <w:rFonts w:ascii="Arial Narrow" w:hAnsi="Arial Narrow"/>
                <w:b/>
                <w:sz w:val="20"/>
                <w:szCs w:val="20"/>
              </w:rPr>
              <w:t>ACAL + OBI</w:t>
            </w:r>
          </w:p>
          <w:p w14:paraId="647ACAB0" w14:textId="77777777" w:rsidR="00E14656" w:rsidRPr="00E44776" w:rsidRDefault="00E14656" w:rsidP="00013B37">
            <w:pPr>
              <w:keepNext/>
              <w:jc w:val="center"/>
              <w:rPr>
                <w:rFonts w:ascii="Arial Narrow" w:hAnsi="Arial Narrow"/>
                <w:b/>
                <w:sz w:val="20"/>
                <w:szCs w:val="20"/>
              </w:rPr>
            </w:pPr>
            <w:r w:rsidRPr="00E44776">
              <w:rPr>
                <w:rFonts w:ascii="Arial Narrow" w:hAnsi="Arial Narrow"/>
                <w:b/>
                <w:sz w:val="20"/>
                <w:szCs w:val="20"/>
              </w:rPr>
              <w:t>(N=179)</w:t>
            </w:r>
          </w:p>
        </w:tc>
        <w:tc>
          <w:tcPr>
            <w:tcW w:w="706" w:type="pct"/>
            <w:shd w:val="clear" w:color="auto" w:fill="FFFFFF"/>
            <w:vAlign w:val="center"/>
          </w:tcPr>
          <w:p w14:paraId="55BEBFBE" w14:textId="77777777" w:rsidR="00E14656" w:rsidRPr="00E44776" w:rsidRDefault="00E14656" w:rsidP="00013B37">
            <w:pPr>
              <w:keepNext/>
              <w:jc w:val="center"/>
              <w:rPr>
                <w:rFonts w:ascii="Arial Narrow" w:hAnsi="Arial Narrow"/>
                <w:b/>
                <w:sz w:val="20"/>
                <w:szCs w:val="20"/>
              </w:rPr>
            </w:pPr>
            <w:r w:rsidRPr="00E44776">
              <w:rPr>
                <w:rFonts w:ascii="Arial Narrow" w:hAnsi="Arial Narrow"/>
                <w:b/>
                <w:sz w:val="20"/>
                <w:szCs w:val="20"/>
              </w:rPr>
              <w:t>ACAL</w:t>
            </w:r>
          </w:p>
          <w:p w14:paraId="11CEB4E4" w14:textId="77777777" w:rsidR="00E14656" w:rsidRPr="00E44776" w:rsidRDefault="00E14656" w:rsidP="00013B37">
            <w:pPr>
              <w:keepNext/>
              <w:jc w:val="center"/>
              <w:rPr>
                <w:rFonts w:ascii="Arial Narrow" w:hAnsi="Arial Narrow"/>
                <w:b/>
                <w:sz w:val="20"/>
                <w:szCs w:val="20"/>
              </w:rPr>
            </w:pPr>
            <w:r w:rsidRPr="00E44776">
              <w:rPr>
                <w:rFonts w:ascii="Arial Narrow" w:hAnsi="Arial Narrow"/>
                <w:b/>
                <w:sz w:val="20"/>
                <w:szCs w:val="20"/>
              </w:rPr>
              <w:t xml:space="preserve"> (N=179)</w:t>
            </w:r>
          </w:p>
        </w:tc>
        <w:tc>
          <w:tcPr>
            <w:tcW w:w="711" w:type="pct"/>
            <w:shd w:val="clear" w:color="auto" w:fill="FFFFFF"/>
            <w:vAlign w:val="center"/>
          </w:tcPr>
          <w:p w14:paraId="41FE52A3" w14:textId="77777777" w:rsidR="00E14656" w:rsidRPr="00E44776" w:rsidRDefault="00E14656" w:rsidP="00013B37">
            <w:pPr>
              <w:keepNext/>
              <w:jc w:val="center"/>
              <w:rPr>
                <w:rFonts w:ascii="Arial Narrow" w:hAnsi="Arial Narrow"/>
                <w:b/>
                <w:sz w:val="20"/>
                <w:szCs w:val="20"/>
              </w:rPr>
            </w:pPr>
            <w:r w:rsidRPr="00E44776">
              <w:rPr>
                <w:rFonts w:ascii="Arial Narrow" w:hAnsi="Arial Narrow"/>
                <w:b/>
                <w:sz w:val="20"/>
                <w:szCs w:val="20"/>
              </w:rPr>
              <w:t>CHL + OBI</w:t>
            </w:r>
          </w:p>
          <w:p w14:paraId="54B51FD0" w14:textId="77777777" w:rsidR="00E14656" w:rsidRPr="00E44776" w:rsidRDefault="00E14656" w:rsidP="00013B37">
            <w:pPr>
              <w:keepNext/>
              <w:jc w:val="center"/>
              <w:rPr>
                <w:rFonts w:ascii="Arial Narrow" w:hAnsi="Arial Narrow"/>
                <w:b/>
                <w:sz w:val="20"/>
                <w:szCs w:val="20"/>
              </w:rPr>
            </w:pPr>
            <w:r w:rsidRPr="00E44776">
              <w:rPr>
                <w:rFonts w:ascii="Arial Narrow" w:hAnsi="Arial Narrow"/>
                <w:b/>
                <w:sz w:val="20"/>
                <w:szCs w:val="20"/>
              </w:rPr>
              <w:t>(N=177)</w:t>
            </w:r>
          </w:p>
        </w:tc>
        <w:tc>
          <w:tcPr>
            <w:tcW w:w="737" w:type="pct"/>
            <w:shd w:val="clear" w:color="auto" w:fill="FFFFFF"/>
          </w:tcPr>
          <w:p w14:paraId="43925E48" w14:textId="77777777" w:rsidR="00E14656" w:rsidRPr="00E44776" w:rsidRDefault="00E14656" w:rsidP="00013B37">
            <w:pPr>
              <w:keepNext/>
              <w:jc w:val="center"/>
              <w:rPr>
                <w:rFonts w:ascii="Arial Narrow" w:hAnsi="Arial Narrow"/>
                <w:b/>
                <w:sz w:val="20"/>
                <w:szCs w:val="20"/>
              </w:rPr>
            </w:pPr>
            <w:r w:rsidRPr="00E44776">
              <w:rPr>
                <w:rFonts w:ascii="Arial Narrow" w:hAnsi="Arial Narrow"/>
                <w:b/>
                <w:sz w:val="20"/>
                <w:szCs w:val="20"/>
              </w:rPr>
              <w:t>VEN + OBI (N=216)</w:t>
            </w:r>
          </w:p>
        </w:tc>
        <w:tc>
          <w:tcPr>
            <w:tcW w:w="737" w:type="pct"/>
            <w:shd w:val="clear" w:color="auto" w:fill="FFFFFF"/>
          </w:tcPr>
          <w:p w14:paraId="6137C353" w14:textId="77777777" w:rsidR="00E14656" w:rsidRPr="00E44776" w:rsidRDefault="00E14656" w:rsidP="00013B37">
            <w:pPr>
              <w:keepNext/>
              <w:jc w:val="center"/>
              <w:rPr>
                <w:rFonts w:ascii="Arial Narrow" w:hAnsi="Arial Narrow"/>
                <w:b/>
                <w:sz w:val="20"/>
                <w:szCs w:val="20"/>
              </w:rPr>
            </w:pPr>
            <w:r w:rsidRPr="00E44776">
              <w:rPr>
                <w:rFonts w:ascii="Arial Narrow" w:hAnsi="Arial Narrow"/>
                <w:b/>
                <w:sz w:val="20"/>
                <w:szCs w:val="20"/>
              </w:rPr>
              <w:t>CHL + OBI (N=216)</w:t>
            </w:r>
          </w:p>
        </w:tc>
      </w:tr>
      <w:tr w:rsidR="00E14656" w:rsidRPr="00E44776" w14:paraId="782F7CF7" w14:textId="77777777" w:rsidTr="00A57E5C">
        <w:trPr>
          <w:trHeight w:val="49"/>
        </w:trPr>
        <w:tc>
          <w:tcPr>
            <w:tcW w:w="1403" w:type="pct"/>
            <w:shd w:val="clear" w:color="auto" w:fill="FFFFFF"/>
            <w:vAlign w:val="center"/>
          </w:tcPr>
          <w:p w14:paraId="348998D2" w14:textId="77777777" w:rsidR="00E14656" w:rsidRPr="00E44776" w:rsidRDefault="00E14656" w:rsidP="00013B37">
            <w:pPr>
              <w:keepNext/>
              <w:jc w:val="left"/>
              <w:rPr>
                <w:rFonts w:ascii="Arial Narrow" w:hAnsi="Arial Narrow"/>
                <w:sz w:val="20"/>
                <w:szCs w:val="20"/>
              </w:rPr>
            </w:pPr>
            <w:r w:rsidRPr="00E44776">
              <w:rPr>
                <w:rFonts w:ascii="Arial Narrow" w:hAnsi="Arial Narrow"/>
                <w:sz w:val="20"/>
                <w:szCs w:val="20"/>
              </w:rPr>
              <w:t>Median duration of follow-up, months (range)</w:t>
            </w:r>
          </w:p>
        </w:tc>
        <w:tc>
          <w:tcPr>
            <w:tcW w:w="706" w:type="pct"/>
            <w:shd w:val="clear" w:color="auto" w:fill="FFFFFF"/>
            <w:vAlign w:val="center"/>
          </w:tcPr>
          <w:p w14:paraId="1DB88389" w14:textId="77777777" w:rsidR="00E14656" w:rsidRPr="00E44776" w:rsidRDefault="00E14656" w:rsidP="00013B37">
            <w:pPr>
              <w:keepNext/>
              <w:jc w:val="center"/>
              <w:rPr>
                <w:rFonts w:ascii="Arial Narrow" w:hAnsi="Arial Narrow"/>
                <w:sz w:val="20"/>
              </w:rPr>
            </w:pPr>
            <w:r w:rsidRPr="00E44776">
              <w:rPr>
                <w:rFonts w:ascii="Arial Narrow" w:hAnsi="Arial Narrow"/>
                <w:sz w:val="20"/>
              </w:rPr>
              <w:t xml:space="preserve">28.5 </w:t>
            </w:r>
          </w:p>
          <w:p w14:paraId="4A9AF10A"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rPr>
              <w:t>(1.7-40.3)</w:t>
            </w:r>
          </w:p>
        </w:tc>
        <w:tc>
          <w:tcPr>
            <w:tcW w:w="706" w:type="pct"/>
            <w:shd w:val="clear" w:color="auto" w:fill="FFFFFF"/>
            <w:vAlign w:val="center"/>
          </w:tcPr>
          <w:p w14:paraId="351DF768" w14:textId="77777777" w:rsidR="00E14656" w:rsidRPr="00E44776" w:rsidRDefault="00E14656" w:rsidP="00013B37">
            <w:pPr>
              <w:keepNext/>
              <w:jc w:val="center"/>
              <w:rPr>
                <w:rFonts w:ascii="Arial Narrow" w:hAnsi="Arial Narrow"/>
                <w:sz w:val="20"/>
              </w:rPr>
            </w:pPr>
            <w:r w:rsidRPr="00E44776">
              <w:rPr>
                <w:rFonts w:ascii="Arial Narrow" w:hAnsi="Arial Narrow"/>
                <w:sz w:val="20"/>
              </w:rPr>
              <w:t xml:space="preserve">28.4 </w:t>
            </w:r>
          </w:p>
          <w:p w14:paraId="59A92466"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rPr>
              <w:t>(0.1-40.8)</w:t>
            </w:r>
          </w:p>
        </w:tc>
        <w:tc>
          <w:tcPr>
            <w:tcW w:w="711" w:type="pct"/>
            <w:shd w:val="clear" w:color="auto" w:fill="FFFFFF"/>
            <w:vAlign w:val="center"/>
          </w:tcPr>
          <w:p w14:paraId="48E6522B" w14:textId="77777777" w:rsidR="00E14656" w:rsidRPr="00E44776" w:rsidRDefault="00E14656" w:rsidP="00013B37">
            <w:pPr>
              <w:keepNext/>
              <w:jc w:val="center"/>
              <w:rPr>
                <w:rFonts w:ascii="Arial Narrow" w:hAnsi="Arial Narrow"/>
                <w:sz w:val="20"/>
              </w:rPr>
            </w:pPr>
            <w:r w:rsidRPr="00E44776">
              <w:rPr>
                <w:rFonts w:ascii="Arial Narrow" w:hAnsi="Arial Narrow"/>
                <w:sz w:val="20"/>
              </w:rPr>
              <w:t xml:space="preserve">28.0 </w:t>
            </w:r>
          </w:p>
          <w:p w14:paraId="46EB11CA"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rPr>
              <w:t>(0.0-40.4)</w:t>
            </w:r>
          </w:p>
        </w:tc>
        <w:tc>
          <w:tcPr>
            <w:tcW w:w="1474" w:type="pct"/>
            <w:gridSpan w:val="2"/>
            <w:shd w:val="clear" w:color="auto" w:fill="FFFFFF"/>
            <w:vAlign w:val="center"/>
          </w:tcPr>
          <w:p w14:paraId="431647E0"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 xml:space="preserve">28.1 </w:t>
            </w:r>
          </w:p>
          <w:p w14:paraId="48D03FE1"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(0.0-35.9)</w:t>
            </w:r>
          </w:p>
        </w:tc>
      </w:tr>
      <w:tr w:rsidR="003317DC" w:rsidRPr="00E44776" w14:paraId="72B04D54" w14:textId="77777777" w:rsidTr="00A57E5C">
        <w:trPr>
          <w:trHeight w:val="49"/>
        </w:trPr>
        <w:tc>
          <w:tcPr>
            <w:tcW w:w="1403" w:type="pct"/>
            <w:shd w:val="clear" w:color="auto" w:fill="FFFFFF"/>
            <w:vAlign w:val="center"/>
          </w:tcPr>
          <w:p w14:paraId="20C8B01E" w14:textId="2BE788F9" w:rsidR="003317DC" w:rsidRPr="00E44776" w:rsidRDefault="00165C20" w:rsidP="00013B37">
            <w:pPr>
              <w:keepNext/>
              <w:jc w:val="left"/>
              <w:rPr>
                <w:rFonts w:ascii="Arial Narrow" w:hAnsi="Arial Narrow"/>
                <w:sz w:val="20"/>
                <w:szCs w:val="20"/>
              </w:rPr>
            </w:pPr>
            <w:r w:rsidRPr="00E44776">
              <w:rPr>
                <w:rFonts w:ascii="Arial Narrow" w:hAnsi="Arial Narrow"/>
                <w:sz w:val="20"/>
                <w:szCs w:val="20"/>
              </w:rPr>
              <w:t xml:space="preserve">CR or CRi rate, n (%) </w:t>
            </w:r>
          </w:p>
        </w:tc>
        <w:tc>
          <w:tcPr>
            <w:tcW w:w="706" w:type="pct"/>
            <w:shd w:val="clear" w:color="auto" w:fill="FFFFFF"/>
            <w:vAlign w:val="center"/>
          </w:tcPr>
          <w:p w14:paraId="4E193688" w14:textId="7A656EF5" w:rsidR="003317DC" w:rsidRPr="00E44776" w:rsidRDefault="00165C20" w:rsidP="00013B37">
            <w:pPr>
              <w:keepNext/>
              <w:jc w:val="center"/>
              <w:rPr>
                <w:rFonts w:ascii="Arial Narrow" w:hAnsi="Arial Narrow"/>
                <w:sz w:val="20"/>
              </w:rPr>
            </w:pPr>
            <w:r w:rsidRPr="00E44776">
              <w:rPr>
                <w:rFonts w:ascii="Arial Narrow" w:hAnsi="Arial Narrow"/>
                <w:sz w:val="20"/>
              </w:rPr>
              <w:t>43 (24.0)</w:t>
            </w:r>
          </w:p>
        </w:tc>
        <w:tc>
          <w:tcPr>
            <w:tcW w:w="706" w:type="pct"/>
            <w:shd w:val="clear" w:color="auto" w:fill="FFFFFF"/>
            <w:vAlign w:val="center"/>
          </w:tcPr>
          <w:p w14:paraId="384DCBC2" w14:textId="205EB85F" w:rsidR="003317DC" w:rsidRPr="00E44776" w:rsidRDefault="00165C20" w:rsidP="00013B37">
            <w:pPr>
              <w:keepNext/>
              <w:jc w:val="center"/>
              <w:rPr>
                <w:rFonts w:ascii="Arial Narrow" w:hAnsi="Arial Narrow"/>
                <w:sz w:val="20"/>
              </w:rPr>
            </w:pPr>
            <w:r w:rsidRPr="00E44776">
              <w:rPr>
                <w:rFonts w:ascii="Arial Narrow" w:hAnsi="Arial Narrow"/>
                <w:sz w:val="20"/>
              </w:rPr>
              <w:t xml:space="preserve">14 (7.8) </w:t>
            </w:r>
          </w:p>
        </w:tc>
        <w:tc>
          <w:tcPr>
            <w:tcW w:w="711" w:type="pct"/>
            <w:shd w:val="clear" w:color="auto" w:fill="FFFFFF"/>
            <w:vAlign w:val="center"/>
          </w:tcPr>
          <w:p w14:paraId="1B8EAED7" w14:textId="46064A83" w:rsidR="003317DC" w:rsidRPr="00E44776" w:rsidRDefault="00165C20" w:rsidP="00013B37">
            <w:pPr>
              <w:keepNext/>
              <w:jc w:val="center"/>
              <w:rPr>
                <w:rFonts w:ascii="Arial Narrow" w:hAnsi="Arial Narrow"/>
                <w:sz w:val="20"/>
              </w:rPr>
            </w:pPr>
            <w:r w:rsidRPr="00E44776">
              <w:rPr>
                <w:rFonts w:ascii="Arial Narrow" w:hAnsi="Arial Narrow"/>
                <w:sz w:val="20"/>
              </w:rPr>
              <w:t>23 (13.0)</w:t>
            </w:r>
          </w:p>
        </w:tc>
        <w:tc>
          <w:tcPr>
            <w:tcW w:w="1474" w:type="pct"/>
            <w:gridSpan w:val="2"/>
            <w:shd w:val="clear" w:color="auto" w:fill="FFFFFF"/>
            <w:vAlign w:val="center"/>
          </w:tcPr>
          <w:p w14:paraId="4BD62E05" w14:textId="77777777" w:rsidR="003317DC" w:rsidRPr="00E44776" w:rsidRDefault="003317DC" w:rsidP="00013B37">
            <w:pPr>
              <w:keepNext/>
              <w:jc w:val="center"/>
              <w:rPr>
                <w:rFonts w:ascii="Arial Narrow" w:hAnsi="Arial Narrow"/>
                <w:sz w:val="20"/>
                <w:szCs w:val="20"/>
              </w:rPr>
            </w:pPr>
          </w:p>
        </w:tc>
      </w:tr>
      <w:tr w:rsidR="00E14656" w:rsidRPr="00E44776" w14:paraId="407696D2" w14:textId="77777777" w:rsidTr="00A57E5C">
        <w:tc>
          <w:tcPr>
            <w:tcW w:w="1403" w:type="pct"/>
            <w:vAlign w:val="center"/>
          </w:tcPr>
          <w:p w14:paraId="50DA14F4" w14:textId="77777777" w:rsidR="00E14656" w:rsidRPr="00E44776" w:rsidRDefault="00E14656" w:rsidP="00013B37">
            <w:pPr>
              <w:keepNext/>
              <w:jc w:val="left"/>
              <w:rPr>
                <w:rFonts w:ascii="Arial Narrow" w:hAnsi="Arial Narrow"/>
                <w:sz w:val="20"/>
                <w:szCs w:val="20"/>
              </w:rPr>
            </w:pPr>
            <w:r w:rsidRPr="00E44776">
              <w:rPr>
                <w:rFonts w:ascii="Arial Narrow" w:hAnsi="Arial Narrow"/>
                <w:sz w:val="20"/>
                <w:szCs w:val="20"/>
                <w:lang w:val="en-GB"/>
              </w:rPr>
              <w:t xml:space="preserve">Overall response rate, n (%) </w:t>
            </w:r>
          </w:p>
        </w:tc>
        <w:tc>
          <w:tcPr>
            <w:tcW w:w="706" w:type="pct"/>
            <w:shd w:val="clear" w:color="auto" w:fill="FFFFFF"/>
            <w:vAlign w:val="center"/>
          </w:tcPr>
          <w:p w14:paraId="5962ACFB"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172 (96.1)</w:t>
            </w:r>
          </w:p>
        </w:tc>
        <w:tc>
          <w:tcPr>
            <w:tcW w:w="706" w:type="pct"/>
            <w:shd w:val="clear" w:color="auto" w:fill="FFFFFF"/>
          </w:tcPr>
          <w:p w14:paraId="3992F8F1"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160 (89.4)</w:t>
            </w:r>
          </w:p>
        </w:tc>
        <w:tc>
          <w:tcPr>
            <w:tcW w:w="711" w:type="pct"/>
            <w:shd w:val="clear" w:color="auto" w:fill="FFFFFF"/>
            <w:vAlign w:val="center"/>
          </w:tcPr>
          <w:p w14:paraId="566514A2"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146 (82.5)</w:t>
            </w:r>
          </w:p>
        </w:tc>
        <w:tc>
          <w:tcPr>
            <w:tcW w:w="737" w:type="pct"/>
            <w:shd w:val="clear" w:color="auto" w:fill="FFFFFF"/>
            <w:vAlign w:val="center"/>
          </w:tcPr>
          <w:p w14:paraId="7ED577F2"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183 (84.7)</w:t>
            </w:r>
          </w:p>
        </w:tc>
        <w:tc>
          <w:tcPr>
            <w:tcW w:w="737" w:type="pct"/>
            <w:shd w:val="clear" w:color="auto" w:fill="FFFFFF"/>
            <w:vAlign w:val="center"/>
          </w:tcPr>
          <w:p w14:paraId="5E676ABC"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154 (71.3)</w:t>
            </w:r>
          </w:p>
        </w:tc>
      </w:tr>
      <w:tr w:rsidR="00E14656" w:rsidRPr="00E44776" w14:paraId="30DECF9A" w14:textId="77777777" w:rsidTr="00A57E5C">
        <w:tc>
          <w:tcPr>
            <w:tcW w:w="1403" w:type="pct"/>
          </w:tcPr>
          <w:p w14:paraId="2084DF0B" w14:textId="77777777" w:rsidR="00E14656" w:rsidRPr="00E44776" w:rsidRDefault="00E14656" w:rsidP="00013B37">
            <w:pPr>
              <w:keepNext/>
              <w:jc w:val="left"/>
              <w:rPr>
                <w:rFonts w:ascii="Arial Narrow" w:hAnsi="Arial Narrow"/>
                <w:sz w:val="20"/>
                <w:szCs w:val="20"/>
                <w:lang w:val="en-GB"/>
              </w:rPr>
            </w:pPr>
            <w:r w:rsidRPr="00E44776">
              <w:rPr>
                <w:rFonts w:ascii="Arial Narrow" w:hAnsi="Arial Narrow"/>
                <w:sz w:val="20"/>
                <w:szCs w:val="20"/>
                <w:lang w:val="en-GB"/>
              </w:rPr>
              <w:t>Difference vs comparator arm (95% CI)</w:t>
            </w:r>
          </w:p>
        </w:tc>
        <w:tc>
          <w:tcPr>
            <w:tcW w:w="706" w:type="pct"/>
            <w:shd w:val="clear" w:color="auto" w:fill="FFFFFF"/>
          </w:tcPr>
          <w:p w14:paraId="246D59ED" w14:textId="77777777" w:rsidR="00E14656" w:rsidRPr="00E44776" w:rsidRDefault="00E14656" w:rsidP="00013B37">
            <w:pPr>
              <w:keepNext/>
              <w:jc w:val="center"/>
              <w:rPr>
                <w:rFonts w:ascii="Arial Narrow" w:hAnsi="Arial Narrow"/>
                <w:b/>
                <w:bCs/>
                <w:sz w:val="20"/>
                <w:szCs w:val="20"/>
              </w:rPr>
            </w:pPr>
            <w:r w:rsidRPr="00E44776">
              <w:rPr>
                <w:rFonts w:ascii="Arial Narrow" w:hAnsi="Arial Narrow"/>
                <w:b/>
                <w:bCs/>
                <w:sz w:val="20"/>
                <w:szCs w:val="20"/>
              </w:rPr>
              <w:t>13.6</w:t>
            </w:r>
          </w:p>
          <w:p w14:paraId="121FA407" w14:textId="77777777" w:rsidR="00E14656" w:rsidRPr="00E44776" w:rsidRDefault="00E14656" w:rsidP="00013B37">
            <w:pPr>
              <w:keepNext/>
              <w:jc w:val="center"/>
              <w:rPr>
                <w:rFonts w:ascii="Arial Narrow" w:hAnsi="Arial Narrow"/>
                <w:sz w:val="20"/>
                <w:szCs w:val="20"/>
              </w:rPr>
            </w:pPr>
            <w:r w:rsidRPr="00E44776">
              <w:rPr>
                <w:rFonts w:ascii="Arial Narrow" w:hAnsi="Arial Narrow"/>
                <w:b/>
                <w:bCs/>
                <w:sz w:val="20"/>
                <w:szCs w:val="20"/>
              </w:rPr>
              <w:t>(7.3, 19.9)</w:t>
            </w:r>
          </w:p>
        </w:tc>
        <w:tc>
          <w:tcPr>
            <w:tcW w:w="706" w:type="pct"/>
            <w:shd w:val="clear" w:color="auto" w:fill="FFFFFF"/>
          </w:tcPr>
          <w:p w14:paraId="62E46C98"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 xml:space="preserve">6.9 </w:t>
            </w:r>
          </w:p>
          <w:p w14:paraId="7026EB11"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(-0.3, 14.1)</w:t>
            </w:r>
          </w:p>
        </w:tc>
        <w:tc>
          <w:tcPr>
            <w:tcW w:w="711" w:type="pct"/>
            <w:shd w:val="clear" w:color="auto" w:fill="FFFFFF"/>
            <w:vAlign w:val="center"/>
          </w:tcPr>
          <w:p w14:paraId="2014E1F0"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w:t>
            </w:r>
          </w:p>
        </w:tc>
        <w:tc>
          <w:tcPr>
            <w:tcW w:w="737" w:type="pct"/>
            <w:shd w:val="clear" w:color="auto" w:fill="FFFFFF"/>
            <w:vAlign w:val="center"/>
          </w:tcPr>
          <w:p w14:paraId="5C2C8A47" w14:textId="77777777" w:rsidR="00E14656" w:rsidRPr="00E44776" w:rsidRDefault="00E14656" w:rsidP="00013B37">
            <w:pPr>
              <w:keepNext/>
              <w:jc w:val="center"/>
              <w:rPr>
                <w:rFonts w:ascii="Arial Narrow" w:hAnsi="Arial Narrow"/>
                <w:b/>
                <w:bCs/>
                <w:sz w:val="20"/>
                <w:szCs w:val="20"/>
              </w:rPr>
            </w:pPr>
            <w:r w:rsidRPr="00E44776">
              <w:rPr>
                <w:rFonts w:ascii="Arial Narrow" w:hAnsi="Arial Narrow"/>
                <w:b/>
                <w:bCs/>
                <w:sz w:val="20"/>
                <w:szCs w:val="20"/>
              </w:rPr>
              <w:t xml:space="preserve">13.4 </w:t>
            </w:r>
          </w:p>
          <w:p w14:paraId="33C1BAAF" w14:textId="77777777" w:rsidR="00E14656" w:rsidRPr="00E44776" w:rsidRDefault="00E14656" w:rsidP="00013B37">
            <w:pPr>
              <w:keepNext/>
              <w:jc w:val="center"/>
              <w:rPr>
                <w:rFonts w:ascii="Arial Narrow" w:hAnsi="Arial Narrow"/>
                <w:sz w:val="20"/>
                <w:szCs w:val="20"/>
              </w:rPr>
            </w:pPr>
            <w:r w:rsidRPr="00E44776">
              <w:rPr>
                <w:rFonts w:ascii="Arial Narrow" w:hAnsi="Arial Narrow"/>
                <w:b/>
                <w:bCs/>
                <w:sz w:val="20"/>
                <w:szCs w:val="20"/>
              </w:rPr>
              <w:t>(5.5, 21.4)</w:t>
            </w:r>
          </w:p>
        </w:tc>
        <w:tc>
          <w:tcPr>
            <w:tcW w:w="737" w:type="pct"/>
            <w:shd w:val="clear" w:color="auto" w:fill="FFFFFF"/>
            <w:vAlign w:val="center"/>
          </w:tcPr>
          <w:p w14:paraId="2A238CD7" w14:textId="77777777" w:rsidR="00E14656" w:rsidRPr="00E44776" w:rsidRDefault="00E14656" w:rsidP="00013B37">
            <w:pPr>
              <w:keepNext/>
              <w:jc w:val="center"/>
              <w:rPr>
                <w:rFonts w:ascii="Arial Narrow" w:hAnsi="Arial Narrow"/>
                <w:sz w:val="20"/>
                <w:szCs w:val="20"/>
              </w:rPr>
            </w:pPr>
            <w:r w:rsidRPr="00E44776">
              <w:rPr>
                <w:rFonts w:ascii="Arial Narrow" w:hAnsi="Arial Narrow"/>
                <w:sz w:val="20"/>
                <w:szCs w:val="20"/>
              </w:rPr>
              <w:t>-</w:t>
            </w:r>
          </w:p>
        </w:tc>
      </w:tr>
    </w:tbl>
    <w:p w14:paraId="6ECF02F6" w14:textId="0F1E68A3" w:rsidR="00E14656" w:rsidRPr="00E44776" w:rsidRDefault="00E14656" w:rsidP="00E14656">
      <w:pPr>
        <w:pStyle w:val="COMTablefooter"/>
      </w:pPr>
      <w:r w:rsidRPr="00E44776">
        <w:t>Source: Table 2.34, Table 2.35, Table 2.36 of the resubmission.</w:t>
      </w:r>
    </w:p>
    <w:p w14:paraId="16B1842A" w14:textId="2EA7A751" w:rsidR="00E14656" w:rsidRPr="00E44776" w:rsidRDefault="00E14656" w:rsidP="00E14656">
      <w:pPr>
        <w:pStyle w:val="COMTablefooter"/>
      </w:pPr>
      <w:r w:rsidRPr="00E44776">
        <w:t xml:space="preserve">ACAL = acalabrutinib, CHL = chlorambucil, CI = confidence interval, </w:t>
      </w:r>
      <w:r w:rsidR="00165C20" w:rsidRPr="00E44776">
        <w:t xml:space="preserve">CR = complete response; CRi = CR with incomplete blood count recovery; </w:t>
      </w:r>
      <w:r w:rsidRPr="00E44776">
        <w:t>NR = not reported, OBI = obinutuzumab</w:t>
      </w:r>
    </w:p>
    <w:p w14:paraId="1315C89C" w14:textId="1B4500DF" w:rsidR="00AD2F46" w:rsidRPr="00E44776" w:rsidRDefault="00AD2F46" w:rsidP="00E14656">
      <w:pPr>
        <w:pStyle w:val="COMTablefooter"/>
      </w:pPr>
      <w:r w:rsidRPr="00E44776">
        <w:rPr>
          <w:vertAlign w:val="superscript"/>
        </w:rPr>
        <w:t>a</w:t>
      </w:r>
      <w:r w:rsidRPr="00E44776">
        <w:t xml:space="preserve"> Overall response assessed 3 months after treatment completion.</w:t>
      </w:r>
    </w:p>
    <w:p w14:paraId="64725DB4" w14:textId="77777777" w:rsidR="00165C20" w:rsidRPr="00E44776" w:rsidRDefault="00E14656" w:rsidP="00165C20">
      <w:pPr>
        <w:pStyle w:val="COMexecsumnumberedpara"/>
      </w:pPr>
      <w:r w:rsidRPr="00E44776">
        <w:t xml:space="preserve">At a median follow-up </w:t>
      </w:r>
      <w:r w:rsidR="006A46E8" w:rsidRPr="00E44776">
        <w:t xml:space="preserve">of </w:t>
      </w:r>
      <w:r w:rsidRPr="00E44776">
        <w:t>28.3 months in the ELEVATE-TN trial, a higher proportion of patients in the acalabrutinib + obinutuzumab arm achieved an overall response (96.1%) compared to the acalabrutinib (89.4%) and chlorambucil + obinutuzumab arms (82.5%). At a median follow-up of 28.1 months in the CLL-14 trial, a higher proportion of patients in the venetoclax + obinutuzumab arm achieved an overall response (84.7%) compared to the chlorambucil + obinutuzumab arm (71.3%).</w:t>
      </w:r>
      <w:r w:rsidR="00165C20" w:rsidRPr="00E44776">
        <w:t xml:space="preserve"> </w:t>
      </w:r>
    </w:p>
    <w:p w14:paraId="5A329D48" w14:textId="54D37776" w:rsidR="00AD0C4B" w:rsidRPr="00E44776" w:rsidRDefault="00165C20" w:rsidP="00584B70">
      <w:pPr>
        <w:pStyle w:val="COMexecsumnumberedpara"/>
      </w:pPr>
      <w:r w:rsidRPr="00E44776">
        <w:t>Acalabrutinib + obinutuzumab was associated with higher rates of complete response (CR) and CR without incomplete bone marrow recovery (CRi) than acalabrutinib monotherapy (</w:t>
      </w:r>
      <w:r w:rsidR="005B67E9" w:rsidRPr="00E44776">
        <w:t>24</w:t>
      </w:r>
      <w:r w:rsidRPr="00E44776">
        <w:t xml:space="preserve">% versus </w:t>
      </w:r>
      <w:r w:rsidR="005B67E9" w:rsidRPr="00E44776">
        <w:t>7.8</w:t>
      </w:r>
      <w:r w:rsidRPr="00E44776">
        <w:t xml:space="preserve">%, respectively) at a median follow-up of 28.3 months. In those patients with CR or CRi, acalabrutinib </w:t>
      </w:r>
      <w:r w:rsidR="00220CD5" w:rsidRPr="00E44776">
        <w:t xml:space="preserve">+ obinutuzumab was associated with a higher proportion of patients </w:t>
      </w:r>
      <w:r w:rsidR="005B67E9" w:rsidRPr="00E44776">
        <w:t>being</w:t>
      </w:r>
      <w:r w:rsidR="00220CD5" w:rsidRPr="00E44776">
        <w:t xml:space="preserve"> minimal residual disease (MRD)</w:t>
      </w:r>
      <w:r w:rsidR="005B67E9" w:rsidRPr="00E44776">
        <w:t xml:space="preserve"> </w:t>
      </w:r>
      <w:r w:rsidR="00220CD5" w:rsidRPr="00E44776">
        <w:t>negative than acalabrutinib monotherapy (56% versus 7%, respectively).</w:t>
      </w:r>
      <w:r w:rsidR="00220CD5" w:rsidRPr="00E44776">
        <w:rPr>
          <w:rStyle w:val="FootnoteReference"/>
        </w:rPr>
        <w:footnoteReference w:id="1"/>
      </w:r>
      <w:r w:rsidR="00220CD5" w:rsidRPr="00E44776">
        <w:t xml:space="preserve"> </w:t>
      </w:r>
    </w:p>
    <w:p w14:paraId="60574CD0" w14:textId="65913D5A" w:rsidR="00B370C6" w:rsidRPr="00E44776" w:rsidRDefault="00B370C6" w:rsidP="00B370C6">
      <w:pPr>
        <w:pStyle w:val="COMexecsumnumberedpara"/>
      </w:pPr>
      <w:r w:rsidRPr="00E44776">
        <w:t xml:space="preserve">Based on investigator-assessed outcomes at a median follow-up of 52.8 months in the ELEVATE-TN trial, the overall response rate was higher in the acalabrutinib + obinutuzumab (96.1%) and acalabrutinib monotherapy arms (89.9%), compared to the chlorambucil + obinutuzumab arm (83.1%). The difference was statistically significant for the comparison of acalabrutinib + obinutuzumab versus chlorambucil + obinutuzumab (p&lt;0.001) and marginally statistically significant for acalabrutinib monotherapy versus chlorambucil + obinutuzumab (p=0.0499). </w:t>
      </w:r>
    </w:p>
    <w:p w14:paraId="0D641AA3" w14:textId="71692198" w:rsidR="007E2974" w:rsidRPr="00E44776" w:rsidRDefault="001530B7" w:rsidP="00A40647">
      <w:pPr>
        <w:pStyle w:val="COMexecsumnumberedpara"/>
      </w:pPr>
      <w:r w:rsidRPr="00E44776">
        <w:t>T</w:t>
      </w:r>
      <w:r w:rsidR="007E2974" w:rsidRPr="00E44776">
        <w:t>ime to next anti-</w:t>
      </w:r>
      <w:r w:rsidR="00A40647" w:rsidRPr="00E44776">
        <w:t>leukaemic</w:t>
      </w:r>
      <w:r w:rsidR="007E2974" w:rsidRPr="00E44776">
        <w:t xml:space="preserve"> treatment for the ELEVATE-TN trial at the </w:t>
      </w:r>
      <w:r w:rsidR="00FC2D6F" w:rsidRPr="00E44776">
        <w:t>September 2020 data cut (median follow-up 46.9 months)</w:t>
      </w:r>
      <w:r w:rsidRPr="00E44776">
        <w:t xml:space="preserve"> and the CLL-14 trial based on a median follow-up of 65.4 months are presented in</w:t>
      </w:r>
      <w:r w:rsidR="008B15F2" w:rsidRPr="00E44776">
        <w:t xml:space="preserve"> </w:t>
      </w:r>
      <w:r w:rsidR="008B15F2" w:rsidRPr="00E44776">
        <w:fldChar w:fldCharType="begin" w:fldLock="1"/>
      </w:r>
      <w:r w:rsidR="008B15F2" w:rsidRPr="00E44776">
        <w:instrText xml:space="preserve"> REF _Ref111475882 \h </w:instrText>
      </w:r>
      <w:r w:rsidR="00E44776" w:rsidRPr="00E44776">
        <w:instrText xml:space="preserve"> \* </w:instrText>
      </w:r>
      <w:r w:rsidR="00E44776" w:rsidRPr="00E44776">
        <w:lastRenderedPageBreak/>
        <w:instrText xml:space="preserve">MERGEFORMAT </w:instrText>
      </w:r>
      <w:r w:rsidR="008B15F2" w:rsidRPr="00E44776">
        <w:fldChar w:fldCharType="separate"/>
      </w:r>
      <w:r w:rsidR="00CB2B8B" w:rsidRPr="00E44776">
        <w:t xml:space="preserve">Table </w:t>
      </w:r>
      <w:r w:rsidR="00CB2B8B">
        <w:rPr>
          <w:noProof/>
        </w:rPr>
        <w:t>8</w:t>
      </w:r>
      <w:r w:rsidR="008B15F2" w:rsidRPr="00E44776">
        <w:fldChar w:fldCharType="end"/>
      </w:r>
      <w:r w:rsidRPr="00E44776">
        <w:t xml:space="preserve">. </w:t>
      </w:r>
      <w:r w:rsidR="007E2974" w:rsidRPr="00E44776">
        <w:t xml:space="preserve">Time to next treatment results for the October 2021 data cut </w:t>
      </w:r>
      <w:r w:rsidRPr="00E44776">
        <w:t xml:space="preserve">of the ELEVATE-TN trial </w:t>
      </w:r>
      <w:r w:rsidR="007E2974" w:rsidRPr="00E44776">
        <w:t xml:space="preserve">were not </w:t>
      </w:r>
      <w:r w:rsidRPr="00E44776">
        <w:t>provided in the resubmission.</w:t>
      </w:r>
      <w:r w:rsidR="007E2974" w:rsidRPr="00E44776">
        <w:t xml:space="preserve"> </w:t>
      </w:r>
    </w:p>
    <w:p w14:paraId="4DBDC47C" w14:textId="261F9FCA" w:rsidR="007E2974" w:rsidRPr="00E44776" w:rsidRDefault="00967F9D" w:rsidP="00967F9D">
      <w:pPr>
        <w:pStyle w:val="TableFigureCaption"/>
        <w:rPr>
          <w:snapToGrid w:val="0"/>
        </w:rPr>
      </w:pPr>
      <w:bookmarkStart w:id="57" w:name="_Ref111475882"/>
      <w:bookmarkStart w:id="58" w:name="_Ref111295876"/>
      <w:r w:rsidRPr="00E44776">
        <w:t xml:space="preserve">Table </w:t>
      </w:r>
      <w:r w:rsidR="00B53F47">
        <w:fldChar w:fldCharType="begin" w:fldLock="1"/>
      </w:r>
      <w:r w:rsidR="00B53F47">
        <w:instrText xml:space="preserve"> </w:instrText>
      </w:r>
      <w:r w:rsidR="00B53F47">
        <w:instrText xml:space="preserve">SEQ Table \* ARABIC </w:instrText>
      </w:r>
      <w:r w:rsidR="00B53F47">
        <w:fldChar w:fldCharType="separate"/>
      </w:r>
      <w:r w:rsidR="00CB2B8B">
        <w:rPr>
          <w:noProof/>
        </w:rPr>
        <w:t>8</w:t>
      </w:r>
      <w:r w:rsidR="00B53F47">
        <w:rPr>
          <w:noProof/>
        </w:rPr>
        <w:fldChar w:fldCharType="end"/>
      </w:r>
      <w:bookmarkEnd w:id="57"/>
      <w:r w:rsidR="007E2974" w:rsidRPr="00E44776">
        <w:rPr>
          <w:snapToGrid w:val="0"/>
        </w:rPr>
        <w:t xml:space="preserve">: Time to next treatment results for the ELEVATE-TN trial </w:t>
      </w:r>
      <w:r w:rsidR="004B2055" w:rsidRPr="00E44776">
        <w:rPr>
          <w:snapToGrid w:val="0"/>
        </w:rPr>
        <w:t>(m</w:t>
      </w:r>
      <w:r w:rsidR="007E2974" w:rsidRPr="00E44776">
        <w:rPr>
          <w:snapToGrid w:val="0"/>
        </w:rPr>
        <w:t>edian follow-up of</w:t>
      </w:r>
      <w:r w:rsidR="004B2055" w:rsidRPr="00E44776">
        <w:rPr>
          <w:snapToGrid w:val="0"/>
        </w:rPr>
        <w:t xml:space="preserve"> </w:t>
      </w:r>
      <w:r w:rsidR="007E2974" w:rsidRPr="00E44776">
        <w:rPr>
          <w:snapToGrid w:val="0"/>
        </w:rPr>
        <w:t>46.9 months)</w:t>
      </w:r>
      <w:r w:rsidR="004B2055" w:rsidRPr="00E44776">
        <w:rPr>
          <w:snapToGrid w:val="0"/>
        </w:rPr>
        <w:t xml:space="preserve"> and the CLL-14 trial (median follow-up 65.4 months)</w:t>
      </w:r>
      <w:bookmarkEnd w:id="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8: Time to next treatment results for the ELEVATE-TN trial (median follow-up of 46.9 months) and the CLL-14 trial (median follow-up 65.4 months)"/>
      </w:tblPr>
      <w:tblGrid>
        <w:gridCol w:w="2405"/>
        <w:gridCol w:w="1324"/>
        <w:gridCol w:w="1324"/>
        <w:gridCol w:w="1324"/>
        <w:gridCol w:w="1322"/>
        <w:gridCol w:w="1318"/>
      </w:tblGrid>
      <w:tr w:rsidR="007E2974" w:rsidRPr="00E44776" w14:paraId="0D05558B" w14:textId="77777777" w:rsidTr="00A57E5C">
        <w:trPr>
          <w:trHeight w:val="70"/>
          <w:tblHeader/>
        </w:trPr>
        <w:tc>
          <w:tcPr>
            <w:tcW w:w="1334" w:type="pct"/>
            <w:shd w:val="clear" w:color="auto" w:fill="FFFFFF"/>
            <w:vAlign w:val="center"/>
          </w:tcPr>
          <w:p w14:paraId="0427B5EC" w14:textId="77777777" w:rsidR="007E2974" w:rsidRPr="00E44776" w:rsidRDefault="007E2974" w:rsidP="00013B37">
            <w:pPr>
              <w:keepNext/>
              <w:rPr>
                <w:rFonts w:ascii="Arial Narrow" w:hAnsi="Arial Narrow"/>
                <w:b/>
                <w:sz w:val="20"/>
                <w:szCs w:val="18"/>
              </w:rPr>
            </w:pPr>
          </w:p>
        </w:tc>
        <w:tc>
          <w:tcPr>
            <w:tcW w:w="2200" w:type="pct"/>
            <w:gridSpan w:val="3"/>
            <w:shd w:val="clear" w:color="auto" w:fill="FFFFFF"/>
          </w:tcPr>
          <w:p w14:paraId="027ACF4B"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ELEVATE-TN</w:t>
            </w:r>
          </w:p>
        </w:tc>
        <w:tc>
          <w:tcPr>
            <w:tcW w:w="1466" w:type="pct"/>
            <w:gridSpan w:val="2"/>
            <w:shd w:val="clear" w:color="auto" w:fill="FFFFFF"/>
          </w:tcPr>
          <w:p w14:paraId="3C6F1855"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CLL-14</w:t>
            </w:r>
          </w:p>
        </w:tc>
      </w:tr>
      <w:tr w:rsidR="007E2974" w:rsidRPr="00E44776" w14:paraId="60FA81D8" w14:textId="77777777" w:rsidTr="00A57E5C">
        <w:trPr>
          <w:trHeight w:val="349"/>
          <w:tblHeader/>
        </w:trPr>
        <w:tc>
          <w:tcPr>
            <w:tcW w:w="1333" w:type="pct"/>
            <w:shd w:val="clear" w:color="auto" w:fill="FFFFFF"/>
            <w:vAlign w:val="center"/>
          </w:tcPr>
          <w:p w14:paraId="20AF65C1" w14:textId="77777777" w:rsidR="007E2974" w:rsidRPr="00E44776" w:rsidRDefault="007E2974" w:rsidP="00013B37">
            <w:pPr>
              <w:keepNext/>
              <w:rPr>
                <w:rFonts w:ascii="Arial Narrow" w:hAnsi="Arial Narrow"/>
                <w:b/>
                <w:sz w:val="20"/>
                <w:szCs w:val="18"/>
              </w:rPr>
            </w:pPr>
            <w:r w:rsidRPr="00E44776">
              <w:rPr>
                <w:rFonts w:ascii="Arial Narrow" w:hAnsi="Arial Narrow"/>
                <w:b/>
                <w:sz w:val="20"/>
                <w:szCs w:val="18"/>
              </w:rPr>
              <w:t>Cohort</w:t>
            </w:r>
          </w:p>
        </w:tc>
        <w:tc>
          <w:tcPr>
            <w:tcW w:w="734" w:type="pct"/>
            <w:shd w:val="clear" w:color="auto" w:fill="FFFFFF"/>
          </w:tcPr>
          <w:p w14:paraId="03DF4FB2"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ACAL + OBI</w:t>
            </w:r>
          </w:p>
          <w:p w14:paraId="29010415"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(N=179)</w:t>
            </w:r>
          </w:p>
        </w:tc>
        <w:tc>
          <w:tcPr>
            <w:tcW w:w="734" w:type="pct"/>
            <w:shd w:val="clear" w:color="auto" w:fill="FFFFFF"/>
            <w:vAlign w:val="center"/>
          </w:tcPr>
          <w:p w14:paraId="270657BF"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 xml:space="preserve">ACAL </w:t>
            </w:r>
          </w:p>
          <w:p w14:paraId="3961041E"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(N=179)</w:t>
            </w:r>
          </w:p>
        </w:tc>
        <w:tc>
          <w:tcPr>
            <w:tcW w:w="734" w:type="pct"/>
            <w:shd w:val="clear" w:color="auto" w:fill="FFFFFF"/>
            <w:vAlign w:val="center"/>
          </w:tcPr>
          <w:p w14:paraId="59E7C28C"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CHL + OBI</w:t>
            </w:r>
          </w:p>
          <w:p w14:paraId="2B1F51EC"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(N=177)</w:t>
            </w:r>
          </w:p>
        </w:tc>
        <w:tc>
          <w:tcPr>
            <w:tcW w:w="733" w:type="pct"/>
            <w:shd w:val="clear" w:color="auto" w:fill="FFFFFF"/>
          </w:tcPr>
          <w:p w14:paraId="6B969523"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VEN + OBI</w:t>
            </w:r>
          </w:p>
          <w:p w14:paraId="0AE447B8"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(N=216)</w:t>
            </w:r>
          </w:p>
        </w:tc>
        <w:tc>
          <w:tcPr>
            <w:tcW w:w="732" w:type="pct"/>
            <w:shd w:val="clear" w:color="auto" w:fill="FFFFFF"/>
          </w:tcPr>
          <w:p w14:paraId="72A015D0"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CHL + OBI</w:t>
            </w:r>
          </w:p>
          <w:p w14:paraId="0271C0B5" w14:textId="77777777" w:rsidR="007E2974" w:rsidRPr="00E44776" w:rsidRDefault="007E2974" w:rsidP="00013B37">
            <w:pPr>
              <w:keepNext/>
              <w:jc w:val="center"/>
              <w:rPr>
                <w:rFonts w:ascii="Arial Narrow" w:hAnsi="Arial Narrow"/>
                <w:b/>
                <w:sz w:val="20"/>
                <w:szCs w:val="18"/>
              </w:rPr>
            </w:pPr>
            <w:r w:rsidRPr="00E44776">
              <w:rPr>
                <w:rFonts w:ascii="Arial Narrow" w:hAnsi="Arial Narrow"/>
                <w:b/>
                <w:sz w:val="20"/>
                <w:szCs w:val="18"/>
              </w:rPr>
              <w:t>(N=216)</w:t>
            </w:r>
          </w:p>
        </w:tc>
      </w:tr>
      <w:tr w:rsidR="007E2974" w:rsidRPr="00E44776" w14:paraId="67B10DB1" w14:textId="77777777" w:rsidTr="00A57E5C">
        <w:trPr>
          <w:trHeight w:val="49"/>
        </w:trPr>
        <w:tc>
          <w:tcPr>
            <w:tcW w:w="1333" w:type="pct"/>
            <w:shd w:val="clear" w:color="auto" w:fill="FFFFFF"/>
            <w:vAlign w:val="center"/>
          </w:tcPr>
          <w:p w14:paraId="05542E1E" w14:textId="77777777" w:rsidR="007E2974" w:rsidRPr="00E44776" w:rsidRDefault="007E2974" w:rsidP="00013B37">
            <w:pPr>
              <w:keepNext/>
              <w:jc w:val="left"/>
              <w:rPr>
                <w:rFonts w:ascii="Arial Narrow" w:hAnsi="Arial Narrow"/>
                <w:sz w:val="20"/>
              </w:rPr>
            </w:pPr>
            <w:r w:rsidRPr="00E44776">
              <w:rPr>
                <w:rFonts w:ascii="Arial Narrow" w:hAnsi="Arial Narrow"/>
                <w:sz w:val="20"/>
              </w:rPr>
              <w:t>Median duration of follow-up, months (range)</w:t>
            </w:r>
          </w:p>
        </w:tc>
        <w:tc>
          <w:tcPr>
            <w:tcW w:w="2201" w:type="pct"/>
            <w:gridSpan w:val="3"/>
            <w:shd w:val="clear" w:color="auto" w:fill="FFFFFF"/>
            <w:vAlign w:val="center"/>
          </w:tcPr>
          <w:p w14:paraId="0979D592" w14:textId="77777777" w:rsidR="007E2974" w:rsidRPr="00E44776" w:rsidRDefault="007E2974" w:rsidP="00013B37">
            <w:pPr>
              <w:keepNext/>
              <w:jc w:val="center"/>
              <w:rPr>
                <w:rFonts w:ascii="Arial Narrow" w:hAnsi="Arial Narrow"/>
                <w:sz w:val="20"/>
              </w:rPr>
            </w:pPr>
            <w:r w:rsidRPr="00E44776">
              <w:rPr>
                <w:rFonts w:ascii="Arial Narrow" w:hAnsi="Arial Narrow"/>
                <w:sz w:val="20"/>
              </w:rPr>
              <w:t>46.9 (NR)</w:t>
            </w:r>
          </w:p>
        </w:tc>
        <w:tc>
          <w:tcPr>
            <w:tcW w:w="1465" w:type="pct"/>
            <w:gridSpan w:val="2"/>
            <w:shd w:val="clear" w:color="auto" w:fill="FFFFFF"/>
            <w:vAlign w:val="center"/>
          </w:tcPr>
          <w:p w14:paraId="2202FD03" w14:textId="77777777" w:rsidR="007E2974" w:rsidRPr="00E44776" w:rsidRDefault="007E2974" w:rsidP="00013B37">
            <w:pPr>
              <w:keepNext/>
              <w:jc w:val="center"/>
              <w:rPr>
                <w:rFonts w:ascii="Arial Narrow" w:hAnsi="Arial Narrow"/>
                <w:sz w:val="20"/>
              </w:rPr>
            </w:pPr>
            <w:r w:rsidRPr="00E44776">
              <w:rPr>
                <w:rFonts w:ascii="Arial Narrow" w:hAnsi="Arial Narrow"/>
                <w:sz w:val="20"/>
              </w:rPr>
              <w:t>65.4 (NR)</w:t>
            </w:r>
          </w:p>
        </w:tc>
      </w:tr>
      <w:tr w:rsidR="007E2974" w:rsidRPr="00E44776" w14:paraId="08C92402" w14:textId="77777777" w:rsidTr="00A57E5C">
        <w:trPr>
          <w:trHeight w:val="70"/>
        </w:trPr>
        <w:tc>
          <w:tcPr>
            <w:tcW w:w="1333" w:type="pct"/>
            <w:vAlign w:val="center"/>
          </w:tcPr>
          <w:p w14:paraId="0E672296" w14:textId="77777777" w:rsidR="007E2974" w:rsidRPr="00E44776" w:rsidRDefault="007E2974" w:rsidP="00013B37">
            <w:pPr>
              <w:keepNext/>
              <w:jc w:val="left"/>
              <w:rPr>
                <w:rFonts w:ascii="Arial Narrow" w:hAnsi="Arial Narrow"/>
                <w:sz w:val="20"/>
              </w:rPr>
            </w:pPr>
            <w:r w:rsidRPr="00E44776">
              <w:rPr>
                <w:rFonts w:ascii="Arial Narrow" w:hAnsi="Arial Narrow"/>
                <w:sz w:val="20"/>
              </w:rPr>
              <w:t>Total events, n (%)</w:t>
            </w:r>
          </w:p>
        </w:tc>
        <w:tc>
          <w:tcPr>
            <w:tcW w:w="734" w:type="pct"/>
            <w:shd w:val="clear" w:color="auto" w:fill="FFFFFF"/>
          </w:tcPr>
          <w:p w14:paraId="25A67B75" w14:textId="77777777" w:rsidR="007E2974" w:rsidRPr="00E44776" w:rsidRDefault="007E2974" w:rsidP="00013B37">
            <w:pPr>
              <w:keepNext/>
              <w:jc w:val="center"/>
              <w:rPr>
                <w:rFonts w:ascii="Arial Narrow" w:hAnsi="Arial Narrow"/>
                <w:sz w:val="20"/>
              </w:rPr>
            </w:pPr>
            <w:r w:rsidRPr="00E44776">
              <w:rPr>
                <w:rFonts w:ascii="Arial Narrow" w:hAnsi="Arial Narrow"/>
                <w:sz w:val="20"/>
              </w:rPr>
              <w:t>19 (10.6)</w:t>
            </w:r>
          </w:p>
        </w:tc>
        <w:tc>
          <w:tcPr>
            <w:tcW w:w="734" w:type="pct"/>
            <w:shd w:val="clear" w:color="auto" w:fill="FFFFFF"/>
          </w:tcPr>
          <w:p w14:paraId="7EDAFC5C" w14:textId="77777777" w:rsidR="007E2974" w:rsidRPr="00E44776" w:rsidRDefault="007E2974" w:rsidP="00013B37">
            <w:pPr>
              <w:keepNext/>
              <w:jc w:val="center"/>
              <w:rPr>
                <w:rFonts w:ascii="Arial Narrow" w:hAnsi="Arial Narrow"/>
                <w:sz w:val="20"/>
              </w:rPr>
            </w:pPr>
            <w:r w:rsidRPr="00E44776">
              <w:rPr>
                <w:rFonts w:ascii="Arial Narrow" w:hAnsi="Arial Narrow"/>
                <w:sz w:val="20"/>
              </w:rPr>
              <w:t>39 (21.8)</w:t>
            </w:r>
          </w:p>
        </w:tc>
        <w:tc>
          <w:tcPr>
            <w:tcW w:w="734" w:type="pct"/>
            <w:shd w:val="clear" w:color="auto" w:fill="FFFFFF"/>
          </w:tcPr>
          <w:p w14:paraId="321052DA" w14:textId="77777777" w:rsidR="007E2974" w:rsidRPr="00E44776" w:rsidRDefault="007E2974" w:rsidP="00013B37">
            <w:pPr>
              <w:keepNext/>
              <w:jc w:val="center"/>
              <w:rPr>
                <w:rFonts w:ascii="Arial Narrow" w:hAnsi="Arial Narrow"/>
                <w:sz w:val="20"/>
              </w:rPr>
            </w:pPr>
            <w:r w:rsidRPr="00E44776">
              <w:rPr>
                <w:rFonts w:ascii="Arial Narrow" w:hAnsi="Arial Narrow"/>
                <w:sz w:val="20"/>
              </w:rPr>
              <w:t>101 (57.1)</w:t>
            </w:r>
          </w:p>
        </w:tc>
        <w:tc>
          <w:tcPr>
            <w:tcW w:w="733" w:type="pct"/>
            <w:shd w:val="clear" w:color="auto" w:fill="FFFFFF"/>
          </w:tcPr>
          <w:p w14:paraId="374751BC" w14:textId="77777777" w:rsidR="007E2974" w:rsidRPr="00E44776" w:rsidRDefault="007E2974" w:rsidP="00013B37">
            <w:pPr>
              <w:keepNext/>
              <w:jc w:val="center"/>
              <w:rPr>
                <w:rFonts w:ascii="Arial Narrow" w:hAnsi="Arial Narrow"/>
                <w:sz w:val="20"/>
              </w:rPr>
            </w:pPr>
            <w:r w:rsidRPr="00E44776">
              <w:rPr>
                <w:rFonts w:ascii="Arial Narrow" w:hAnsi="Arial Narrow"/>
                <w:sz w:val="20"/>
              </w:rPr>
              <w:t>NR</w:t>
            </w:r>
          </w:p>
        </w:tc>
        <w:tc>
          <w:tcPr>
            <w:tcW w:w="732" w:type="pct"/>
            <w:shd w:val="clear" w:color="auto" w:fill="FFFFFF"/>
          </w:tcPr>
          <w:p w14:paraId="46175949" w14:textId="77777777" w:rsidR="007E2974" w:rsidRPr="00E44776" w:rsidRDefault="007E2974" w:rsidP="00013B37">
            <w:pPr>
              <w:keepNext/>
              <w:jc w:val="center"/>
              <w:rPr>
                <w:rFonts w:ascii="Arial Narrow" w:hAnsi="Arial Narrow"/>
                <w:sz w:val="20"/>
              </w:rPr>
            </w:pPr>
            <w:r w:rsidRPr="00E44776">
              <w:rPr>
                <w:rFonts w:ascii="Arial Narrow" w:hAnsi="Arial Narrow"/>
                <w:sz w:val="20"/>
              </w:rPr>
              <w:t>NR</w:t>
            </w:r>
          </w:p>
        </w:tc>
      </w:tr>
      <w:tr w:rsidR="007E2974" w:rsidRPr="00E44776" w14:paraId="3AE90530" w14:textId="77777777" w:rsidTr="00A57E5C">
        <w:tc>
          <w:tcPr>
            <w:tcW w:w="1333" w:type="pct"/>
            <w:vAlign w:val="center"/>
          </w:tcPr>
          <w:p w14:paraId="27771614" w14:textId="77777777" w:rsidR="007E2974" w:rsidRPr="00E44776" w:rsidRDefault="007E2974" w:rsidP="00013B37">
            <w:pPr>
              <w:keepNext/>
              <w:jc w:val="left"/>
              <w:rPr>
                <w:rFonts w:ascii="Arial Narrow" w:hAnsi="Arial Narrow"/>
                <w:sz w:val="20"/>
              </w:rPr>
            </w:pPr>
            <w:r w:rsidRPr="00E44776">
              <w:rPr>
                <w:rFonts w:ascii="Arial Narrow" w:hAnsi="Arial Narrow"/>
                <w:sz w:val="20"/>
              </w:rPr>
              <w:t>Median TTNT, months (95% CI)</w:t>
            </w:r>
          </w:p>
        </w:tc>
        <w:tc>
          <w:tcPr>
            <w:tcW w:w="734" w:type="pct"/>
            <w:shd w:val="clear" w:color="auto" w:fill="FFFFFF"/>
            <w:vAlign w:val="center"/>
          </w:tcPr>
          <w:p w14:paraId="1E96BD55"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Not reached</w:t>
            </w:r>
          </w:p>
        </w:tc>
        <w:tc>
          <w:tcPr>
            <w:tcW w:w="734" w:type="pct"/>
            <w:shd w:val="clear" w:color="auto" w:fill="FFFFFF"/>
          </w:tcPr>
          <w:p w14:paraId="17EA24F9" w14:textId="77777777" w:rsidR="007E2974" w:rsidRPr="00E44776" w:rsidRDefault="007E2974" w:rsidP="00013B37">
            <w:pPr>
              <w:keepNext/>
              <w:jc w:val="center"/>
              <w:rPr>
                <w:rFonts w:ascii="Arial Narrow" w:hAnsi="Arial Narrow"/>
                <w:sz w:val="20"/>
              </w:rPr>
            </w:pPr>
            <w:r w:rsidRPr="00E44776">
              <w:rPr>
                <w:rFonts w:ascii="Arial Narrow" w:hAnsi="Arial Narrow"/>
                <w:sz w:val="20"/>
              </w:rPr>
              <w:t>Not reached</w:t>
            </w:r>
          </w:p>
        </w:tc>
        <w:tc>
          <w:tcPr>
            <w:tcW w:w="734" w:type="pct"/>
            <w:shd w:val="clear" w:color="auto" w:fill="FFFFFF"/>
            <w:vAlign w:val="center"/>
          </w:tcPr>
          <w:p w14:paraId="0C9915B0"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35.8 (29.7, 44.1)</w:t>
            </w:r>
          </w:p>
        </w:tc>
        <w:tc>
          <w:tcPr>
            <w:tcW w:w="733" w:type="pct"/>
            <w:shd w:val="clear" w:color="auto" w:fill="FFFFFF"/>
          </w:tcPr>
          <w:p w14:paraId="67E1C160"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NR</w:t>
            </w:r>
          </w:p>
        </w:tc>
        <w:tc>
          <w:tcPr>
            <w:tcW w:w="732" w:type="pct"/>
            <w:shd w:val="clear" w:color="auto" w:fill="FFFFFF"/>
          </w:tcPr>
          <w:p w14:paraId="5AC461CE"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NR</w:t>
            </w:r>
          </w:p>
        </w:tc>
      </w:tr>
      <w:tr w:rsidR="007E2974" w:rsidRPr="00E44776" w14:paraId="5355DAF5" w14:textId="77777777" w:rsidTr="00A57E5C">
        <w:tc>
          <w:tcPr>
            <w:tcW w:w="1333" w:type="pct"/>
          </w:tcPr>
          <w:p w14:paraId="1878C4C0" w14:textId="77777777" w:rsidR="007E2974" w:rsidRPr="00E44776" w:rsidRDefault="007E2974" w:rsidP="00013B37">
            <w:pPr>
              <w:keepNext/>
              <w:jc w:val="left"/>
              <w:rPr>
                <w:rFonts w:ascii="Arial Narrow" w:hAnsi="Arial Narrow"/>
                <w:sz w:val="20"/>
              </w:rPr>
            </w:pPr>
            <w:r w:rsidRPr="00E44776">
              <w:rPr>
                <w:rFonts w:ascii="Arial Narrow" w:hAnsi="Arial Narrow"/>
                <w:sz w:val="20"/>
              </w:rPr>
              <w:t>Stratified HR vs CHL + OBI (95% CI)</w:t>
            </w:r>
          </w:p>
        </w:tc>
        <w:tc>
          <w:tcPr>
            <w:tcW w:w="734" w:type="pct"/>
            <w:shd w:val="clear" w:color="auto" w:fill="FFFFFF"/>
            <w:vAlign w:val="center"/>
          </w:tcPr>
          <w:p w14:paraId="6C20CA12" w14:textId="77777777" w:rsidR="007E2974" w:rsidRPr="00E44776" w:rsidRDefault="007E2974" w:rsidP="00013B37">
            <w:pPr>
              <w:keepNext/>
              <w:jc w:val="center"/>
              <w:rPr>
                <w:rFonts w:ascii="Arial Narrow" w:hAnsi="Arial Narrow"/>
                <w:sz w:val="20"/>
              </w:rPr>
            </w:pPr>
            <w:r w:rsidRPr="00E44776">
              <w:rPr>
                <w:rFonts w:ascii="Arial Narrow" w:hAnsi="Arial Narrow"/>
                <w:sz w:val="20"/>
              </w:rPr>
              <w:t>NR</w:t>
            </w:r>
          </w:p>
        </w:tc>
        <w:tc>
          <w:tcPr>
            <w:tcW w:w="734" w:type="pct"/>
            <w:shd w:val="clear" w:color="auto" w:fill="FFFFFF"/>
            <w:vAlign w:val="center"/>
          </w:tcPr>
          <w:p w14:paraId="40F509F4" w14:textId="77777777" w:rsidR="007E2974" w:rsidRPr="00E44776" w:rsidRDefault="007E2974" w:rsidP="00013B37">
            <w:pPr>
              <w:keepNext/>
              <w:jc w:val="center"/>
              <w:rPr>
                <w:rFonts w:ascii="Arial Narrow" w:hAnsi="Arial Narrow"/>
                <w:sz w:val="20"/>
              </w:rPr>
            </w:pPr>
            <w:r w:rsidRPr="00E44776">
              <w:rPr>
                <w:rFonts w:ascii="Arial Narrow" w:hAnsi="Arial Narrow"/>
                <w:sz w:val="20"/>
              </w:rPr>
              <w:t>NR</w:t>
            </w:r>
          </w:p>
        </w:tc>
        <w:tc>
          <w:tcPr>
            <w:tcW w:w="734" w:type="pct"/>
            <w:shd w:val="clear" w:color="auto" w:fill="FFFFFF"/>
            <w:vAlign w:val="center"/>
          </w:tcPr>
          <w:p w14:paraId="138BA165" w14:textId="77777777" w:rsidR="007E2974" w:rsidRPr="00E44776" w:rsidRDefault="007E2974" w:rsidP="00013B37">
            <w:pPr>
              <w:keepNext/>
              <w:jc w:val="center"/>
              <w:rPr>
                <w:rFonts w:ascii="Arial Narrow" w:hAnsi="Arial Narrow"/>
                <w:sz w:val="20"/>
              </w:rPr>
            </w:pPr>
            <w:r w:rsidRPr="00E44776">
              <w:rPr>
                <w:rFonts w:ascii="Arial Narrow" w:hAnsi="Arial Narrow"/>
                <w:sz w:val="20"/>
              </w:rPr>
              <w:t>-</w:t>
            </w:r>
          </w:p>
        </w:tc>
        <w:tc>
          <w:tcPr>
            <w:tcW w:w="733" w:type="pct"/>
            <w:shd w:val="clear" w:color="auto" w:fill="FFFFFF"/>
            <w:vAlign w:val="center"/>
          </w:tcPr>
          <w:p w14:paraId="6EBB6BAB" w14:textId="77777777" w:rsidR="007E2974" w:rsidRPr="00E44776" w:rsidRDefault="007E2974" w:rsidP="00013B37">
            <w:pPr>
              <w:keepNext/>
              <w:jc w:val="center"/>
              <w:rPr>
                <w:rFonts w:ascii="Arial Narrow" w:hAnsi="Arial Narrow"/>
                <w:sz w:val="20"/>
              </w:rPr>
            </w:pPr>
            <w:r w:rsidRPr="00E44776">
              <w:rPr>
                <w:rFonts w:ascii="Arial Narrow" w:hAnsi="Arial Narrow"/>
                <w:sz w:val="20"/>
              </w:rPr>
              <w:t>0.42 (0.31, 0.57)</w:t>
            </w:r>
          </w:p>
        </w:tc>
        <w:tc>
          <w:tcPr>
            <w:tcW w:w="732" w:type="pct"/>
            <w:shd w:val="clear" w:color="auto" w:fill="FFFFFF"/>
            <w:vAlign w:val="center"/>
          </w:tcPr>
          <w:p w14:paraId="271E6001" w14:textId="77777777" w:rsidR="007E2974" w:rsidRPr="00E44776" w:rsidRDefault="007E2974" w:rsidP="00013B37">
            <w:pPr>
              <w:keepNext/>
              <w:jc w:val="center"/>
              <w:rPr>
                <w:rFonts w:ascii="Arial Narrow" w:hAnsi="Arial Narrow"/>
                <w:sz w:val="20"/>
              </w:rPr>
            </w:pPr>
            <w:r w:rsidRPr="00E44776">
              <w:rPr>
                <w:rFonts w:ascii="Arial Narrow" w:hAnsi="Arial Narrow"/>
                <w:sz w:val="20"/>
              </w:rPr>
              <w:t>-</w:t>
            </w:r>
          </w:p>
        </w:tc>
      </w:tr>
      <w:tr w:rsidR="007E2974" w:rsidRPr="00E44776" w14:paraId="273DDFF4" w14:textId="77777777" w:rsidTr="00A57E5C">
        <w:tc>
          <w:tcPr>
            <w:tcW w:w="1333" w:type="pct"/>
          </w:tcPr>
          <w:p w14:paraId="1FBDC59E" w14:textId="77777777" w:rsidR="007E2974" w:rsidRPr="00E44776" w:rsidRDefault="007E2974" w:rsidP="00013B37">
            <w:pPr>
              <w:keepNext/>
              <w:widowControl w:val="0"/>
              <w:jc w:val="left"/>
              <w:rPr>
                <w:rFonts w:ascii="Arial Narrow" w:hAnsi="Arial Narrow"/>
                <w:snapToGrid w:val="0"/>
                <w:sz w:val="20"/>
              </w:rPr>
            </w:pPr>
            <w:r w:rsidRPr="00E44776">
              <w:rPr>
                <w:rFonts w:ascii="Arial Narrow" w:hAnsi="Arial Narrow"/>
                <w:snapToGrid w:val="0"/>
                <w:sz w:val="20"/>
              </w:rPr>
              <w:t>KM estimate of TTNT</w:t>
            </w:r>
          </w:p>
          <w:p w14:paraId="4E53055B" w14:textId="77777777" w:rsidR="007E2974" w:rsidRPr="00E44776" w:rsidRDefault="007E2974" w:rsidP="00013B37">
            <w:pPr>
              <w:keepNext/>
              <w:widowControl w:val="0"/>
              <w:jc w:val="left"/>
              <w:rPr>
                <w:rFonts w:ascii="Arial Narrow" w:hAnsi="Arial Narrow"/>
                <w:snapToGrid w:val="0"/>
                <w:sz w:val="20"/>
              </w:rPr>
            </w:pPr>
            <w:r w:rsidRPr="00E44776">
              <w:rPr>
                <w:rFonts w:ascii="Arial Narrow" w:hAnsi="Arial Narrow"/>
                <w:snapToGrid w:val="0"/>
                <w:sz w:val="20"/>
              </w:rPr>
              <w:t>- 12 months, % (95% CI)</w:t>
            </w:r>
          </w:p>
          <w:p w14:paraId="62014E6C"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- 24 months, % (95% CI)</w:t>
            </w:r>
          </w:p>
          <w:p w14:paraId="672A6152"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- 36 months, % (95% CI)</w:t>
            </w:r>
          </w:p>
          <w:p w14:paraId="5FE469B1"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- 48 months, % (95% CI)</w:t>
            </w:r>
          </w:p>
          <w:p w14:paraId="58B7A283" w14:textId="77777777" w:rsidR="007E2974" w:rsidRPr="00E44776" w:rsidRDefault="007E2974" w:rsidP="00013B37">
            <w:pPr>
              <w:keepNext/>
              <w:jc w:val="left"/>
              <w:rPr>
                <w:rFonts w:ascii="Arial Narrow" w:hAnsi="Arial Narrow"/>
                <w:snapToGrid w:val="0"/>
                <w:sz w:val="20"/>
              </w:rPr>
            </w:pPr>
            <w:r w:rsidRPr="00E44776">
              <w:rPr>
                <w:rFonts w:ascii="Arial Narrow" w:hAnsi="Arial Narrow"/>
                <w:snapToGrid w:val="0"/>
                <w:sz w:val="20"/>
              </w:rPr>
              <w:t>- 60 months, % (95% CI)</w:t>
            </w:r>
          </w:p>
        </w:tc>
        <w:tc>
          <w:tcPr>
            <w:tcW w:w="734" w:type="pct"/>
            <w:shd w:val="clear" w:color="auto" w:fill="FFFFFF"/>
          </w:tcPr>
          <w:p w14:paraId="17E2550F" w14:textId="77777777" w:rsidR="007E2974" w:rsidRPr="00E44776" w:rsidRDefault="007E2974" w:rsidP="00013B37">
            <w:pPr>
              <w:keepNext/>
              <w:jc w:val="center"/>
              <w:rPr>
                <w:rFonts w:ascii="Arial Narrow" w:hAnsi="Arial Narrow"/>
                <w:sz w:val="20"/>
                <w:szCs w:val="18"/>
              </w:rPr>
            </w:pPr>
          </w:p>
          <w:p w14:paraId="60E5CF47"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94.9 (90.5, 97.3)</w:t>
            </w:r>
          </w:p>
          <w:p w14:paraId="6B4DC4C9"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93.2 (88.4, 96.1)</w:t>
            </w:r>
          </w:p>
          <w:p w14:paraId="7D775AAA"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90.0 (80.0, 95.2)</w:t>
            </w:r>
          </w:p>
          <w:p w14:paraId="2155D6FF" w14:textId="77777777" w:rsidR="004B2055" w:rsidRPr="00E44776" w:rsidRDefault="004B2055" w:rsidP="00013B37">
            <w:pPr>
              <w:keepNext/>
              <w:jc w:val="center"/>
              <w:rPr>
                <w:rFonts w:ascii="Arial Narrow" w:hAnsi="Arial Narrow"/>
                <w:sz w:val="20"/>
                <w:szCs w:val="18"/>
              </w:rPr>
            </w:pPr>
            <w:r w:rsidRPr="00E44776">
              <w:rPr>
                <w:rFonts w:ascii="Arial Narrow" w:hAnsi="Arial Narrow"/>
                <w:sz w:val="20"/>
                <w:szCs w:val="18"/>
              </w:rPr>
              <w:t>-</w:t>
            </w:r>
          </w:p>
          <w:p w14:paraId="218345BD" w14:textId="7525B632" w:rsidR="004B2055" w:rsidRPr="00E44776" w:rsidRDefault="004B2055" w:rsidP="00013B37">
            <w:pPr>
              <w:keepNext/>
              <w:jc w:val="center"/>
              <w:rPr>
                <w:rFonts w:ascii="Arial Narrow" w:hAnsi="Arial Narrow"/>
                <w:sz w:val="20"/>
                <w:szCs w:val="18"/>
              </w:rPr>
            </w:pPr>
            <w:r w:rsidRPr="00E44776">
              <w:rPr>
                <w:rFonts w:ascii="Arial Narrow" w:hAnsi="Arial Narrow"/>
                <w:sz w:val="20"/>
                <w:szCs w:val="18"/>
              </w:rPr>
              <w:t>-</w:t>
            </w:r>
          </w:p>
        </w:tc>
        <w:tc>
          <w:tcPr>
            <w:tcW w:w="734" w:type="pct"/>
            <w:shd w:val="clear" w:color="auto" w:fill="FFFFFF"/>
          </w:tcPr>
          <w:p w14:paraId="44171ABC" w14:textId="77777777" w:rsidR="007E2974" w:rsidRPr="00E44776" w:rsidRDefault="007E2974" w:rsidP="00013B37">
            <w:pPr>
              <w:keepNext/>
              <w:jc w:val="center"/>
              <w:rPr>
                <w:rFonts w:ascii="Arial Narrow" w:hAnsi="Arial Narrow"/>
                <w:sz w:val="20"/>
                <w:szCs w:val="18"/>
              </w:rPr>
            </w:pPr>
          </w:p>
          <w:p w14:paraId="4569652E"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94.3 (89.7, 96.9)</w:t>
            </w:r>
          </w:p>
          <w:p w14:paraId="775B691A"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90.2 (84.7, 93.8)</w:t>
            </w:r>
          </w:p>
          <w:p w14:paraId="17DBB83E"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86.3 (79.2, 91.1)</w:t>
            </w:r>
          </w:p>
          <w:p w14:paraId="4B15A6AB" w14:textId="77777777" w:rsidR="004B2055" w:rsidRPr="00E44776" w:rsidRDefault="004B2055" w:rsidP="00013B37">
            <w:pPr>
              <w:keepNext/>
              <w:jc w:val="center"/>
              <w:rPr>
                <w:rFonts w:ascii="Arial Narrow" w:hAnsi="Arial Narrow"/>
                <w:sz w:val="20"/>
                <w:szCs w:val="18"/>
              </w:rPr>
            </w:pPr>
            <w:r w:rsidRPr="00E44776">
              <w:rPr>
                <w:rFonts w:ascii="Arial Narrow" w:hAnsi="Arial Narrow"/>
                <w:sz w:val="20"/>
                <w:szCs w:val="18"/>
              </w:rPr>
              <w:t>-</w:t>
            </w:r>
          </w:p>
          <w:p w14:paraId="08DC1105" w14:textId="18A7CEDB" w:rsidR="004B2055" w:rsidRPr="00E44776" w:rsidRDefault="004B2055" w:rsidP="00013B37">
            <w:pPr>
              <w:keepNext/>
              <w:jc w:val="center"/>
              <w:rPr>
                <w:rFonts w:ascii="Arial Narrow" w:hAnsi="Arial Narrow"/>
                <w:sz w:val="20"/>
                <w:szCs w:val="18"/>
              </w:rPr>
            </w:pPr>
            <w:r w:rsidRPr="00E44776">
              <w:rPr>
                <w:rFonts w:ascii="Arial Narrow" w:hAnsi="Arial Narrow"/>
                <w:sz w:val="20"/>
                <w:szCs w:val="18"/>
              </w:rPr>
              <w:t>-</w:t>
            </w:r>
          </w:p>
        </w:tc>
        <w:tc>
          <w:tcPr>
            <w:tcW w:w="734" w:type="pct"/>
            <w:shd w:val="clear" w:color="auto" w:fill="FFFFFF"/>
          </w:tcPr>
          <w:p w14:paraId="7D85A8FB" w14:textId="77777777" w:rsidR="007E2974" w:rsidRPr="00E44776" w:rsidRDefault="007E2974" w:rsidP="00013B37">
            <w:pPr>
              <w:keepNext/>
              <w:jc w:val="center"/>
              <w:rPr>
                <w:rFonts w:ascii="Arial Narrow" w:hAnsi="Arial Narrow"/>
                <w:sz w:val="20"/>
                <w:szCs w:val="18"/>
              </w:rPr>
            </w:pPr>
          </w:p>
          <w:p w14:paraId="0BB09FEB"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92.9 (87.9, 95.9)</w:t>
            </w:r>
          </w:p>
          <w:p w14:paraId="11F3C23B"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67.0 (59.2, 73.6)</w:t>
            </w:r>
          </w:p>
          <w:p w14:paraId="300938F7"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50.2 (40.3, 59.3)</w:t>
            </w:r>
          </w:p>
          <w:p w14:paraId="39C33108" w14:textId="77777777" w:rsidR="004B2055" w:rsidRPr="00E44776" w:rsidRDefault="004B2055" w:rsidP="00013B37">
            <w:pPr>
              <w:keepNext/>
              <w:jc w:val="center"/>
              <w:rPr>
                <w:rFonts w:ascii="Arial Narrow" w:hAnsi="Arial Narrow"/>
                <w:sz w:val="20"/>
                <w:szCs w:val="18"/>
              </w:rPr>
            </w:pPr>
            <w:r w:rsidRPr="00E44776">
              <w:rPr>
                <w:rFonts w:ascii="Arial Narrow" w:hAnsi="Arial Narrow"/>
                <w:sz w:val="20"/>
                <w:szCs w:val="18"/>
              </w:rPr>
              <w:t>-</w:t>
            </w:r>
          </w:p>
          <w:p w14:paraId="4F6F0C54" w14:textId="103CCDAF" w:rsidR="004B2055" w:rsidRPr="00E44776" w:rsidRDefault="004B2055" w:rsidP="00013B37">
            <w:pPr>
              <w:keepNext/>
              <w:jc w:val="center"/>
              <w:rPr>
                <w:rFonts w:ascii="Arial Narrow" w:hAnsi="Arial Narrow"/>
                <w:sz w:val="20"/>
                <w:szCs w:val="18"/>
              </w:rPr>
            </w:pPr>
            <w:r w:rsidRPr="00E44776">
              <w:rPr>
                <w:rFonts w:ascii="Arial Narrow" w:hAnsi="Arial Narrow"/>
                <w:sz w:val="20"/>
                <w:szCs w:val="18"/>
              </w:rPr>
              <w:t>-</w:t>
            </w:r>
          </w:p>
        </w:tc>
        <w:tc>
          <w:tcPr>
            <w:tcW w:w="733" w:type="pct"/>
            <w:shd w:val="clear" w:color="auto" w:fill="FFFFFF"/>
          </w:tcPr>
          <w:p w14:paraId="7238C383" w14:textId="7C98070E" w:rsidR="007E2974" w:rsidRPr="00E44776" w:rsidRDefault="007E2974" w:rsidP="00013B37">
            <w:pPr>
              <w:keepNext/>
              <w:jc w:val="center"/>
              <w:rPr>
                <w:rFonts w:ascii="Arial Narrow" w:hAnsi="Arial Narrow"/>
                <w:sz w:val="20"/>
                <w:szCs w:val="18"/>
              </w:rPr>
            </w:pPr>
          </w:p>
          <w:p w14:paraId="6F539B5F" w14:textId="33B0D8DD" w:rsidR="003969B6" w:rsidRPr="00E44776" w:rsidRDefault="003969B6" w:rsidP="00013B37">
            <w:pPr>
              <w:keepNext/>
              <w:jc w:val="center"/>
              <w:rPr>
                <w:rFonts w:ascii="Arial Narrow" w:hAnsi="Arial Narrow"/>
                <w:sz w:val="20"/>
                <w:szCs w:val="18"/>
              </w:rPr>
            </w:pPr>
            <w:r w:rsidRPr="00E44776">
              <w:rPr>
                <w:rFonts w:ascii="Arial Narrow" w:hAnsi="Arial Narrow"/>
                <w:sz w:val="20"/>
                <w:szCs w:val="18"/>
              </w:rPr>
              <w:t>NR</w:t>
            </w:r>
          </w:p>
          <w:p w14:paraId="5DBC6039" w14:textId="0F27DD51" w:rsidR="007E2974" w:rsidRPr="00E44776" w:rsidRDefault="003969B6" w:rsidP="00013B37">
            <w:pPr>
              <w:keepNext/>
              <w:jc w:val="center"/>
              <w:rPr>
                <w:rFonts w:ascii="Arial Narrow" w:hAnsi="Arial Narrow"/>
                <w:sz w:val="20"/>
                <w:szCs w:val="18"/>
              </w:rPr>
            </w:pPr>
            <w:r w:rsidRPr="00E44776">
              <w:rPr>
                <w:rFonts w:ascii="Arial Narrow" w:hAnsi="Arial Narrow"/>
                <w:sz w:val="20"/>
                <w:szCs w:val="18"/>
              </w:rPr>
              <w:t>NR</w:t>
            </w:r>
          </w:p>
          <w:p w14:paraId="07621E2F" w14:textId="778E1E72" w:rsidR="003969B6" w:rsidRPr="00E44776" w:rsidRDefault="003969B6" w:rsidP="00013B37">
            <w:pPr>
              <w:keepNext/>
              <w:jc w:val="center"/>
              <w:rPr>
                <w:rFonts w:ascii="Arial Narrow" w:hAnsi="Arial Narrow"/>
                <w:sz w:val="20"/>
                <w:szCs w:val="18"/>
              </w:rPr>
            </w:pPr>
            <w:r w:rsidRPr="00E44776">
              <w:rPr>
                <w:rFonts w:ascii="Arial Narrow" w:hAnsi="Arial Narrow"/>
                <w:sz w:val="20"/>
                <w:szCs w:val="18"/>
              </w:rPr>
              <w:t>NR</w:t>
            </w:r>
          </w:p>
          <w:p w14:paraId="6DA87C72" w14:textId="478F3EEC" w:rsidR="007E2974" w:rsidRPr="00E44776" w:rsidRDefault="003969B6" w:rsidP="00013B37">
            <w:pPr>
              <w:keepNext/>
              <w:jc w:val="center"/>
              <w:rPr>
                <w:rFonts w:ascii="Arial Narrow" w:hAnsi="Arial Narrow"/>
                <w:sz w:val="20"/>
                <w:szCs w:val="18"/>
              </w:rPr>
            </w:pPr>
            <w:r w:rsidRPr="00E44776">
              <w:rPr>
                <w:rFonts w:ascii="Arial Narrow" w:hAnsi="Arial Narrow"/>
                <w:sz w:val="20"/>
                <w:szCs w:val="18"/>
              </w:rPr>
              <w:t>NR</w:t>
            </w:r>
          </w:p>
          <w:p w14:paraId="73BB224A"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72.1 (NR)</w:t>
            </w:r>
          </w:p>
        </w:tc>
        <w:tc>
          <w:tcPr>
            <w:tcW w:w="732" w:type="pct"/>
            <w:shd w:val="clear" w:color="auto" w:fill="FFFFFF"/>
          </w:tcPr>
          <w:p w14:paraId="6D1F5AE7" w14:textId="77777777" w:rsidR="007E2974" w:rsidRPr="00E44776" w:rsidRDefault="007E2974" w:rsidP="00013B37">
            <w:pPr>
              <w:keepNext/>
              <w:jc w:val="center"/>
              <w:rPr>
                <w:rFonts w:ascii="Arial Narrow" w:hAnsi="Arial Narrow"/>
                <w:sz w:val="20"/>
                <w:szCs w:val="18"/>
              </w:rPr>
            </w:pPr>
          </w:p>
          <w:p w14:paraId="66EF5104" w14:textId="5DE38384" w:rsidR="007E2974" w:rsidRPr="00E44776" w:rsidRDefault="003969B6" w:rsidP="00013B37">
            <w:pPr>
              <w:keepNext/>
              <w:jc w:val="center"/>
              <w:rPr>
                <w:rFonts w:ascii="Arial Narrow" w:hAnsi="Arial Narrow"/>
                <w:sz w:val="20"/>
                <w:szCs w:val="18"/>
              </w:rPr>
            </w:pPr>
            <w:r w:rsidRPr="00E44776">
              <w:rPr>
                <w:rFonts w:ascii="Arial Narrow" w:hAnsi="Arial Narrow"/>
                <w:sz w:val="20"/>
                <w:szCs w:val="18"/>
              </w:rPr>
              <w:t>NR</w:t>
            </w:r>
          </w:p>
          <w:p w14:paraId="7C394DFE" w14:textId="705A78D1" w:rsidR="003969B6" w:rsidRPr="00E44776" w:rsidRDefault="003969B6" w:rsidP="00013B37">
            <w:pPr>
              <w:keepNext/>
              <w:jc w:val="center"/>
              <w:rPr>
                <w:rFonts w:ascii="Arial Narrow" w:hAnsi="Arial Narrow"/>
                <w:sz w:val="20"/>
                <w:szCs w:val="18"/>
              </w:rPr>
            </w:pPr>
            <w:r w:rsidRPr="00E44776">
              <w:rPr>
                <w:rFonts w:ascii="Arial Narrow" w:hAnsi="Arial Narrow"/>
                <w:sz w:val="20"/>
                <w:szCs w:val="18"/>
              </w:rPr>
              <w:t>NR</w:t>
            </w:r>
          </w:p>
          <w:p w14:paraId="59D9D8BE" w14:textId="4CA95118" w:rsidR="003969B6" w:rsidRPr="00E44776" w:rsidRDefault="003969B6" w:rsidP="00013B37">
            <w:pPr>
              <w:keepNext/>
              <w:jc w:val="center"/>
              <w:rPr>
                <w:rFonts w:ascii="Arial Narrow" w:hAnsi="Arial Narrow"/>
                <w:sz w:val="20"/>
                <w:szCs w:val="18"/>
              </w:rPr>
            </w:pPr>
            <w:r w:rsidRPr="00E44776">
              <w:rPr>
                <w:rFonts w:ascii="Arial Narrow" w:hAnsi="Arial Narrow"/>
                <w:sz w:val="20"/>
                <w:szCs w:val="18"/>
              </w:rPr>
              <w:t>NR</w:t>
            </w:r>
          </w:p>
          <w:p w14:paraId="62D93087" w14:textId="0C991268" w:rsidR="007E2974" w:rsidRPr="00E44776" w:rsidRDefault="003969B6" w:rsidP="00013B37">
            <w:pPr>
              <w:keepNext/>
              <w:jc w:val="center"/>
              <w:rPr>
                <w:rFonts w:ascii="Arial Narrow" w:hAnsi="Arial Narrow"/>
                <w:sz w:val="20"/>
                <w:szCs w:val="18"/>
              </w:rPr>
            </w:pPr>
            <w:r w:rsidRPr="00E44776">
              <w:rPr>
                <w:rFonts w:ascii="Arial Narrow" w:hAnsi="Arial Narrow"/>
                <w:sz w:val="20"/>
                <w:szCs w:val="18"/>
              </w:rPr>
              <w:t>NR</w:t>
            </w:r>
          </w:p>
          <w:p w14:paraId="412799A3" w14:textId="77777777" w:rsidR="007E2974" w:rsidRPr="00E44776" w:rsidRDefault="007E2974" w:rsidP="00013B37">
            <w:pPr>
              <w:keepNext/>
              <w:jc w:val="center"/>
              <w:rPr>
                <w:rFonts w:ascii="Arial Narrow" w:hAnsi="Arial Narrow"/>
                <w:sz w:val="20"/>
                <w:szCs w:val="18"/>
              </w:rPr>
            </w:pPr>
            <w:r w:rsidRPr="00E44776">
              <w:rPr>
                <w:rFonts w:ascii="Arial Narrow" w:hAnsi="Arial Narrow"/>
                <w:sz w:val="20"/>
                <w:szCs w:val="18"/>
              </w:rPr>
              <w:t>42.8 (NR)</w:t>
            </w:r>
          </w:p>
        </w:tc>
      </w:tr>
    </w:tbl>
    <w:p w14:paraId="0BC55009" w14:textId="1CA0F954" w:rsidR="007E2974" w:rsidRPr="00E44776" w:rsidRDefault="007E2974" w:rsidP="007E2974">
      <w:pPr>
        <w:pStyle w:val="TableFooter"/>
      </w:pPr>
      <w:r w:rsidRPr="00E44776">
        <w:t>Source: Table 2.40 of the resubmission.</w:t>
      </w:r>
    </w:p>
    <w:p w14:paraId="2B9C2C2F" w14:textId="77777777" w:rsidR="007E2974" w:rsidRPr="00E44776" w:rsidRDefault="007E2974" w:rsidP="007E2974">
      <w:pPr>
        <w:pStyle w:val="TableFooter"/>
      </w:pPr>
      <w:r w:rsidRPr="00E44776">
        <w:t>ACAL = acalabrutinib, CHL = chlorambucil, CI = confidence interval, HR = hazard ratio, KM = Kaplan-Meier, NE = not estimable, OBI = obinutuzumab, TTNT = time to next treatment</w:t>
      </w:r>
    </w:p>
    <w:p w14:paraId="3ECA5751" w14:textId="79F0D83D" w:rsidR="007E2974" w:rsidRPr="00E44776" w:rsidRDefault="007E2974" w:rsidP="00A57E5C">
      <w:pPr>
        <w:pStyle w:val="COMexecsumnumberedpara"/>
      </w:pPr>
      <w:r w:rsidRPr="00E44776">
        <w:t xml:space="preserve">At 36 months in the ELEVATE-TN trial, a higher proportion of patients in the acalabrutinib + obinutuzumab and acalabrutinib monotherapy arms (90.0% and 86.3%, respectively) had not initiated subsequent anti-cancer treatment, compared to 50.2% in the chlorambucil + obinutuzumab arm. </w:t>
      </w:r>
    </w:p>
    <w:p w14:paraId="3F25EDA5" w14:textId="2ED06064" w:rsidR="007E2974" w:rsidRPr="00E44776" w:rsidRDefault="007E2974" w:rsidP="007E2974">
      <w:pPr>
        <w:pStyle w:val="COMexecsumnumberedpara"/>
      </w:pPr>
      <w:r w:rsidRPr="00E44776">
        <w:t>At 60 months in the CLL-14 trial, a higher proportion of patients in the venetoclax + obinutuzumab arm had not initiated subsequent anti-cancer treatment compared to patients in the chlorambucil + obinutuzumab arm (72% versus 43%).</w:t>
      </w:r>
      <w:r w:rsidR="004F1990" w:rsidRPr="00E44776">
        <w:t xml:space="preserve"> The results of a post hoc indirect comparison presented in the </w:t>
      </w:r>
      <w:r w:rsidR="00337F73" w:rsidRPr="00E44776">
        <w:t>re</w:t>
      </w:r>
      <w:r w:rsidR="004F1990" w:rsidRPr="00E44776">
        <w:t xml:space="preserve">submission was suggestive of a statistically significant </w:t>
      </w:r>
      <w:r w:rsidR="00337F73" w:rsidRPr="00E44776">
        <w:t xml:space="preserve">difference in time to next treatment </w:t>
      </w:r>
      <w:r w:rsidR="004F1990" w:rsidRPr="00E44776">
        <w:t>favouring acalabrutinib + obinutuzumab (</w:t>
      </w:r>
      <w:r w:rsidR="00A95576" w:rsidRPr="00E44776">
        <w:t>HR</w:t>
      </w:r>
      <w:r w:rsidR="004F1990" w:rsidRPr="00E44776">
        <w:t xml:space="preserve"> = 0.35</w:t>
      </w:r>
      <w:r w:rsidR="00A95576" w:rsidRPr="00E44776">
        <w:t xml:space="preserve"> [</w:t>
      </w:r>
      <w:r w:rsidR="004F1990" w:rsidRPr="00E44776">
        <w:t>95% CI: 0.28, 0.44</w:t>
      </w:r>
      <w:r w:rsidR="00A95576" w:rsidRPr="00E44776">
        <w:t>]</w:t>
      </w:r>
      <w:r w:rsidR="004F1990" w:rsidRPr="00E44776">
        <w:t>)</w:t>
      </w:r>
      <w:r w:rsidR="00337F73" w:rsidRPr="00E44776">
        <w:t>.</w:t>
      </w:r>
    </w:p>
    <w:p w14:paraId="0B27109E" w14:textId="72179FF2" w:rsidR="00E94BD5" w:rsidRPr="00E44776" w:rsidRDefault="00E94BD5" w:rsidP="00A57E5C">
      <w:pPr>
        <w:pStyle w:val="ExecSumBodyText"/>
        <w:numPr>
          <w:ilvl w:val="1"/>
          <w:numId w:val="1"/>
        </w:numPr>
      </w:pPr>
      <w:r w:rsidRPr="00E44776">
        <w:t>No new data for health-related quality of life outcomes were presented for the ELEVATE-TN trial in the resubmission. Patients across all three arms showed improvements in the FACIT-Fatigue Global Fatigue Score that exceeded the nominated clinically important difference of 3 points. There were no statistically significant differences between groups for any of the FACIT-Fatigue domains. For the EORTC QLQ-C30, statistically significant differences favouring chlorambucil + obinutuzumab were noted for role functioning at Week 96, fatigue at Week 24 and diarrhoea at Week 24 compared to acalabrutinib + obinutuzumab, and for role functioning at Week 96 and diarrhoea at Week 24 compared to acalabrutinib monotherapy.</w:t>
      </w:r>
      <w:r w:rsidR="00716E45" w:rsidRPr="00E44776">
        <w:t xml:space="preserve"> </w:t>
      </w:r>
      <w:r w:rsidRPr="00E44776">
        <w:t>There were no statistically significant differences between groups for the EQ-5D visual analogue scale scores at Week 24 or Week 96. Results for the change from baseline in EQ-5D-5L overall scores were not provided.</w:t>
      </w:r>
    </w:p>
    <w:p w14:paraId="5B93C63D" w14:textId="1D60F730" w:rsidR="002D33A5" w:rsidRPr="00E44776" w:rsidRDefault="003A3AC2" w:rsidP="002D33A5">
      <w:pPr>
        <w:pStyle w:val="COMexecsumnumberedpara"/>
      </w:pPr>
      <w:r w:rsidRPr="00E44776">
        <w:lastRenderedPageBreak/>
        <w:t xml:space="preserve">Quality of life </w:t>
      </w:r>
      <w:r w:rsidR="00822310" w:rsidRPr="00E44776">
        <w:t>outcomes in the C</w:t>
      </w:r>
      <w:r w:rsidRPr="00E44776">
        <w:t xml:space="preserve">LL-14 trial </w:t>
      </w:r>
      <w:r w:rsidR="00822310" w:rsidRPr="00E44776">
        <w:t>were assessed using the E</w:t>
      </w:r>
      <w:r w:rsidRPr="00E44776">
        <w:t xml:space="preserve">ORTC QLQ-C30 and the MD Anderson Symptom Inventory (MDASI). </w:t>
      </w:r>
      <w:r w:rsidR="00B31F7F" w:rsidRPr="00E44776">
        <w:t xml:space="preserve">At the start of treatment, </w:t>
      </w:r>
      <w:r w:rsidR="00822310" w:rsidRPr="00E44776">
        <w:t xml:space="preserve">EORTC QLQ-C30 scale scores for </w:t>
      </w:r>
      <w:r w:rsidR="00B31F7F" w:rsidRPr="00E44776">
        <w:t xml:space="preserve">physical functioning, role functioning and global health status/quality of life </w:t>
      </w:r>
      <w:r w:rsidR="00822310" w:rsidRPr="00E44776">
        <w:t xml:space="preserve">(GHS/QoL) </w:t>
      </w:r>
      <w:r w:rsidR="00B31F7F" w:rsidRPr="00E44776">
        <w:t xml:space="preserve">were </w:t>
      </w:r>
      <w:r w:rsidRPr="00E44776">
        <w:t xml:space="preserve">comparable between treatment arms. </w:t>
      </w:r>
      <w:r w:rsidR="00822310" w:rsidRPr="00E44776">
        <w:t xml:space="preserve">Baseline levels of physical and role functioning were maintained throughout treatment and follow-up, with no relevant improvement or deterioration. On average, patients treated with venetoclax + obinutuzumab </w:t>
      </w:r>
      <w:r w:rsidR="00C11A58" w:rsidRPr="00E44776">
        <w:t xml:space="preserve">had </w:t>
      </w:r>
      <w:r w:rsidR="00822310" w:rsidRPr="00E44776">
        <w:t>a</w:t>
      </w:r>
      <w:r w:rsidR="00716E45" w:rsidRPr="00E44776">
        <w:t xml:space="preserve">n </w:t>
      </w:r>
      <w:r w:rsidR="00822310" w:rsidRPr="00E44776">
        <w:t>improvement of</w:t>
      </w:r>
      <w:r w:rsidR="00C11A58" w:rsidRPr="00E44776">
        <w:t xml:space="preserve"> at least eight points in</w:t>
      </w:r>
      <w:r w:rsidR="00822310" w:rsidRPr="00E44776">
        <w:t xml:space="preserve"> GHS/QoL </w:t>
      </w:r>
      <w:r w:rsidR="00C11A58" w:rsidRPr="00E44776">
        <w:t xml:space="preserve">at </w:t>
      </w:r>
      <w:r w:rsidR="00822310" w:rsidRPr="00E44776">
        <w:t>cycle three,</w:t>
      </w:r>
      <w:r w:rsidR="00C11A58" w:rsidRPr="00E44776">
        <w:t xml:space="preserve"> </w:t>
      </w:r>
      <w:r w:rsidR="00822310" w:rsidRPr="00E44776">
        <w:t xml:space="preserve">compared to cycle eight </w:t>
      </w:r>
      <w:r w:rsidR="00716E45" w:rsidRPr="00E44776">
        <w:t>for</w:t>
      </w:r>
      <w:r w:rsidR="00C11A58" w:rsidRPr="00E44776">
        <w:t xml:space="preserve"> the chlorambucil + obinutuzumab arm. </w:t>
      </w:r>
      <w:r w:rsidR="00CD4CF2" w:rsidRPr="00E44776">
        <w:t>Based on M</w:t>
      </w:r>
      <w:r w:rsidR="00B31F7F" w:rsidRPr="00E44776">
        <w:t>DASI scores, CLL symptoms, core cancer symptoms</w:t>
      </w:r>
      <w:r w:rsidR="00C11A58" w:rsidRPr="00E44776">
        <w:t xml:space="preserve">, </w:t>
      </w:r>
      <w:r w:rsidR="00B31F7F" w:rsidRPr="00E44776">
        <w:t>and symptom interference were generally low and comparable between treatment arms at baseline and were maintained throughout treatment and follow-up.</w:t>
      </w:r>
    </w:p>
    <w:p w14:paraId="3452C0D5" w14:textId="41FCA361" w:rsidR="008E3546" w:rsidRPr="00E44776" w:rsidRDefault="008E3546" w:rsidP="001E0A57">
      <w:pPr>
        <w:pStyle w:val="COMH3"/>
        <w:spacing w:before="120" w:after="120"/>
        <w:outlineLvl w:val="2"/>
        <w:rPr>
          <w:iCs w:val="0"/>
        </w:rPr>
      </w:pPr>
      <w:bookmarkStart w:id="59" w:name="_Toc114048849"/>
      <w:r w:rsidRPr="00E44776">
        <w:rPr>
          <w:iCs w:val="0"/>
        </w:rPr>
        <w:t>Matching-adjusted indirect comparisons</w:t>
      </w:r>
      <w:bookmarkEnd w:id="59"/>
    </w:p>
    <w:p w14:paraId="5407327C" w14:textId="5B7EACE4" w:rsidR="008E3546" w:rsidRPr="00E44776" w:rsidRDefault="008E3546" w:rsidP="00CE59E5">
      <w:pPr>
        <w:pStyle w:val="COMexecsumnumberedpara"/>
      </w:pPr>
      <w:r w:rsidRPr="00E44776">
        <w:t>MAICs for acalabrutinib +/- obinutuzumab versus venetoclax + obinutuzumab based on a median follow-up of 28.3 months for the ELEVATE-TN trial and 28.1 months for the CLL-14 trial were previously considered by the PBAC as part of the July 2020 PBAC submission. The current resubmission re</w:t>
      </w:r>
      <w:r w:rsidR="007944F0" w:rsidRPr="00E44776">
        <w:t>-</w:t>
      </w:r>
      <w:r w:rsidRPr="00E44776">
        <w:t>presented the results of the 28-month MAICs, along with updated MAIC results based on the September 2020 data cut for the ELEVATE-TN trial (median follow-up of 46.9 months) and outcomes for the CLL-14 trial based on a median follow-up of 39.6 months. It is unclear why the MAIC analyses were not conducted using the more recent data for the ELEVATE-TN and CLL-14 trials (i.e., the October 2021 data cut for ELEVATE-TN and the results reported by Al-Sawaf et al., 2021).</w:t>
      </w:r>
    </w:p>
    <w:p w14:paraId="49C68D4B" w14:textId="06C01681" w:rsidR="008E3546" w:rsidRPr="00E44776" w:rsidRDefault="004837F8" w:rsidP="008E3546">
      <w:pPr>
        <w:pStyle w:val="COMexecsumnumberedpara"/>
      </w:pPr>
      <w:r>
        <w:t>In July 2020, t</w:t>
      </w:r>
      <w:r w:rsidR="008E3546" w:rsidRPr="00E44776">
        <w:t xml:space="preserve">he PBAC </w:t>
      </w:r>
      <w:r>
        <w:t>had</w:t>
      </w:r>
      <w:r w:rsidRPr="00E44776">
        <w:t xml:space="preserve"> </w:t>
      </w:r>
      <w:r w:rsidR="008E3546" w:rsidRPr="00E44776">
        <w:t xml:space="preserve">considered that the MAICs of both acalabrutinib monotherapy and acalabrutinib + obinutuzumab versus venetoclax + obinutuzumab were highly uncertain. </w:t>
      </w:r>
      <w:r>
        <w:t>At that time, t</w:t>
      </w:r>
      <w:r w:rsidR="008E3546" w:rsidRPr="00E44776">
        <w:t xml:space="preserve">he PBAC </w:t>
      </w:r>
      <w:r>
        <w:t xml:space="preserve">had </w:t>
      </w:r>
      <w:r w:rsidR="008E3546" w:rsidRPr="00E44776">
        <w:t xml:space="preserve">noted the heterogeneity between the ELEVATE-TN and CLL-14 trials which resulted in poor overlap between the trial populations and small effective sample sizes for the MAICs, and considered that it was unclear whether all relevant prognostic and effect modifier variables had been identified. In addition, the PBAC noted that although there were no statistically significant differences, no non-inferiority margins had been proposed and the confidence intervals were wide. Overall, the PBAC </w:t>
      </w:r>
      <w:r>
        <w:t xml:space="preserve">had </w:t>
      </w:r>
      <w:r w:rsidR="008E3546" w:rsidRPr="00E44776">
        <w:t>considered that the efficacy and safety clinical claims based on the MAICs could not be supported (paragraph 7.9, acalabrutinib, Public Summary Document, July 2020 PBAC meeting).</w:t>
      </w:r>
    </w:p>
    <w:p w14:paraId="4888A6FD" w14:textId="6FA8BE23" w:rsidR="00177DEA" w:rsidRPr="00E44776" w:rsidRDefault="00221ACC" w:rsidP="008E3546">
      <w:pPr>
        <w:pStyle w:val="COMexecsumnumberedpara"/>
      </w:pPr>
      <w:r w:rsidRPr="00E44776">
        <w:t xml:space="preserve">The updated MAICs excluded 7 patients in the acalabrutinib + obinutuzumab arm and 3 patients in the acalabrutinib monotherapy arm due to missing baseline characteristic data. </w:t>
      </w:r>
      <w:r w:rsidR="00177DEA" w:rsidRPr="00E44776">
        <w:t>The MAICs presented in the July 2020 submission excluded 96 patients in the acalabrutinib + obinutuzumab arm and 83 patients in the acalabrutinib monotherapy arm</w:t>
      </w:r>
      <w:r w:rsidRPr="00E44776">
        <w:t xml:space="preserve"> due to missing patient data and differences in eligibility criteria between the ELEVATE-TN and CLL-14 trials.</w:t>
      </w:r>
      <w:r w:rsidR="00177DEA" w:rsidRPr="00E44776">
        <w:t xml:space="preserve"> The resubmission did not adequately address the </w:t>
      </w:r>
      <w:r w:rsidR="00E2654C" w:rsidRPr="00E44776">
        <w:t xml:space="preserve">reasons for the </w:t>
      </w:r>
      <w:r w:rsidR="00177DEA" w:rsidRPr="00E44776">
        <w:t xml:space="preserve">difference in the number of excluded patients between the </w:t>
      </w:r>
      <w:r w:rsidRPr="00E44776">
        <w:t xml:space="preserve">updated MAICs and the </w:t>
      </w:r>
      <w:r w:rsidR="00177DEA" w:rsidRPr="00E44776">
        <w:t>MAICs</w:t>
      </w:r>
      <w:r w:rsidRPr="00E44776">
        <w:t xml:space="preserve"> included in the July 2020 submission</w:t>
      </w:r>
      <w:r w:rsidR="00177DEA" w:rsidRPr="00E44776">
        <w:t>.</w:t>
      </w:r>
    </w:p>
    <w:p w14:paraId="25E078F0" w14:textId="122C0418" w:rsidR="007F37F2" w:rsidRPr="00E44776" w:rsidRDefault="007F37F2" w:rsidP="00A57E5C">
      <w:pPr>
        <w:pStyle w:val="COMexecsumnumberedpara"/>
      </w:pPr>
      <w:r w:rsidRPr="00E44776">
        <w:lastRenderedPageBreak/>
        <w:t>The resubmission stated that in order to conserve the effective sample size, the updated MAIC matched on fewer variables compared with the original MAIC. The resubmission noted that variables including age, sex, 17p deletion status, complex karyotype status and CIRS score were not matched in the updated MAIC analysis, but argued that these variables are unlikely to be treatment effect modifiers, and as such, matching for these variables is not expected to significantly change the conclusion of the MAICs.</w:t>
      </w:r>
      <w:r w:rsidR="009106D2" w:rsidRPr="00E44776">
        <w:t xml:space="preserve"> Th</w:t>
      </w:r>
      <w:r w:rsidR="00301319" w:rsidRPr="00E44776">
        <w:t>e evaluation and the ESC considered th</w:t>
      </w:r>
      <w:r w:rsidR="009106D2" w:rsidRPr="00E44776">
        <w:t xml:space="preserve">is was not reasonable. </w:t>
      </w:r>
      <w:r w:rsidRPr="00E44776">
        <w:t xml:space="preserve">Unanchored </w:t>
      </w:r>
      <w:r w:rsidR="004837F8">
        <w:t>MAIC</w:t>
      </w:r>
      <w:r w:rsidRPr="00E44776">
        <w:t xml:space="preserve">s should adjust for all effect modifiers and prognostic variables in order to reliably predict outcomes. </w:t>
      </w:r>
      <w:bookmarkStart w:id="60" w:name="_Hlk122351128"/>
      <w:r w:rsidRPr="00E44776">
        <w:t xml:space="preserve">Failure to adjust for all prognostic and effect modifier variables leads to an unknown amount of bias in the unanchored estimate. The resubmission did not adequately justify the decision to exclude relevant prognostic variables such as age, sex, disease stage, 17p deletion status and CIRS score from matching. </w:t>
      </w:r>
      <w:bookmarkEnd w:id="60"/>
      <w:r w:rsidR="00301319" w:rsidRPr="00E44776">
        <w:t>The evaluation and the ESC considered that t</w:t>
      </w:r>
      <w:r w:rsidRPr="00E44776">
        <w:t>he failure to match for important prognostic variables suggests that the results of the MAICs are unlikely to be reliable.</w:t>
      </w:r>
      <w:r w:rsidR="007944F0" w:rsidRPr="00E44776">
        <w:t xml:space="preserve"> The PSCR stated that ‘the updated MAIC matched the most important prognostic factors to maintain a reasonable sample size’ and that the p-value for interaction test indicates</w:t>
      </w:r>
      <w:r w:rsidR="00301319" w:rsidRPr="00E44776">
        <w:t xml:space="preserve"> </w:t>
      </w:r>
      <w:r w:rsidR="007944F0" w:rsidRPr="00E44776">
        <w:t xml:space="preserve">many of the aforementioned unmatched variables (age, gender, 17p deletion, complex karyotype and CIRS score), are unlikely to be treatment effect modifiers. </w:t>
      </w:r>
      <w:r w:rsidR="00301319" w:rsidRPr="00E44776">
        <w:t xml:space="preserve">However, the ESC considered that these </w:t>
      </w:r>
      <w:r w:rsidR="002F5C3F" w:rsidRPr="00E44776">
        <w:t>may</w:t>
      </w:r>
      <w:r w:rsidR="00301319" w:rsidRPr="00E44776">
        <w:t xml:space="preserve"> be important prognostic variables in CLL, and as such the </w:t>
      </w:r>
      <w:r w:rsidR="0028400F" w:rsidRPr="00E44776">
        <w:t>results of the MAICs may not be reliable</w:t>
      </w:r>
      <w:r w:rsidR="00301319" w:rsidRPr="00E44776">
        <w:t xml:space="preserve">. </w:t>
      </w:r>
      <w:r w:rsidR="00536F0E">
        <w:t>The pre-PBAC response stated, “The MAIC considered all of the latest available data and matched the most important prognostic factors to maintain a reasonable sample size”.</w:t>
      </w:r>
    </w:p>
    <w:p w14:paraId="4F0DF4F1" w14:textId="09EF3415" w:rsidR="00CE59E5" w:rsidRPr="00E44776" w:rsidRDefault="00CE59E5" w:rsidP="00A57E5C">
      <w:pPr>
        <w:pStyle w:val="COMexecsumnumberedpara"/>
      </w:pPr>
      <w:r w:rsidRPr="00E44776">
        <w:t>Summary results of the MAICs of progression-free survival and overall survival</w:t>
      </w:r>
      <w:r w:rsidR="00210C7A" w:rsidRPr="00E44776">
        <w:t>,</w:t>
      </w:r>
      <w:r w:rsidRPr="00E44776">
        <w:t xml:space="preserve"> </w:t>
      </w:r>
      <w:r w:rsidR="006C6B07" w:rsidRPr="00E44776">
        <w:t>based on a median follow-up of 46</w:t>
      </w:r>
      <w:r w:rsidRPr="00E44776">
        <w:t>.9 months</w:t>
      </w:r>
      <w:r w:rsidR="006C6B07" w:rsidRPr="00E44776">
        <w:t xml:space="preserve"> in the ELEVATE TN trial and 39.6 months in the CLL-14 trial</w:t>
      </w:r>
      <w:r w:rsidR="00210C7A" w:rsidRPr="00E44776">
        <w:t xml:space="preserve">, </w:t>
      </w:r>
      <w:r w:rsidR="006C6B07" w:rsidRPr="00E44776">
        <w:t xml:space="preserve">are </w:t>
      </w:r>
      <w:r w:rsidRPr="00E44776">
        <w:t xml:space="preserve">presented in </w:t>
      </w:r>
      <w:r w:rsidR="008B15F2" w:rsidRPr="00E44776">
        <w:fldChar w:fldCharType="begin" w:fldLock="1"/>
      </w:r>
      <w:r w:rsidR="008B15F2" w:rsidRPr="00E44776">
        <w:instrText xml:space="preserve"> REF _Ref111475901 \h </w:instrText>
      </w:r>
      <w:r w:rsidR="00E44776" w:rsidRPr="00E44776">
        <w:instrText xml:space="preserve"> \* MERGEFORMAT </w:instrText>
      </w:r>
      <w:r w:rsidR="008B15F2" w:rsidRPr="00E44776">
        <w:fldChar w:fldCharType="separate"/>
      </w:r>
      <w:r w:rsidR="00CB2B8B" w:rsidRPr="00E44776">
        <w:t xml:space="preserve">Table </w:t>
      </w:r>
      <w:r w:rsidR="00CB2B8B">
        <w:rPr>
          <w:noProof/>
        </w:rPr>
        <w:t>9</w:t>
      </w:r>
      <w:r w:rsidR="008B15F2" w:rsidRPr="00E44776">
        <w:fldChar w:fldCharType="end"/>
      </w:r>
      <w:r w:rsidR="006C6B07" w:rsidRPr="00E44776">
        <w:t>.</w:t>
      </w:r>
    </w:p>
    <w:p w14:paraId="7B0487F8" w14:textId="478F35AB" w:rsidR="00F97524" w:rsidRPr="00E44776" w:rsidRDefault="00F97524" w:rsidP="00F97524">
      <w:pPr>
        <w:pStyle w:val="Tableheadingrow"/>
      </w:pPr>
      <w:bookmarkStart w:id="61" w:name="_Ref111475901"/>
      <w:bookmarkStart w:id="62" w:name="_Ref111295891"/>
      <w:r w:rsidRPr="00E44776">
        <w:t xml:space="preserve">Table </w:t>
      </w:r>
      <w:r w:rsidRPr="00E44776">
        <w:fldChar w:fldCharType="begin" w:fldLock="1"/>
      </w:r>
      <w:r w:rsidRPr="00E44776">
        <w:instrText xml:space="preserve"> SEQ Table \* ARABIC </w:instrText>
      </w:r>
      <w:r w:rsidRPr="00E44776">
        <w:fldChar w:fldCharType="separate"/>
      </w:r>
      <w:r w:rsidR="00CB2B8B">
        <w:rPr>
          <w:noProof/>
        </w:rPr>
        <w:t>9</w:t>
      </w:r>
      <w:r w:rsidRPr="00E44776">
        <w:rPr>
          <w:noProof/>
        </w:rPr>
        <w:fldChar w:fldCharType="end"/>
      </w:r>
      <w:bookmarkEnd w:id="61"/>
      <w:r w:rsidRPr="00E44776">
        <w:rPr>
          <w:noProof/>
        </w:rPr>
        <w:t xml:space="preserve">: </w:t>
      </w:r>
      <w:r w:rsidRPr="00E44776">
        <w:t xml:space="preserve">Results of the </w:t>
      </w:r>
      <w:r w:rsidR="00600FA8" w:rsidRPr="00E44776">
        <w:t xml:space="preserve">updated </w:t>
      </w:r>
      <w:r w:rsidRPr="00E44776">
        <w:t xml:space="preserve">matching adjusted indirect comparisons </w:t>
      </w:r>
      <w:r w:rsidR="008C08CC" w:rsidRPr="00E44776">
        <w:t>for acalabrutinib +/- obinutuzumab versus venetoclax + obinutuzumab</w:t>
      </w:r>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9: Results of the updated matching adjusted indirect comparisons for acalabrutinib +/- obinutuzumab versus venetoclax + obinutuzumab"/>
      </w:tblPr>
      <w:tblGrid>
        <w:gridCol w:w="5083"/>
        <w:gridCol w:w="1968"/>
        <w:gridCol w:w="1957"/>
        <w:gridCol w:w="9"/>
      </w:tblGrid>
      <w:tr w:rsidR="00F97524" w:rsidRPr="00E44776" w14:paraId="267C5104" w14:textId="77777777" w:rsidTr="00BA3CDA">
        <w:tc>
          <w:tcPr>
            <w:tcW w:w="2819" w:type="pct"/>
          </w:tcPr>
          <w:p w14:paraId="77E128C8" w14:textId="77777777" w:rsidR="00F97524" w:rsidRPr="00E44776" w:rsidRDefault="00F97524" w:rsidP="00013B37">
            <w:pPr>
              <w:keepNext/>
              <w:rPr>
                <w:rFonts w:ascii="Arial Narrow" w:hAnsi="Arial Narrow"/>
                <w:sz w:val="20"/>
              </w:rPr>
            </w:pPr>
          </w:p>
        </w:tc>
        <w:tc>
          <w:tcPr>
            <w:tcW w:w="1091" w:type="pct"/>
            <w:vAlign w:val="center"/>
          </w:tcPr>
          <w:p w14:paraId="0CADA315" w14:textId="77777777" w:rsidR="00BA3CDA" w:rsidRPr="00E44776" w:rsidRDefault="00F97524" w:rsidP="00013B37">
            <w:pPr>
              <w:keepNext/>
              <w:jc w:val="center"/>
              <w:rPr>
                <w:rFonts w:ascii="Arial Narrow" w:hAnsi="Arial Narrow"/>
                <w:b/>
                <w:sz w:val="20"/>
              </w:rPr>
            </w:pPr>
            <w:r w:rsidRPr="00E44776">
              <w:rPr>
                <w:rFonts w:ascii="Arial Narrow" w:hAnsi="Arial Narrow"/>
                <w:b/>
                <w:sz w:val="20"/>
              </w:rPr>
              <w:t xml:space="preserve">ACAL + OBI vs </w:t>
            </w:r>
          </w:p>
          <w:p w14:paraId="13E66BE2" w14:textId="25496B7F" w:rsidR="00F97524" w:rsidRPr="00E44776" w:rsidRDefault="00F97524" w:rsidP="00013B37">
            <w:pPr>
              <w:keepNext/>
              <w:jc w:val="center"/>
              <w:rPr>
                <w:rFonts w:ascii="Arial Narrow" w:hAnsi="Arial Narrow"/>
                <w:b/>
                <w:sz w:val="20"/>
              </w:rPr>
            </w:pPr>
            <w:r w:rsidRPr="00E44776">
              <w:rPr>
                <w:rFonts w:ascii="Arial Narrow" w:hAnsi="Arial Narrow"/>
                <w:b/>
                <w:sz w:val="20"/>
              </w:rPr>
              <w:t>VEN + OBI</w:t>
            </w:r>
          </w:p>
        </w:tc>
        <w:tc>
          <w:tcPr>
            <w:tcW w:w="1090" w:type="pct"/>
            <w:gridSpan w:val="2"/>
            <w:vAlign w:val="center"/>
          </w:tcPr>
          <w:p w14:paraId="0E8098CB" w14:textId="77777777" w:rsidR="00BA3CDA" w:rsidRPr="00E44776" w:rsidRDefault="00F97524" w:rsidP="00013B37">
            <w:pPr>
              <w:keepNext/>
              <w:jc w:val="center"/>
              <w:rPr>
                <w:rFonts w:ascii="Arial Narrow" w:hAnsi="Arial Narrow"/>
                <w:b/>
                <w:sz w:val="20"/>
              </w:rPr>
            </w:pPr>
            <w:r w:rsidRPr="00E44776">
              <w:rPr>
                <w:rFonts w:ascii="Arial Narrow" w:hAnsi="Arial Narrow"/>
                <w:b/>
                <w:sz w:val="20"/>
              </w:rPr>
              <w:t xml:space="preserve">ACAL vs </w:t>
            </w:r>
          </w:p>
          <w:p w14:paraId="09C56DE2" w14:textId="7C561C17" w:rsidR="00F97524" w:rsidRPr="00E44776" w:rsidRDefault="00F97524" w:rsidP="00013B37">
            <w:pPr>
              <w:keepNext/>
              <w:jc w:val="center"/>
              <w:rPr>
                <w:rFonts w:ascii="Arial Narrow" w:hAnsi="Arial Narrow"/>
                <w:b/>
                <w:sz w:val="20"/>
              </w:rPr>
            </w:pPr>
            <w:r w:rsidRPr="00E44776">
              <w:rPr>
                <w:rFonts w:ascii="Arial Narrow" w:hAnsi="Arial Narrow"/>
                <w:b/>
                <w:sz w:val="20"/>
              </w:rPr>
              <w:t>VEN + OBI</w:t>
            </w:r>
          </w:p>
        </w:tc>
      </w:tr>
      <w:tr w:rsidR="00F97524" w:rsidRPr="00E44776" w14:paraId="0B4C9BB0" w14:textId="77777777" w:rsidTr="00BA3CDA">
        <w:tc>
          <w:tcPr>
            <w:tcW w:w="2819" w:type="pct"/>
          </w:tcPr>
          <w:p w14:paraId="0A3CC745" w14:textId="3B2E517A" w:rsidR="00F97524" w:rsidRPr="00E44776" w:rsidRDefault="00F97524" w:rsidP="00013B37">
            <w:pPr>
              <w:keepNext/>
              <w:jc w:val="left"/>
              <w:rPr>
                <w:rFonts w:ascii="Arial Narrow" w:hAnsi="Arial Narrow"/>
                <w:sz w:val="20"/>
              </w:rPr>
            </w:pPr>
            <w:r w:rsidRPr="00E44776">
              <w:rPr>
                <w:rFonts w:ascii="Arial Narrow" w:hAnsi="Arial Narrow"/>
                <w:sz w:val="20"/>
              </w:rPr>
              <w:t xml:space="preserve">Patients in </w:t>
            </w:r>
            <w:r w:rsidR="00CD207F" w:rsidRPr="00E44776">
              <w:rPr>
                <w:rFonts w:ascii="Arial Narrow" w:hAnsi="Arial Narrow"/>
                <w:sz w:val="20"/>
              </w:rPr>
              <w:t>the acalabrutinib +/- obinutuzumab a</w:t>
            </w:r>
            <w:r w:rsidRPr="00E44776">
              <w:rPr>
                <w:rFonts w:ascii="Arial Narrow" w:hAnsi="Arial Narrow"/>
                <w:sz w:val="20"/>
              </w:rPr>
              <w:t xml:space="preserve">rm </w:t>
            </w:r>
            <w:r w:rsidR="00CD207F" w:rsidRPr="00E44776">
              <w:rPr>
                <w:rFonts w:ascii="Arial Narrow" w:hAnsi="Arial Narrow"/>
                <w:sz w:val="20"/>
              </w:rPr>
              <w:t xml:space="preserve">of </w:t>
            </w:r>
            <w:r w:rsidRPr="00E44776">
              <w:rPr>
                <w:rFonts w:ascii="Arial Narrow" w:hAnsi="Arial Narrow"/>
                <w:sz w:val="20"/>
              </w:rPr>
              <w:t>ELEVATE-TN</w:t>
            </w:r>
          </w:p>
        </w:tc>
        <w:tc>
          <w:tcPr>
            <w:tcW w:w="1091" w:type="pct"/>
            <w:vAlign w:val="center"/>
          </w:tcPr>
          <w:p w14:paraId="58B55A1D" w14:textId="25B66971" w:rsidR="00F97524" w:rsidRPr="00E44776" w:rsidRDefault="007B04A0" w:rsidP="00013B37">
            <w:pPr>
              <w:keepNext/>
              <w:jc w:val="center"/>
              <w:rPr>
                <w:rFonts w:ascii="Arial Narrow" w:hAnsi="Arial Narrow"/>
                <w:sz w:val="20"/>
              </w:rPr>
            </w:pPr>
            <w:r w:rsidRPr="00E44776">
              <w:rPr>
                <w:rFonts w:ascii="Arial Narrow" w:hAnsi="Arial Narrow"/>
                <w:sz w:val="20"/>
              </w:rPr>
              <w:t>179</w:t>
            </w:r>
          </w:p>
        </w:tc>
        <w:tc>
          <w:tcPr>
            <w:tcW w:w="1090" w:type="pct"/>
            <w:gridSpan w:val="2"/>
            <w:vAlign w:val="center"/>
          </w:tcPr>
          <w:p w14:paraId="404EDF48" w14:textId="0653E99B" w:rsidR="00F97524" w:rsidRPr="00E44776" w:rsidRDefault="003B64C5" w:rsidP="00013B37">
            <w:pPr>
              <w:keepNext/>
              <w:jc w:val="center"/>
              <w:rPr>
                <w:rFonts w:ascii="Arial Narrow" w:hAnsi="Arial Narrow"/>
                <w:sz w:val="20"/>
              </w:rPr>
            </w:pPr>
            <w:r w:rsidRPr="00E44776">
              <w:rPr>
                <w:rFonts w:ascii="Arial Narrow" w:hAnsi="Arial Narrow"/>
                <w:sz w:val="20"/>
              </w:rPr>
              <w:t>179</w:t>
            </w:r>
          </w:p>
        </w:tc>
      </w:tr>
      <w:tr w:rsidR="003B64C5" w:rsidRPr="00E44776" w14:paraId="18B89A83" w14:textId="77777777" w:rsidTr="00BA3CDA">
        <w:tc>
          <w:tcPr>
            <w:tcW w:w="2819" w:type="pct"/>
          </w:tcPr>
          <w:p w14:paraId="14FD63B1" w14:textId="4A7B3A66" w:rsidR="003B64C5" w:rsidRPr="00E44776" w:rsidRDefault="003B64C5" w:rsidP="00013B37">
            <w:pPr>
              <w:keepNext/>
              <w:jc w:val="left"/>
              <w:rPr>
                <w:rFonts w:ascii="Arial Narrow" w:hAnsi="Arial Narrow"/>
                <w:sz w:val="20"/>
                <w:vertAlign w:val="superscript"/>
              </w:rPr>
            </w:pPr>
            <w:r w:rsidRPr="00E44776">
              <w:rPr>
                <w:rFonts w:ascii="Arial Narrow" w:hAnsi="Arial Narrow"/>
                <w:sz w:val="20"/>
              </w:rPr>
              <w:t>Patients included in MAIC prior to matching</w:t>
            </w:r>
            <w:r w:rsidR="00CD4283" w:rsidRPr="00E44776">
              <w:rPr>
                <w:rFonts w:ascii="Arial Narrow" w:hAnsi="Arial Narrow"/>
                <w:sz w:val="20"/>
                <w:vertAlign w:val="superscript"/>
              </w:rPr>
              <w:t>a</w:t>
            </w:r>
          </w:p>
        </w:tc>
        <w:tc>
          <w:tcPr>
            <w:tcW w:w="1091" w:type="pct"/>
            <w:vAlign w:val="center"/>
          </w:tcPr>
          <w:p w14:paraId="57E62BFB" w14:textId="1E14352C" w:rsidR="003B64C5" w:rsidRPr="00E44776" w:rsidRDefault="003B64C5" w:rsidP="00013B37">
            <w:pPr>
              <w:keepNext/>
              <w:jc w:val="center"/>
              <w:rPr>
                <w:rFonts w:ascii="Arial Narrow" w:hAnsi="Arial Narrow"/>
                <w:sz w:val="20"/>
              </w:rPr>
            </w:pPr>
            <w:r w:rsidRPr="00E44776">
              <w:rPr>
                <w:rFonts w:ascii="Arial Narrow" w:hAnsi="Arial Narrow"/>
                <w:sz w:val="20"/>
              </w:rPr>
              <w:t>172</w:t>
            </w:r>
          </w:p>
        </w:tc>
        <w:tc>
          <w:tcPr>
            <w:tcW w:w="1090" w:type="pct"/>
            <w:gridSpan w:val="2"/>
            <w:vAlign w:val="center"/>
          </w:tcPr>
          <w:p w14:paraId="34321C3E" w14:textId="414D2BC3" w:rsidR="003B64C5" w:rsidRPr="00E44776" w:rsidRDefault="003B64C5" w:rsidP="00013B37">
            <w:pPr>
              <w:keepNext/>
              <w:jc w:val="center"/>
              <w:rPr>
                <w:rFonts w:ascii="Arial Narrow" w:hAnsi="Arial Narrow"/>
                <w:sz w:val="20"/>
              </w:rPr>
            </w:pPr>
            <w:r w:rsidRPr="00E44776">
              <w:rPr>
                <w:rFonts w:ascii="Arial Narrow" w:hAnsi="Arial Narrow"/>
                <w:sz w:val="20"/>
              </w:rPr>
              <w:t>176</w:t>
            </w:r>
          </w:p>
        </w:tc>
      </w:tr>
      <w:tr w:rsidR="003B64C5" w:rsidRPr="00E44776" w14:paraId="57523296" w14:textId="77777777" w:rsidTr="00BA3CDA">
        <w:tc>
          <w:tcPr>
            <w:tcW w:w="2819" w:type="pct"/>
          </w:tcPr>
          <w:p w14:paraId="7D0C5A8B" w14:textId="7E90E39C" w:rsidR="003B64C5" w:rsidRPr="00E44776" w:rsidRDefault="003B64C5" w:rsidP="00013B37">
            <w:pPr>
              <w:keepNext/>
              <w:jc w:val="left"/>
              <w:rPr>
                <w:rFonts w:ascii="Arial Narrow" w:hAnsi="Arial Narrow"/>
                <w:sz w:val="20"/>
              </w:rPr>
            </w:pPr>
            <w:r w:rsidRPr="00E44776">
              <w:rPr>
                <w:rFonts w:ascii="Arial Narrow" w:hAnsi="Arial Narrow"/>
                <w:sz w:val="20"/>
              </w:rPr>
              <w:t>Effective sample size after matching</w:t>
            </w:r>
          </w:p>
        </w:tc>
        <w:tc>
          <w:tcPr>
            <w:tcW w:w="1091" w:type="pct"/>
            <w:vAlign w:val="center"/>
          </w:tcPr>
          <w:p w14:paraId="5DFA92B9" w14:textId="3C35FCA2" w:rsidR="003B64C5" w:rsidRPr="00E44776" w:rsidRDefault="003B64C5" w:rsidP="00013B37">
            <w:pPr>
              <w:keepNext/>
              <w:jc w:val="center"/>
              <w:rPr>
                <w:rFonts w:ascii="Arial Narrow" w:hAnsi="Arial Narrow"/>
                <w:sz w:val="20"/>
              </w:rPr>
            </w:pPr>
            <w:r w:rsidRPr="00E44776">
              <w:rPr>
                <w:rFonts w:ascii="Arial Narrow" w:hAnsi="Arial Narrow"/>
                <w:sz w:val="20"/>
              </w:rPr>
              <w:t>104</w:t>
            </w:r>
          </w:p>
        </w:tc>
        <w:tc>
          <w:tcPr>
            <w:tcW w:w="1090" w:type="pct"/>
            <w:gridSpan w:val="2"/>
            <w:vAlign w:val="center"/>
          </w:tcPr>
          <w:p w14:paraId="70DBADFA" w14:textId="0A8E1C1A" w:rsidR="003B64C5" w:rsidRPr="00E44776" w:rsidRDefault="003B64C5" w:rsidP="00013B37">
            <w:pPr>
              <w:keepNext/>
              <w:jc w:val="center"/>
              <w:rPr>
                <w:rFonts w:ascii="Arial Narrow" w:hAnsi="Arial Narrow"/>
                <w:sz w:val="20"/>
              </w:rPr>
            </w:pPr>
            <w:r w:rsidRPr="00E44776">
              <w:rPr>
                <w:rFonts w:ascii="Arial Narrow" w:hAnsi="Arial Narrow"/>
                <w:sz w:val="20"/>
              </w:rPr>
              <w:t>96</w:t>
            </w:r>
          </w:p>
        </w:tc>
      </w:tr>
      <w:tr w:rsidR="003B64C5" w:rsidRPr="00E44776" w14:paraId="414D7AE3" w14:textId="720674D8" w:rsidTr="00F97524">
        <w:trPr>
          <w:gridAfter w:val="1"/>
          <w:wAfter w:w="5" w:type="pct"/>
        </w:trPr>
        <w:tc>
          <w:tcPr>
            <w:tcW w:w="4995" w:type="pct"/>
            <w:gridSpan w:val="3"/>
            <w:vAlign w:val="center"/>
          </w:tcPr>
          <w:p w14:paraId="076B7AAA" w14:textId="77777777" w:rsidR="003B64C5" w:rsidRPr="00E44776" w:rsidRDefault="003B64C5" w:rsidP="00013B37">
            <w:pPr>
              <w:keepNext/>
              <w:rPr>
                <w:rFonts w:ascii="Arial Narrow" w:hAnsi="Arial Narrow"/>
                <w:sz w:val="20"/>
              </w:rPr>
            </w:pPr>
            <w:r w:rsidRPr="00E44776">
              <w:rPr>
                <w:rFonts w:ascii="Arial Narrow" w:hAnsi="Arial Narrow"/>
                <w:b/>
                <w:sz w:val="20"/>
              </w:rPr>
              <w:t>Progression free survival: HR (95% CI)</w:t>
            </w:r>
          </w:p>
        </w:tc>
      </w:tr>
      <w:tr w:rsidR="003B64C5" w:rsidRPr="00E44776" w14:paraId="0B2D66B9" w14:textId="77777777" w:rsidTr="00BA3CDA">
        <w:tc>
          <w:tcPr>
            <w:tcW w:w="2819" w:type="pct"/>
          </w:tcPr>
          <w:p w14:paraId="547039F8" w14:textId="7182BC8D" w:rsidR="003B64C5" w:rsidRPr="00E44776" w:rsidRDefault="003B64C5" w:rsidP="00013B37">
            <w:pPr>
              <w:keepNext/>
              <w:jc w:val="left"/>
              <w:rPr>
                <w:rFonts w:ascii="Arial Narrow" w:hAnsi="Arial Narrow"/>
                <w:sz w:val="20"/>
              </w:rPr>
            </w:pPr>
            <w:r w:rsidRPr="00E44776">
              <w:rPr>
                <w:rFonts w:ascii="Arial Narrow" w:hAnsi="Arial Narrow"/>
                <w:sz w:val="20"/>
              </w:rPr>
              <w:t>Prior to MAIC adjustment (naïve comparison)</w:t>
            </w:r>
          </w:p>
        </w:tc>
        <w:tc>
          <w:tcPr>
            <w:tcW w:w="1091" w:type="pct"/>
            <w:vAlign w:val="center"/>
          </w:tcPr>
          <w:p w14:paraId="706CC152" w14:textId="3C4E4FDA" w:rsidR="003B64C5" w:rsidRPr="00E44776" w:rsidRDefault="001D2F91" w:rsidP="00013B37">
            <w:pPr>
              <w:keepNext/>
              <w:jc w:val="center"/>
              <w:rPr>
                <w:rFonts w:ascii="Arial Narrow" w:hAnsi="Arial Narrow"/>
                <w:sz w:val="20"/>
              </w:rPr>
            </w:pPr>
            <w:r w:rsidRPr="00E44776">
              <w:rPr>
                <w:rFonts w:ascii="Arial Narrow" w:hAnsi="Arial Narrow"/>
                <w:sz w:val="20"/>
              </w:rPr>
              <w:t>0.46 (0.26, 0.79)</w:t>
            </w:r>
          </w:p>
        </w:tc>
        <w:tc>
          <w:tcPr>
            <w:tcW w:w="1090" w:type="pct"/>
            <w:gridSpan w:val="2"/>
            <w:vAlign w:val="center"/>
          </w:tcPr>
          <w:p w14:paraId="17416C04" w14:textId="088315DE" w:rsidR="003B64C5" w:rsidRPr="00E44776" w:rsidRDefault="001D2F91" w:rsidP="00013B37">
            <w:pPr>
              <w:keepNext/>
              <w:jc w:val="center"/>
              <w:rPr>
                <w:rFonts w:ascii="Arial Narrow" w:hAnsi="Arial Narrow"/>
                <w:sz w:val="20"/>
              </w:rPr>
            </w:pPr>
            <w:r w:rsidRPr="00E44776">
              <w:rPr>
                <w:rFonts w:ascii="Arial Narrow" w:hAnsi="Arial Narrow"/>
                <w:sz w:val="20"/>
              </w:rPr>
              <w:t>0.81 (0.50, 1.29)</w:t>
            </w:r>
          </w:p>
        </w:tc>
      </w:tr>
      <w:tr w:rsidR="003B64C5" w:rsidRPr="00E44776" w14:paraId="3959C48D" w14:textId="77777777" w:rsidTr="00BA3CDA">
        <w:tc>
          <w:tcPr>
            <w:tcW w:w="2819" w:type="pct"/>
          </w:tcPr>
          <w:p w14:paraId="67CA7FED" w14:textId="77777777" w:rsidR="003B64C5" w:rsidRPr="00E44776" w:rsidRDefault="003B64C5" w:rsidP="00013B37">
            <w:pPr>
              <w:keepNext/>
              <w:jc w:val="left"/>
              <w:rPr>
                <w:rFonts w:ascii="Arial Narrow" w:hAnsi="Arial Narrow"/>
                <w:sz w:val="20"/>
              </w:rPr>
            </w:pPr>
            <w:r w:rsidRPr="00E44776">
              <w:rPr>
                <w:rFonts w:ascii="Arial Narrow" w:hAnsi="Arial Narrow"/>
                <w:sz w:val="20"/>
              </w:rPr>
              <w:t>After MAIC adjustment</w:t>
            </w:r>
          </w:p>
        </w:tc>
        <w:tc>
          <w:tcPr>
            <w:tcW w:w="1091" w:type="pct"/>
            <w:vAlign w:val="center"/>
          </w:tcPr>
          <w:p w14:paraId="5E9A9431" w14:textId="56AF6F47" w:rsidR="003B64C5" w:rsidRPr="00E44776" w:rsidRDefault="001D2F91" w:rsidP="00013B37">
            <w:pPr>
              <w:keepNext/>
              <w:jc w:val="center"/>
              <w:rPr>
                <w:rFonts w:ascii="Arial Narrow" w:hAnsi="Arial Narrow"/>
                <w:sz w:val="20"/>
              </w:rPr>
            </w:pPr>
            <w:r w:rsidRPr="00E44776">
              <w:rPr>
                <w:rFonts w:ascii="Arial Narrow" w:hAnsi="Arial Narrow"/>
                <w:sz w:val="20"/>
              </w:rPr>
              <w:t>0.38 (0.20, 0.73)</w:t>
            </w:r>
          </w:p>
        </w:tc>
        <w:tc>
          <w:tcPr>
            <w:tcW w:w="1090" w:type="pct"/>
            <w:gridSpan w:val="2"/>
            <w:vAlign w:val="center"/>
          </w:tcPr>
          <w:p w14:paraId="6B34079F" w14:textId="2A3D49CE" w:rsidR="003B64C5" w:rsidRPr="00E44776" w:rsidRDefault="001D2F91" w:rsidP="00013B37">
            <w:pPr>
              <w:keepNext/>
              <w:jc w:val="center"/>
              <w:rPr>
                <w:rFonts w:ascii="Arial Narrow" w:hAnsi="Arial Narrow"/>
                <w:sz w:val="20"/>
              </w:rPr>
            </w:pPr>
            <w:r w:rsidRPr="00E44776">
              <w:rPr>
                <w:rFonts w:ascii="Arial Narrow" w:hAnsi="Arial Narrow"/>
                <w:sz w:val="20"/>
              </w:rPr>
              <w:t>0.96 (0.56, 1.65)</w:t>
            </w:r>
          </w:p>
        </w:tc>
      </w:tr>
      <w:tr w:rsidR="003B64C5" w:rsidRPr="00E44776" w14:paraId="076B91EF" w14:textId="5D32A389" w:rsidTr="00F97524">
        <w:trPr>
          <w:gridAfter w:val="1"/>
          <w:wAfter w:w="5" w:type="pct"/>
        </w:trPr>
        <w:tc>
          <w:tcPr>
            <w:tcW w:w="4995" w:type="pct"/>
            <w:gridSpan w:val="3"/>
            <w:vAlign w:val="center"/>
          </w:tcPr>
          <w:p w14:paraId="43D61835" w14:textId="77777777" w:rsidR="003B64C5" w:rsidRPr="00E44776" w:rsidRDefault="003B64C5" w:rsidP="00013B37">
            <w:pPr>
              <w:keepNext/>
              <w:rPr>
                <w:rFonts w:ascii="Arial Narrow" w:hAnsi="Arial Narrow"/>
                <w:sz w:val="20"/>
              </w:rPr>
            </w:pPr>
            <w:r w:rsidRPr="00E44776">
              <w:rPr>
                <w:rFonts w:ascii="Arial Narrow" w:hAnsi="Arial Narrow"/>
                <w:b/>
                <w:sz w:val="20"/>
              </w:rPr>
              <w:t>Overall survival: HR (95% CI)</w:t>
            </w:r>
          </w:p>
        </w:tc>
      </w:tr>
      <w:tr w:rsidR="003B64C5" w:rsidRPr="00E44776" w14:paraId="6191B1B2" w14:textId="77777777" w:rsidTr="00BA3CDA">
        <w:tc>
          <w:tcPr>
            <w:tcW w:w="2819" w:type="pct"/>
          </w:tcPr>
          <w:p w14:paraId="44CA27C9" w14:textId="3F88567F" w:rsidR="003B64C5" w:rsidRPr="00E44776" w:rsidRDefault="003B64C5" w:rsidP="00013B37">
            <w:pPr>
              <w:keepNext/>
              <w:jc w:val="left"/>
              <w:rPr>
                <w:rFonts w:ascii="Arial Narrow" w:hAnsi="Arial Narrow"/>
                <w:sz w:val="20"/>
              </w:rPr>
            </w:pPr>
            <w:r w:rsidRPr="00E44776">
              <w:rPr>
                <w:rFonts w:ascii="Arial Narrow" w:hAnsi="Arial Narrow"/>
                <w:sz w:val="20"/>
              </w:rPr>
              <w:t>Prior to MAIC adjustment (naïve comparison)</w:t>
            </w:r>
          </w:p>
        </w:tc>
        <w:tc>
          <w:tcPr>
            <w:tcW w:w="1091" w:type="pct"/>
            <w:vAlign w:val="center"/>
          </w:tcPr>
          <w:p w14:paraId="1A651912" w14:textId="7CDC5962" w:rsidR="003B64C5" w:rsidRPr="00E44776" w:rsidRDefault="00794002" w:rsidP="00013B37">
            <w:pPr>
              <w:keepNext/>
              <w:jc w:val="center"/>
              <w:rPr>
                <w:rFonts w:ascii="Arial Narrow" w:hAnsi="Arial Narrow"/>
                <w:sz w:val="20"/>
              </w:rPr>
            </w:pPr>
            <w:r w:rsidRPr="00E44776">
              <w:rPr>
                <w:rFonts w:ascii="Arial Narrow" w:hAnsi="Arial Narrow"/>
                <w:sz w:val="20"/>
              </w:rPr>
              <w:t>0.41 (0.20, 0.85)</w:t>
            </w:r>
          </w:p>
        </w:tc>
        <w:tc>
          <w:tcPr>
            <w:tcW w:w="1090" w:type="pct"/>
            <w:gridSpan w:val="2"/>
            <w:vAlign w:val="center"/>
          </w:tcPr>
          <w:p w14:paraId="337F9338" w14:textId="3F4ED9B8" w:rsidR="003B64C5" w:rsidRPr="00E44776" w:rsidRDefault="00794002" w:rsidP="00013B37">
            <w:pPr>
              <w:keepNext/>
              <w:jc w:val="center"/>
              <w:rPr>
                <w:rFonts w:ascii="Arial Narrow" w:hAnsi="Arial Narrow"/>
                <w:sz w:val="20"/>
              </w:rPr>
            </w:pPr>
            <w:r w:rsidRPr="00E44776">
              <w:rPr>
                <w:rFonts w:ascii="Arial Narrow" w:hAnsi="Arial Narrow"/>
                <w:sz w:val="20"/>
              </w:rPr>
              <w:t>0.77 (0.42, 1.38)</w:t>
            </w:r>
          </w:p>
        </w:tc>
      </w:tr>
      <w:tr w:rsidR="00794002" w:rsidRPr="00E44776" w14:paraId="4522AEE5" w14:textId="77777777" w:rsidTr="00BA3CDA">
        <w:tc>
          <w:tcPr>
            <w:tcW w:w="2819" w:type="pct"/>
          </w:tcPr>
          <w:p w14:paraId="2D5AF42C" w14:textId="77777777" w:rsidR="00794002" w:rsidRPr="00E44776" w:rsidRDefault="00794002" w:rsidP="00013B37">
            <w:pPr>
              <w:keepNext/>
              <w:jc w:val="left"/>
              <w:rPr>
                <w:rFonts w:ascii="Arial Narrow" w:hAnsi="Arial Narrow"/>
                <w:sz w:val="20"/>
              </w:rPr>
            </w:pPr>
            <w:r w:rsidRPr="00E44776">
              <w:rPr>
                <w:rFonts w:ascii="Arial Narrow" w:hAnsi="Arial Narrow"/>
                <w:sz w:val="20"/>
              </w:rPr>
              <w:t>After MAIC adjustment</w:t>
            </w:r>
          </w:p>
        </w:tc>
        <w:tc>
          <w:tcPr>
            <w:tcW w:w="1091" w:type="pct"/>
            <w:vAlign w:val="center"/>
          </w:tcPr>
          <w:p w14:paraId="15561527" w14:textId="684DF084" w:rsidR="00794002" w:rsidRPr="00E44776" w:rsidRDefault="00794002" w:rsidP="00013B37">
            <w:pPr>
              <w:keepNext/>
              <w:jc w:val="center"/>
              <w:rPr>
                <w:rFonts w:ascii="Arial Narrow" w:hAnsi="Arial Narrow"/>
                <w:sz w:val="20"/>
              </w:rPr>
            </w:pPr>
            <w:r w:rsidRPr="00E44776">
              <w:rPr>
                <w:rFonts w:ascii="Arial Narrow" w:hAnsi="Arial Narrow"/>
                <w:sz w:val="20"/>
              </w:rPr>
              <w:t>0.43 (0.19, 0.99)</w:t>
            </w:r>
          </w:p>
        </w:tc>
        <w:tc>
          <w:tcPr>
            <w:tcW w:w="1090" w:type="pct"/>
            <w:gridSpan w:val="2"/>
            <w:vAlign w:val="center"/>
          </w:tcPr>
          <w:p w14:paraId="2276327E" w14:textId="6FC604B4" w:rsidR="00794002" w:rsidRPr="00E44776" w:rsidRDefault="00794002" w:rsidP="00013B37">
            <w:pPr>
              <w:keepNext/>
              <w:jc w:val="center"/>
              <w:rPr>
                <w:rFonts w:ascii="Arial Narrow" w:hAnsi="Arial Narrow"/>
                <w:sz w:val="20"/>
              </w:rPr>
            </w:pPr>
            <w:r w:rsidRPr="00E44776">
              <w:rPr>
                <w:rFonts w:ascii="Arial Narrow" w:hAnsi="Arial Narrow"/>
                <w:sz w:val="20"/>
              </w:rPr>
              <w:t>0.99 (0.51, 1.91)</w:t>
            </w:r>
          </w:p>
        </w:tc>
      </w:tr>
    </w:tbl>
    <w:p w14:paraId="67F912C2" w14:textId="6689C343" w:rsidR="008E3546" w:rsidRPr="00E44776" w:rsidRDefault="00F97524" w:rsidP="00F97524">
      <w:pPr>
        <w:pStyle w:val="COMTablefooter"/>
      </w:pPr>
      <w:r w:rsidRPr="00E44776">
        <w:t xml:space="preserve">Source: </w:t>
      </w:r>
      <w:r w:rsidR="00E2654C" w:rsidRPr="00E44776">
        <w:t>Table 2.76 of the resubmission.</w:t>
      </w:r>
    </w:p>
    <w:p w14:paraId="13676619" w14:textId="747C2FA5" w:rsidR="00E2654C" w:rsidRPr="00E44776" w:rsidRDefault="00E2654C" w:rsidP="00F97524">
      <w:pPr>
        <w:pStyle w:val="COMTablefooter"/>
      </w:pPr>
      <w:r w:rsidRPr="00E44776">
        <w:t>ACAL = acalabrutinib, CI = confidence interval, HR = hazard ratio, MAIC = matching-adjusted indirect comparison, OBI = obinutuzumab, VEN = venetoclax</w:t>
      </w:r>
    </w:p>
    <w:p w14:paraId="5B3CCFEA" w14:textId="2D614965" w:rsidR="00CD4283" w:rsidRPr="00E44776" w:rsidRDefault="00CD4283" w:rsidP="00F97524">
      <w:pPr>
        <w:pStyle w:val="COMTablefooter"/>
      </w:pPr>
      <w:r w:rsidRPr="00E44776">
        <w:rPr>
          <w:vertAlign w:val="superscript"/>
        </w:rPr>
        <w:t>a</w:t>
      </w:r>
      <w:r w:rsidRPr="00E44776">
        <w:t xml:space="preserve"> Seven patients in the acalabrutinib + obinutuzumab arm and 3 patients in the acalabrutinib monotherapy arm </w:t>
      </w:r>
      <w:r w:rsidR="00A7376E" w:rsidRPr="00E44776">
        <w:t xml:space="preserve">were excluded </w:t>
      </w:r>
      <w:r w:rsidRPr="00E44776">
        <w:t>due to missing baseline characteristic data</w:t>
      </w:r>
    </w:p>
    <w:p w14:paraId="08497193" w14:textId="5198E5A5" w:rsidR="0028400F" w:rsidRPr="00E44776" w:rsidRDefault="0028400F" w:rsidP="00F97524">
      <w:pPr>
        <w:pStyle w:val="COMTablefooter"/>
      </w:pPr>
      <w:r w:rsidRPr="00E44776">
        <w:t>The variables that were matched in the MAIC analysis were: 11q deletion, TP53 mutation, ECOG status, IGHV mutation, creatinine clearance, β2 microglobulin and CLL-IPI risk group.</w:t>
      </w:r>
    </w:p>
    <w:p w14:paraId="32404723" w14:textId="6CF7E8FB" w:rsidR="00596051" w:rsidRPr="00E44776" w:rsidRDefault="00596051" w:rsidP="009106D2">
      <w:pPr>
        <w:pStyle w:val="COMexecsumnumberedpara"/>
      </w:pPr>
      <w:r w:rsidRPr="00E44776">
        <w:lastRenderedPageBreak/>
        <w:t xml:space="preserve">For the comparison of acalabrutinib + obinutuzumab versus venetoclax + obinutuzumab, </w:t>
      </w:r>
      <w:r w:rsidR="00EC519B" w:rsidRPr="00E44776">
        <w:t xml:space="preserve">point estimates for progression-free survival and overall survival favoured </w:t>
      </w:r>
      <w:r w:rsidRPr="00E44776">
        <w:t>acalabrutinib + obinutuzumab</w:t>
      </w:r>
      <w:r w:rsidR="00EC519B" w:rsidRPr="00E44776">
        <w:t xml:space="preserve"> before and after matching, and the differences were statistically significant.</w:t>
      </w:r>
    </w:p>
    <w:p w14:paraId="53A71554" w14:textId="4DAB9460" w:rsidR="00CA0472" w:rsidRPr="00E44776" w:rsidRDefault="00CA0472" w:rsidP="009106D2">
      <w:pPr>
        <w:pStyle w:val="COMexecsumnumberedpara"/>
      </w:pPr>
      <w:r w:rsidRPr="00E44776">
        <w:t>For the comparison of acalabrutinib monotherapy versus venetoclax + obinutuzumab,</w:t>
      </w:r>
      <w:r w:rsidR="00EC519B" w:rsidRPr="00E44776">
        <w:t xml:space="preserve"> point estimates for progression-free survival and overall survival favoured acalabrutinib before and after matching, but the differences were not statistically significant.</w:t>
      </w:r>
      <w:r w:rsidRPr="00E44776">
        <w:t xml:space="preserve"> </w:t>
      </w:r>
    </w:p>
    <w:p w14:paraId="36B78D8B" w14:textId="4CB4289F" w:rsidR="008E3546" w:rsidRPr="00E44776" w:rsidRDefault="009106D2" w:rsidP="009106D2">
      <w:pPr>
        <w:pStyle w:val="COMexecsumnumberedpara"/>
      </w:pPr>
      <w:r w:rsidRPr="00E44776">
        <w:t xml:space="preserve">The </w:t>
      </w:r>
      <w:r w:rsidR="0028400F" w:rsidRPr="00E44776">
        <w:t xml:space="preserve">evaluation and the ESC considered that the </w:t>
      </w:r>
      <w:r w:rsidRPr="00E44776">
        <w:t>results should be interpreted with caution due to the inadequate matching of prognostic variables in the analysis</w:t>
      </w:r>
      <w:r w:rsidR="002405F1" w:rsidRPr="00E44776">
        <w:t xml:space="preserve"> and the</w:t>
      </w:r>
      <w:r w:rsidRPr="00E44776">
        <w:t xml:space="preserve"> post hoc</w:t>
      </w:r>
      <w:r w:rsidR="002405F1" w:rsidRPr="00E44776">
        <w:t xml:space="preserve"> nature of the analysis. </w:t>
      </w:r>
    </w:p>
    <w:p w14:paraId="1452C351" w14:textId="3040E086" w:rsidR="00B60939" w:rsidRPr="00E44776" w:rsidRDefault="00B60939" w:rsidP="00D86231">
      <w:pPr>
        <w:pStyle w:val="COMH2-non-numbered"/>
        <w:rPr>
          <w:iCs/>
        </w:rPr>
      </w:pPr>
      <w:bookmarkStart w:id="63" w:name="_Toc22897642"/>
      <w:bookmarkStart w:id="64" w:name="_Toc114048850"/>
      <w:r w:rsidRPr="00E44776">
        <w:rPr>
          <w:iCs/>
        </w:rPr>
        <w:t>Comparative harms</w:t>
      </w:r>
      <w:bookmarkEnd w:id="63"/>
      <w:bookmarkEnd w:id="64"/>
    </w:p>
    <w:p w14:paraId="1C73D045" w14:textId="7B58F2CE" w:rsidR="00E977F0" w:rsidRPr="00E44776" w:rsidRDefault="003217F2" w:rsidP="00E977F0">
      <w:pPr>
        <w:pStyle w:val="COMexecsumnumberedpara"/>
      </w:pPr>
      <w:r w:rsidRPr="00E44776">
        <w:t>S</w:t>
      </w:r>
      <w:r w:rsidR="00E977F0" w:rsidRPr="00E44776">
        <w:t xml:space="preserve">afety outcomes for the ELEVATE-TN </w:t>
      </w:r>
      <w:r w:rsidRPr="00E44776">
        <w:t>trial at the October 2021 data cut (median follow-up of 58.2 months)</w:t>
      </w:r>
      <w:r w:rsidR="00B55373" w:rsidRPr="00E44776">
        <w:t xml:space="preserve"> are presented in</w:t>
      </w:r>
      <w:r w:rsidR="008B15F2" w:rsidRPr="00E44776">
        <w:t xml:space="preserve"> </w:t>
      </w:r>
      <w:r w:rsidR="008B15F2" w:rsidRPr="00E44776">
        <w:fldChar w:fldCharType="begin" w:fldLock="1"/>
      </w:r>
      <w:r w:rsidR="008B15F2" w:rsidRPr="00E44776">
        <w:instrText xml:space="preserve"> REF _Ref111475919 \h </w:instrText>
      </w:r>
      <w:r w:rsidR="00E44776" w:rsidRPr="00E44776">
        <w:instrText xml:space="preserve"> \* MERGEFORMAT </w:instrText>
      </w:r>
      <w:r w:rsidR="008B15F2" w:rsidRPr="00E44776">
        <w:fldChar w:fldCharType="separate"/>
      </w:r>
      <w:r w:rsidR="00CB2B8B" w:rsidRPr="00E44776">
        <w:t xml:space="preserve">Table </w:t>
      </w:r>
      <w:r w:rsidR="00CB2B8B">
        <w:rPr>
          <w:noProof/>
        </w:rPr>
        <w:t>10</w:t>
      </w:r>
      <w:r w:rsidR="008B15F2" w:rsidRPr="00E44776">
        <w:fldChar w:fldCharType="end"/>
      </w:r>
      <w:r w:rsidRPr="00E44776">
        <w:t>. Available results for the October 2021 data cut were limited to adverse events with an incidence of ≥30%, and adverse events of clinical interest.</w:t>
      </w:r>
    </w:p>
    <w:p w14:paraId="6E233D11" w14:textId="7F80FEEA" w:rsidR="00B55373" w:rsidRPr="00E44776" w:rsidRDefault="00B55373" w:rsidP="00B55373">
      <w:pPr>
        <w:pStyle w:val="COMtablefigcaption"/>
      </w:pPr>
      <w:bookmarkStart w:id="65" w:name="_Ref111475919"/>
      <w:bookmarkStart w:id="66" w:name="_Ref111295906"/>
      <w:r w:rsidRPr="00E44776">
        <w:t xml:space="preserve">Table </w:t>
      </w:r>
      <w:r w:rsidR="00B53F47">
        <w:fldChar w:fldCharType="begin" w:fldLock="1"/>
      </w:r>
      <w:r w:rsidR="00B53F47">
        <w:instrText xml:space="preserve"> SEQ Table \* ARABIC </w:instrText>
      </w:r>
      <w:r w:rsidR="00B53F47">
        <w:fldChar w:fldCharType="separate"/>
      </w:r>
      <w:r w:rsidR="00CB2B8B">
        <w:rPr>
          <w:noProof/>
        </w:rPr>
        <w:t>10</w:t>
      </w:r>
      <w:r w:rsidR="00B53F47">
        <w:rPr>
          <w:noProof/>
        </w:rPr>
        <w:fldChar w:fldCharType="end"/>
      </w:r>
      <w:bookmarkEnd w:id="65"/>
      <w:r w:rsidRPr="00E44776">
        <w:t>: Summary of adverse events for the ELEVATE-TN trial at the October 2021 data cut (median follow-up of 58.2 months)</w:t>
      </w:r>
      <w:bookmarkEnd w:id="6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Caption w:val="Table 10: Summary of adverse events for the ELEVATE-TN trial at the October 2021 data cut (median follow-up of 58.2 months)"/>
      </w:tblPr>
      <w:tblGrid>
        <w:gridCol w:w="2827"/>
        <w:gridCol w:w="1032"/>
        <w:gridCol w:w="1033"/>
        <w:gridCol w:w="1033"/>
        <w:gridCol w:w="1030"/>
        <w:gridCol w:w="1030"/>
        <w:gridCol w:w="1032"/>
      </w:tblGrid>
      <w:tr w:rsidR="00B55373" w:rsidRPr="00E44776" w14:paraId="65102BA1" w14:textId="77777777" w:rsidTr="00A57E5C">
        <w:trPr>
          <w:tblHeader/>
        </w:trPr>
        <w:tc>
          <w:tcPr>
            <w:tcW w:w="1568" w:type="pct"/>
            <w:vMerge w:val="restart"/>
          </w:tcPr>
          <w:p w14:paraId="58EAA677" w14:textId="77777777" w:rsidR="00B55373" w:rsidRPr="00E44776" w:rsidRDefault="00B55373" w:rsidP="00013B37">
            <w:pPr>
              <w:keepNext/>
              <w:rPr>
                <w:rFonts w:ascii="Arial Narrow" w:hAnsi="Arial Narrow"/>
                <w:sz w:val="20"/>
              </w:rPr>
            </w:pPr>
          </w:p>
        </w:tc>
        <w:tc>
          <w:tcPr>
            <w:tcW w:w="1145" w:type="pct"/>
            <w:gridSpan w:val="2"/>
          </w:tcPr>
          <w:p w14:paraId="3D0115A5" w14:textId="77777777" w:rsidR="00B55373" w:rsidRPr="00E44776" w:rsidRDefault="00B55373" w:rsidP="00013B37">
            <w:pPr>
              <w:keepNext/>
              <w:jc w:val="center"/>
              <w:rPr>
                <w:rFonts w:ascii="Arial Narrow" w:hAnsi="Arial Narrow"/>
                <w:b/>
                <w:sz w:val="20"/>
                <w:szCs w:val="18"/>
              </w:rPr>
            </w:pPr>
            <w:r w:rsidRPr="00E44776">
              <w:rPr>
                <w:rFonts w:ascii="Arial Narrow" w:hAnsi="Arial Narrow"/>
                <w:b/>
                <w:sz w:val="20"/>
                <w:szCs w:val="18"/>
              </w:rPr>
              <w:t>ACAL + OBI</w:t>
            </w:r>
          </w:p>
          <w:p w14:paraId="6DA842CA" w14:textId="77777777" w:rsidR="00B55373" w:rsidRPr="00E44776" w:rsidRDefault="00B55373" w:rsidP="00013B37">
            <w:pPr>
              <w:keepNext/>
              <w:jc w:val="center"/>
              <w:rPr>
                <w:rFonts w:ascii="Arial Narrow" w:hAnsi="Arial Narrow"/>
                <w:b/>
                <w:sz w:val="20"/>
                <w:szCs w:val="18"/>
              </w:rPr>
            </w:pPr>
            <w:r w:rsidRPr="00E44776">
              <w:rPr>
                <w:rFonts w:ascii="Arial Narrow" w:hAnsi="Arial Narrow"/>
                <w:b/>
                <w:sz w:val="20"/>
                <w:szCs w:val="18"/>
              </w:rPr>
              <w:t>(N=178)</w:t>
            </w:r>
          </w:p>
        </w:tc>
        <w:tc>
          <w:tcPr>
            <w:tcW w:w="1144" w:type="pct"/>
            <w:gridSpan w:val="2"/>
            <w:vAlign w:val="center"/>
          </w:tcPr>
          <w:p w14:paraId="6B173624" w14:textId="77777777" w:rsidR="00B55373" w:rsidRPr="00E44776" w:rsidRDefault="00B55373" w:rsidP="00013B37">
            <w:pPr>
              <w:keepNext/>
              <w:jc w:val="center"/>
              <w:rPr>
                <w:rFonts w:ascii="Arial Narrow" w:hAnsi="Arial Narrow"/>
                <w:b/>
                <w:sz w:val="20"/>
                <w:szCs w:val="18"/>
              </w:rPr>
            </w:pPr>
            <w:r w:rsidRPr="00E44776">
              <w:rPr>
                <w:rFonts w:ascii="Arial Narrow" w:hAnsi="Arial Narrow"/>
                <w:b/>
                <w:sz w:val="20"/>
                <w:szCs w:val="18"/>
              </w:rPr>
              <w:t xml:space="preserve">ACAL </w:t>
            </w:r>
          </w:p>
          <w:p w14:paraId="7484FF88" w14:textId="77777777" w:rsidR="00B55373" w:rsidRPr="00E44776" w:rsidRDefault="00B55373" w:rsidP="00013B37">
            <w:pPr>
              <w:keepNext/>
              <w:jc w:val="center"/>
              <w:rPr>
                <w:rFonts w:ascii="Arial Narrow" w:hAnsi="Arial Narrow"/>
                <w:b/>
                <w:sz w:val="20"/>
                <w:szCs w:val="18"/>
              </w:rPr>
            </w:pPr>
            <w:r w:rsidRPr="00E44776">
              <w:rPr>
                <w:rFonts w:ascii="Arial Narrow" w:hAnsi="Arial Narrow"/>
                <w:b/>
                <w:sz w:val="20"/>
                <w:szCs w:val="18"/>
              </w:rPr>
              <w:t>(N=179)</w:t>
            </w:r>
          </w:p>
        </w:tc>
        <w:tc>
          <w:tcPr>
            <w:tcW w:w="1143" w:type="pct"/>
            <w:gridSpan w:val="2"/>
            <w:vAlign w:val="center"/>
          </w:tcPr>
          <w:p w14:paraId="2D4BF95F" w14:textId="77777777" w:rsidR="00B55373" w:rsidRPr="00E44776" w:rsidRDefault="00B55373" w:rsidP="00013B37">
            <w:pPr>
              <w:keepNext/>
              <w:jc w:val="center"/>
              <w:rPr>
                <w:rFonts w:ascii="Arial Narrow" w:hAnsi="Arial Narrow"/>
                <w:b/>
                <w:sz w:val="20"/>
                <w:szCs w:val="18"/>
              </w:rPr>
            </w:pPr>
            <w:r w:rsidRPr="00E44776">
              <w:rPr>
                <w:rFonts w:ascii="Arial Narrow" w:hAnsi="Arial Narrow"/>
                <w:b/>
                <w:sz w:val="20"/>
                <w:szCs w:val="18"/>
              </w:rPr>
              <w:t>CHL + OBI</w:t>
            </w:r>
          </w:p>
          <w:p w14:paraId="56AA79D1" w14:textId="77777777" w:rsidR="00B55373" w:rsidRPr="00E44776" w:rsidRDefault="00B55373" w:rsidP="00013B37">
            <w:pPr>
              <w:keepNext/>
              <w:jc w:val="center"/>
              <w:rPr>
                <w:rFonts w:ascii="Arial Narrow" w:hAnsi="Arial Narrow"/>
                <w:b/>
                <w:sz w:val="20"/>
                <w:szCs w:val="18"/>
              </w:rPr>
            </w:pPr>
            <w:r w:rsidRPr="00E44776">
              <w:rPr>
                <w:rFonts w:ascii="Arial Narrow" w:hAnsi="Arial Narrow"/>
                <w:b/>
                <w:sz w:val="20"/>
                <w:szCs w:val="18"/>
              </w:rPr>
              <w:t>(N=169)</w:t>
            </w:r>
          </w:p>
        </w:tc>
      </w:tr>
      <w:tr w:rsidR="00B55373" w:rsidRPr="00E44776" w14:paraId="0596E861" w14:textId="77777777" w:rsidTr="00A57E5C">
        <w:tc>
          <w:tcPr>
            <w:tcW w:w="1568" w:type="pct"/>
            <w:vMerge/>
          </w:tcPr>
          <w:p w14:paraId="38669E20" w14:textId="77777777" w:rsidR="00B55373" w:rsidRPr="00E44776" w:rsidRDefault="00B55373" w:rsidP="00013B37">
            <w:pPr>
              <w:keepNext/>
              <w:jc w:val="left"/>
              <w:rPr>
                <w:rFonts w:ascii="Arial Narrow" w:hAnsi="Arial Narrow"/>
                <w:sz w:val="20"/>
              </w:rPr>
            </w:pPr>
          </w:p>
        </w:tc>
        <w:tc>
          <w:tcPr>
            <w:tcW w:w="572" w:type="pct"/>
          </w:tcPr>
          <w:p w14:paraId="53CCF4E9" w14:textId="77777777" w:rsidR="00B55373" w:rsidRPr="00E44776" w:rsidRDefault="00B55373" w:rsidP="00013B37">
            <w:pPr>
              <w:keepNext/>
              <w:jc w:val="center"/>
              <w:rPr>
                <w:rFonts w:ascii="Arial Narrow" w:hAnsi="Arial Narrow"/>
                <w:b/>
                <w:bCs/>
                <w:sz w:val="20"/>
                <w:szCs w:val="20"/>
              </w:rPr>
            </w:pPr>
            <w:r w:rsidRPr="00E44776">
              <w:rPr>
                <w:rFonts w:ascii="Arial Narrow" w:hAnsi="Arial Narrow"/>
                <w:b/>
                <w:bCs/>
                <w:sz w:val="20"/>
                <w:szCs w:val="20"/>
              </w:rPr>
              <w:t>Any Grade</w:t>
            </w:r>
          </w:p>
        </w:tc>
        <w:tc>
          <w:tcPr>
            <w:tcW w:w="573" w:type="pct"/>
          </w:tcPr>
          <w:p w14:paraId="78DC6CD4" w14:textId="77777777" w:rsidR="00B55373" w:rsidRPr="00E44776" w:rsidRDefault="00B55373" w:rsidP="00013B37">
            <w:pPr>
              <w:keepNext/>
              <w:jc w:val="center"/>
              <w:rPr>
                <w:rFonts w:ascii="Arial Narrow" w:hAnsi="Arial Narrow"/>
                <w:b/>
                <w:bCs/>
                <w:sz w:val="20"/>
                <w:szCs w:val="20"/>
              </w:rPr>
            </w:pPr>
            <w:r w:rsidRPr="00E44776">
              <w:rPr>
                <w:rFonts w:ascii="Arial Narrow" w:hAnsi="Arial Narrow"/>
                <w:b/>
                <w:bCs/>
                <w:sz w:val="20"/>
                <w:szCs w:val="20"/>
              </w:rPr>
              <w:t>Grade ≥3</w:t>
            </w:r>
          </w:p>
        </w:tc>
        <w:tc>
          <w:tcPr>
            <w:tcW w:w="573" w:type="pct"/>
          </w:tcPr>
          <w:p w14:paraId="3B47E738" w14:textId="77777777" w:rsidR="00B55373" w:rsidRPr="00E44776" w:rsidRDefault="00B55373" w:rsidP="00013B37">
            <w:pPr>
              <w:keepNext/>
              <w:jc w:val="center"/>
              <w:rPr>
                <w:rFonts w:ascii="Arial Narrow" w:hAnsi="Arial Narrow"/>
                <w:b/>
                <w:bCs/>
                <w:sz w:val="20"/>
                <w:szCs w:val="20"/>
              </w:rPr>
            </w:pPr>
            <w:r w:rsidRPr="00E44776">
              <w:rPr>
                <w:rFonts w:ascii="Arial Narrow" w:hAnsi="Arial Narrow"/>
                <w:b/>
                <w:bCs/>
                <w:sz w:val="20"/>
                <w:szCs w:val="20"/>
              </w:rPr>
              <w:t>Any Grade</w:t>
            </w:r>
          </w:p>
        </w:tc>
        <w:tc>
          <w:tcPr>
            <w:tcW w:w="571" w:type="pct"/>
          </w:tcPr>
          <w:p w14:paraId="507E1FE4" w14:textId="77777777" w:rsidR="00B55373" w:rsidRPr="00E44776" w:rsidRDefault="00B55373" w:rsidP="00013B37">
            <w:pPr>
              <w:keepNext/>
              <w:jc w:val="center"/>
              <w:rPr>
                <w:rFonts w:ascii="Arial Narrow" w:hAnsi="Arial Narrow"/>
                <w:b/>
                <w:bCs/>
                <w:sz w:val="20"/>
                <w:szCs w:val="20"/>
              </w:rPr>
            </w:pPr>
            <w:r w:rsidRPr="00E44776">
              <w:rPr>
                <w:rFonts w:ascii="Arial Narrow" w:hAnsi="Arial Narrow"/>
                <w:b/>
                <w:bCs/>
                <w:sz w:val="20"/>
                <w:szCs w:val="20"/>
              </w:rPr>
              <w:t>Grade ≥3</w:t>
            </w:r>
          </w:p>
        </w:tc>
        <w:tc>
          <w:tcPr>
            <w:tcW w:w="571" w:type="pct"/>
          </w:tcPr>
          <w:p w14:paraId="119A51C9" w14:textId="77777777" w:rsidR="00B55373" w:rsidRPr="00E44776" w:rsidRDefault="00B55373" w:rsidP="00013B37">
            <w:pPr>
              <w:keepNext/>
              <w:jc w:val="center"/>
              <w:rPr>
                <w:rFonts w:ascii="Arial Narrow" w:hAnsi="Arial Narrow"/>
                <w:b/>
                <w:bCs/>
                <w:sz w:val="20"/>
                <w:szCs w:val="20"/>
              </w:rPr>
            </w:pPr>
            <w:r w:rsidRPr="00E44776">
              <w:rPr>
                <w:rFonts w:ascii="Arial Narrow" w:hAnsi="Arial Narrow"/>
                <w:b/>
                <w:bCs/>
                <w:sz w:val="20"/>
                <w:szCs w:val="20"/>
              </w:rPr>
              <w:t>Any Grade</w:t>
            </w:r>
          </w:p>
        </w:tc>
        <w:tc>
          <w:tcPr>
            <w:tcW w:w="572" w:type="pct"/>
          </w:tcPr>
          <w:p w14:paraId="68404B55" w14:textId="77777777" w:rsidR="00B55373" w:rsidRPr="00E44776" w:rsidRDefault="00B55373" w:rsidP="00013B37">
            <w:pPr>
              <w:keepNext/>
              <w:jc w:val="center"/>
              <w:rPr>
                <w:rFonts w:ascii="Arial Narrow" w:hAnsi="Arial Narrow"/>
                <w:b/>
                <w:bCs/>
                <w:sz w:val="20"/>
                <w:szCs w:val="20"/>
              </w:rPr>
            </w:pPr>
            <w:r w:rsidRPr="00E44776">
              <w:rPr>
                <w:rFonts w:ascii="Arial Narrow" w:hAnsi="Arial Narrow"/>
                <w:b/>
                <w:bCs/>
                <w:sz w:val="20"/>
                <w:szCs w:val="20"/>
              </w:rPr>
              <w:t>Grade ≥3</w:t>
            </w:r>
          </w:p>
        </w:tc>
      </w:tr>
      <w:tr w:rsidR="00B55373" w:rsidRPr="00E44776" w14:paraId="63D0311E" w14:textId="77777777" w:rsidTr="00A57E5C">
        <w:trPr>
          <w:trHeight w:val="204"/>
        </w:trPr>
        <w:tc>
          <w:tcPr>
            <w:tcW w:w="5000" w:type="pct"/>
            <w:gridSpan w:val="7"/>
          </w:tcPr>
          <w:p w14:paraId="095D8551" w14:textId="77777777" w:rsidR="00B55373" w:rsidRPr="00E44776" w:rsidRDefault="00B55373" w:rsidP="00013B37">
            <w:pPr>
              <w:keepNext/>
              <w:jc w:val="left"/>
              <w:rPr>
                <w:rFonts w:ascii="Arial Narrow" w:hAnsi="Arial Narrow"/>
                <w:sz w:val="20"/>
                <w:szCs w:val="20"/>
              </w:rPr>
            </w:pPr>
            <w:r w:rsidRPr="00E44776">
              <w:rPr>
                <w:rFonts w:ascii="Arial Narrow" w:hAnsi="Arial Narrow"/>
                <w:b/>
                <w:bCs/>
                <w:sz w:val="20"/>
              </w:rPr>
              <w:t>Any AE incidence ≥30%, n (%)</w:t>
            </w:r>
          </w:p>
        </w:tc>
      </w:tr>
      <w:tr w:rsidR="00B55373" w:rsidRPr="00E44776" w14:paraId="62902DE8" w14:textId="77777777" w:rsidTr="00A57E5C">
        <w:trPr>
          <w:trHeight w:val="64"/>
        </w:trPr>
        <w:tc>
          <w:tcPr>
            <w:tcW w:w="1568" w:type="pct"/>
          </w:tcPr>
          <w:p w14:paraId="44F92AAF" w14:textId="77777777" w:rsidR="00B55373" w:rsidRPr="00E44776" w:rsidRDefault="00B55373" w:rsidP="00013B37">
            <w:pPr>
              <w:keepNext/>
              <w:contextualSpacing/>
              <w:jc w:val="left"/>
              <w:rPr>
                <w:rFonts w:ascii="Arial Narrow" w:hAnsi="Arial Narrow"/>
                <w:sz w:val="20"/>
              </w:rPr>
            </w:pPr>
            <w:r w:rsidRPr="00E44776">
              <w:rPr>
                <w:rFonts w:ascii="Arial Narrow" w:hAnsi="Arial Narrow"/>
                <w:sz w:val="20"/>
              </w:rPr>
              <w:t>Diarrhoea</w:t>
            </w:r>
          </w:p>
        </w:tc>
        <w:tc>
          <w:tcPr>
            <w:tcW w:w="572" w:type="pct"/>
          </w:tcPr>
          <w:p w14:paraId="25E74CCC"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77 (43.3)</w:t>
            </w:r>
          </w:p>
        </w:tc>
        <w:tc>
          <w:tcPr>
            <w:tcW w:w="573" w:type="pct"/>
          </w:tcPr>
          <w:p w14:paraId="357A040E"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10 (5.6)</w:t>
            </w:r>
          </w:p>
        </w:tc>
        <w:tc>
          <w:tcPr>
            <w:tcW w:w="573" w:type="pct"/>
          </w:tcPr>
          <w:p w14:paraId="24FA4DAD"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76 (42.5)</w:t>
            </w:r>
          </w:p>
        </w:tc>
        <w:tc>
          <w:tcPr>
            <w:tcW w:w="571" w:type="pct"/>
          </w:tcPr>
          <w:p w14:paraId="3182AF5B"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1 (0.6)</w:t>
            </w:r>
          </w:p>
        </w:tc>
        <w:tc>
          <w:tcPr>
            <w:tcW w:w="571" w:type="pct"/>
          </w:tcPr>
          <w:p w14:paraId="7D8DF0CD"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36 (21.3)</w:t>
            </w:r>
          </w:p>
        </w:tc>
        <w:tc>
          <w:tcPr>
            <w:tcW w:w="572" w:type="pct"/>
          </w:tcPr>
          <w:p w14:paraId="495BD1E6"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3 (1.8)</w:t>
            </w:r>
          </w:p>
        </w:tc>
      </w:tr>
      <w:tr w:rsidR="00B55373" w:rsidRPr="00E44776" w14:paraId="1BAEBE6D" w14:textId="77777777" w:rsidTr="00A57E5C">
        <w:trPr>
          <w:trHeight w:val="64"/>
        </w:trPr>
        <w:tc>
          <w:tcPr>
            <w:tcW w:w="1568" w:type="pct"/>
          </w:tcPr>
          <w:p w14:paraId="503E16D0" w14:textId="77777777" w:rsidR="00B55373" w:rsidRPr="00E44776" w:rsidRDefault="00B55373" w:rsidP="00013B37">
            <w:pPr>
              <w:keepNext/>
              <w:contextualSpacing/>
              <w:jc w:val="left"/>
              <w:rPr>
                <w:rFonts w:ascii="Arial Narrow" w:hAnsi="Arial Narrow"/>
                <w:sz w:val="20"/>
              </w:rPr>
            </w:pPr>
            <w:r w:rsidRPr="00E44776">
              <w:rPr>
                <w:rFonts w:ascii="Arial Narrow" w:hAnsi="Arial Narrow"/>
                <w:sz w:val="20"/>
              </w:rPr>
              <w:t>Headache</w:t>
            </w:r>
          </w:p>
        </w:tc>
        <w:tc>
          <w:tcPr>
            <w:tcW w:w="572" w:type="pct"/>
          </w:tcPr>
          <w:p w14:paraId="78FE1B3A"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72 (40.4)</w:t>
            </w:r>
          </w:p>
        </w:tc>
        <w:tc>
          <w:tcPr>
            <w:tcW w:w="573" w:type="pct"/>
          </w:tcPr>
          <w:p w14:paraId="47676EF7"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2 (1.1)</w:t>
            </w:r>
          </w:p>
        </w:tc>
        <w:tc>
          <w:tcPr>
            <w:tcW w:w="573" w:type="pct"/>
          </w:tcPr>
          <w:p w14:paraId="6618CCF9"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70 (39.1)</w:t>
            </w:r>
          </w:p>
        </w:tc>
        <w:tc>
          <w:tcPr>
            <w:tcW w:w="571" w:type="pct"/>
          </w:tcPr>
          <w:p w14:paraId="607C6517"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2 (1.1)</w:t>
            </w:r>
          </w:p>
        </w:tc>
        <w:tc>
          <w:tcPr>
            <w:tcW w:w="571" w:type="pct"/>
          </w:tcPr>
          <w:p w14:paraId="1F3F0E21"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20 (11.8)</w:t>
            </w:r>
          </w:p>
        </w:tc>
        <w:tc>
          <w:tcPr>
            <w:tcW w:w="572" w:type="pct"/>
          </w:tcPr>
          <w:p w14:paraId="510DDB9C"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0</w:t>
            </w:r>
          </w:p>
        </w:tc>
      </w:tr>
      <w:tr w:rsidR="00B55373" w:rsidRPr="00E44776" w14:paraId="03610185" w14:textId="77777777" w:rsidTr="00A57E5C">
        <w:trPr>
          <w:trHeight w:val="173"/>
        </w:trPr>
        <w:tc>
          <w:tcPr>
            <w:tcW w:w="1568" w:type="pct"/>
          </w:tcPr>
          <w:p w14:paraId="19CC0B68" w14:textId="77777777" w:rsidR="00B55373" w:rsidRPr="00E44776" w:rsidRDefault="00B55373" w:rsidP="00013B37">
            <w:pPr>
              <w:keepNext/>
              <w:contextualSpacing/>
              <w:jc w:val="left"/>
              <w:rPr>
                <w:rFonts w:ascii="Arial Narrow" w:hAnsi="Arial Narrow"/>
                <w:sz w:val="20"/>
              </w:rPr>
            </w:pPr>
            <w:r w:rsidRPr="00E44776">
              <w:rPr>
                <w:rFonts w:ascii="Arial Narrow" w:hAnsi="Arial Narrow"/>
                <w:sz w:val="20"/>
              </w:rPr>
              <w:t>Arthralgia</w:t>
            </w:r>
          </w:p>
        </w:tc>
        <w:tc>
          <w:tcPr>
            <w:tcW w:w="572" w:type="pct"/>
          </w:tcPr>
          <w:p w14:paraId="43DE43E9"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60 (33.7)</w:t>
            </w:r>
          </w:p>
        </w:tc>
        <w:tc>
          <w:tcPr>
            <w:tcW w:w="573" w:type="pct"/>
          </w:tcPr>
          <w:p w14:paraId="40E02526"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4 (2.2)</w:t>
            </w:r>
          </w:p>
        </w:tc>
        <w:tc>
          <w:tcPr>
            <w:tcW w:w="573" w:type="pct"/>
          </w:tcPr>
          <w:p w14:paraId="71FE0508"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47 (26.3)</w:t>
            </w:r>
          </w:p>
        </w:tc>
        <w:tc>
          <w:tcPr>
            <w:tcW w:w="571" w:type="pct"/>
          </w:tcPr>
          <w:p w14:paraId="39140921"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2 (1.1)</w:t>
            </w:r>
          </w:p>
        </w:tc>
        <w:tc>
          <w:tcPr>
            <w:tcW w:w="571" w:type="pct"/>
          </w:tcPr>
          <w:p w14:paraId="50AF0F54"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10 (5.9)</w:t>
            </w:r>
          </w:p>
        </w:tc>
        <w:tc>
          <w:tcPr>
            <w:tcW w:w="572" w:type="pct"/>
          </w:tcPr>
          <w:p w14:paraId="66EBE946"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2 (1.2)</w:t>
            </w:r>
          </w:p>
        </w:tc>
      </w:tr>
      <w:tr w:rsidR="00B55373" w:rsidRPr="00E44776" w14:paraId="1B4A598B" w14:textId="77777777" w:rsidTr="00013B37">
        <w:trPr>
          <w:trHeight w:val="70"/>
        </w:trPr>
        <w:tc>
          <w:tcPr>
            <w:tcW w:w="1568" w:type="pct"/>
          </w:tcPr>
          <w:p w14:paraId="3B83EBB0" w14:textId="77777777" w:rsidR="00B55373" w:rsidRPr="00E44776" w:rsidRDefault="00B55373" w:rsidP="00013B37">
            <w:pPr>
              <w:keepNext/>
              <w:contextualSpacing/>
              <w:jc w:val="left"/>
              <w:rPr>
                <w:rFonts w:ascii="Arial Narrow" w:hAnsi="Arial Narrow"/>
                <w:sz w:val="20"/>
              </w:rPr>
            </w:pPr>
            <w:r w:rsidRPr="00E44776">
              <w:rPr>
                <w:rFonts w:ascii="Arial Narrow" w:hAnsi="Arial Narrow"/>
                <w:sz w:val="20"/>
              </w:rPr>
              <w:t>Neutropenia</w:t>
            </w:r>
          </w:p>
        </w:tc>
        <w:tc>
          <w:tcPr>
            <w:tcW w:w="572" w:type="pct"/>
          </w:tcPr>
          <w:p w14:paraId="4EF58465"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60 (33.7)</w:t>
            </w:r>
          </w:p>
        </w:tc>
        <w:tc>
          <w:tcPr>
            <w:tcW w:w="573" w:type="pct"/>
          </w:tcPr>
          <w:p w14:paraId="3BE4FF24"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55 (30.9)</w:t>
            </w:r>
          </w:p>
        </w:tc>
        <w:tc>
          <w:tcPr>
            <w:tcW w:w="573" w:type="pct"/>
          </w:tcPr>
          <w:p w14:paraId="5B1CE9DC"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22 (12.3)</w:t>
            </w:r>
          </w:p>
        </w:tc>
        <w:tc>
          <w:tcPr>
            <w:tcW w:w="571" w:type="pct"/>
          </w:tcPr>
          <w:p w14:paraId="7F447855"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20 (11.2)</w:t>
            </w:r>
          </w:p>
        </w:tc>
        <w:tc>
          <w:tcPr>
            <w:tcW w:w="571" w:type="pct"/>
          </w:tcPr>
          <w:p w14:paraId="00C945CD"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77 (45.6)</w:t>
            </w:r>
          </w:p>
        </w:tc>
        <w:tc>
          <w:tcPr>
            <w:tcW w:w="572" w:type="pct"/>
          </w:tcPr>
          <w:p w14:paraId="448772C2"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71 (42.0)</w:t>
            </w:r>
          </w:p>
        </w:tc>
      </w:tr>
      <w:tr w:rsidR="00B55373" w:rsidRPr="00E44776" w14:paraId="724E2BB0" w14:textId="77777777" w:rsidTr="00013B37">
        <w:trPr>
          <w:trHeight w:val="145"/>
        </w:trPr>
        <w:tc>
          <w:tcPr>
            <w:tcW w:w="1568" w:type="pct"/>
          </w:tcPr>
          <w:p w14:paraId="0E59D901" w14:textId="77777777" w:rsidR="00B55373" w:rsidRPr="00E44776" w:rsidRDefault="00B55373" w:rsidP="00013B37">
            <w:pPr>
              <w:keepNext/>
              <w:contextualSpacing/>
              <w:jc w:val="left"/>
              <w:rPr>
                <w:rFonts w:ascii="Arial Narrow" w:hAnsi="Arial Narrow"/>
                <w:sz w:val="20"/>
              </w:rPr>
            </w:pPr>
            <w:r w:rsidRPr="00E44776">
              <w:rPr>
                <w:rFonts w:ascii="Arial Narrow" w:hAnsi="Arial Narrow"/>
                <w:sz w:val="20"/>
              </w:rPr>
              <w:t>Nausea</w:t>
            </w:r>
          </w:p>
        </w:tc>
        <w:tc>
          <w:tcPr>
            <w:tcW w:w="572" w:type="pct"/>
          </w:tcPr>
          <w:p w14:paraId="27E6B4FC"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44 (24.7)</w:t>
            </w:r>
          </w:p>
        </w:tc>
        <w:tc>
          <w:tcPr>
            <w:tcW w:w="573" w:type="pct"/>
          </w:tcPr>
          <w:p w14:paraId="58B9F52C"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0</w:t>
            </w:r>
          </w:p>
        </w:tc>
        <w:tc>
          <w:tcPr>
            <w:tcW w:w="573" w:type="pct"/>
          </w:tcPr>
          <w:p w14:paraId="70FF79B7"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44 (24.6)</w:t>
            </w:r>
          </w:p>
        </w:tc>
        <w:tc>
          <w:tcPr>
            <w:tcW w:w="571" w:type="pct"/>
          </w:tcPr>
          <w:p w14:paraId="13ED4E6E"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0</w:t>
            </w:r>
          </w:p>
        </w:tc>
        <w:tc>
          <w:tcPr>
            <w:tcW w:w="571" w:type="pct"/>
          </w:tcPr>
          <w:p w14:paraId="11E689A3"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53 (31.4)</w:t>
            </w:r>
          </w:p>
        </w:tc>
        <w:tc>
          <w:tcPr>
            <w:tcW w:w="572" w:type="pct"/>
          </w:tcPr>
          <w:p w14:paraId="543AE41E"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0</w:t>
            </w:r>
          </w:p>
        </w:tc>
      </w:tr>
      <w:tr w:rsidR="00B55373" w:rsidRPr="00E44776" w14:paraId="6294CE44" w14:textId="77777777" w:rsidTr="00A57E5C">
        <w:trPr>
          <w:trHeight w:val="78"/>
        </w:trPr>
        <w:tc>
          <w:tcPr>
            <w:tcW w:w="1568" w:type="pct"/>
          </w:tcPr>
          <w:p w14:paraId="3BEEE225" w14:textId="77777777" w:rsidR="00B55373" w:rsidRPr="00E44776" w:rsidRDefault="00B55373" w:rsidP="00013B37">
            <w:pPr>
              <w:keepNext/>
              <w:contextualSpacing/>
              <w:jc w:val="left"/>
              <w:rPr>
                <w:rFonts w:ascii="Arial Narrow" w:hAnsi="Arial Narrow"/>
                <w:sz w:val="20"/>
              </w:rPr>
            </w:pPr>
            <w:r w:rsidRPr="00E44776">
              <w:rPr>
                <w:rFonts w:ascii="Arial Narrow" w:hAnsi="Arial Narrow"/>
                <w:sz w:val="20"/>
              </w:rPr>
              <w:t>Infusion-related reaction</w:t>
            </w:r>
          </w:p>
        </w:tc>
        <w:tc>
          <w:tcPr>
            <w:tcW w:w="572" w:type="pct"/>
          </w:tcPr>
          <w:p w14:paraId="56666BCC"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26 (14.6)</w:t>
            </w:r>
          </w:p>
        </w:tc>
        <w:tc>
          <w:tcPr>
            <w:tcW w:w="573" w:type="pct"/>
          </w:tcPr>
          <w:p w14:paraId="32426074"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5 (2.8)</w:t>
            </w:r>
          </w:p>
        </w:tc>
        <w:tc>
          <w:tcPr>
            <w:tcW w:w="573" w:type="pct"/>
          </w:tcPr>
          <w:p w14:paraId="377B18D5"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1 (0.6)</w:t>
            </w:r>
          </w:p>
        </w:tc>
        <w:tc>
          <w:tcPr>
            <w:tcW w:w="571" w:type="pct"/>
          </w:tcPr>
          <w:p w14:paraId="0874834A"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0</w:t>
            </w:r>
          </w:p>
        </w:tc>
        <w:tc>
          <w:tcPr>
            <w:tcW w:w="571" w:type="pct"/>
          </w:tcPr>
          <w:p w14:paraId="78DD7489"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69 (40.8)</w:t>
            </w:r>
          </w:p>
        </w:tc>
        <w:tc>
          <w:tcPr>
            <w:tcW w:w="572" w:type="pct"/>
          </w:tcPr>
          <w:p w14:paraId="62CCB6FC" w14:textId="77777777" w:rsidR="00B55373" w:rsidRPr="00E44776" w:rsidRDefault="00B55373" w:rsidP="00013B37">
            <w:pPr>
              <w:keepNext/>
              <w:jc w:val="center"/>
              <w:rPr>
                <w:rFonts w:ascii="Arial Narrow" w:hAnsi="Arial Narrow"/>
                <w:sz w:val="20"/>
                <w:szCs w:val="20"/>
              </w:rPr>
            </w:pPr>
            <w:r w:rsidRPr="00E44776">
              <w:rPr>
                <w:rFonts w:ascii="Arial Narrow" w:hAnsi="Arial Narrow"/>
                <w:sz w:val="20"/>
                <w:szCs w:val="20"/>
              </w:rPr>
              <w:t>10 (5.9)</w:t>
            </w:r>
          </w:p>
        </w:tc>
      </w:tr>
      <w:tr w:rsidR="00B55373" w:rsidRPr="00E44776" w14:paraId="5621010D" w14:textId="77777777" w:rsidTr="00A57E5C">
        <w:tc>
          <w:tcPr>
            <w:tcW w:w="5000" w:type="pct"/>
            <w:gridSpan w:val="7"/>
          </w:tcPr>
          <w:p w14:paraId="01B9F60D" w14:textId="77777777" w:rsidR="00B55373" w:rsidRPr="00E44776" w:rsidRDefault="00B55373" w:rsidP="00013B37">
            <w:pPr>
              <w:keepNext/>
              <w:jc w:val="left"/>
              <w:rPr>
                <w:rFonts w:ascii="Arial Narrow" w:hAnsi="Arial Narrow"/>
                <w:b/>
                <w:bCs/>
                <w:sz w:val="20"/>
                <w:szCs w:val="20"/>
              </w:rPr>
            </w:pPr>
            <w:r w:rsidRPr="00E44776">
              <w:rPr>
                <w:rFonts w:ascii="Arial Narrow" w:hAnsi="Arial Narrow"/>
                <w:b/>
                <w:bCs/>
                <w:sz w:val="20"/>
                <w:szCs w:val="20"/>
              </w:rPr>
              <w:t>AEs of clinical interest, n (%)</w:t>
            </w:r>
          </w:p>
        </w:tc>
      </w:tr>
      <w:tr w:rsidR="00520BCC" w:rsidRPr="00E44776" w14:paraId="2C888B88" w14:textId="77777777" w:rsidTr="00A57E5C">
        <w:trPr>
          <w:trHeight w:val="64"/>
        </w:trPr>
        <w:tc>
          <w:tcPr>
            <w:tcW w:w="1568" w:type="pct"/>
          </w:tcPr>
          <w:p w14:paraId="4B322FA2" w14:textId="77777777" w:rsidR="00520BCC" w:rsidRPr="00E44776" w:rsidRDefault="00520BCC" w:rsidP="00013B37">
            <w:pPr>
              <w:keepNext/>
              <w:jc w:val="left"/>
              <w:rPr>
                <w:rFonts w:ascii="Arial Narrow" w:hAnsi="Arial Narrow"/>
                <w:sz w:val="20"/>
              </w:rPr>
            </w:pPr>
            <w:r w:rsidRPr="00E44776">
              <w:rPr>
                <w:rFonts w:ascii="Arial Narrow" w:hAnsi="Arial Narrow"/>
                <w:sz w:val="20"/>
              </w:rPr>
              <w:t>Cardiac events</w:t>
            </w:r>
          </w:p>
          <w:p w14:paraId="5F5A3783" w14:textId="77777777" w:rsidR="00520BCC" w:rsidRPr="00E44776" w:rsidRDefault="00520BCC" w:rsidP="00013B37">
            <w:pPr>
              <w:keepNext/>
              <w:jc w:val="left"/>
              <w:rPr>
                <w:rFonts w:ascii="Arial Narrow" w:hAnsi="Arial Narrow"/>
                <w:sz w:val="20"/>
              </w:rPr>
            </w:pPr>
            <w:r w:rsidRPr="00E44776">
              <w:rPr>
                <w:rFonts w:ascii="Arial Narrow" w:hAnsi="Arial Narrow"/>
                <w:sz w:val="20"/>
              </w:rPr>
              <w:t>- Atrial fibrillation</w:t>
            </w:r>
          </w:p>
        </w:tc>
        <w:tc>
          <w:tcPr>
            <w:tcW w:w="572" w:type="pct"/>
          </w:tcPr>
          <w:p w14:paraId="42A50E18" w14:textId="77777777" w:rsidR="00520BCC" w:rsidRPr="00E44776" w:rsidRDefault="00520BCC" w:rsidP="00013B37">
            <w:pPr>
              <w:pStyle w:val="COMTabletext"/>
              <w:jc w:val="center"/>
            </w:pPr>
            <w:r w:rsidRPr="00E44776">
              <w:t xml:space="preserve">43 (24.2) </w:t>
            </w:r>
          </w:p>
          <w:p w14:paraId="49E6E845" w14:textId="511A8AA8" w:rsidR="00520BCC" w:rsidRPr="00E44776" w:rsidRDefault="00520BCC" w:rsidP="00013B37">
            <w:pPr>
              <w:pStyle w:val="COMTabletext"/>
              <w:jc w:val="center"/>
              <w:rPr>
                <w:szCs w:val="20"/>
              </w:rPr>
            </w:pPr>
            <w:r w:rsidRPr="00E44776">
              <w:t>11 (6.2)</w:t>
            </w:r>
          </w:p>
        </w:tc>
        <w:tc>
          <w:tcPr>
            <w:tcW w:w="573" w:type="pct"/>
          </w:tcPr>
          <w:p w14:paraId="57DFED17" w14:textId="77777777" w:rsidR="00520BCC" w:rsidRPr="00E44776" w:rsidRDefault="00520BCC" w:rsidP="00013B37">
            <w:pPr>
              <w:pStyle w:val="COMTabletext"/>
              <w:jc w:val="center"/>
            </w:pPr>
            <w:r w:rsidRPr="00E44776">
              <w:t>17 (9.6)</w:t>
            </w:r>
          </w:p>
          <w:p w14:paraId="7C6FA104" w14:textId="44976413" w:rsidR="00520BCC" w:rsidRPr="00E44776" w:rsidRDefault="00520BCC" w:rsidP="00013B37">
            <w:pPr>
              <w:pStyle w:val="COMTabletext"/>
              <w:jc w:val="center"/>
              <w:rPr>
                <w:szCs w:val="20"/>
              </w:rPr>
            </w:pPr>
            <w:r w:rsidRPr="00E44776">
              <w:t>2 (1.1)</w:t>
            </w:r>
          </w:p>
        </w:tc>
        <w:tc>
          <w:tcPr>
            <w:tcW w:w="573" w:type="pct"/>
          </w:tcPr>
          <w:p w14:paraId="7E092F11" w14:textId="77777777" w:rsidR="00520BCC" w:rsidRPr="00E44776" w:rsidRDefault="00520BCC" w:rsidP="00013B37">
            <w:pPr>
              <w:pStyle w:val="COMTabletext"/>
              <w:jc w:val="center"/>
            </w:pPr>
            <w:r w:rsidRPr="00E44776">
              <w:t>39 (21.8)</w:t>
            </w:r>
          </w:p>
          <w:p w14:paraId="31B92C7C" w14:textId="415F8F0B" w:rsidR="00520BCC" w:rsidRPr="00E44776" w:rsidRDefault="00520BCC" w:rsidP="00013B37">
            <w:pPr>
              <w:pStyle w:val="COMTabletext"/>
              <w:jc w:val="center"/>
              <w:rPr>
                <w:szCs w:val="20"/>
              </w:rPr>
            </w:pPr>
            <w:r w:rsidRPr="00E44776">
              <w:t>13 (7.3)</w:t>
            </w:r>
          </w:p>
        </w:tc>
        <w:tc>
          <w:tcPr>
            <w:tcW w:w="571" w:type="pct"/>
          </w:tcPr>
          <w:p w14:paraId="28FF00BE" w14:textId="77777777" w:rsidR="00520BCC" w:rsidRPr="00E44776" w:rsidRDefault="00520BCC" w:rsidP="00013B37">
            <w:pPr>
              <w:pStyle w:val="COMTabletext"/>
              <w:jc w:val="center"/>
            </w:pPr>
            <w:r w:rsidRPr="00E44776">
              <w:t>18 (10.1)</w:t>
            </w:r>
          </w:p>
          <w:p w14:paraId="31B3D052" w14:textId="59CC3E2E" w:rsidR="00520BCC" w:rsidRPr="00E44776" w:rsidRDefault="00520BCC" w:rsidP="00013B37">
            <w:pPr>
              <w:pStyle w:val="COMTabletext"/>
              <w:jc w:val="center"/>
              <w:rPr>
                <w:szCs w:val="20"/>
              </w:rPr>
            </w:pPr>
            <w:r w:rsidRPr="00E44776">
              <w:t>2 (1.1)</w:t>
            </w:r>
          </w:p>
        </w:tc>
        <w:tc>
          <w:tcPr>
            <w:tcW w:w="571" w:type="pct"/>
          </w:tcPr>
          <w:p w14:paraId="70679B91" w14:textId="77777777" w:rsidR="00520BCC" w:rsidRPr="00E44776" w:rsidRDefault="00520BCC" w:rsidP="00013B37">
            <w:pPr>
              <w:pStyle w:val="COMTabletext"/>
              <w:jc w:val="center"/>
            </w:pPr>
            <w:r w:rsidRPr="00E44776">
              <w:t>13 (7.7)</w:t>
            </w:r>
          </w:p>
          <w:p w14:paraId="25A7141E" w14:textId="51C809F4" w:rsidR="00520BCC" w:rsidRPr="00E44776" w:rsidRDefault="00520BCC" w:rsidP="00013B37">
            <w:pPr>
              <w:pStyle w:val="COMTabletext"/>
              <w:jc w:val="center"/>
              <w:rPr>
                <w:szCs w:val="20"/>
              </w:rPr>
            </w:pPr>
            <w:r w:rsidRPr="00E44776">
              <w:t>1 (0.6)</w:t>
            </w:r>
          </w:p>
        </w:tc>
        <w:tc>
          <w:tcPr>
            <w:tcW w:w="572" w:type="pct"/>
          </w:tcPr>
          <w:p w14:paraId="6D54D56C" w14:textId="77777777" w:rsidR="00520BCC" w:rsidRPr="00E44776" w:rsidRDefault="00520BCC" w:rsidP="00013B37">
            <w:pPr>
              <w:pStyle w:val="COMTabletext"/>
              <w:jc w:val="center"/>
            </w:pPr>
            <w:r w:rsidRPr="00E44776">
              <w:t>3 (1.8)</w:t>
            </w:r>
          </w:p>
          <w:p w14:paraId="5850BDA7" w14:textId="6A8C8533" w:rsidR="00520BCC" w:rsidRPr="00E44776" w:rsidRDefault="00520BCC" w:rsidP="00013B37">
            <w:pPr>
              <w:pStyle w:val="COMTabletext"/>
              <w:jc w:val="center"/>
              <w:rPr>
                <w:szCs w:val="20"/>
              </w:rPr>
            </w:pPr>
            <w:r w:rsidRPr="00E44776">
              <w:t>0</w:t>
            </w:r>
          </w:p>
        </w:tc>
      </w:tr>
      <w:tr w:rsidR="00520BCC" w:rsidRPr="00E44776" w14:paraId="41ED2BCC" w14:textId="77777777" w:rsidTr="00A57E5C">
        <w:trPr>
          <w:trHeight w:val="64"/>
        </w:trPr>
        <w:tc>
          <w:tcPr>
            <w:tcW w:w="1568" w:type="pct"/>
          </w:tcPr>
          <w:p w14:paraId="0D5DAE69" w14:textId="77777777" w:rsidR="00520BCC" w:rsidRPr="00E44776" w:rsidRDefault="00520BCC" w:rsidP="00013B37">
            <w:pPr>
              <w:keepNext/>
              <w:jc w:val="left"/>
              <w:rPr>
                <w:rFonts w:ascii="Arial Narrow" w:hAnsi="Arial Narrow"/>
                <w:sz w:val="20"/>
              </w:rPr>
            </w:pPr>
            <w:r w:rsidRPr="00E44776">
              <w:rPr>
                <w:rFonts w:ascii="Arial Narrow" w:hAnsi="Arial Narrow"/>
                <w:sz w:val="20"/>
              </w:rPr>
              <w:t>Hypertension</w:t>
            </w:r>
          </w:p>
        </w:tc>
        <w:tc>
          <w:tcPr>
            <w:tcW w:w="572" w:type="pct"/>
          </w:tcPr>
          <w:p w14:paraId="5DF8A8FE" w14:textId="1E951183" w:rsidR="00520BCC" w:rsidRPr="00E44776" w:rsidRDefault="00520BCC" w:rsidP="00013B37">
            <w:pPr>
              <w:pStyle w:val="COMTabletext"/>
              <w:jc w:val="center"/>
            </w:pPr>
            <w:r w:rsidRPr="00E44776">
              <w:t>17 (9.6)</w:t>
            </w:r>
          </w:p>
        </w:tc>
        <w:tc>
          <w:tcPr>
            <w:tcW w:w="573" w:type="pct"/>
          </w:tcPr>
          <w:p w14:paraId="2777F09E" w14:textId="0379470A" w:rsidR="00520BCC" w:rsidRPr="00E44776" w:rsidRDefault="00520BCC" w:rsidP="00013B37">
            <w:pPr>
              <w:pStyle w:val="COMTabletext"/>
              <w:jc w:val="center"/>
            </w:pPr>
            <w:r w:rsidRPr="00E44776">
              <w:t>8 (4.5)</w:t>
            </w:r>
          </w:p>
        </w:tc>
        <w:tc>
          <w:tcPr>
            <w:tcW w:w="573" w:type="pct"/>
          </w:tcPr>
          <w:p w14:paraId="3F5696CB" w14:textId="4791C84B" w:rsidR="00520BCC" w:rsidRPr="00E44776" w:rsidRDefault="00520BCC" w:rsidP="00013B37">
            <w:pPr>
              <w:pStyle w:val="COMTabletext"/>
              <w:jc w:val="center"/>
            </w:pPr>
            <w:r w:rsidRPr="00E44776">
              <w:t>16 (8.9)</w:t>
            </w:r>
          </w:p>
        </w:tc>
        <w:tc>
          <w:tcPr>
            <w:tcW w:w="571" w:type="pct"/>
          </w:tcPr>
          <w:p w14:paraId="77E3C8D4" w14:textId="0E9DD495" w:rsidR="00520BCC" w:rsidRPr="00E44776" w:rsidRDefault="00520BCC" w:rsidP="00013B37">
            <w:pPr>
              <w:pStyle w:val="COMTabletext"/>
              <w:jc w:val="center"/>
            </w:pPr>
            <w:r w:rsidRPr="00E44776">
              <w:t>7 (3.9)</w:t>
            </w:r>
          </w:p>
        </w:tc>
        <w:tc>
          <w:tcPr>
            <w:tcW w:w="571" w:type="pct"/>
          </w:tcPr>
          <w:p w14:paraId="789C5A1C" w14:textId="5864E7CD" w:rsidR="00520BCC" w:rsidRPr="00E44776" w:rsidRDefault="00520BCC" w:rsidP="00013B37">
            <w:pPr>
              <w:pStyle w:val="COMTabletext"/>
              <w:jc w:val="center"/>
            </w:pPr>
            <w:r w:rsidRPr="00E44776">
              <w:t>6 (3.6)</w:t>
            </w:r>
          </w:p>
        </w:tc>
        <w:tc>
          <w:tcPr>
            <w:tcW w:w="572" w:type="pct"/>
          </w:tcPr>
          <w:p w14:paraId="2139CFFF" w14:textId="34C9C4C8" w:rsidR="00520BCC" w:rsidRPr="00E44776" w:rsidRDefault="00520BCC" w:rsidP="00013B37">
            <w:pPr>
              <w:pStyle w:val="COMTabletext"/>
              <w:jc w:val="center"/>
            </w:pPr>
            <w:r w:rsidRPr="00E44776">
              <w:t>5 (3.0)</w:t>
            </w:r>
          </w:p>
        </w:tc>
      </w:tr>
      <w:tr w:rsidR="00520BCC" w:rsidRPr="00E44776" w14:paraId="3AC8652D" w14:textId="77777777" w:rsidTr="00A57E5C">
        <w:trPr>
          <w:trHeight w:val="64"/>
        </w:trPr>
        <w:tc>
          <w:tcPr>
            <w:tcW w:w="1568" w:type="pct"/>
          </w:tcPr>
          <w:p w14:paraId="42B619DC" w14:textId="77777777" w:rsidR="00520BCC" w:rsidRPr="00E44776" w:rsidRDefault="00520BCC" w:rsidP="00013B37">
            <w:pPr>
              <w:keepNext/>
              <w:jc w:val="left"/>
              <w:rPr>
                <w:rFonts w:ascii="Arial Narrow" w:hAnsi="Arial Narrow"/>
                <w:sz w:val="20"/>
              </w:rPr>
            </w:pPr>
            <w:r w:rsidRPr="00E44776">
              <w:rPr>
                <w:rFonts w:ascii="Arial Narrow" w:hAnsi="Arial Narrow"/>
                <w:sz w:val="20"/>
              </w:rPr>
              <w:t>Bleeding</w:t>
            </w:r>
          </w:p>
          <w:p w14:paraId="5F0AE436" w14:textId="77777777" w:rsidR="00520BCC" w:rsidRPr="00E44776" w:rsidRDefault="00520BCC" w:rsidP="00013B37">
            <w:pPr>
              <w:keepNext/>
              <w:jc w:val="left"/>
              <w:rPr>
                <w:rFonts w:ascii="Arial Narrow" w:hAnsi="Arial Narrow"/>
                <w:sz w:val="20"/>
              </w:rPr>
            </w:pPr>
            <w:r w:rsidRPr="00E44776">
              <w:rPr>
                <w:rFonts w:ascii="Arial Narrow" w:hAnsi="Arial Narrow"/>
                <w:sz w:val="20"/>
              </w:rPr>
              <w:t>- Major bleeding</w:t>
            </w:r>
          </w:p>
        </w:tc>
        <w:tc>
          <w:tcPr>
            <w:tcW w:w="572" w:type="pct"/>
          </w:tcPr>
          <w:p w14:paraId="770A9E0D" w14:textId="77777777" w:rsidR="00520BCC" w:rsidRPr="00E44776" w:rsidRDefault="00520BCC" w:rsidP="00013B37">
            <w:pPr>
              <w:pStyle w:val="COMTabletext"/>
              <w:jc w:val="center"/>
              <w:rPr>
                <w:szCs w:val="20"/>
              </w:rPr>
            </w:pPr>
            <w:r w:rsidRPr="00E44776">
              <w:t>88 (49.4)</w:t>
            </w:r>
          </w:p>
          <w:p w14:paraId="56E4A2B2" w14:textId="6D5E4464" w:rsidR="00520BCC" w:rsidRPr="00E44776" w:rsidRDefault="00520BCC" w:rsidP="00013B37">
            <w:pPr>
              <w:pStyle w:val="COMTabletext"/>
              <w:jc w:val="center"/>
              <w:rPr>
                <w:szCs w:val="20"/>
              </w:rPr>
            </w:pPr>
            <w:r w:rsidRPr="00E44776">
              <w:t>12 (6.7)</w:t>
            </w:r>
          </w:p>
        </w:tc>
        <w:tc>
          <w:tcPr>
            <w:tcW w:w="573" w:type="pct"/>
          </w:tcPr>
          <w:p w14:paraId="4F07E1DC" w14:textId="77777777" w:rsidR="00520BCC" w:rsidRPr="00E44776" w:rsidRDefault="00520BCC" w:rsidP="00013B37">
            <w:pPr>
              <w:pStyle w:val="COMTabletext"/>
              <w:jc w:val="center"/>
              <w:rPr>
                <w:szCs w:val="20"/>
              </w:rPr>
            </w:pPr>
            <w:r w:rsidRPr="00E44776">
              <w:t>8 (4.5)</w:t>
            </w:r>
          </w:p>
          <w:p w14:paraId="3B968E5A" w14:textId="7C70926E" w:rsidR="00520BCC" w:rsidRPr="00E44776" w:rsidRDefault="00520BCC" w:rsidP="00013B37">
            <w:pPr>
              <w:pStyle w:val="COMTabletext"/>
              <w:jc w:val="center"/>
              <w:rPr>
                <w:szCs w:val="20"/>
              </w:rPr>
            </w:pPr>
            <w:r w:rsidRPr="00E44776">
              <w:t>8 (4.5)</w:t>
            </w:r>
          </w:p>
        </w:tc>
        <w:tc>
          <w:tcPr>
            <w:tcW w:w="573" w:type="pct"/>
          </w:tcPr>
          <w:p w14:paraId="1191DFB3" w14:textId="77777777" w:rsidR="00520BCC" w:rsidRPr="00E44776" w:rsidRDefault="00520BCC" w:rsidP="00013B37">
            <w:pPr>
              <w:pStyle w:val="COMTabletext"/>
              <w:jc w:val="center"/>
              <w:rPr>
                <w:szCs w:val="20"/>
              </w:rPr>
            </w:pPr>
            <w:r w:rsidRPr="00E44776">
              <w:t>78 (43.6)</w:t>
            </w:r>
          </w:p>
          <w:p w14:paraId="3DEF7C0A" w14:textId="243F9738" w:rsidR="00520BCC" w:rsidRPr="00E44776" w:rsidRDefault="00520BCC" w:rsidP="00013B37">
            <w:pPr>
              <w:pStyle w:val="COMTabletext"/>
              <w:jc w:val="center"/>
              <w:rPr>
                <w:szCs w:val="20"/>
              </w:rPr>
            </w:pPr>
            <w:r w:rsidRPr="00E44776">
              <w:t>8 (4.5)</w:t>
            </w:r>
          </w:p>
        </w:tc>
        <w:tc>
          <w:tcPr>
            <w:tcW w:w="571" w:type="pct"/>
          </w:tcPr>
          <w:p w14:paraId="24D07227" w14:textId="77777777" w:rsidR="00520BCC" w:rsidRPr="00E44776" w:rsidRDefault="00520BCC" w:rsidP="00013B37">
            <w:pPr>
              <w:pStyle w:val="COMTabletext"/>
              <w:jc w:val="center"/>
              <w:rPr>
                <w:szCs w:val="20"/>
              </w:rPr>
            </w:pPr>
            <w:r w:rsidRPr="00E44776">
              <w:t>6 (3.4)</w:t>
            </w:r>
          </w:p>
          <w:p w14:paraId="010EE7F0" w14:textId="6BB80839" w:rsidR="00520BCC" w:rsidRPr="00E44776" w:rsidRDefault="00520BCC" w:rsidP="00013B37">
            <w:pPr>
              <w:pStyle w:val="COMTabletext"/>
              <w:jc w:val="center"/>
              <w:rPr>
                <w:szCs w:val="20"/>
              </w:rPr>
            </w:pPr>
            <w:r w:rsidRPr="00E44776">
              <w:t>6 (3.4)</w:t>
            </w:r>
          </w:p>
        </w:tc>
        <w:tc>
          <w:tcPr>
            <w:tcW w:w="571" w:type="pct"/>
          </w:tcPr>
          <w:p w14:paraId="0CF0D176" w14:textId="77777777" w:rsidR="00520BCC" w:rsidRPr="00E44776" w:rsidRDefault="00520BCC" w:rsidP="00013B37">
            <w:pPr>
              <w:pStyle w:val="COMTabletext"/>
              <w:jc w:val="center"/>
              <w:rPr>
                <w:szCs w:val="20"/>
              </w:rPr>
            </w:pPr>
            <w:r w:rsidRPr="00E44776">
              <w:t>20 (11.8)</w:t>
            </w:r>
          </w:p>
          <w:p w14:paraId="651D379B" w14:textId="0DA061DB" w:rsidR="00520BCC" w:rsidRPr="00E44776" w:rsidRDefault="00520BCC" w:rsidP="00013B37">
            <w:pPr>
              <w:pStyle w:val="COMTabletext"/>
              <w:jc w:val="center"/>
              <w:rPr>
                <w:szCs w:val="20"/>
              </w:rPr>
            </w:pPr>
            <w:r w:rsidRPr="00E44776">
              <w:t>2 (1.2)</w:t>
            </w:r>
          </w:p>
        </w:tc>
        <w:tc>
          <w:tcPr>
            <w:tcW w:w="572" w:type="pct"/>
          </w:tcPr>
          <w:p w14:paraId="33DEFBF6" w14:textId="77777777" w:rsidR="00520BCC" w:rsidRPr="00E44776" w:rsidRDefault="00520BCC" w:rsidP="00013B37">
            <w:pPr>
              <w:pStyle w:val="COMTabletext"/>
              <w:jc w:val="center"/>
              <w:rPr>
                <w:szCs w:val="20"/>
              </w:rPr>
            </w:pPr>
            <w:r w:rsidRPr="00E44776">
              <w:t>0</w:t>
            </w:r>
          </w:p>
          <w:p w14:paraId="5666A4AD" w14:textId="0C74EA68" w:rsidR="00520BCC" w:rsidRPr="00E44776" w:rsidRDefault="00520BCC" w:rsidP="00013B37">
            <w:pPr>
              <w:pStyle w:val="COMTabletext"/>
              <w:jc w:val="center"/>
              <w:rPr>
                <w:szCs w:val="20"/>
              </w:rPr>
            </w:pPr>
            <w:r w:rsidRPr="00E44776">
              <w:t>0</w:t>
            </w:r>
          </w:p>
        </w:tc>
      </w:tr>
      <w:tr w:rsidR="00520BCC" w:rsidRPr="00E44776" w14:paraId="1C8DF8CF" w14:textId="77777777" w:rsidTr="00A57E5C">
        <w:trPr>
          <w:trHeight w:val="64"/>
        </w:trPr>
        <w:tc>
          <w:tcPr>
            <w:tcW w:w="1568" w:type="pct"/>
          </w:tcPr>
          <w:p w14:paraId="34DE5181" w14:textId="77777777" w:rsidR="00520BCC" w:rsidRPr="00E44776" w:rsidRDefault="00520BCC" w:rsidP="00013B37">
            <w:pPr>
              <w:keepNext/>
              <w:jc w:val="left"/>
              <w:rPr>
                <w:rFonts w:ascii="Arial Narrow" w:hAnsi="Arial Narrow"/>
                <w:sz w:val="20"/>
                <w:szCs w:val="20"/>
              </w:rPr>
            </w:pPr>
            <w:r w:rsidRPr="00E44776">
              <w:rPr>
                <w:rFonts w:ascii="Arial Narrow" w:hAnsi="Arial Narrow"/>
                <w:sz w:val="20"/>
              </w:rPr>
              <w:t>Infections</w:t>
            </w:r>
          </w:p>
        </w:tc>
        <w:tc>
          <w:tcPr>
            <w:tcW w:w="572" w:type="pct"/>
          </w:tcPr>
          <w:p w14:paraId="4FE999C1" w14:textId="5584975D" w:rsidR="00520BCC" w:rsidRPr="00E44776" w:rsidRDefault="00520BCC" w:rsidP="00013B37">
            <w:pPr>
              <w:pStyle w:val="COMTabletext"/>
              <w:jc w:val="center"/>
              <w:rPr>
                <w:szCs w:val="20"/>
              </w:rPr>
            </w:pPr>
            <w:r w:rsidRPr="00E44776">
              <w:t>140 (78.7)</w:t>
            </w:r>
          </w:p>
        </w:tc>
        <w:tc>
          <w:tcPr>
            <w:tcW w:w="573" w:type="pct"/>
          </w:tcPr>
          <w:p w14:paraId="4FBC5D6D" w14:textId="20B58F81" w:rsidR="00520BCC" w:rsidRPr="00E44776" w:rsidRDefault="00520BCC" w:rsidP="00013B37">
            <w:pPr>
              <w:pStyle w:val="COMTabletext"/>
              <w:jc w:val="center"/>
              <w:rPr>
                <w:szCs w:val="20"/>
              </w:rPr>
            </w:pPr>
            <w:r w:rsidRPr="00E44776">
              <w:t>50 (28.1)</w:t>
            </w:r>
          </w:p>
        </w:tc>
        <w:tc>
          <w:tcPr>
            <w:tcW w:w="573" w:type="pct"/>
          </w:tcPr>
          <w:p w14:paraId="0858F00C" w14:textId="23A7EC47" w:rsidR="00520BCC" w:rsidRPr="00E44776" w:rsidRDefault="00520BCC" w:rsidP="00013B37">
            <w:pPr>
              <w:pStyle w:val="COMTabletext"/>
              <w:jc w:val="center"/>
              <w:rPr>
                <w:szCs w:val="20"/>
              </w:rPr>
            </w:pPr>
            <w:r w:rsidRPr="00E44776">
              <w:t>135 (75.4)</w:t>
            </w:r>
          </w:p>
        </w:tc>
        <w:tc>
          <w:tcPr>
            <w:tcW w:w="571" w:type="pct"/>
          </w:tcPr>
          <w:p w14:paraId="56FDC0D8" w14:textId="75F78B14" w:rsidR="00520BCC" w:rsidRPr="00E44776" w:rsidRDefault="00520BCC" w:rsidP="00013B37">
            <w:pPr>
              <w:pStyle w:val="COMTabletext"/>
              <w:jc w:val="center"/>
              <w:rPr>
                <w:szCs w:val="20"/>
              </w:rPr>
            </w:pPr>
            <w:r w:rsidRPr="00E44776">
              <w:t>35 (19.6)</w:t>
            </w:r>
          </w:p>
        </w:tc>
        <w:tc>
          <w:tcPr>
            <w:tcW w:w="571" w:type="pct"/>
          </w:tcPr>
          <w:p w14:paraId="5FDBF90E" w14:textId="667B8B10" w:rsidR="00520BCC" w:rsidRPr="00E44776" w:rsidRDefault="00520BCC" w:rsidP="00013B37">
            <w:pPr>
              <w:pStyle w:val="COMTabletext"/>
              <w:jc w:val="center"/>
              <w:rPr>
                <w:szCs w:val="20"/>
              </w:rPr>
            </w:pPr>
            <w:r w:rsidRPr="00E44776">
              <w:t>75 (44.4)</w:t>
            </w:r>
          </w:p>
        </w:tc>
        <w:tc>
          <w:tcPr>
            <w:tcW w:w="572" w:type="pct"/>
          </w:tcPr>
          <w:p w14:paraId="14EE7F15" w14:textId="165AEAD1" w:rsidR="00520BCC" w:rsidRPr="00E44776" w:rsidRDefault="00520BCC" w:rsidP="00013B37">
            <w:pPr>
              <w:pStyle w:val="COMTabletext"/>
              <w:jc w:val="center"/>
              <w:rPr>
                <w:szCs w:val="20"/>
              </w:rPr>
            </w:pPr>
            <w:r w:rsidRPr="00E44776">
              <w:t>14 (8.3)</w:t>
            </w:r>
          </w:p>
        </w:tc>
      </w:tr>
      <w:tr w:rsidR="00520BCC" w:rsidRPr="00E44776" w14:paraId="6B985FAC" w14:textId="77777777" w:rsidTr="00A57E5C">
        <w:tc>
          <w:tcPr>
            <w:tcW w:w="1568" w:type="pct"/>
          </w:tcPr>
          <w:p w14:paraId="0D8EEF2D" w14:textId="77777777" w:rsidR="00520BCC" w:rsidRPr="00E44776" w:rsidRDefault="00520BCC" w:rsidP="00013B37">
            <w:pPr>
              <w:keepNext/>
              <w:jc w:val="left"/>
              <w:rPr>
                <w:rFonts w:ascii="Arial Narrow" w:hAnsi="Arial Narrow"/>
                <w:sz w:val="20"/>
              </w:rPr>
            </w:pPr>
            <w:r w:rsidRPr="00E44776">
              <w:rPr>
                <w:rFonts w:ascii="Arial Narrow" w:hAnsi="Arial Narrow"/>
                <w:sz w:val="20"/>
              </w:rPr>
              <w:t>Second primary malignancy</w:t>
            </w:r>
          </w:p>
          <w:p w14:paraId="3F7A39E2" w14:textId="77777777" w:rsidR="00520BCC" w:rsidRPr="00E44776" w:rsidRDefault="00520BCC" w:rsidP="00013B37">
            <w:pPr>
              <w:keepNext/>
              <w:jc w:val="left"/>
              <w:rPr>
                <w:rFonts w:ascii="Arial Narrow" w:hAnsi="Arial Narrow"/>
                <w:sz w:val="20"/>
                <w:szCs w:val="20"/>
              </w:rPr>
            </w:pPr>
            <w:r w:rsidRPr="00E44776">
              <w:rPr>
                <w:rFonts w:ascii="Arial Narrow" w:hAnsi="Arial Narrow"/>
                <w:sz w:val="20"/>
              </w:rPr>
              <w:t>- Excluding non-melanoma skin</w:t>
            </w:r>
          </w:p>
        </w:tc>
        <w:tc>
          <w:tcPr>
            <w:tcW w:w="572" w:type="pct"/>
          </w:tcPr>
          <w:p w14:paraId="43A5BB7B" w14:textId="77777777" w:rsidR="00520BCC" w:rsidRPr="00E44776" w:rsidRDefault="00520BCC" w:rsidP="00013B37">
            <w:pPr>
              <w:pStyle w:val="COMTabletext"/>
              <w:jc w:val="center"/>
            </w:pPr>
            <w:r w:rsidRPr="00E44776">
              <w:t>31 (17.4)</w:t>
            </w:r>
          </w:p>
          <w:p w14:paraId="05E8F982" w14:textId="48162EC1" w:rsidR="00520BCC" w:rsidRPr="00E44776" w:rsidRDefault="00520BCC" w:rsidP="00013B37">
            <w:pPr>
              <w:pStyle w:val="COMTabletext"/>
              <w:jc w:val="center"/>
              <w:rPr>
                <w:szCs w:val="20"/>
              </w:rPr>
            </w:pPr>
            <w:r w:rsidRPr="00E44776">
              <w:t>17 (9.6)</w:t>
            </w:r>
          </w:p>
        </w:tc>
        <w:tc>
          <w:tcPr>
            <w:tcW w:w="573" w:type="pct"/>
          </w:tcPr>
          <w:p w14:paraId="7B0FADE0" w14:textId="77777777" w:rsidR="00520BCC" w:rsidRPr="00E44776" w:rsidRDefault="00520BCC" w:rsidP="00013B37">
            <w:pPr>
              <w:pStyle w:val="COMTabletext"/>
              <w:jc w:val="center"/>
            </w:pPr>
            <w:r w:rsidRPr="00E44776">
              <w:t>14 (7.9)</w:t>
            </w:r>
          </w:p>
          <w:p w14:paraId="28FC9017" w14:textId="238E597F" w:rsidR="00520BCC" w:rsidRPr="00E44776" w:rsidRDefault="00520BCC" w:rsidP="00013B37">
            <w:pPr>
              <w:pStyle w:val="COMTabletext"/>
              <w:jc w:val="center"/>
              <w:rPr>
                <w:szCs w:val="20"/>
              </w:rPr>
            </w:pPr>
            <w:r w:rsidRPr="00E44776">
              <w:t>12 (6.7)</w:t>
            </w:r>
          </w:p>
        </w:tc>
        <w:tc>
          <w:tcPr>
            <w:tcW w:w="573" w:type="pct"/>
          </w:tcPr>
          <w:p w14:paraId="170E0FE1" w14:textId="77777777" w:rsidR="00520BCC" w:rsidRPr="00E44776" w:rsidRDefault="00520BCC" w:rsidP="00013B37">
            <w:pPr>
              <w:pStyle w:val="COMTabletext"/>
              <w:jc w:val="center"/>
            </w:pPr>
            <w:r w:rsidRPr="00E44776">
              <w:t>27 (15.1)</w:t>
            </w:r>
          </w:p>
          <w:p w14:paraId="6A789A4C" w14:textId="1183EC27" w:rsidR="00520BCC" w:rsidRPr="00E44776" w:rsidRDefault="00520BCC" w:rsidP="00013B37">
            <w:pPr>
              <w:pStyle w:val="COMTabletext"/>
              <w:jc w:val="center"/>
              <w:rPr>
                <w:szCs w:val="20"/>
              </w:rPr>
            </w:pPr>
            <w:r w:rsidRPr="00E44776">
              <w:t>13 (7.3)</w:t>
            </w:r>
          </w:p>
        </w:tc>
        <w:tc>
          <w:tcPr>
            <w:tcW w:w="571" w:type="pct"/>
          </w:tcPr>
          <w:p w14:paraId="6E9E90B8" w14:textId="77777777" w:rsidR="00520BCC" w:rsidRPr="00E44776" w:rsidRDefault="00520BCC" w:rsidP="00013B37">
            <w:pPr>
              <w:pStyle w:val="COMTabletext"/>
              <w:jc w:val="center"/>
            </w:pPr>
            <w:r w:rsidRPr="00E44776">
              <w:t>7 (3.9)</w:t>
            </w:r>
          </w:p>
          <w:p w14:paraId="1964E684" w14:textId="5422D063" w:rsidR="00520BCC" w:rsidRPr="00E44776" w:rsidRDefault="00520BCC" w:rsidP="00013B37">
            <w:pPr>
              <w:pStyle w:val="COMTabletext"/>
              <w:jc w:val="center"/>
              <w:rPr>
                <w:szCs w:val="20"/>
              </w:rPr>
            </w:pPr>
            <w:r w:rsidRPr="00E44776">
              <w:t>5 (2.8)</w:t>
            </w:r>
          </w:p>
        </w:tc>
        <w:tc>
          <w:tcPr>
            <w:tcW w:w="571" w:type="pct"/>
          </w:tcPr>
          <w:p w14:paraId="06556E44" w14:textId="77777777" w:rsidR="00520BCC" w:rsidRPr="00E44776" w:rsidRDefault="00520BCC" w:rsidP="00013B37">
            <w:pPr>
              <w:pStyle w:val="COMTabletext"/>
              <w:jc w:val="center"/>
            </w:pPr>
            <w:r w:rsidRPr="00E44776">
              <w:t>7 (4.1)</w:t>
            </w:r>
          </w:p>
          <w:p w14:paraId="4F695BAF" w14:textId="1673DC21" w:rsidR="00520BCC" w:rsidRPr="00E44776" w:rsidRDefault="00520BCC" w:rsidP="00013B37">
            <w:pPr>
              <w:pStyle w:val="COMTabletext"/>
              <w:jc w:val="center"/>
              <w:rPr>
                <w:szCs w:val="20"/>
              </w:rPr>
            </w:pPr>
            <w:r w:rsidRPr="00E44776">
              <w:t>3 (1.8)</w:t>
            </w:r>
          </w:p>
        </w:tc>
        <w:tc>
          <w:tcPr>
            <w:tcW w:w="572" w:type="pct"/>
          </w:tcPr>
          <w:p w14:paraId="60579226" w14:textId="77777777" w:rsidR="00520BCC" w:rsidRPr="00E44776" w:rsidRDefault="00520BCC" w:rsidP="00013B37">
            <w:pPr>
              <w:pStyle w:val="COMTabletext"/>
              <w:jc w:val="center"/>
            </w:pPr>
            <w:r w:rsidRPr="00E44776">
              <w:t>3 (1.8)</w:t>
            </w:r>
          </w:p>
          <w:p w14:paraId="4EF36C8E" w14:textId="1A8E93D9" w:rsidR="00520BCC" w:rsidRPr="00E44776" w:rsidRDefault="00520BCC" w:rsidP="00013B37">
            <w:pPr>
              <w:pStyle w:val="COMTabletext"/>
              <w:jc w:val="center"/>
              <w:rPr>
                <w:szCs w:val="20"/>
              </w:rPr>
            </w:pPr>
            <w:r w:rsidRPr="00E44776">
              <w:t>2 (1.2)</w:t>
            </w:r>
          </w:p>
        </w:tc>
      </w:tr>
    </w:tbl>
    <w:p w14:paraId="4F9B2C64" w14:textId="4E14C093" w:rsidR="00B55373" w:rsidRPr="00E44776" w:rsidRDefault="00B55373" w:rsidP="00B55373">
      <w:pPr>
        <w:pStyle w:val="TableFooter"/>
      </w:pPr>
      <w:r w:rsidRPr="00E44776">
        <w:t>Source: Table 2.54 of the submission; Table 1, of Sharman et al., 2022 (poster); Sharman et al., 2022 (abstract).</w:t>
      </w:r>
    </w:p>
    <w:p w14:paraId="0F02C92E" w14:textId="77777777" w:rsidR="00B55373" w:rsidRPr="00E44776" w:rsidRDefault="00B55373" w:rsidP="00B55373">
      <w:pPr>
        <w:pStyle w:val="TableFooter"/>
      </w:pPr>
      <w:r w:rsidRPr="00E44776">
        <w:t>ACAL = acalabrutinib, AE = adverse event, ALT = alanine aminotransferase, CHL = chlorambucil, OBI = obinutuzumab</w:t>
      </w:r>
    </w:p>
    <w:p w14:paraId="0EB3B9FD" w14:textId="1AFFCB31" w:rsidR="0079261C" w:rsidRPr="00E44776" w:rsidRDefault="00B55373" w:rsidP="00A57E5C">
      <w:pPr>
        <w:pStyle w:val="COMexecsumnumberedpara"/>
      </w:pPr>
      <w:r w:rsidRPr="00E44776">
        <w:t xml:space="preserve">At a median follow-up of 58.2 months, </w:t>
      </w:r>
      <w:r w:rsidR="00A7376E" w:rsidRPr="00E44776">
        <w:t>a</w:t>
      </w:r>
      <w:r w:rsidRPr="00E44776">
        <w:t>trial fibrillation was reported in 6.2% of patients in the acalabrutinib + obinutuzumab arm, 7.</w:t>
      </w:r>
      <w:r w:rsidR="00520BCC" w:rsidRPr="00E44776">
        <w:t>3</w:t>
      </w:r>
      <w:r w:rsidRPr="00E44776">
        <w:t xml:space="preserve">% of patients in the acalabrutinib monotherapy arm, and 0.6% of patients in the chlorambucil + obinutuzumab arm. Major bleeding was reported in 6.7% of patients in the acalabrutinib + obinutuzumab arm, 4.5% of patients in the acalabrutinib arm, 1.2% of patients in the chlorambucil + obinutuzumab arm. </w:t>
      </w:r>
    </w:p>
    <w:p w14:paraId="6222D42A" w14:textId="654D63BC" w:rsidR="00D67C3A" w:rsidRPr="00E44776" w:rsidRDefault="00D67C3A" w:rsidP="00A272A3">
      <w:pPr>
        <w:pStyle w:val="COMexecsumnumberedpara"/>
      </w:pPr>
      <w:r w:rsidRPr="00E44776">
        <w:lastRenderedPageBreak/>
        <w:t xml:space="preserve">The ESC noted that the incidence of infusion-related reactions was lower in the acalabrutinib + obinutuzumab arm than </w:t>
      </w:r>
      <w:r w:rsidR="0042128B" w:rsidRPr="00E44776">
        <w:t xml:space="preserve">in </w:t>
      </w:r>
      <w:r w:rsidRPr="00E44776">
        <w:t>the chlorambucil + obinutuzumab arm (14.6% versus 40.8%, respectively for any grade</w:t>
      </w:r>
      <w:r w:rsidR="002B32D7" w:rsidRPr="00E44776">
        <w:t xml:space="preserve"> infusion-related reactions</w:t>
      </w:r>
      <w:r w:rsidRPr="00E44776">
        <w:t xml:space="preserve">), despite both regimens including the same injectable therapy (obinutuzumab) and </w:t>
      </w:r>
      <w:r w:rsidR="002B32D7" w:rsidRPr="00E44776">
        <w:t xml:space="preserve">despite </w:t>
      </w:r>
      <w:r w:rsidRPr="00E44776">
        <w:t>exposure to obinutuzumab being similar across the two arms (CSR).</w:t>
      </w:r>
      <w:r w:rsidR="00FD5E07" w:rsidRPr="00E44776">
        <w:t xml:space="preserve"> </w:t>
      </w:r>
      <w:r w:rsidR="002B32D7" w:rsidRPr="00E44776">
        <w:t xml:space="preserve">It was unclear what premedications were </w:t>
      </w:r>
      <w:r w:rsidR="0042128B" w:rsidRPr="00E44776">
        <w:t>administered</w:t>
      </w:r>
      <w:r w:rsidR="002B32D7" w:rsidRPr="00E44776">
        <w:t xml:space="preserve"> prior to obinutuzumab </w:t>
      </w:r>
      <w:r w:rsidR="0042128B" w:rsidRPr="00E44776">
        <w:t>i</w:t>
      </w:r>
      <w:r w:rsidR="002B32D7" w:rsidRPr="00E44776">
        <w:t xml:space="preserve">n the trial, but it was noted that </w:t>
      </w:r>
      <w:r w:rsidR="00FD5E07" w:rsidRPr="00E44776">
        <w:t xml:space="preserve">obinutuzumab was commenced in Cycle 1 (Day 1) in the chlorambucil + obinutuzumab arm but in Cycle 2 (Day 1) in the acalabrutinib + obinutuzumab arm. </w:t>
      </w:r>
      <w:r w:rsidR="002B32D7" w:rsidRPr="00E44776">
        <w:t xml:space="preserve">The ESC considered that it was unclear why the incidence of infusion-related reactions was </w:t>
      </w:r>
      <w:r w:rsidR="0042128B" w:rsidRPr="00E44776">
        <w:t xml:space="preserve">reported to be </w:t>
      </w:r>
      <w:r w:rsidR="002B32D7" w:rsidRPr="00E44776">
        <w:t xml:space="preserve">lower in the acalabrutinib + obinutuzumab arm. The sponsor </w:t>
      </w:r>
      <w:r w:rsidR="004837F8">
        <w:t>wa</w:t>
      </w:r>
      <w:r w:rsidR="002B32D7" w:rsidRPr="00E44776">
        <w:t>s requested to address this in its pre-PBAC response.</w:t>
      </w:r>
      <w:r w:rsidR="00547B22" w:rsidRPr="00E44776">
        <w:t xml:space="preserve"> In particular, the ESC requested that the sponsor address: (a) the rationale for the difference </w:t>
      </w:r>
      <w:r w:rsidR="00E00F49" w:rsidRPr="00E44776">
        <w:t>in</w:t>
      </w:r>
      <w:r w:rsidR="00547B22" w:rsidRPr="00E44776">
        <w:t xml:space="preserve"> infusion-related reactions </w:t>
      </w:r>
      <w:r w:rsidR="00E00F49" w:rsidRPr="00E44776">
        <w:t>between</w:t>
      </w:r>
      <w:r w:rsidR="00547B22" w:rsidRPr="00E44776">
        <w:t xml:space="preserve"> the two obinutuzumab arms; and (b) outline the pre-medications given in each arm, and </w:t>
      </w:r>
      <w:r w:rsidR="00E00F49" w:rsidRPr="00E44776">
        <w:t>any</w:t>
      </w:r>
      <w:r w:rsidR="00547B22" w:rsidRPr="00E44776">
        <w:t xml:space="preserve"> difference</w:t>
      </w:r>
      <w:r w:rsidR="00E00F49" w:rsidRPr="00E44776">
        <w:t>s in</w:t>
      </w:r>
      <w:r w:rsidR="00547B22" w:rsidRPr="00E44776">
        <w:t xml:space="preserve"> </w:t>
      </w:r>
      <w:r w:rsidR="00E00F49" w:rsidRPr="00E44776">
        <w:t xml:space="preserve">pre-medications </w:t>
      </w:r>
      <w:r w:rsidR="00547B22" w:rsidRPr="00E44776">
        <w:t>between arms.</w:t>
      </w:r>
      <w:r w:rsidR="004B5B8B">
        <w:t xml:space="preserve"> This issue was not addressed in the pre-PBAC response.</w:t>
      </w:r>
    </w:p>
    <w:p w14:paraId="17E127EF" w14:textId="7AA889DD" w:rsidR="00B55373" w:rsidRPr="00E44776" w:rsidRDefault="00B55373" w:rsidP="00B55373">
      <w:pPr>
        <w:pStyle w:val="COMexecsumnumberedpara"/>
      </w:pPr>
      <w:r w:rsidRPr="00E44776">
        <w:t xml:space="preserve">At the September 2020 data cut (median follow-up 46.9 months), serious adverse events were higher in the acalabrutinib + obinutuzumab (48%) and acalabrutinib monotherapy (39%) arms, compared to the chlorambucil + obinutuzumab arm (22%). Grade </w:t>
      </w:r>
      <w:r w:rsidRPr="00E44776">
        <w:rPr>
          <w:rFonts w:cs="Calibri"/>
        </w:rPr>
        <w:t>≥</w:t>
      </w:r>
      <w:r w:rsidRPr="00E44776">
        <w:t>3 adverse events were higher in the acalabrutinib + obinutuzumab (74%) and chlorambucil + obinutuzumab arms (69%) compared to the acalabrutinib monotherapy arm (52%).</w:t>
      </w:r>
    </w:p>
    <w:p w14:paraId="2EBDD75A" w14:textId="60B3746D" w:rsidR="0050665B" w:rsidRPr="00E44776" w:rsidRDefault="0050665B" w:rsidP="00B55373">
      <w:pPr>
        <w:pStyle w:val="COMexecsumnumberedpara"/>
      </w:pPr>
      <w:r w:rsidRPr="00E44776">
        <w:t>The ESC noted that the number of hospitalisations per person-year was lower in the acalabrutinib + obinutuzumab arm than in the chlorambucil + obinutuzumab arm (0.294 versus 0.335, respectively) at the February 2019 data cut</w:t>
      </w:r>
      <w:r w:rsidR="005B67E9" w:rsidRPr="00E44776">
        <w:t xml:space="preserve"> (</w:t>
      </w:r>
      <w:r w:rsidRPr="00E44776">
        <w:t>Table 29 of the CSR</w:t>
      </w:r>
      <w:r w:rsidR="005B67E9" w:rsidRPr="00E44776">
        <w:t>)</w:t>
      </w:r>
      <w:r w:rsidRPr="00E44776">
        <w:t xml:space="preserve">.  </w:t>
      </w:r>
    </w:p>
    <w:p w14:paraId="7EEFC0C1" w14:textId="4F59B466" w:rsidR="002D33A5" w:rsidRPr="00E44776" w:rsidRDefault="002D33A5" w:rsidP="002D33A5">
      <w:pPr>
        <w:pStyle w:val="COMH3"/>
        <w:spacing w:before="120" w:after="120"/>
        <w:rPr>
          <w:iCs w:val="0"/>
        </w:rPr>
      </w:pPr>
      <w:r w:rsidRPr="00E44776">
        <w:rPr>
          <w:iCs w:val="0"/>
        </w:rPr>
        <w:t>Matching-adjusted indirect comparisons</w:t>
      </w:r>
    </w:p>
    <w:p w14:paraId="102E722B" w14:textId="45923246" w:rsidR="00CC1C83" w:rsidRPr="00E44776" w:rsidRDefault="0041579C" w:rsidP="0041579C">
      <w:pPr>
        <w:pStyle w:val="COMexecsumnumberedpara"/>
      </w:pPr>
      <w:r w:rsidRPr="00E44776">
        <w:t xml:space="preserve">The </w:t>
      </w:r>
      <w:bookmarkStart w:id="67" w:name="_Hlk121749955"/>
      <w:r w:rsidR="000541EA" w:rsidRPr="00E44776">
        <w:t>re</w:t>
      </w:r>
      <w:r w:rsidRPr="00E44776">
        <w:t xml:space="preserve">submission presented MAICs of acalabrutinib + obinutuzumab and acalabrutinib monotherapy versus venetoclax + obinutuzumab for selected Grade 3-4 adverse events, based on the results of the ELEVATE-TN </w:t>
      </w:r>
      <w:r w:rsidR="00C51386" w:rsidRPr="00E44776">
        <w:t xml:space="preserve">(median follow-up 46.9 months) </w:t>
      </w:r>
      <w:r w:rsidRPr="00E44776">
        <w:t>and CLL-14 trials</w:t>
      </w:r>
      <w:r w:rsidR="00C51386" w:rsidRPr="00E44776">
        <w:t xml:space="preserve"> (median follow-up 39.6 months)</w:t>
      </w:r>
      <w:r w:rsidR="00CC1C83" w:rsidRPr="00E44776">
        <w:t xml:space="preserve">, </w:t>
      </w:r>
      <w:bookmarkEnd w:id="67"/>
      <w:r w:rsidR="00CC1C83" w:rsidRPr="00E44776">
        <w:t xml:space="preserve">as shown in </w:t>
      </w:r>
      <w:r w:rsidR="00CC1C83" w:rsidRPr="00E44776">
        <w:fldChar w:fldCharType="begin" w:fldLock="1"/>
      </w:r>
      <w:r w:rsidR="00CC1C83" w:rsidRPr="00E44776">
        <w:instrText xml:space="preserve"> REF _Ref116381053 \h  \* MERGEFORMAT </w:instrText>
      </w:r>
      <w:r w:rsidR="00CC1C83" w:rsidRPr="00E44776">
        <w:fldChar w:fldCharType="separate"/>
      </w:r>
      <w:r w:rsidR="00CB2B8B" w:rsidRPr="00CB2B8B">
        <w:t>Table 11</w:t>
      </w:r>
      <w:r w:rsidR="00CC1C83" w:rsidRPr="00E44776">
        <w:fldChar w:fldCharType="end"/>
      </w:r>
      <w:r w:rsidRPr="00E44776">
        <w:t xml:space="preserve">. </w:t>
      </w:r>
    </w:p>
    <w:p w14:paraId="76B01849" w14:textId="3569A633" w:rsidR="00CC1C83" w:rsidRPr="00E44776" w:rsidRDefault="00CC1C83" w:rsidP="00CC1C83">
      <w:pPr>
        <w:pStyle w:val="TableHeading"/>
        <w:spacing w:before="0" w:after="0" w:line="240" w:lineRule="auto"/>
        <w:jc w:val="both"/>
        <w:rPr>
          <w:bCs/>
        </w:rPr>
      </w:pPr>
      <w:bookmarkStart w:id="68" w:name="_Ref116381053"/>
      <w:bookmarkStart w:id="69" w:name="_Ref116381027"/>
      <w:r w:rsidRPr="00E44776">
        <w:rPr>
          <w:bCs/>
        </w:rPr>
        <w:lastRenderedPageBreak/>
        <w:t xml:space="preserve">Table </w:t>
      </w:r>
      <w:r w:rsidRPr="00E44776">
        <w:rPr>
          <w:bCs/>
        </w:rPr>
        <w:fldChar w:fldCharType="begin" w:fldLock="1"/>
      </w:r>
      <w:r w:rsidRPr="00E44776">
        <w:rPr>
          <w:bCs/>
        </w:rPr>
        <w:instrText xml:space="preserve"> SEQ Table \* ARABIC </w:instrText>
      </w:r>
      <w:r w:rsidRPr="00E44776">
        <w:rPr>
          <w:bCs/>
        </w:rPr>
        <w:fldChar w:fldCharType="separate"/>
      </w:r>
      <w:r w:rsidR="00CB2B8B">
        <w:rPr>
          <w:bCs/>
          <w:noProof/>
        </w:rPr>
        <w:t>11</w:t>
      </w:r>
      <w:r w:rsidRPr="00E44776">
        <w:rPr>
          <w:bCs/>
        </w:rPr>
        <w:fldChar w:fldCharType="end"/>
      </w:r>
      <w:bookmarkEnd w:id="68"/>
      <w:r w:rsidRPr="00E44776">
        <w:rPr>
          <w:bCs/>
        </w:rPr>
        <w:t>: Results for the MAIC of Grade 3-4 adverse events for acalabrutinib + obinutuzumab versus venetoclax + obinutuzumab</w:t>
      </w:r>
      <w:bookmarkEnd w:id="6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Caption w:val="Table 11: Results for the MAIC of Grade 3-4 adverse events for acalabrutinib + obinutuzumab versus venetoclax + obinutuzumab"/>
      </w:tblPr>
      <w:tblGrid>
        <w:gridCol w:w="1922"/>
        <w:gridCol w:w="1087"/>
        <w:gridCol w:w="1385"/>
        <w:gridCol w:w="1531"/>
        <w:gridCol w:w="1426"/>
        <w:gridCol w:w="1666"/>
      </w:tblGrid>
      <w:tr w:rsidR="00CC1C83" w:rsidRPr="00E44776" w14:paraId="4EE52490" w14:textId="77777777" w:rsidTr="00FC3672">
        <w:trPr>
          <w:tblHeader/>
        </w:trPr>
        <w:tc>
          <w:tcPr>
            <w:tcW w:w="1065" w:type="pct"/>
            <w:vMerge w:val="restart"/>
            <w:vAlign w:val="center"/>
          </w:tcPr>
          <w:p w14:paraId="5CA09790" w14:textId="77777777" w:rsidR="00CC1C83" w:rsidRPr="00E44776" w:rsidRDefault="00CC1C83" w:rsidP="00FC3672">
            <w:pPr>
              <w:pStyle w:val="TableHeading"/>
              <w:spacing w:before="0" w:after="0" w:line="240" w:lineRule="auto"/>
            </w:pPr>
            <w:r w:rsidRPr="00E44776">
              <w:t>Grade 3-4 adverse events</w:t>
            </w:r>
          </w:p>
        </w:tc>
        <w:tc>
          <w:tcPr>
            <w:tcW w:w="1371" w:type="pct"/>
            <w:gridSpan w:val="2"/>
            <w:vAlign w:val="center"/>
          </w:tcPr>
          <w:p w14:paraId="17E350A6" w14:textId="77777777" w:rsidR="00CC1C83" w:rsidRPr="00E44776" w:rsidRDefault="00CC1C83" w:rsidP="00FC3672">
            <w:pPr>
              <w:pStyle w:val="TableHeading"/>
              <w:spacing w:before="0" w:after="0" w:line="240" w:lineRule="auto"/>
              <w:jc w:val="center"/>
            </w:pPr>
            <w:r w:rsidRPr="00E44776">
              <w:t>Unadjusted</w:t>
            </w:r>
          </w:p>
        </w:tc>
        <w:tc>
          <w:tcPr>
            <w:tcW w:w="2564" w:type="pct"/>
            <w:gridSpan w:val="3"/>
            <w:vAlign w:val="center"/>
          </w:tcPr>
          <w:p w14:paraId="0699A1E9" w14:textId="77777777" w:rsidR="00CC1C83" w:rsidRPr="00E44776" w:rsidRDefault="00CC1C83" w:rsidP="00FC3672">
            <w:pPr>
              <w:pStyle w:val="TableHeading"/>
              <w:spacing w:before="0" w:after="0" w:line="240" w:lineRule="auto"/>
              <w:jc w:val="center"/>
            </w:pPr>
            <w:r w:rsidRPr="00E44776">
              <w:t>MAIC adjusted</w:t>
            </w:r>
          </w:p>
        </w:tc>
      </w:tr>
      <w:tr w:rsidR="00CC1C83" w:rsidRPr="00E44776" w14:paraId="7E8C9C34" w14:textId="77777777" w:rsidTr="00FC3672">
        <w:trPr>
          <w:tblHeader/>
        </w:trPr>
        <w:tc>
          <w:tcPr>
            <w:tcW w:w="1065" w:type="pct"/>
            <w:vMerge/>
            <w:vAlign w:val="center"/>
          </w:tcPr>
          <w:p w14:paraId="47B875A3" w14:textId="77777777" w:rsidR="00CC1C83" w:rsidRPr="00E44776" w:rsidRDefault="00CC1C83" w:rsidP="00FC3672">
            <w:pPr>
              <w:pStyle w:val="TableHeading"/>
              <w:spacing w:before="0" w:after="0" w:line="240" w:lineRule="auto"/>
            </w:pPr>
          </w:p>
        </w:tc>
        <w:tc>
          <w:tcPr>
            <w:tcW w:w="603" w:type="pct"/>
            <w:vAlign w:val="center"/>
          </w:tcPr>
          <w:p w14:paraId="0A85D971" w14:textId="77777777" w:rsidR="00CC1C83" w:rsidRPr="00E44776" w:rsidRDefault="00CC1C83" w:rsidP="00FC3672">
            <w:pPr>
              <w:pStyle w:val="TableHeading"/>
              <w:spacing w:before="0" w:after="0" w:line="240" w:lineRule="auto"/>
              <w:jc w:val="center"/>
            </w:pPr>
            <w:r w:rsidRPr="00E44776">
              <w:t>ACAL + OBI</w:t>
            </w:r>
          </w:p>
          <w:p w14:paraId="4BF374C1" w14:textId="77777777" w:rsidR="00CC1C83" w:rsidRPr="00E44776" w:rsidRDefault="00CC1C83" w:rsidP="00FC3672">
            <w:pPr>
              <w:pStyle w:val="TableHeading"/>
              <w:spacing w:before="0" w:after="0" w:line="240" w:lineRule="auto"/>
              <w:jc w:val="center"/>
              <w:rPr>
                <w:vertAlign w:val="superscript"/>
              </w:rPr>
            </w:pPr>
            <w:r w:rsidRPr="00E44776">
              <w:t>(N=172)</w:t>
            </w:r>
            <w:r w:rsidRPr="00E44776">
              <w:rPr>
                <w:vertAlign w:val="superscript"/>
              </w:rPr>
              <w:t>a</w:t>
            </w:r>
          </w:p>
        </w:tc>
        <w:tc>
          <w:tcPr>
            <w:tcW w:w="768" w:type="pct"/>
            <w:vAlign w:val="center"/>
          </w:tcPr>
          <w:p w14:paraId="55D2EC80" w14:textId="77777777" w:rsidR="00CC1C83" w:rsidRPr="00E44776" w:rsidRDefault="00CC1C83" w:rsidP="00FC3672">
            <w:pPr>
              <w:pStyle w:val="TableHeading"/>
              <w:spacing w:before="0" w:after="0" w:line="240" w:lineRule="auto"/>
              <w:jc w:val="center"/>
            </w:pPr>
            <w:r w:rsidRPr="00E44776">
              <w:t>VEN + OBI</w:t>
            </w:r>
          </w:p>
          <w:p w14:paraId="17C7C2EB" w14:textId="77777777" w:rsidR="00CC1C83" w:rsidRPr="00E44776" w:rsidRDefault="00CC1C83" w:rsidP="00FC3672">
            <w:pPr>
              <w:pStyle w:val="TableHeading"/>
              <w:spacing w:before="0" w:after="0" w:line="240" w:lineRule="auto"/>
              <w:jc w:val="center"/>
            </w:pPr>
            <w:r w:rsidRPr="00E44776">
              <w:t>(N=216)</w:t>
            </w:r>
          </w:p>
        </w:tc>
        <w:tc>
          <w:tcPr>
            <w:tcW w:w="849" w:type="pct"/>
            <w:vAlign w:val="center"/>
          </w:tcPr>
          <w:p w14:paraId="658D71BC" w14:textId="77777777" w:rsidR="00CC1C83" w:rsidRPr="00E44776" w:rsidRDefault="00CC1C83" w:rsidP="00FC3672">
            <w:pPr>
              <w:pStyle w:val="TableHeading"/>
              <w:spacing w:before="0" w:after="0" w:line="240" w:lineRule="auto"/>
              <w:jc w:val="center"/>
            </w:pPr>
            <w:r w:rsidRPr="00E44776">
              <w:t>ACAL + OBI</w:t>
            </w:r>
          </w:p>
          <w:p w14:paraId="7E511442" w14:textId="77777777" w:rsidR="00CC1C83" w:rsidRPr="00E44776" w:rsidRDefault="00CC1C83" w:rsidP="00FC3672">
            <w:pPr>
              <w:pStyle w:val="TableHeading"/>
              <w:spacing w:before="0" w:after="0" w:line="240" w:lineRule="auto"/>
              <w:jc w:val="center"/>
            </w:pPr>
            <w:r w:rsidRPr="00E44776">
              <w:t>(ESS=104)</w:t>
            </w:r>
          </w:p>
        </w:tc>
        <w:tc>
          <w:tcPr>
            <w:tcW w:w="791" w:type="pct"/>
            <w:vAlign w:val="center"/>
          </w:tcPr>
          <w:p w14:paraId="07831573" w14:textId="77777777" w:rsidR="00CC1C83" w:rsidRPr="00E44776" w:rsidRDefault="00CC1C83" w:rsidP="00FC3672">
            <w:pPr>
              <w:pStyle w:val="TableHeading"/>
              <w:spacing w:before="0" w:after="0" w:line="240" w:lineRule="auto"/>
              <w:jc w:val="center"/>
            </w:pPr>
            <w:r w:rsidRPr="00E44776">
              <w:t>VEN + OBI</w:t>
            </w:r>
          </w:p>
          <w:p w14:paraId="4ADA9ECA" w14:textId="77777777" w:rsidR="00CC1C83" w:rsidRPr="00E44776" w:rsidRDefault="00CC1C83" w:rsidP="00FC3672">
            <w:pPr>
              <w:pStyle w:val="TableHeading"/>
              <w:spacing w:before="0" w:after="0" w:line="240" w:lineRule="auto"/>
              <w:jc w:val="center"/>
            </w:pPr>
            <w:r w:rsidRPr="00E44776">
              <w:t>(N=216)</w:t>
            </w:r>
          </w:p>
        </w:tc>
        <w:tc>
          <w:tcPr>
            <w:tcW w:w="924" w:type="pct"/>
            <w:vAlign w:val="center"/>
          </w:tcPr>
          <w:p w14:paraId="400A8632" w14:textId="77777777" w:rsidR="00CC1C83" w:rsidRPr="00E44776" w:rsidRDefault="00CC1C83" w:rsidP="00FC3672">
            <w:pPr>
              <w:pStyle w:val="TableHeading"/>
              <w:spacing w:before="0" w:after="0" w:line="240" w:lineRule="auto"/>
              <w:jc w:val="center"/>
            </w:pPr>
            <w:r w:rsidRPr="00E44776">
              <w:t>RD</w:t>
            </w:r>
          </w:p>
          <w:p w14:paraId="6ECB0BB2" w14:textId="77777777" w:rsidR="00CC1C83" w:rsidRPr="00E44776" w:rsidRDefault="00CC1C83" w:rsidP="00FC3672">
            <w:pPr>
              <w:pStyle w:val="TableHeading"/>
              <w:spacing w:before="0" w:after="0" w:line="240" w:lineRule="auto"/>
              <w:jc w:val="center"/>
            </w:pPr>
            <w:r w:rsidRPr="00E44776">
              <w:t>(95% CI)</w:t>
            </w:r>
          </w:p>
        </w:tc>
      </w:tr>
      <w:tr w:rsidR="00CC1C83" w:rsidRPr="00E44776" w14:paraId="7B750A0D" w14:textId="77777777" w:rsidTr="00FC3672">
        <w:tc>
          <w:tcPr>
            <w:tcW w:w="1065" w:type="pct"/>
          </w:tcPr>
          <w:p w14:paraId="7351707F" w14:textId="77777777" w:rsidR="00CC1C83" w:rsidRPr="00E44776" w:rsidRDefault="00CC1C83" w:rsidP="00FC3672">
            <w:pPr>
              <w:pStyle w:val="TableText"/>
              <w:rPr>
                <w:szCs w:val="20"/>
              </w:rPr>
            </w:pPr>
            <w:r w:rsidRPr="00E44776">
              <w:t>Anaemia</w:t>
            </w:r>
          </w:p>
        </w:tc>
        <w:tc>
          <w:tcPr>
            <w:tcW w:w="603" w:type="pct"/>
          </w:tcPr>
          <w:p w14:paraId="1655B0D9" w14:textId="77777777" w:rsidR="00CC1C83" w:rsidRPr="00E44776" w:rsidRDefault="00CC1C83" w:rsidP="00FC3672">
            <w:pPr>
              <w:pStyle w:val="TableText"/>
              <w:jc w:val="center"/>
              <w:rPr>
                <w:szCs w:val="20"/>
              </w:rPr>
            </w:pPr>
            <w:r w:rsidRPr="00E44776">
              <w:t>NR</w:t>
            </w:r>
          </w:p>
        </w:tc>
        <w:tc>
          <w:tcPr>
            <w:tcW w:w="768" w:type="pct"/>
          </w:tcPr>
          <w:p w14:paraId="706E4048" w14:textId="77777777" w:rsidR="00CC1C83" w:rsidRPr="00E44776" w:rsidRDefault="00CC1C83" w:rsidP="00FC3672">
            <w:pPr>
              <w:pStyle w:val="TableText"/>
              <w:jc w:val="center"/>
              <w:rPr>
                <w:szCs w:val="20"/>
              </w:rPr>
            </w:pPr>
            <w:r w:rsidRPr="00E44776">
              <w:t>8.0%</w:t>
            </w:r>
          </w:p>
        </w:tc>
        <w:tc>
          <w:tcPr>
            <w:tcW w:w="849" w:type="pct"/>
          </w:tcPr>
          <w:p w14:paraId="50A506FC" w14:textId="77777777" w:rsidR="00CC1C83" w:rsidRPr="00E44776" w:rsidRDefault="00CC1C83" w:rsidP="00FC3672">
            <w:pPr>
              <w:pStyle w:val="TableText"/>
              <w:jc w:val="center"/>
              <w:rPr>
                <w:szCs w:val="20"/>
              </w:rPr>
            </w:pPr>
            <w:r w:rsidRPr="00E44776">
              <w:t>6.0%</w:t>
            </w:r>
          </w:p>
        </w:tc>
        <w:tc>
          <w:tcPr>
            <w:tcW w:w="791" w:type="pct"/>
          </w:tcPr>
          <w:p w14:paraId="6609E310" w14:textId="77777777" w:rsidR="00CC1C83" w:rsidRPr="00E44776" w:rsidRDefault="00CC1C83" w:rsidP="00FC3672">
            <w:pPr>
              <w:pStyle w:val="TableText"/>
              <w:jc w:val="center"/>
              <w:rPr>
                <w:szCs w:val="20"/>
              </w:rPr>
            </w:pPr>
            <w:r w:rsidRPr="00E44776">
              <w:t>8.0%</w:t>
            </w:r>
          </w:p>
        </w:tc>
        <w:tc>
          <w:tcPr>
            <w:tcW w:w="924" w:type="pct"/>
          </w:tcPr>
          <w:p w14:paraId="2458BDC6" w14:textId="77777777" w:rsidR="00CC1C83" w:rsidRPr="00E44776" w:rsidRDefault="00CC1C83" w:rsidP="00FC3672">
            <w:pPr>
              <w:pStyle w:val="TableText"/>
              <w:jc w:val="center"/>
              <w:rPr>
                <w:szCs w:val="20"/>
              </w:rPr>
            </w:pPr>
            <w:r w:rsidRPr="00E44776">
              <w:t>-2.0 (-7.4, 3.3)</w:t>
            </w:r>
          </w:p>
        </w:tc>
      </w:tr>
      <w:tr w:rsidR="00CC1C83" w:rsidRPr="00E44776" w14:paraId="6E1372B9" w14:textId="77777777" w:rsidTr="00FC3672">
        <w:tc>
          <w:tcPr>
            <w:tcW w:w="1065" w:type="pct"/>
          </w:tcPr>
          <w:p w14:paraId="540F8C9B" w14:textId="77777777" w:rsidR="00CC1C83" w:rsidRPr="00E44776" w:rsidRDefault="00CC1C83" w:rsidP="00FC3672">
            <w:pPr>
              <w:pStyle w:val="TableText"/>
              <w:rPr>
                <w:szCs w:val="20"/>
              </w:rPr>
            </w:pPr>
            <w:r w:rsidRPr="00E44776">
              <w:t>Diarrhoea</w:t>
            </w:r>
          </w:p>
        </w:tc>
        <w:tc>
          <w:tcPr>
            <w:tcW w:w="603" w:type="pct"/>
          </w:tcPr>
          <w:p w14:paraId="7392081F" w14:textId="77777777" w:rsidR="00CC1C83" w:rsidRPr="00E44776" w:rsidRDefault="00CC1C83" w:rsidP="00FC3672">
            <w:pPr>
              <w:pStyle w:val="TableText"/>
              <w:jc w:val="center"/>
              <w:rPr>
                <w:szCs w:val="20"/>
              </w:rPr>
            </w:pPr>
            <w:r w:rsidRPr="00E44776">
              <w:t>NR</w:t>
            </w:r>
          </w:p>
        </w:tc>
        <w:tc>
          <w:tcPr>
            <w:tcW w:w="768" w:type="pct"/>
          </w:tcPr>
          <w:p w14:paraId="444E8A18" w14:textId="77777777" w:rsidR="00CC1C83" w:rsidRPr="00E44776" w:rsidRDefault="00CC1C83" w:rsidP="00FC3672">
            <w:pPr>
              <w:pStyle w:val="TableText"/>
              <w:jc w:val="center"/>
              <w:rPr>
                <w:szCs w:val="20"/>
              </w:rPr>
            </w:pPr>
            <w:r w:rsidRPr="00E44776">
              <w:t>3.8%</w:t>
            </w:r>
          </w:p>
        </w:tc>
        <w:tc>
          <w:tcPr>
            <w:tcW w:w="849" w:type="pct"/>
          </w:tcPr>
          <w:p w14:paraId="141485E0" w14:textId="77777777" w:rsidR="00CC1C83" w:rsidRPr="00E44776" w:rsidRDefault="00CC1C83" w:rsidP="00FC3672">
            <w:pPr>
              <w:pStyle w:val="TableText"/>
              <w:jc w:val="center"/>
              <w:rPr>
                <w:szCs w:val="20"/>
              </w:rPr>
            </w:pPr>
            <w:r w:rsidRPr="00E44776">
              <w:t>3.5%</w:t>
            </w:r>
          </w:p>
        </w:tc>
        <w:tc>
          <w:tcPr>
            <w:tcW w:w="791" w:type="pct"/>
          </w:tcPr>
          <w:p w14:paraId="72609CF7" w14:textId="77777777" w:rsidR="00CC1C83" w:rsidRPr="00E44776" w:rsidRDefault="00CC1C83" w:rsidP="00FC3672">
            <w:pPr>
              <w:pStyle w:val="TableText"/>
              <w:jc w:val="center"/>
              <w:rPr>
                <w:szCs w:val="20"/>
              </w:rPr>
            </w:pPr>
            <w:r w:rsidRPr="00E44776">
              <w:t>3.8%</w:t>
            </w:r>
          </w:p>
        </w:tc>
        <w:tc>
          <w:tcPr>
            <w:tcW w:w="924" w:type="pct"/>
          </w:tcPr>
          <w:p w14:paraId="7F72B194" w14:textId="77777777" w:rsidR="00CC1C83" w:rsidRPr="00E44776" w:rsidRDefault="00CC1C83" w:rsidP="00FC3672">
            <w:pPr>
              <w:pStyle w:val="TableText"/>
              <w:jc w:val="center"/>
              <w:rPr>
                <w:szCs w:val="20"/>
              </w:rPr>
            </w:pPr>
            <w:r w:rsidRPr="00E44776">
              <w:t>-0.3 (-4.1, 3.5)</w:t>
            </w:r>
          </w:p>
        </w:tc>
      </w:tr>
      <w:tr w:rsidR="00CC1C83" w:rsidRPr="00E44776" w14:paraId="21DB58CA" w14:textId="77777777" w:rsidTr="00FC3672">
        <w:tc>
          <w:tcPr>
            <w:tcW w:w="1065" w:type="pct"/>
          </w:tcPr>
          <w:p w14:paraId="7B251C10" w14:textId="77777777" w:rsidR="00CC1C83" w:rsidRPr="00E44776" w:rsidRDefault="00CC1C83" w:rsidP="00FC3672">
            <w:pPr>
              <w:pStyle w:val="TableText"/>
              <w:rPr>
                <w:szCs w:val="20"/>
              </w:rPr>
            </w:pPr>
            <w:r w:rsidRPr="00E44776">
              <w:t>Febrile neutropenia</w:t>
            </w:r>
          </w:p>
        </w:tc>
        <w:tc>
          <w:tcPr>
            <w:tcW w:w="603" w:type="pct"/>
          </w:tcPr>
          <w:p w14:paraId="59B29190" w14:textId="77777777" w:rsidR="00CC1C83" w:rsidRPr="00E44776" w:rsidRDefault="00CC1C83" w:rsidP="00FC3672">
            <w:pPr>
              <w:pStyle w:val="TableText"/>
              <w:jc w:val="center"/>
              <w:rPr>
                <w:szCs w:val="20"/>
              </w:rPr>
            </w:pPr>
            <w:r w:rsidRPr="00E44776">
              <w:t>NR</w:t>
            </w:r>
          </w:p>
        </w:tc>
        <w:tc>
          <w:tcPr>
            <w:tcW w:w="768" w:type="pct"/>
          </w:tcPr>
          <w:p w14:paraId="328735FA" w14:textId="77777777" w:rsidR="00CC1C83" w:rsidRPr="00E44776" w:rsidRDefault="00CC1C83" w:rsidP="00FC3672">
            <w:pPr>
              <w:pStyle w:val="TableText"/>
              <w:jc w:val="center"/>
              <w:rPr>
                <w:b/>
                <w:bCs w:val="0"/>
                <w:szCs w:val="20"/>
              </w:rPr>
            </w:pPr>
            <w:r w:rsidRPr="00E44776">
              <w:t>5.2%</w:t>
            </w:r>
          </w:p>
        </w:tc>
        <w:tc>
          <w:tcPr>
            <w:tcW w:w="849" w:type="pct"/>
          </w:tcPr>
          <w:p w14:paraId="082E8A8B" w14:textId="77777777" w:rsidR="00CC1C83" w:rsidRPr="00E44776" w:rsidRDefault="00CC1C83" w:rsidP="00FC3672">
            <w:pPr>
              <w:pStyle w:val="TableText"/>
              <w:jc w:val="center"/>
              <w:rPr>
                <w:szCs w:val="20"/>
              </w:rPr>
            </w:pPr>
            <w:r w:rsidRPr="00E44776">
              <w:t>3.3%</w:t>
            </w:r>
          </w:p>
        </w:tc>
        <w:tc>
          <w:tcPr>
            <w:tcW w:w="791" w:type="pct"/>
          </w:tcPr>
          <w:p w14:paraId="7C85BE59" w14:textId="77777777" w:rsidR="00CC1C83" w:rsidRPr="00E44776" w:rsidRDefault="00CC1C83" w:rsidP="00FC3672">
            <w:pPr>
              <w:pStyle w:val="TableText"/>
              <w:jc w:val="center"/>
              <w:rPr>
                <w:szCs w:val="20"/>
              </w:rPr>
            </w:pPr>
            <w:r w:rsidRPr="00E44776">
              <w:t>5.2%</w:t>
            </w:r>
          </w:p>
        </w:tc>
        <w:tc>
          <w:tcPr>
            <w:tcW w:w="924" w:type="pct"/>
          </w:tcPr>
          <w:p w14:paraId="31E463F4" w14:textId="77777777" w:rsidR="00CC1C83" w:rsidRPr="00E44776" w:rsidRDefault="00CC1C83" w:rsidP="00FC3672">
            <w:pPr>
              <w:pStyle w:val="TableText"/>
              <w:jc w:val="center"/>
              <w:rPr>
                <w:szCs w:val="20"/>
              </w:rPr>
            </w:pPr>
            <w:r w:rsidRPr="00E44776">
              <w:t>-1.9 (-6.4, 2.5)</w:t>
            </w:r>
          </w:p>
        </w:tc>
      </w:tr>
      <w:tr w:rsidR="00CC1C83" w:rsidRPr="00E44776" w14:paraId="49C829D0" w14:textId="77777777" w:rsidTr="00FC3672">
        <w:tc>
          <w:tcPr>
            <w:tcW w:w="1065" w:type="pct"/>
          </w:tcPr>
          <w:p w14:paraId="76EA0C5B" w14:textId="77777777" w:rsidR="00CC1C83" w:rsidRPr="00E44776" w:rsidRDefault="00CC1C83" w:rsidP="00FC3672">
            <w:pPr>
              <w:pStyle w:val="TableText"/>
              <w:rPr>
                <w:szCs w:val="20"/>
              </w:rPr>
            </w:pPr>
            <w:r w:rsidRPr="00E44776">
              <w:t>Infusion-related reaction</w:t>
            </w:r>
          </w:p>
        </w:tc>
        <w:tc>
          <w:tcPr>
            <w:tcW w:w="603" w:type="pct"/>
          </w:tcPr>
          <w:p w14:paraId="0BE8EA22" w14:textId="77777777" w:rsidR="00CC1C83" w:rsidRPr="00E44776" w:rsidRDefault="00CC1C83" w:rsidP="00FC3672">
            <w:pPr>
              <w:pStyle w:val="TableText"/>
              <w:jc w:val="center"/>
              <w:rPr>
                <w:szCs w:val="20"/>
              </w:rPr>
            </w:pPr>
            <w:r w:rsidRPr="00E44776">
              <w:t>NR</w:t>
            </w:r>
          </w:p>
        </w:tc>
        <w:tc>
          <w:tcPr>
            <w:tcW w:w="768" w:type="pct"/>
          </w:tcPr>
          <w:p w14:paraId="016AE390" w14:textId="77777777" w:rsidR="00CC1C83" w:rsidRPr="00E44776" w:rsidRDefault="00CC1C83" w:rsidP="00FC3672">
            <w:pPr>
              <w:pStyle w:val="TableText"/>
              <w:jc w:val="center"/>
              <w:rPr>
                <w:b/>
                <w:szCs w:val="20"/>
              </w:rPr>
            </w:pPr>
            <w:r w:rsidRPr="00E44776">
              <w:t>9.0%</w:t>
            </w:r>
          </w:p>
        </w:tc>
        <w:tc>
          <w:tcPr>
            <w:tcW w:w="849" w:type="pct"/>
          </w:tcPr>
          <w:p w14:paraId="7CA8AA2E" w14:textId="77777777" w:rsidR="00CC1C83" w:rsidRPr="00E44776" w:rsidRDefault="00CC1C83" w:rsidP="00FC3672">
            <w:pPr>
              <w:pStyle w:val="TableText"/>
              <w:jc w:val="center"/>
              <w:rPr>
                <w:szCs w:val="20"/>
              </w:rPr>
            </w:pPr>
            <w:r w:rsidRPr="00E44776">
              <w:t>1.4%</w:t>
            </w:r>
          </w:p>
        </w:tc>
        <w:tc>
          <w:tcPr>
            <w:tcW w:w="791" w:type="pct"/>
          </w:tcPr>
          <w:p w14:paraId="6D95A09E" w14:textId="77777777" w:rsidR="00CC1C83" w:rsidRPr="00E44776" w:rsidRDefault="00CC1C83" w:rsidP="00FC3672">
            <w:pPr>
              <w:pStyle w:val="TableText"/>
              <w:jc w:val="center"/>
              <w:rPr>
                <w:szCs w:val="20"/>
              </w:rPr>
            </w:pPr>
            <w:r w:rsidRPr="00E44776">
              <w:t>9.0%</w:t>
            </w:r>
          </w:p>
        </w:tc>
        <w:tc>
          <w:tcPr>
            <w:tcW w:w="924" w:type="pct"/>
          </w:tcPr>
          <w:p w14:paraId="203FC729" w14:textId="77777777" w:rsidR="00CC1C83" w:rsidRPr="00E44776" w:rsidRDefault="00CC1C83" w:rsidP="00FC3672">
            <w:pPr>
              <w:pStyle w:val="TableText"/>
              <w:jc w:val="center"/>
              <w:rPr>
                <w:b/>
                <w:bCs w:val="0"/>
                <w:szCs w:val="20"/>
              </w:rPr>
            </w:pPr>
            <w:r w:rsidRPr="00E44776">
              <w:rPr>
                <w:b/>
                <w:bCs w:val="0"/>
              </w:rPr>
              <w:t>-7.6 (-11.8, -3.4)</w:t>
            </w:r>
          </w:p>
        </w:tc>
      </w:tr>
      <w:tr w:rsidR="00CC1C83" w:rsidRPr="00E44776" w14:paraId="48097C96" w14:textId="77777777" w:rsidTr="00FC3672">
        <w:tc>
          <w:tcPr>
            <w:tcW w:w="1065" w:type="pct"/>
          </w:tcPr>
          <w:p w14:paraId="1EF8FA10" w14:textId="77777777" w:rsidR="00CC1C83" w:rsidRPr="00E44776" w:rsidRDefault="00CC1C83" w:rsidP="00FC3672">
            <w:pPr>
              <w:pStyle w:val="TableText"/>
              <w:rPr>
                <w:szCs w:val="20"/>
              </w:rPr>
            </w:pPr>
            <w:r w:rsidRPr="00E44776">
              <w:t>Leukopenia</w:t>
            </w:r>
          </w:p>
        </w:tc>
        <w:tc>
          <w:tcPr>
            <w:tcW w:w="603" w:type="pct"/>
          </w:tcPr>
          <w:p w14:paraId="509E080F" w14:textId="77777777" w:rsidR="00CC1C83" w:rsidRPr="00E44776" w:rsidRDefault="00CC1C83" w:rsidP="00FC3672">
            <w:pPr>
              <w:pStyle w:val="TableText"/>
              <w:jc w:val="center"/>
              <w:rPr>
                <w:szCs w:val="20"/>
              </w:rPr>
            </w:pPr>
            <w:r w:rsidRPr="00E44776">
              <w:t>NR</w:t>
            </w:r>
          </w:p>
        </w:tc>
        <w:tc>
          <w:tcPr>
            <w:tcW w:w="768" w:type="pct"/>
          </w:tcPr>
          <w:p w14:paraId="59A815E4" w14:textId="77777777" w:rsidR="00CC1C83" w:rsidRPr="00E44776" w:rsidRDefault="00CC1C83" w:rsidP="00FC3672">
            <w:pPr>
              <w:pStyle w:val="TableText"/>
              <w:jc w:val="center"/>
              <w:rPr>
                <w:b/>
                <w:bCs w:val="0"/>
                <w:szCs w:val="20"/>
              </w:rPr>
            </w:pPr>
            <w:r w:rsidRPr="00E44776">
              <w:t>2.4%</w:t>
            </w:r>
          </w:p>
        </w:tc>
        <w:tc>
          <w:tcPr>
            <w:tcW w:w="849" w:type="pct"/>
          </w:tcPr>
          <w:p w14:paraId="205CC1FE" w14:textId="77777777" w:rsidR="00CC1C83" w:rsidRPr="00E44776" w:rsidRDefault="00CC1C83" w:rsidP="00FC3672">
            <w:pPr>
              <w:pStyle w:val="TableText"/>
              <w:jc w:val="center"/>
              <w:rPr>
                <w:szCs w:val="20"/>
              </w:rPr>
            </w:pPr>
            <w:r w:rsidRPr="00E44776">
              <w:t>0.2%</w:t>
            </w:r>
          </w:p>
        </w:tc>
        <w:tc>
          <w:tcPr>
            <w:tcW w:w="791" w:type="pct"/>
          </w:tcPr>
          <w:p w14:paraId="218AF1E9" w14:textId="77777777" w:rsidR="00CC1C83" w:rsidRPr="00E44776" w:rsidRDefault="00CC1C83" w:rsidP="00FC3672">
            <w:pPr>
              <w:pStyle w:val="TableText"/>
              <w:jc w:val="center"/>
              <w:rPr>
                <w:szCs w:val="20"/>
              </w:rPr>
            </w:pPr>
            <w:r w:rsidRPr="00E44776">
              <w:t>2.4%</w:t>
            </w:r>
          </w:p>
        </w:tc>
        <w:tc>
          <w:tcPr>
            <w:tcW w:w="924" w:type="pct"/>
          </w:tcPr>
          <w:p w14:paraId="6A6F39CE" w14:textId="77777777" w:rsidR="00CC1C83" w:rsidRPr="00E44776" w:rsidRDefault="00CC1C83" w:rsidP="00FC3672">
            <w:pPr>
              <w:pStyle w:val="TableText"/>
              <w:jc w:val="center"/>
              <w:rPr>
                <w:b/>
                <w:bCs w:val="0"/>
                <w:szCs w:val="20"/>
              </w:rPr>
            </w:pPr>
            <w:r w:rsidRPr="00E44776">
              <w:rPr>
                <w:b/>
                <w:bCs w:val="0"/>
              </w:rPr>
              <w:t>-2.2 (-4.3, -0.1)</w:t>
            </w:r>
          </w:p>
        </w:tc>
      </w:tr>
      <w:tr w:rsidR="00CC1C83" w:rsidRPr="00E44776" w14:paraId="103DFB4C" w14:textId="77777777" w:rsidTr="00FC3672">
        <w:tc>
          <w:tcPr>
            <w:tcW w:w="1065" w:type="pct"/>
          </w:tcPr>
          <w:p w14:paraId="2EFD5DC9" w14:textId="77777777" w:rsidR="00CC1C83" w:rsidRPr="00E44776" w:rsidRDefault="00CC1C83" w:rsidP="00FC3672">
            <w:pPr>
              <w:pStyle w:val="TableText"/>
              <w:rPr>
                <w:szCs w:val="20"/>
              </w:rPr>
            </w:pPr>
            <w:r w:rsidRPr="00E44776">
              <w:t>Neutropenia</w:t>
            </w:r>
          </w:p>
        </w:tc>
        <w:tc>
          <w:tcPr>
            <w:tcW w:w="603" w:type="pct"/>
          </w:tcPr>
          <w:p w14:paraId="4903B2F3" w14:textId="77777777" w:rsidR="00CC1C83" w:rsidRPr="00E44776" w:rsidRDefault="00CC1C83" w:rsidP="00FC3672">
            <w:pPr>
              <w:pStyle w:val="TableText"/>
              <w:jc w:val="center"/>
              <w:rPr>
                <w:szCs w:val="20"/>
              </w:rPr>
            </w:pPr>
            <w:r w:rsidRPr="00E44776">
              <w:t>NR</w:t>
            </w:r>
          </w:p>
        </w:tc>
        <w:tc>
          <w:tcPr>
            <w:tcW w:w="768" w:type="pct"/>
          </w:tcPr>
          <w:p w14:paraId="2DF4E055" w14:textId="77777777" w:rsidR="00CC1C83" w:rsidRPr="00E44776" w:rsidRDefault="00CC1C83" w:rsidP="00FC3672">
            <w:pPr>
              <w:pStyle w:val="TableText"/>
              <w:jc w:val="center"/>
              <w:rPr>
                <w:szCs w:val="20"/>
              </w:rPr>
            </w:pPr>
            <w:r w:rsidRPr="00E44776">
              <w:t>52.8%</w:t>
            </w:r>
          </w:p>
        </w:tc>
        <w:tc>
          <w:tcPr>
            <w:tcW w:w="849" w:type="pct"/>
          </w:tcPr>
          <w:p w14:paraId="264EDE5E" w14:textId="77777777" w:rsidR="00CC1C83" w:rsidRPr="00E44776" w:rsidRDefault="00CC1C83" w:rsidP="00FC3672">
            <w:pPr>
              <w:pStyle w:val="TableText"/>
              <w:jc w:val="center"/>
              <w:rPr>
                <w:szCs w:val="20"/>
              </w:rPr>
            </w:pPr>
            <w:r w:rsidRPr="00E44776">
              <w:t>29.1%</w:t>
            </w:r>
          </w:p>
        </w:tc>
        <w:tc>
          <w:tcPr>
            <w:tcW w:w="791" w:type="pct"/>
          </w:tcPr>
          <w:p w14:paraId="3AB58C8C" w14:textId="77777777" w:rsidR="00CC1C83" w:rsidRPr="00E44776" w:rsidRDefault="00CC1C83" w:rsidP="00FC3672">
            <w:pPr>
              <w:pStyle w:val="TableText"/>
              <w:jc w:val="center"/>
              <w:rPr>
                <w:szCs w:val="20"/>
              </w:rPr>
            </w:pPr>
            <w:r w:rsidRPr="00E44776">
              <w:t>52.8%</w:t>
            </w:r>
          </w:p>
        </w:tc>
        <w:tc>
          <w:tcPr>
            <w:tcW w:w="924" w:type="pct"/>
          </w:tcPr>
          <w:p w14:paraId="61DDACE0" w14:textId="77777777" w:rsidR="00CC1C83" w:rsidRPr="00E44776" w:rsidRDefault="00CC1C83" w:rsidP="00FC3672">
            <w:pPr>
              <w:pStyle w:val="TableText"/>
              <w:jc w:val="center"/>
              <w:rPr>
                <w:b/>
                <w:bCs w:val="0"/>
                <w:szCs w:val="20"/>
              </w:rPr>
            </w:pPr>
            <w:r w:rsidRPr="00E44776">
              <w:rPr>
                <w:b/>
                <w:bCs w:val="0"/>
              </w:rPr>
              <w:t>-23.7 (-34.5, -12.8)</w:t>
            </w:r>
          </w:p>
        </w:tc>
      </w:tr>
      <w:tr w:rsidR="00CC1C83" w:rsidRPr="00E44776" w14:paraId="4847254F" w14:textId="77777777" w:rsidTr="00FC3672">
        <w:tc>
          <w:tcPr>
            <w:tcW w:w="1065" w:type="pct"/>
          </w:tcPr>
          <w:p w14:paraId="34DE57FE" w14:textId="77777777" w:rsidR="00CC1C83" w:rsidRPr="00E44776" w:rsidRDefault="00CC1C83" w:rsidP="00FC3672">
            <w:pPr>
              <w:pStyle w:val="TableText"/>
              <w:rPr>
                <w:szCs w:val="20"/>
              </w:rPr>
            </w:pPr>
            <w:r w:rsidRPr="00E44776">
              <w:t>Non-melanoma skin cancer</w:t>
            </w:r>
          </w:p>
        </w:tc>
        <w:tc>
          <w:tcPr>
            <w:tcW w:w="603" w:type="pct"/>
            <w:vAlign w:val="center"/>
          </w:tcPr>
          <w:p w14:paraId="50E28CC1" w14:textId="77777777" w:rsidR="00CC1C83" w:rsidRPr="00E44776" w:rsidRDefault="00CC1C83" w:rsidP="00FC3672">
            <w:pPr>
              <w:pStyle w:val="TableText"/>
              <w:jc w:val="center"/>
              <w:rPr>
                <w:szCs w:val="20"/>
              </w:rPr>
            </w:pPr>
            <w:r w:rsidRPr="00E44776">
              <w:t>NR</w:t>
            </w:r>
          </w:p>
        </w:tc>
        <w:tc>
          <w:tcPr>
            <w:tcW w:w="768" w:type="pct"/>
            <w:vAlign w:val="center"/>
          </w:tcPr>
          <w:p w14:paraId="1E3EAE05" w14:textId="77777777" w:rsidR="00CC1C83" w:rsidRPr="00E44776" w:rsidRDefault="00CC1C83" w:rsidP="00FC3672">
            <w:pPr>
              <w:pStyle w:val="TableText"/>
              <w:jc w:val="center"/>
              <w:rPr>
                <w:b/>
                <w:bCs w:val="0"/>
                <w:szCs w:val="20"/>
              </w:rPr>
            </w:pPr>
            <w:r w:rsidRPr="00E44776">
              <w:t>8.0%</w:t>
            </w:r>
          </w:p>
        </w:tc>
        <w:tc>
          <w:tcPr>
            <w:tcW w:w="849" w:type="pct"/>
            <w:vAlign w:val="center"/>
          </w:tcPr>
          <w:p w14:paraId="65A6AA7D" w14:textId="77777777" w:rsidR="00CC1C83" w:rsidRPr="00E44776" w:rsidRDefault="00CC1C83" w:rsidP="00FC3672">
            <w:pPr>
              <w:pStyle w:val="TableText"/>
              <w:jc w:val="center"/>
              <w:rPr>
                <w:szCs w:val="20"/>
              </w:rPr>
            </w:pPr>
            <w:r w:rsidRPr="00E44776">
              <w:t>1.3%</w:t>
            </w:r>
          </w:p>
        </w:tc>
        <w:tc>
          <w:tcPr>
            <w:tcW w:w="791" w:type="pct"/>
            <w:vAlign w:val="center"/>
          </w:tcPr>
          <w:p w14:paraId="45E771D9" w14:textId="77777777" w:rsidR="00CC1C83" w:rsidRPr="00E44776" w:rsidRDefault="00CC1C83" w:rsidP="00FC3672">
            <w:pPr>
              <w:pStyle w:val="TableText"/>
              <w:jc w:val="center"/>
              <w:rPr>
                <w:szCs w:val="20"/>
              </w:rPr>
            </w:pPr>
            <w:r w:rsidRPr="00E44776">
              <w:t>8.0%</w:t>
            </w:r>
          </w:p>
        </w:tc>
        <w:tc>
          <w:tcPr>
            <w:tcW w:w="924" w:type="pct"/>
            <w:vAlign w:val="center"/>
          </w:tcPr>
          <w:p w14:paraId="5B077603" w14:textId="77777777" w:rsidR="00CC1C83" w:rsidRPr="00E44776" w:rsidRDefault="00CC1C83" w:rsidP="00FC3672">
            <w:pPr>
              <w:pStyle w:val="TableText"/>
              <w:jc w:val="center"/>
              <w:rPr>
                <w:b/>
                <w:bCs w:val="0"/>
                <w:szCs w:val="20"/>
              </w:rPr>
            </w:pPr>
            <w:r w:rsidRPr="00E44776">
              <w:rPr>
                <w:b/>
                <w:bCs w:val="0"/>
              </w:rPr>
              <w:t>-6.7 (-10.7, -2.7)</w:t>
            </w:r>
          </w:p>
        </w:tc>
      </w:tr>
      <w:tr w:rsidR="00CC1C83" w:rsidRPr="00E44776" w14:paraId="5445C466" w14:textId="77777777" w:rsidTr="00FC3672">
        <w:tc>
          <w:tcPr>
            <w:tcW w:w="1065" w:type="pct"/>
          </w:tcPr>
          <w:p w14:paraId="6C6F27D4" w14:textId="77777777" w:rsidR="00CC1C83" w:rsidRPr="00E44776" w:rsidRDefault="00CC1C83" w:rsidP="00FC3672">
            <w:pPr>
              <w:pStyle w:val="TableText"/>
              <w:rPr>
                <w:szCs w:val="20"/>
              </w:rPr>
            </w:pPr>
            <w:r w:rsidRPr="00E44776">
              <w:t>Pneumonia</w:t>
            </w:r>
          </w:p>
        </w:tc>
        <w:tc>
          <w:tcPr>
            <w:tcW w:w="603" w:type="pct"/>
          </w:tcPr>
          <w:p w14:paraId="7F57F1F0" w14:textId="77777777" w:rsidR="00CC1C83" w:rsidRPr="00E44776" w:rsidRDefault="00CC1C83" w:rsidP="00FC3672">
            <w:pPr>
              <w:pStyle w:val="TableText"/>
              <w:jc w:val="center"/>
              <w:rPr>
                <w:szCs w:val="20"/>
              </w:rPr>
            </w:pPr>
            <w:r w:rsidRPr="00E44776">
              <w:t>NR</w:t>
            </w:r>
          </w:p>
        </w:tc>
        <w:tc>
          <w:tcPr>
            <w:tcW w:w="768" w:type="pct"/>
          </w:tcPr>
          <w:p w14:paraId="6BE98330" w14:textId="77777777" w:rsidR="00CC1C83" w:rsidRPr="00E44776" w:rsidRDefault="00CC1C83" w:rsidP="00FC3672">
            <w:pPr>
              <w:pStyle w:val="TableText"/>
              <w:jc w:val="center"/>
              <w:rPr>
                <w:szCs w:val="20"/>
              </w:rPr>
            </w:pPr>
            <w:r w:rsidRPr="00E44776">
              <w:t>5.7%</w:t>
            </w:r>
          </w:p>
        </w:tc>
        <w:tc>
          <w:tcPr>
            <w:tcW w:w="849" w:type="pct"/>
          </w:tcPr>
          <w:p w14:paraId="785AC424" w14:textId="77777777" w:rsidR="00CC1C83" w:rsidRPr="00E44776" w:rsidRDefault="00CC1C83" w:rsidP="00FC3672">
            <w:pPr>
              <w:pStyle w:val="TableText"/>
              <w:jc w:val="center"/>
              <w:rPr>
                <w:szCs w:val="20"/>
              </w:rPr>
            </w:pPr>
            <w:r w:rsidRPr="00E44776">
              <w:t>7.3%</w:t>
            </w:r>
          </w:p>
        </w:tc>
        <w:tc>
          <w:tcPr>
            <w:tcW w:w="791" w:type="pct"/>
          </w:tcPr>
          <w:p w14:paraId="4D239515" w14:textId="77777777" w:rsidR="00CC1C83" w:rsidRPr="00E44776" w:rsidRDefault="00CC1C83" w:rsidP="00FC3672">
            <w:pPr>
              <w:pStyle w:val="TableText"/>
              <w:jc w:val="center"/>
              <w:rPr>
                <w:szCs w:val="20"/>
              </w:rPr>
            </w:pPr>
            <w:r w:rsidRPr="00E44776">
              <w:t>5.7%</w:t>
            </w:r>
          </w:p>
        </w:tc>
        <w:tc>
          <w:tcPr>
            <w:tcW w:w="924" w:type="pct"/>
          </w:tcPr>
          <w:p w14:paraId="691B3825" w14:textId="77777777" w:rsidR="00CC1C83" w:rsidRPr="00E44776" w:rsidRDefault="00CC1C83" w:rsidP="00FC3672">
            <w:pPr>
              <w:pStyle w:val="TableText"/>
              <w:jc w:val="center"/>
              <w:rPr>
                <w:szCs w:val="20"/>
              </w:rPr>
            </w:pPr>
            <w:r w:rsidRPr="00E44776">
              <w:t>1.6 (-4.7, 8.0)</w:t>
            </w:r>
          </w:p>
        </w:tc>
      </w:tr>
      <w:tr w:rsidR="00CC1C83" w:rsidRPr="00E44776" w14:paraId="4FE5F7E0" w14:textId="77777777" w:rsidTr="00FC3672">
        <w:tc>
          <w:tcPr>
            <w:tcW w:w="1065" w:type="pct"/>
          </w:tcPr>
          <w:p w14:paraId="138C588C" w14:textId="77777777" w:rsidR="00CC1C83" w:rsidRPr="00E44776" w:rsidRDefault="00CC1C83" w:rsidP="00FC3672">
            <w:pPr>
              <w:pStyle w:val="TableText"/>
              <w:rPr>
                <w:szCs w:val="20"/>
                <w:vertAlign w:val="superscript"/>
              </w:rPr>
            </w:pPr>
            <w:r w:rsidRPr="00E44776">
              <w:t>Secondary primary malignancy</w:t>
            </w:r>
            <w:r w:rsidRPr="00E44776">
              <w:rPr>
                <w:vertAlign w:val="superscript"/>
              </w:rPr>
              <w:t>b</w:t>
            </w:r>
          </w:p>
        </w:tc>
        <w:tc>
          <w:tcPr>
            <w:tcW w:w="603" w:type="pct"/>
            <w:vAlign w:val="center"/>
          </w:tcPr>
          <w:p w14:paraId="0A2D9E06" w14:textId="77777777" w:rsidR="00CC1C83" w:rsidRPr="00E44776" w:rsidRDefault="00CC1C83" w:rsidP="00FC3672">
            <w:pPr>
              <w:pStyle w:val="TableText"/>
              <w:jc w:val="center"/>
              <w:rPr>
                <w:szCs w:val="20"/>
              </w:rPr>
            </w:pPr>
            <w:r w:rsidRPr="00E44776">
              <w:t>NR</w:t>
            </w:r>
          </w:p>
        </w:tc>
        <w:tc>
          <w:tcPr>
            <w:tcW w:w="768" w:type="pct"/>
            <w:vAlign w:val="center"/>
          </w:tcPr>
          <w:p w14:paraId="1313F146" w14:textId="77777777" w:rsidR="00CC1C83" w:rsidRPr="00E44776" w:rsidRDefault="00CC1C83" w:rsidP="00FC3672">
            <w:pPr>
              <w:pStyle w:val="TableText"/>
              <w:jc w:val="center"/>
              <w:rPr>
                <w:b/>
                <w:bCs w:val="0"/>
                <w:szCs w:val="20"/>
              </w:rPr>
            </w:pPr>
            <w:r w:rsidRPr="00E44776">
              <w:t>9.0%</w:t>
            </w:r>
          </w:p>
        </w:tc>
        <w:tc>
          <w:tcPr>
            <w:tcW w:w="849" w:type="pct"/>
            <w:vAlign w:val="center"/>
          </w:tcPr>
          <w:p w14:paraId="7F1BBA88" w14:textId="77777777" w:rsidR="00CC1C83" w:rsidRPr="00E44776" w:rsidRDefault="00CC1C83" w:rsidP="00FC3672">
            <w:pPr>
              <w:pStyle w:val="TableText"/>
              <w:jc w:val="center"/>
              <w:rPr>
                <w:szCs w:val="20"/>
              </w:rPr>
            </w:pPr>
            <w:r w:rsidRPr="00E44776">
              <w:t>5.3%</w:t>
            </w:r>
          </w:p>
        </w:tc>
        <w:tc>
          <w:tcPr>
            <w:tcW w:w="791" w:type="pct"/>
            <w:vAlign w:val="center"/>
          </w:tcPr>
          <w:p w14:paraId="65CFE4C5" w14:textId="77777777" w:rsidR="00CC1C83" w:rsidRPr="00E44776" w:rsidRDefault="00CC1C83" w:rsidP="00FC3672">
            <w:pPr>
              <w:pStyle w:val="TableText"/>
              <w:jc w:val="center"/>
              <w:rPr>
                <w:szCs w:val="20"/>
              </w:rPr>
            </w:pPr>
            <w:r w:rsidRPr="00E44776">
              <w:t>9.0%</w:t>
            </w:r>
          </w:p>
        </w:tc>
        <w:tc>
          <w:tcPr>
            <w:tcW w:w="924" w:type="pct"/>
            <w:vAlign w:val="center"/>
          </w:tcPr>
          <w:p w14:paraId="73885306" w14:textId="77777777" w:rsidR="00CC1C83" w:rsidRPr="00E44776" w:rsidRDefault="00CC1C83" w:rsidP="00FC3672">
            <w:pPr>
              <w:pStyle w:val="TableText"/>
              <w:jc w:val="center"/>
              <w:rPr>
                <w:szCs w:val="20"/>
              </w:rPr>
            </w:pPr>
            <w:r w:rsidRPr="00E44776">
              <w:t>-3.7 (-10.0, 2.6)</w:t>
            </w:r>
          </w:p>
        </w:tc>
      </w:tr>
      <w:tr w:rsidR="00CC1C83" w:rsidRPr="00E44776" w14:paraId="225DA784" w14:textId="77777777" w:rsidTr="00FC3672">
        <w:tc>
          <w:tcPr>
            <w:tcW w:w="1065" w:type="pct"/>
          </w:tcPr>
          <w:p w14:paraId="44633F64" w14:textId="77777777" w:rsidR="00CC1C83" w:rsidRPr="00E44776" w:rsidRDefault="00CC1C83" w:rsidP="00FC3672">
            <w:pPr>
              <w:pStyle w:val="TableText"/>
              <w:rPr>
                <w:szCs w:val="20"/>
              </w:rPr>
            </w:pPr>
            <w:r w:rsidRPr="00E44776">
              <w:t>Thrombocytopenia</w:t>
            </w:r>
          </w:p>
        </w:tc>
        <w:tc>
          <w:tcPr>
            <w:tcW w:w="603" w:type="pct"/>
          </w:tcPr>
          <w:p w14:paraId="2E83B233" w14:textId="77777777" w:rsidR="00CC1C83" w:rsidRPr="00E44776" w:rsidRDefault="00CC1C83" w:rsidP="00FC3672">
            <w:pPr>
              <w:pStyle w:val="TableText"/>
              <w:jc w:val="center"/>
              <w:rPr>
                <w:szCs w:val="20"/>
              </w:rPr>
            </w:pPr>
            <w:r w:rsidRPr="00E44776">
              <w:t>NR</w:t>
            </w:r>
          </w:p>
        </w:tc>
        <w:tc>
          <w:tcPr>
            <w:tcW w:w="768" w:type="pct"/>
          </w:tcPr>
          <w:p w14:paraId="0D582453" w14:textId="77777777" w:rsidR="00CC1C83" w:rsidRPr="00E44776" w:rsidRDefault="00CC1C83" w:rsidP="00FC3672">
            <w:pPr>
              <w:pStyle w:val="TableText"/>
              <w:jc w:val="center"/>
              <w:rPr>
                <w:b/>
                <w:bCs w:val="0"/>
                <w:szCs w:val="20"/>
              </w:rPr>
            </w:pPr>
            <w:r w:rsidRPr="00E44776">
              <w:t>13.7%</w:t>
            </w:r>
          </w:p>
        </w:tc>
        <w:tc>
          <w:tcPr>
            <w:tcW w:w="849" w:type="pct"/>
          </w:tcPr>
          <w:p w14:paraId="097636CF" w14:textId="77777777" w:rsidR="00CC1C83" w:rsidRPr="00E44776" w:rsidRDefault="00CC1C83" w:rsidP="00FC3672">
            <w:pPr>
              <w:pStyle w:val="TableText"/>
              <w:jc w:val="center"/>
              <w:rPr>
                <w:szCs w:val="20"/>
              </w:rPr>
            </w:pPr>
            <w:r w:rsidRPr="00E44776">
              <w:t>9.6%</w:t>
            </w:r>
          </w:p>
        </w:tc>
        <w:tc>
          <w:tcPr>
            <w:tcW w:w="791" w:type="pct"/>
          </w:tcPr>
          <w:p w14:paraId="17214E96" w14:textId="77777777" w:rsidR="00CC1C83" w:rsidRPr="00E44776" w:rsidRDefault="00CC1C83" w:rsidP="00FC3672">
            <w:pPr>
              <w:pStyle w:val="TableText"/>
              <w:jc w:val="center"/>
              <w:rPr>
                <w:szCs w:val="20"/>
              </w:rPr>
            </w:pPr>
            <w:r w:rsidRPr="00E44776">
              <w:t>13.7%</w:t>
            </w:r>
          </w:p>
        </w:tc>
        <w:tc>
          <w:tcPr>
            <w:tcW w:w="924" w:type="pct"/>
          </w:tcPr>
          <w:p w14:paraId="73D08A7C" w14:textId="77777777" w:rsidR="00CC1C83" w:rsidRPr="00E44776" w:rsidRDefault="00CC1C83" w:rsidP="00FC3672">
            <w:pPr>
              <w:pStyle w:val="TableText"/>
              <w:jc w:val="center"/>
              <w:rPr>
                <w:szCs w:val="20"/>
              </w:rPr>
            </w:pPr>
            <w:r w:rsidRPr="00E44776">
              <w:t>-4.1 (-11.2, 3.1)</w:t>
            </w:r>
          </w:p>
        </w:tc>
      </w:tr>
      <w:tr w:rsidR="00CC1C83" w:rsidRPr="00E44776" w14:paraId="3BF58FB0" w14:textId="77777777" w:rsidTr="00FC3672">
        <w:tc>
          <w:tcPr>
            <w:tcW w:w="1065" w:type="pct"/>
          </w:tcPr>
          <w:p w14:paraId="7DF03F27" w14:textId="77777777" w:rsidR="00CC1C83" w:rsidRPr="00E44776" w:rsidRDefault="00CC1C83" w:rsidP="00FC3672">
            <w:pPr>
              <w:pStyle w:val="TableText"/>
              <w:rPr>
                <w:szCs w:val="20"/>
              </w:rPr>
            </w:pPr>
            <w:r w:rsidRPr="00E44776">
              <w:t>Tumour lysis syndrome</w:t>
            </w:r>
          </w:p>
        </w:tc>
        <w:tc>
          <w:tcPr>
            <w:tcW w:w="603" w:type="pct"/>
          </w:tcPr>
          <w:p w14:paraId="04B3B0F6" w14:textId="77777777" w:rsidR="00CC1C83" w:rsidRPr="00E44776" w:rsidRDefault="00CC1C83" w:rsidP="00FC3672">
            <w:pPr>
              <w:pStyle w:val="TableText"/>
              <w:jc w:val="center"/>
              <w:rPr>
                <w:szCs w:val="20"/>
              </w:rPr>
            </w:pPr>
            <w:r w:rsidRPr="00E44776">
              <w:t>NR</w:t>
            </w:r>
          </w:p>
        </w:tc>
        <w:tc>
          <w:tcPr>
            <w:tcW w:w="768" w:type="pct"/>
          </w:tcPr>
          <w:p w14:paraId="7C986F28" w14:textId="77777777" w:rsidR="00CC1C83" w:rsidRPr="00E44776" w:rsidRDefault="00CC1C83" w:rsidP="00FC3672">
            <w:pPr>
              <w:pStyle w:val="TableText"/>
              <w:jc w:val="center"/>
              <w:rPr>
                <w:szCs w:val="20"/>
              </w:rPr>
            </w:pPr>
            <w:r w:rsidRPr="00E44776">
              <w:t>1.4%</w:t>
            </w:r>
          </w:p>
        </w:tc>
        <w:tc>
          <w:tcPr>
            <w:tcW w:w="849" w:type="pct"/>
          </w:tcPr>
          <w:p w14:paraId="7EED4EA8" w14:textId="77777777" w:rsidR="00CC1C83" w:rsidRPr="00E44776" w:rsidRDefault="00CC1C83" w:rsidP="00FC3672">
            <w:pPr>
              <w:pStyle w:val="TableText"/>
              <w:jc w:val="center"/>
              <w:rPr>
                <w:szCs w:val="20"/>
              </w:rPr>
            </w:pPr>
            <w:r w:rsidRPr="00E44776">
              <w:t>1.4%</w:t>
            </w:r>
          </w:p>
        </w:tc>
        <w:tc>
          <w:tcPr>
            <w:tcW w:w="791" w:type="pct"/>
          </w:tcPr>
          <w:p w14:paraId="70EF906B" w14:textId="77777777" w:rsidR="00CC1C83" w:rsidRPr="00E44776" w:rsidRDefault="00CC1C83" w:rsidP="00FC3672">
            <w:pPr>
              <w:pStyle w:val="TableText"/>
              <w:jc w:val="center"/>
              <w:rPr>
                <w:szCs w:val="20"/>
              </w:rPr>
            </w:pPr>
            <w:r w:rsidRPr="00E44776">
              <w:t>1.4%</w:t>
            </w:r>
          </w:p>
        </w:tc>
        <w:tc>
          <w:tcPr>
            <w:tcW w:w="924" w:type="pct"/>
          </w:tcPr>
          <w:p w14:paraId="31844FC9" w14:textId="77777777" w:rsidR="00CC1C83" w:rsidRPr="00E44776" w:rsidRDefault="00CC1C83" w:rsidP="00FC3672">
            <w:pPr>
              <w:pStyle w:val="TableText"/>
              <w:jc w:val="center"/>
              <w:rPr>
                <w:szCs w:val="20"/>
              </w:rPr>
            </w:pPr>
            <w:r w:rsidRPr="00E44776">
              <w:t>0 (-2.4, 2.4)</w:t>
            </w:r>
          </w:p>
        </w:tc>
      </w:tr>
    </w:tbl>
    <w:p w14:paraId="56961938" w14:textId="64F8060D" w:rsidR="00CC1C83" w:rsidRPr="00E44776" w:rsidRDefault="00CC1C83" w:rsidP="00CC1C83">
      <w:pPr>
        <w:pStyle w:val="TableFooter"/>
      </w:pPr>
      <w:r w:rsidRPr="00E44776">
        <w:t>Source: Table 2.80; Slide 25 of Attachment 2L of the resubmission.</w:t>
      </w:r>
    </w:p>
    <w:p w14:paraId="575261B8" w14:textId="77777777" w:rsidR="00CC1C83" w:rsidRPr="00E44776" w:rsidRDefault="00CC1C83" w:rsidP="00CC1C83">
      <w:pPr>
        <w:pStyle w:val="TableFooter"/>
      </w:pPr>
      <w:r w:rsidRPr="00E44776">
        <w:t>ACAL = acalabrutinib, CI = confidence interval, ESS = effective sample size, MAIC = matching adjusted indirect comparison, OBI = obinutuzumab, RD = risk difference, SPM, secondary primary malignancy, VEN = venetoclax</w:t>
      </w:r>
    </w:p>
    <w:p w14:paraId="0E7BAAA9" w14:textId="77777777" w:rsidR="00CC1C83" w:rsidRPr="00E44776" w:rsidRDefault="00CC1C83" w:rsidP="00CC1C83">
      <w:pPr>
        <w:pStyle w:val="TableFooter"/>
      </w:pPr>
      <w:r w:rsidRPr="00E44776">
        <w:rPr>
          <w:vertAlign w:val="superscript"/>
        </w:rPr>
        <w:t>a</w:t>
      </w:r>
      <w:r w:rsidRPr="00E44776">
        <w:t xml:space="preserve"> Differs from ELEVATE-TN ITT due to removal of patients with incomplete baseline data.</w:t>
      </w:r>
    </w:p>
    <w:p w14:paraId="5A634154" w14:textId="77777777" w:rsidR="00CC1C83" w:rsidRPr="00E44776" w:rsidRDefault="00CC1C83" w:rsidP="00CC1C83">
      <w:pPr>
        <w:pStyle w:val="TableFooter"/>
      </w:pPr>
      <w:r w:rsidRPr="00E44776">
        <w:rPr>
          <w:vertAlign w:val="superscript"/>
        </w:rPr>
        <w:t>b</w:t>
      </w:r>
      <w:r w:rsidRPr="00E44776">
        <w:t xml:space="preserve"> Excluding non-melanoma skin cancer.</w:t>
      </w:r>
    </w:p>
    <w:p w14:paraId="33C50CD1" w14:textId="2695C2EA" w:rsidR="00CC1C83" w:rsidRPr="00E44776" w:rsidRDefault="00CC1C83" w:rsidP="00CC1C83">
      <w:pPr>
        <w:pStyle w:val="TableFooter"/>
      </w:pPr>
      <w:r w:rsidRPr="00E44776">
        <w:t>Bolded results indicate statistically significant difference</w:t>
      </w:r>
    </w:p>
    <w:p w14:paraId="39DA4DC3" w14:textId="136CC585" w:rsidR="0041579C" w:rsidRPr="00E44776" w:rsidRDefault="000541EA" w:rsidP="0041579C">
      <w:pPr>
        <w:pStyle w:val="COMexecsumnumberedpara"/>
      </w:pPr>
      <w:r w:rsidRPr="00E44776">
        <w:t>The results should be interpreted with caution due to inadequate justification for the application of the MAIC methodology to specific adverse events</w:t>
      </w:r>
      <w:r w:rsidR="0058530C" w:rsidRPr="00E44776">
        <w:t xml:space="preserve"> </w:t>
      </w:r>
      <w:r w:rsidR="00644927" w:rsidRPr="00E44776">
        <w:t>(e.g.</w:t>
      </w:r>
      <w:r w:rsidR="00FA2D4B" w:rsidRPr="00E44776">
        <w:t>,</w:t>
      </w:r>
      <w:r w:rsidR="00644927" w:rsidRPr="00E44776">
        <w:t xml:space="preserve"> specific adverse events that may have been of interest were not included such as atrial fibrillation, hypertension and bleeding)</w:t>
      </w:r>
      <w:r w:rsidR="00F566D8" w:rsidRPr="00E44776">
        <w:t>,</w:t>
      </w:r>
      <w:r w:rsidRPr="00E44776">
        <w:t xml:space="preserve"> the limited matching of </w:t>
      </w:r>
      <w:r w:rsidR="00102D8D" w:rsidRPr="00E44776">
        <w:t>prognostic</w:t>
      </w:r>
      <w:r w:rsidRPr="00E44776">
        <w:t xml:space="preserve"> </w:t>
      </w:r>
      <w:r w:rsidR="00102D8D" w:rsidRPr="00E44776">
        <w:t>variables</w:t>
      </w:r>
      <w:r w:rsidR="00B21B5C" w:rsidRPr="00E44776">
        <w:t xml:space="preserve"> and </w:t>
      </w:r>
      <w:r w:rsidRPr="00E44776">
        <w:t>differences in follow-up durations</w:t>
      </w:r>
      <w:r w:rsidR="002405F1" w:rsidRPr="00E44776">
        <w:t xml:space="preserve"> in the data-cuts used</w:t>
      </w:r>
      <w:r w:rsidRPr="00E44776">
        <w:t>.</w:t>
      </w:r>
    </w:p>
    <w:p w14:paraId="4B75BAE1" w14:textId="1CBC5977" w:rsidR="000541EA" w:rsidRPr="00E44776" w:rsidRDefault="000541EA" w:rsidP="00431743">
      <w:pPr>
        <w:pStyle w:val="COMexecsumnumberedpara"/>
      </w:pPr>
      <w:r w:rsidRPr="00E44776">
        <w:t>After MAIC adjustment</w:t>
      </w:r>
      <w:r w:rsidR="001B28FA" w:rsidRPr="00E44776">
        <w:t xml:space="preserve"> in the comparison of acalabrutinib + obinutuzumab versus venetoclax + obinutuzumab</w:t>
      </w:r>
      <w:r w:rsidRPr="00E44776">
        <w:t>, there were statistically significant differences favouring acalabrutinib + obinutuzumab for Grade 3-4 infusion-related reactions, leukopenia, neutropenia and non-melanoma skin cancer.</w:t>
      </w:r>
      <w:r w:rsidR="002B32D7" w:rsidRPr="00E44776">
        <w:t xml:space="preserve"> The ESC considered that it was unclear why the incidence of infusion-related reactions was </w:t>
      </w:r>
      <w:r w:rsidR="005B67E9" w:rsidRPr="00E44776">
        <w:t xml:space="preserve">reported to be </w:t>
      </w:r>
      <w:r w:rsidR="002B32D7" w:rsidRPr="00E44776">
        <w:t xml:space="preserve">lower </w:t>
      </w:r>
      <w:r w:rsidR="005B67E9" w:rsidRPr="00E44776">
        <w:t>with</w:t>
      </w:r>
      <w:r w:rsidR="002B32D7" w:rsidRPr="00E44776">
        <w:t xml:space="preserve"> acalabrutinib + obinutuzumab than venetoclax + obinutuzumab, given both regimens include the same</w:t>
      </w:r>
      <w:r w:rsidR="0050665B" w:rsidRPr="00E44776">
        <w:t xml:space="preserve"> injectable</w:t>
      </w:r>
      <w:r w:rsidR="002B32D7" w:rsidRPr="00E44776">
        <w:t xml:space="preserve"> therapy (obinutuzumab). </w:t>
      </w:r>
    </w:p>
    <w:p w14:paraId="7FADC431" w14:textId="732B7893" w:rsidR="0032720B" w:rsidRPr="00E44776" w:rsidRDefault="0032720B" w:rsidP="0032720B">
      <w:pPr>
        <w:pStyle w:val="COMexecsumnumberedpara"/>
      </w:pPr>
      <w:r w:rsidRPr="00E44776">
        <w:t>After MAIC adjustment</w:t>
      </w:r>
      <w:r w:rsidR="001B28FA" w:rsidRPr="00E44776">
        <w:t xml:space="preserve"> in the comparison of acalabrutinib monotherapy versus venetoclax + obinutuzumab</w:t>
      </w:r>
      <w:r w:rsidRPr="00E44776">
        <w:t xml:space="preserve">, there were statistically significant differences favouring acalabrutinib for Grade </w:t>
      </w:r>
      <w:r w:rsidRPr="00E44776">
        <w:rPr>
          <w:rFonts w:cs="Calibri"/>
        </w:rPr>
        <w:t xml:space="preserve">3-4 </w:t>
      </w:r>
      <w:r w:rsidRPr="00E44776">
        <w:t xml:space="preserve">febrile neutropenia, infusion-related reactions, leukopenia, neutropenia, non-melanoma skin cancer, secondary primary malignancy and thrombocytopenia. </w:t>
      </w:r>
    </w:p>
    <w:p w14:paraId="04908C7F" w14:textId="77C7266D" w:rsidR="007F1017" w:rsidRPr="00E44776" w:rsidRDefault="007F1017" w:rsidP="00D86231">
      <w:pPr>
        <w:pStyle w:val="COMH2-non-numbered"/>
        <w:rPr>
          <w:iCs/>
        </w:rPr>
      </w:pPr>
      <w:bookmarkStart w:id="70" w:name="_Toc22897643"/>
      <w:bookmarkStart w:id="71" w:name="_Toc114048851"/>
      <w:r w:rsidRPr="00E44776">
        <w:rPr>
          <w:iCs/>
        </w:rPr>
        <w:t>Benefits/harms</w:t>
      </w:r>
      <w:bookmarkStart w:id="72" w:name="_Hlk111467528"/>
      <w:bookmarkEnd w:id="70"/>
      <w:bookmarkEnd w:id="71"/>
    </w:p>
    <w:p w14:paraId="1D33310F" w14:textId="5E5B74D0" w:rsidR="00EB0808" w:rsidRPr="00E44776" w:rsidRDefault="00F77BAC" w:rsidP="00D2155B">
      <w:pPr>
        <w:pStyle w:val="COMexecsumnumberedpara"/>
      </w:pPr>
      <w:r w:rsidRPr="00E44776">
        <w:rPr>
          <w:snapToGrid/>
          <w:lang w:val="en-US"/>
        </w:rPr>
        <w:t xml:space="preserve">On the basis of </w:t>
      </w:r>
      <w:r w:rsidR="00683D03" w:rsidRPr="00E44776">
        <w:rPr>
          <w:snapToGrid/>
          <w:lang w:val="en-US"/>
        </w:rPr>
        <w:t>a</w:t>
      </w:r>
      <w:r w:rsidRPr="00E44776">
        <w:rPr>
          <w:snapToGrid/>
          <w:lang w:val="en-US"/>
        </w:rPr>
        <w:t xml:space="preserve"> naïve comparison of acalabrutinib + obinutuzumab</w:t>
      </w:r>
      <w:r w:rsidR="00F82D32" w:rsidRPr="00E44776">
        <w:rPr>
          <w:snapToGrid/>
          <w:lang w:val="en-US"/>
        </w:rPr>
        <w:t xml:space="preserve"> (ELEVATE-TN trial; median follow-up 58.2 months)</w:t>
      </w:r>
      <w:r w:rsidRPr="00E44776">
        <w:rPr>
          <w:snapToGrid/>
          <w:lang w:val="en-US"/>
        </w:rPr>
        <w:t xml:space="preserve"> and venetoclax + obinutuzumab </w:t>
      </w:r>
      <w:r w:rsidR="00F82D32" w:rsidRPr="00E44776">
        <w:rPr>
          <w:snapToGrid/>
          <w:lang w:val="en-US"/>
        </w:rPr>
        <w:t xml:space="preserve">(CLL-14 trial; median </w:t>
      </w:r>
      <w:r w:rsidR="00F82D32" w:rsidRPr="00E44776">
        <w:rPr>
          <w:snapToGrid/>
          <w:lang w:val="en-US"/>
        </w:rPr>
        <w:lastRenderedPageBreak/>
        <w:t>follow-up 65.4 months)</w:t>
      </w:r>
      <w:r w:rsidR="00EB0808" w:rsidRPr="00E44776">
        <w:rPr>
          <w:snapToGrid/>
          <w:lang w:val="en-US"/>
        </w:rPr>
        <w:t>, for every 100 patients treated with acalabrutinib + obinutuzumab in comparison with venetoclax + obinutuzumab:</w:t>
      </w:r>
    </w:p>
    <w:p w14:paraId="72EDCA78" w14:textId="4FB8DC41" w:rsidR="00EB0808" w:rsidRPr="00E44776" w:rsidRDefault="00EB0808" w:rsidP="00D32791">
      <w:pPr>
        <w:pStyle w:val="COMexecsumnumberedpara"/>
        <w:numPr>
          <w:ilvl w:val="0"/>
          <w:numId w:val="12"/>
        </w:numPr>
        <w:spacing w:after="0"/>
      </w:pPr>
      <w:r w:rsidRPr="00E44776">
        <w:t xml:space="preserve">Approximately 21 additional patients will remain free from progression at </w:t>
      </w:r>
      <w:r w:rsidR="00A44698" w:rsidRPr="00E44776">
        <w:t>60 months.</w:t>
      </w:r>
    </w:p>
    <w:p w14:paraId="2B675406" w14:textId="5FA3FB77" w:rsidR="00A44698" w:rsidRPr="00E44776" w:rsidRDefault="00A44698" w:rsidP="00D32791">
      <w:pPr>
        <w:pStyle w:val="COMexecsumnumberedpara"/>
        <w:numPr>
          <w:ilvl w:val="0"/>
          <w:numId w:val="12"/>
        </w:numPr>
      </w:pPr>
      <w:r w:rsidRPr="00E44776">
        <w:t>Approximately 8 additional patients will remain alive at 60 months.</w:t>
      </w:r>
    </w:p>
    <w:p w14:paraId="40A897B1" w14:textId="4476BF49" w:rsidR="0089547C" w:rsidRPr="00E44776" w:rsidRDefault="00A44698" w:rsidP="00D2155B">
      <w:pPr>
        <w:pStyle w:val="COMexecsumnumberedpara"/>
      </w:pPr>
      <w:r w:rsidRPr="00E44776">
        <w:rPr>
          <w:snapToGrid/>
          <w:lang w:val="en-US"/>
        </w:rPr>
        <w:t xml:space="preserve">On the basis of </w:t>
      </w:r>
      <w:r w:rsidR="00683D03" w:rsidRPr="00E44776">
        <w:rPr>
          <w:snapToGrid/>
          <w:lang w:val="en-US"/>
        </w:rPr>
        <w:t>a</w:t>
      </w:r>
      <w:r w:rsidRPr="00E44776">
        <w:rPr>
          <w:snapToGrid/>
          <w:lang w:val="en-US"/>
        </w:rPr>
        <w:t xml:space="preserve"> </w:t>
      </w:r>
      <w:r w:rsidR="00683D03" w:rsidRPr="00E44776">
        <w:rPr>
          <w:snapToGrid/>
          <w:lang w:val="en-US"/>
        </w:rPr>
        <w:t xml:space="preserve">naïve comparison of </w:t>
      </w:r>
      <w:r w:rsidR="0089547C" w:rsidRPr="00E44776">
        <w:rPr>
          <w:snapToGrid/>
          <w:lang w:val="en-US"/>
        </w:rPr>
        <w:t xml:space="preserve">acalabrutinib + obinutuzumab (ELEVATE-TN trial; median follow-up 46.9 months) and venetoclax + obinutuzumab (median follow-up 39.6 months), for every 100 patients treated with acalabrutinib </w:t>
      </w:r>
      <w:r w:rsidR="0013119A" w:rsidRPr="00E44776">
        <w:rPr>
          <w:snapToGrid/>
          <w:lang w:val="en-US"/>
        </w:rPr>
        <w:t xml:space="preserve">+ obinutuzumab </w:t>
      </w:r>
      <w:r w:rsidR="0089547C" w:rsidRPr="00E44776">
        <w:rPr>
          <w:snapToGrid/>
          <w:lang w:val="en-US"/>
        </w:rPr>
        <w:t>in comparison with venetoclax + obinutuzumab:</w:t>
      </w:r>
    </w:p>
    <w:p w14:paraId="622FA4D7" w14:textId="00C0ED38" w:rsidR="0098767C" w:rsidRDefault="0098767C" w:rsidP="00695F39">
      <w:pPr>
        <w:pStyle w:val="COMexecsumnumberedpara"/>
        <w:numPr>
          <w:ilvl w:val="0"/>
          <w:numId w:val="13"/>
        </w:numPr>
        <w:ind w:left="1077" w:hanging="357"/>
      </w:pPr>
      <w:r w:rsidRPr="00E44776">
        <w:t>Approximately 2</w:t>
      </w:r>
      <w:r w:rsidR="00F566D8" w:rsidRPr="00E44776">
        <w:t>4</w:t>
      </w:r>
      <w:r w:rsidRPr="00E44776">
        <w:t xml:space="preserve"> </w:t>
      </w:r>
      <w:r w:rsidR="00286C06" w:rsidRPr="00E44776">
        <w:t>fewer</w:t>
      </w:r>
      <w:r w:rsidRPr="00E44776">
        <w:t xml:space="preserve"> patients </w:t>
      </w:r>
      <w:r w:rsidR="00FA2AB5" w:rsidRPr="00E44776">
        <w:t>will</w:t>
      </w:r>
      <w:r w:rsidRPr="00E44776">
        <w:t xml:space="preserve"> experience life-threatening or severe </w:t>
      </w:r>
      <w:r w:rsidR="00FA2AB5" w:rsidRPr="00E44776">
        <w:t>neutropenia</w:t>
      </w:r>
      <w:r w:rsidR="007B6B01" w:rsidRPr="00E44776">
        <w:t>.</w:t>
      </w:r>
    </w:p>
    <w:p w14:paraId="04593FA9" w14:textId="48E0ADCA" w:rsidR="00695F39" w:rsidRPr="00E44776" w:rsidRDefault="00695F39" w:rsidP="00695F39">
      <w:pPr>
        <w:pStyle w:val="COMexecsumnumberedpara"/>
      </w:pPr>
      <w:r>
        <w:t xml:space="preserve">The PBAC considered that these estimates were not reliable given the issues with the underlying clinical data (refer to paragraph </w:t>
      </w:r>
      <w:r>
        <w:fldChar w:fldCharType="begin" w:fldLock="1"/>
      </w:r>
      <w:r>
        <w:instrText xml:space="preserve"> REF _Ref124348264 \r \h </w:instrText>
      </w:r>
      <w:r>
        <w:fldChar w:fldCharType="separate"/>
      </w:r>
      <w:r w:rsidR="00CB2B8B">
        <w:t>7.7</w:t>
      </w:r>
      <w:r>
        <w:fldChar w:fldCharType="end"/>
      </w:r>
      <w:r>
        <w:t>).</w:t>
      </w:r>
    </w:p>
    <w:p w14:paraId="7A1772B6" w14:textId="3BA4EED8" w:rsidR="00B60939" w:rsidRPr="00E44776" w:rsidRDefault="00B60939" w:rsidP="00E9094A">
      <w:pPr>
        <w:pStyle w:val="COMH2-non-numbered"/>
        <w:rPr>
          <w:iCs/>
        </w:rPr>
      </w:pPr>
      <w:bookmarkStart w:id="73" w:name="_Toc22897644"/>
      <w:bookmarkStart w:id="74" w:name="_Toc114048852"/>
      <w:bookmarkEnd w:id="72"/>
      <w:r w:rsidRPr="00E44776">
        <w:rPr>
          <w:iCs/>
        </w:rPr>
        <w:t>Clinical claim</w:t>
      </w:r>
      <w:bookmarkEnd w:id="73"/>
      <w:bookmarkEnd w:id="74"/>
    </w:p>
    <w:p w14:paraId="1E0128C1" w14:textId="141F3ABE" w:rsidR="00EA7DA1" w:rsidRPr="00E44776" w:rsidRDefault="00EA7DA1" w:rsidP="00E9094A">
      <w:pPr>
        <w:pStyle w:val="COMexecsumnumberedpara"/>
        <w:rPr>
          <w:rFonts w:eastAsia="Calibri"/>
        </w:rPr>
      </w:pPr>
      <w:r w:rsidRPr="00E44776">
        <w:t>The resubmission described acalabrutinib + obinutuzumab as superior in terms of effectiveness and safety compared to venetoclax + obinutuzumab, in patients with previously untreated CLL/SLL who are unsuitable for fludarabine-based chemoimmunotherapy.</w:t>
      </w:r>
    </w:p>
    <w:p w14:paraId="0D1D54FB" w14:textId="7FEF7376" w:rsidR="00F62664" w:rsidRPr="00E44776" w:rsidRDefault="00F62664" w:rsidP="00E9094A">
      <w:pPr>
        <w:pStyle w:val="COMexecsumnumberedpara"/>
        <w:rPr>
          <w:rFonts w:eastAsia="Calibri"/>
        </w:rPr>
      </w:pPr>
      <w:r w:rsidRPr="00E44776">
        <w:t>The</w:t>
      </w:r>
      <w:r w:rsidR="00BD60EE">
        <w:t xml:space="preserve"> evaluation and the ESC considered that the</w:t>
      </w:r>
      <w:r w:rsidRPr="00E44776">
        <w:t xml:space="preserve"> </w:t>
      </w:r>
      <w:r w:rsidR="00A54243" w:rsidRPr="00E44776">
        <w:t xml:space="preserve">therapeutic conclusion presented in the resubmission </w:t>
      </w:r>
      <w:r w:rsidR="004B5B8B">
        <w:t>wa</w:t>
      </w:r>
      <w:r w:rsidR="00A54243" w:rsidRPr="00E44776">
        <w:t>s partially supported</w:t>
      </w:r>
      <w:r w:rsidRPr="00E44776">
        <w:t>:</w:t>
      </w:r>
    </w:p>
    <w:p w14:paraId="50150EAF" w14:textId="541059CE" w:rsidR="00582297" w:rsidRPr="00E44776" w:rsidRDefault="00021A99" w:rsidP="00D32791">
      <w:pPr>
        <w:pStyle w:val="ListBullet"/>
        <w:numPr>
          <w:ilvl w:val="0"/>
          <w:numId w:val="14"/>
        </w:numPr>
        <w:ind w:left="1077" w:hanging="357"/>
        <w:rPr>
          <w:rFonts w:asciiTheme="minorHAnsi" w:hAnsiTheme="minorHAnsi"/>
          <w:snapToGrid w:val="0"/>
        </w:rPr>
      </w:pPr>
      <w:r w:rsidRPr="00E44776">
        <w:rPr>
          <w:rFonts w:asciiTheme="minorHAnsi" w:hAnsiTheme="minorHAnsi"/>
          <w:snapToGrid w:val="0"/>
        </w:rPr>
        <w:t xml:space="preserve">Based on a naïve comparison of results for the ELEVATE-TN and CLL-14 trials, the proportion of patients remaining free from disease progression at 60 months was numerically higher for acalabrutinib + obinutuzumab compared to venetoclax + obinutuzumab (84% versus 63%). </w:t>
      </w:r>
      <w:bookmarkStart w:id="75" w:name="_Hlk113530292"/>
      <w:r w:rsidRPr="00E44776">
        <w:rPr>
          <w:rFonts w:asciiTheme="minorHAnsi" w:hAnsiTheme="minorHAnsi"/>
          <w:snapToGrid w:val="0"/>
        </w:rPr>
        <w:t xml:space="preserve">The </w:t>
      </w:r>
      <w:r w:rsidR="00E22EE8" w:rsidRPr="00E44776">
        <w:rPr>
          <w:rFonts w:asciiTheme="minorHAnsi" w:hAnsiTheme="minorHAnsi"/>
          <w:snapToGrid w:val="0"/>
        </w:rPr>
        <w:t>hazard ratio for the comparison of acalabrutinib + obinutuzumab and venetoclax + obinutuzumab</w:t>
      </w:r>
      <w:r w:rsidRPr="00E44776">
        <w:rPr>
          <w:rFonts w:asciiTheme="minorHAnsi" w:hAnsiTheme="minorHAnsi"/>
          <w:snapToGrid w:val="0"/>
        </w:rPr>
        <w:t xml:space="preserve"> </w:t>
      </w:r>
      <w:r w:rsidR="00E22EE8" w:rsidRPr="00E44776">
        <w:rPr>
          <w:rFonts w:asciiTheme="minorHAnsi" w:hAnsiTheme="minorHAnsi"/>
          <w:snapToGrid w:val="0"/>
        </w:rPr>
        <w:t xml:space="preserve">favoured acalabrutinib + obinutuzumab and </w:t>
      </w:r>
      <w:r w:rsidRPr="00E44776">
        <w:rPr>
          <w:rFonts w:asciiTheme="minorHAnsi" w:hAnsiTheme="minorHAnsi"/>
          <w:snapToGrid w:val="0"/>
        </w:rPr>
        <w:t>was statistically significant before and after matching in the MAIC analysis.</w:t>
      </w:r>
      <w:r w:rsidR="00582297" w:rsidRPr="00E44776">
        <w:rPr>
          <w:rFonts w:asciiTheme="minorHAnsi" w:hAnsiTheme="minorHAnsi"/>
          <w:snapToGrid w:val="0"/>
        </w:rPr>
        <w:t xml:space="preserve"> </w:t>
      </w:r>
      <w:bookmarkEnd w:id="75"/>
    </w:p>
    <w:p w14:paraId="43833E59" w14:textId="6CF39BC9" w:rsidR="00021A99" w:rsidRPr="00E44776" w:rsidRDefault="00021A99" w:rsidP="00D32791">
      <w:pPr>
        <w:pStyle w:val="ListBullet"/>
        <w:numPr>
          <w:ilvl w:val="0"/>
          <w:numId w:val="14"/>
        </w:numPr>
        <w:ind w:left="1077" w:hanging="357"/>
        <w:rPr>
          <w:rFonts w:asciiTheme="minorHAnsi" w:hAnsiTheme="minorHAnsi"/>
          <w:snapToGrid w:val="0"/>
        </w:rPr>
      </w:pPr>
      <w:r w:rsidRPr="00E44776">
        <w:rPr>
          <w:rFonts w:asciiTheme="minorHAnsi" w:hAnsiTheme="minorHAnsi"/>
          <w:snapToGrid w:val="0"/>
        </w:rPr>
        <w:t xml:space="preserve">Based on a naïve comparison of results for the ELEVATE-TN and CLL-14 trials, the proportion of patients remaining alive at 60 months was numerically higher for acalabrutinib + obinutuzumab compared to venetoclax + obinutuzumab (90% versus 82%). </w:t>
      </w:r>
      <w:r w:rsidR="00E22EE8" w:rsidRPr="00E44776">
        <w:rPr>
          <w:rFonts w:asciiTheme="minorHAnsi" w:hAnsiTheme="minorHAnsi"/>
          <w:snapToGrid w:val="0"/>
        </w:rPr>
        <w:t>The hazard ratio for the comparison of acalabrutinib + obinutuzumab and venetoclax + obinutuzumab favoured acalabrutinib + obinutuzumab and was statistically significant before and after matching in the MAIC analysis.</w:t>
      </w:r>
      <w:r w:rsidR="0028400F" w:rsidRPr="00E44776">
        <w:rPr>
          <w:rFonts w:asciiTheme="minorHAnsi" w:hAnsiTheme="minorHAnsi"/>
          <w:snapToGrid w:val="0"/>
        </w:rPr>
        <w:t xml:space="preserve"> However, the ESC considered that the overall survival results were difficult to interpret due to the subsequent lines of effective therapy available</w:t>
      </w:r>
      <w:r w:rsidR="00D80B28" w:rsidRPr="00E44776">
        <w:rPr>
          <w:rFonts w:asciiTheme="minorHAnsi" w:hAnsiTheme="minorHAnsi"/>
          <w:snapToGrid w:val="0"/>
        </w:rPr>
        <w:t xml:space="preserve"> in the context of the low-grade nature of CLL</w:t>
      </w:r>
      <w:r w:rsidR="0028400F" w:rsidRPr="00E44776">
        <w:rPr>
          <w:rFonts w:asciiTheme="minorHAnsi" w:hAnsiTheme="minorHAnsi"/>
          <w:snapToGrid w:val="0"/>
        </w:rPr>
        <w:t>.</w:t>
      </w:r>
    </w:p>
    <w:p w14:paraId="56A2F9F0" w14:textId="1B2B2EE3" w:rsidR="00582297" w:rsidRPr="00E44776" w:rsidRDefault="00FC5966" w:rsidP="00D32791">
      <w:pPr>
        <w:pStyle w:val="ListParagraph"/>
        <w:numPr>
          <w:ilvl w:val="0"/>
          <w:numId w:val="14"/>
        </w:numPr>
        <w:spacing w:after="0"/>
        <w:ind w:left="1077" w:hanging="357"/>
      </w:pPr>
      <w:r w:rsidRPr="00E44776">
        <w:t xml:space="preserve">The </w:t>
      </w:r>
      <w:r w:rsidR="00021A99" w:rsidRPr="00E44776">
        <w:t xml:space="preserve">results of the naïve comparisons should be interpreted with caution due to differences in eligibility criteria </w:t>
      </w:r>
      <w:r w:rsidRPr="00E44776">
        <w:t>between the ELEVATE-TN and CLL-14 trials</w:t>
      </w:r>
      <w:r w:rsidR="00C63C8B" w:rsidRPr="00E44776">
        <w:t xml:space="preserve"> and</w:t>
      </w:r>
      <w:r w:rsidRPr="00E44776">
        <w:t xml:space="preserve"> </w:t>
      </w:r>
      <w:r w:rsidR="00C50A5C" w:rsidRPr="00E44776">
        <w:t>differences</w:t>
      </w:r>
      <w:r w:rsidR="00662EF2" w:rsidRPr="00E44776">
        <w:t xml:space="preserve"> in</w:t>
      </w:r>
      <w:r w:rsidR="00C50A5C" w:rsidRPr="00E44776">
        <w:t xml:space="preserve"> </w:t>
      </w:r>
      <w:r w:rsidRPr="00E44776">
        <w:t>patient characteristics</w:t>
      </w:r>
      <w:r w:rsidR="000144E0" w:rsidRPr="00E44776">
        <w:t xml:space="preserve"> </w:t>
      </w:r>
      <w:r w:rsidR="00C50A5C" w:rsidRPr="00E44776">
        <w:t xml:space="preserve">between the trials </w:t>
      </w:r>
      <w:r w:rsidR="000144E0" w:rsidRPr="00E44776">
        <w:t>(</w:t>
      </w:r>
      <w:r w:rsidRPr="00E44776">
        <w:t xml:space="preserve">including </w:t>
      </w:r>
      <w:r w:rsidR="000144E0" w:rsidRPr="00E44776">
        <w:t xml:space="preserve">median </w:t>
      </w:r>
      <w:r w:rsidRPr="00E44776">
        <w:t>age and</w:t>
      </w:r>
      <w:r w:rsidR="00582297" w:rsidRPr="00E44776">
        <w:t xml:space="preserve"> </w:t>
      </w:r>
      <w:r w:rsidR="00582297" w:rsidRPr="00E44776">
        <w:lastRenderedPageBreak/>
        <w:t>the</w:t>
      </w:r>
      <w:r w:rsidRPr="00E44776">
        <w:t xml:space="preserve"> </w:t>
      </w:r>
      <w:r w:rsidR="000144E0" w:rsidRPr="00E44776">
        <w:t xml:space="preserve">proportion with a </w:t>
      </w:r>
      <w:r w:rsidRPr="00E44776">
        <w:t>CIRS</w:t>
      </w:r>
      <w:r w:rsidR="000144E0" w:rsidRPr="00E44776">
        <w:t xml:space="preserve"> score &gt;6)</w:t>
      </w:r>
      <w:r w:rsidR="00C63C8B" w:rsidRPr="00E44776">
        <w:t>. K</w:t>
      </w:r>
      <w:r w:rsidR="00C50A5C" w:rsidRPr="00E44776">
        <w:t>ey</w:t>
      </w:r>
      <w:r w:rsidR="00582297" w:rsidRPr="00E44776">
        <w:t xml:space="preserve"> patient characteristic</w:t>
      </w:r>
      <w:r w:rsidR="008D2852" w:rsidRPr="00E44776">
        <w:t>s</w:t>
      </w:r>
      <w:r w:rsidR="00582297" w:rsidRPr="00E44776">
        <w:t xml:space="preserve"> data for the CLL-14 trial </w:t>
      </w:r>
      <w:r w:rsidR="000144E0" w:rsidRPr="00E44776">
        <w:t>(</w:t>
      </w:r>
      <w:r w:rsidR="00C50A5C" w:rsidRPr="00E44776">
        <w:t xml:space="preserve">including </w:t>
      </w:r>
      <w:r w:rsidR="000144E0" w:rsidRPr="00E44776">
        <w:t xml:space="preserve">bulky disease and Rai </w:t>
      </w:r>
      <w:r w:rsidR="00C50A5C" w:rsidRPr="00E44776">
        <w:t>s</w:t>
      </w:r>
      <w:r w:rsidR="000144E0" w:rsidRPr="00E44776">
        <w:t>tage)</w:t>
      </w:r>
      <w:r w:rsidR="00C50A5C" w:rsidRPr="00E44776">
        <w:t xml:space="preserve"> was not </w:t>
      </w:r>
      <w:r w:rsidR="008D2852" w:rsidRPr="00E44776">
        <w:t>available</w:t>
      </w:r>
      <w:r w:rsidR="000144E0" w:rsidRPr="00E44776">
        <w:t xml:space="preserve">. </w:t>
      </w:r>
    </w:p>
    <w:p w14:paraId="333B0334" w14:textId="661C71FD" w:rsidR="000144E0" w:rsidRPr="00E44776" w:rsidRDefault="000144E0" w:rsidP="00D32791">
      <w:pPr>
        <w:pStyle w:val="ListParagraph"/>
        <w:numPr>
          <w:ilvl w:val="0"/>
          <w:numId w:val="14"/>
        </w:numPr>
        <w:spacing w:after="0"/>
        <w:ind w:left="1077" w:hanging="357"/>
      </w:pPr>
      <w:r w:rsidRPr="00E44776">
        <w:t xml:space="preserve">Results of the </w:t>
      </w:r>
      <w:bookmarkStart w:id="76" w:name="_Hlk121748026"/>
      <w:r w:rsidRPr="00E44776">
        <w:t xml:space="preserve">updated unanchored MAICs did not appear to be reliable as they did not </w:t>
      </w:r>
      <w:r w:rsidR="00077C7F" w:rsidRPr="00E44776">
        <w:t xml:space="preserve">adequately </w:t>
      </w:r>
      <w:r w:rsidRPr="00E44776">
        <w:t>account for differences in eligibility criteria between the ELEVATE-TN and CLL-14 trials, or match for potentially important prognostic variables</w:t>
      </w:r>
      <w:bookmarkEnd w:id="76"/>
      <w:r w:rsidRPr="00E44776">
        <w:t>.</w:t>
      </w:r>
    </w:p>
    <w:p w14:paraId="6C4DECC5" w14:textId="6EC5F0AE" w:rsidR="000D637B" w:rsidRPr="00E44776" w:rsidRDefault="000D637B" w:rsidP="000D637B">
      <w:pPr>
        <w:pStyle w:val="ListParagraph"/>
        <w:numPr>
          <w:ilvl w:val="0"/>
          <w:numId w:val="14"/>
        </w:numPr>
        <w:spacing w:after="0"/>
        <w:ind w:left="1077" w:hanging="357"/>
      </w:pPr>
      <w:r w:rsidRPr="00E44776">
        <w:t xml:space="preserve">There were differences between the clinical criteria included in the proposed restriction and the eligibility criteria for the ELEVATE-TN trial that may affect the applicability of the results to the PBS population. </w:t>
      </w:r>
      <w:r w:rsidR="008B4F7B" w:rsidRPr="00E44776">
        <w:t>As outlined in Paragraph 3.4, t</w:t>
      </w:r>
      <w:r w:rsidRPr="00E44776">
        <w:t xml:space="preserve">he proposed restriction requires patients to have a CIRS score &gt;6 or a creatinine clearance &lt;70 mL/min, whereas patients recruited for the ELEVATE-TN trial were only required to meet the CIRS score/creatinine criteria if they were aged &lt;65 years. </w:t>
      </w:r>
      <w:r w:rsidR="00BA247D" w:rsidRPr="00E44776">
        <w:rPr>
          <w:snapToGrid/>
          <w:lang w:val="en-US"/>
        </w:rPr>
        <w:t xml:space="preserve">The proportion of patients in the overall ELEVATE-TN trial population who would meet the proposed PBS criteria was not presented in the resubmission or in the PSCR. </w:t>
      </w:r>
      <w:r w:rsidR="00BD60EE">
        <w:rPr>
          <w:snapToGrid/>
          <w:lang w:val="en-US"/>
        </w:rPr>
        <w:t xml:space="preserve">Based on the restriction proposed in the resubmission, </w:t>
      </w:r>
      <w:r w:rsidRPr="00E44776">
        <w:t xml:space="preserve">the ESC considered that patients in the PBS population </w:t>
      </w:r>
      <w:r w:rsidR="00BD60EE">
        <w:t>would be</w:t>
      </w:r>
      <w:r w:rsidR="00BD60EE" w:rsidRPr="00E44776">
        <w:t xml:space="preserve"> </w:t>
      </w:r>
      <w:r w:rsidRPr="00E44776">
        <w:t>likely to have a higher burden of comorbidities compared to patients in the ELEVATE-TN trial, which may translate into differences in outcomes, particularly in terms of safety.</w:t>
      </w:r>
    </w:p>
    <w:p w14:paraId="056A4541" w14:textId="6567F726" w:rsidR="00021A99" w:rsidRDefault="00021A99" w:rsidP="00D1585D">
      <w:pPr>
        <w:pStyle w:val="ListBullet"/>
        <w:numPr>
          <w:ilvl w:val="0"/>
          <w:numId w:val="14"/>
        </w:numPr>
        <w:spacing w:after="120"/>
        <w:ind w:left="1077" w:hanging="357"/>
        <w:rPr>
          <w:rFonts w:asciiTheme="minorHAnsi" w:hAnsiTheme="minorHAnsi"/>
          <w:snapToGrid w:val="0"/>
        </w:rPr>
      </w:pPr>
      <w:bookmarkStart w:id="77" w:name="_Hlk121749241"/>
      <w:r w:rsidRPr="00E44776">
        <w:rPr>
          <w:rFonts w:asciiTheme="minorHAnsi" w:hAnsiTheme="minorHAnsi"/>
          <w:snapToGrid w:val="0"/>
        </w:rPr>
        <w:t xml:space="preserve">Comparison of safety outcomes was </w:t>
      </w:r>
      <w:r w:rsidR="00E2634D" w:rsidRPr="00E44776">
        <w:rPr>
          <w:rFonts w:asciiTheme="minorHAnsi" w:hAnsiTheme="minorHAnsi"/>
          <w:snapToGrid w:val="0"/>
        </w:rPr>
        <w:t>constrained</w:t>
      </w:r>
      <w:r w:rsidRPr="00E44776">
        <w:rPr>
          <w:rFonts w:asciiTheme="minorHAnsi" w:hAnsiTheme="minorHAnsi"/>
          <w:snapToGrid w:val="0"/>
        </w:rPr>
        <w:t xml:space="preserve"> by the limited report</w:t>
      </w:r>
      <w:r w:rsidR="001A6CE4" w:rsidRPr="00E44776">
        <w:rPr>
          <w:rFonts w:asciiTheme="minorHAnsi" w:hAnsiTheme="minorHAnsi"/>
          <w:snapToGrid w:val="0"/>
        </w:rPr>
        <w:t xml:space="preserve">ing of safety </w:t>
      </w:r>
      <w:r w:rsidRPr="00E44776">
        <w:rPr>
          <w:rFonts w:asciiTheme="minorHAnsi" w:hAnsiTheme="minorHAnsi"/>
          <w:snapToGrid w:val="0"/>
        </w:rPr>
        <w:t>outcomes</w:t>
      </w:r>
      <w:r w:rsidR="001A6CE4" w:rsidRPr="00E44776">
        <w:rPr>
          <w:rFonts w:asciiTheme="minorHAnsi" w:hAnsiTheme="minorHAnsi"/>
          <w:snapToGrid w:val="0"/>
        </w:rPr>
        <w:t xml:space="preserve"> for the ELEVATE-TN and CLL-14 trials in publications </w:t>
      </w:r>
      <w:r w:rsidR="00E2634D" w:rsidRPr="00E44776">
        <w:rPr>
          <w:rFonts w:asciiTheme="minorHAnsi" w:hAnsiTheme="minorHAnsi"/>
          <w:snapToGrid w:val="0"/>
        </w:rPr>
        <w:t>reporting</w:t>
      </w:r>
      <w:r w:rsidR="001A6CE4" w:rsidRPr="00E44776">
        <w:rPr>
          <w:rFonts w:asciiTheme="minorHAnsi" w:hAnsiTheme="minorHAnsi"/>
          <w:snapToGrid w:val="0"/>
        </w:rPr>
        <w:t xml:space="preserve"> extended follow-up</w:t>
      </w:r>
      <w:r w:rsidR="00627169" w:rsidRPr="00E44776">
        <w:rPr>
          <w:rFonts w:asciiTheme="minorHAnsi" w:hAnsiTheme="minorHAnsi"/>
          <w:snapToGrid w:val="0"/>
        </w:rPr>
        <w:t xml:space="preserve"> and</w:t>
      </w:r>
      <w:r w:rsidR="001A6CE4" w:rsidRPr="00E44776">
        <w:rPr>
          <w:rFonts w:asciiTheme="minorHAnsi" w:hAnsiTheme="minorHAnsi"/>
          <w:snapToGrid w:val="0"/>
        </w:rPr>
        <w:t xml:space="preserve"> </w:t>
      </w:r>
      <w:r w:rsidRPr="00E44776">
        <w:rPr>
          <w:rFonts w:asciiTheme="minorHAnsi" w:hAnsiTheme="minorHAnsi"/>
          <w:snapToGrid w:val="0"/>
        </w:rPr>
        <w:t>differences in follow-up durations</w:t>
      </w:r>
      <w:r w:rsidR="00E2634D" w:rsidRPr="00E44776">
        <w:rPr>
          <w:rFonts w:asciiTheme="minorHAnsi" w:hAnsiTheme="minorHAnsi"/>
          <w:snapToGrid w:val="0"/>
        </w:rPr>
        <w:t xml:space="preserve"> between the ELEVATE-TN and CLL-14 trials</w:t>
      </w:r>
      <w:r w:rsidR="00627169" w:rsidRPr="00E44776">
        <w:rPr>
          <w:rFonts w:asciiTheme="minorHAnsi" w:hAnsiTheme="minorHAnsi"/>
          <w:snapToGrid w:val="0"/>
        </w:rPr>
        <w:t xml:space="preserve"> in the data-cuts used</w:t>
      </w:r>
      <w:bookmarkEnd w:id="77"/>
      <w:r w:rsidRPr="00E44776">
        <w:rPr>
          <w:rFonts w:asciiTheme="minorHAnsi" w:hAnsiTheme="minorHAnsi"/>
          <w:snapToGrid w:val="0"/>
        </w:rPr>
        <w:t xml:space="preserve">. </w:t>
      </w:r>
    </w:p>
    <w:p w14:paraId="5B886DB7" w14:textId="21BF73EC" w:rsidR="009800E2" w:rsidRPr="00C07E1F" w:rsidRDefault="009800E2" w:rsidP="009800E2">
      <w:pPr>
        <w:pStyle w:val="COMexecsumnumberedpara"/>
      </w:pPr>
      <w:bookmarkStart w:id="78" w:name="_Hlk76376200"/>
      <w:r w:rsidRPr="00C07E1F">
        <w:rPr>
          <w:iCs/>
        </w:rPr>
        <w:t>The</w:t>
      </w:r>
      <w:r w:rsidRPr="00C07E1F">
        <w:t xml:space="preserve"> PBAC considered that the claim of superior comparative effectiveness was not adequately supported by the data</w:t>
      </w:r>
      <w:r w:rsidR="00BD60EE" w:rsidRPr="00BD60EE">
        <w:rPr>
          <w:lang w:val="en-GB" w:eastAsia="en-US"/>
        </w:rPr>
        <w:t xml:space="preserve"> </w:t>
      </w:r>
      <w:r w:rsidR="00BD60EE" w:rsidRPr="00CB3D19">
        <w:rPr>
          <w:lang w:val="en-GB" w:eastAsia="en-US"/>
        </w:rPr>
        <w:t>and that a claim of non-inferiority</w:t>
      </w:r>
      <w:r w:rsidR="002633E4">
        <w:rPr>
          <w:lang w:val="en-GB" w:eastAsia="en-US"/>
        </w:rPr>
        <w:t xml:space="preserve"> of acalabrutinib + obinutuzumab </w:t>
      </w:r>
      <w:r w:rsidR="00BD60EE" w:rsidRPr="00CB3D19">
        <w:rPr>
          <w:lang w:val="en-GB" w:eastAsia="en-US"/>
        </w:rPr>
        <w:t>to venetoclax + obinutuzumab would be more appropriate</w:t>
      </w:r>
      <w:r w:rsidRPr="00C07E1F">
        <w:t>.</w:t>
      </w:r>
    </w:p>
    <w:p w14:paraId="1BE5E35E" w14:textId="7FC0F8E6" w:rsidR="009800E2" w:rsidRPr="00C07E1F" w:rsidRDefault="009800E2" w:rsidP="009800E2">
      <w:pPr>
        <w:pStyle w:val="COMexecsumnumberedpara"/>
      </w:pPr>
      <w:r w:rsidRPr="00C07E1F">
        <w:t>The PBAC considered that the claim of superior comparative safety was not adequately supported by the data.</w:t>
      </w:r>
    </w:p>
    <w:p w14:paraId="74A1172E" w14:textId="4CCA9E5E" w:rsidR="00B60939" w:rsidRPr="00E44776" w:rsidRDefault="00B60939" w:rsidP="00E9094A">
      <w:pPr>
        <w:pStyle w:val="COMH2-non-numbered"/>
        <w:rPr>
          <w:iCs/>
        </w:rPr>
      </w:pPr>
      <w:bookmarkStart w:id="79" w:name="_Toc22897645"/>
      <w:bookmarkStart w:id="80" w:name="_Toc114048853"/>
      <w:bookmarkEnd w:id="78"/>
      <w:r w:rsidRPr="00E44776">
        <w:rPr>
          <w:iCs/>
        </w:rPr>
        <w:t>Economic analysis</w:t>
      </w:r>
      <w:bookmarkEnd w:id="79"/>
      <w:bookmarkEnd w:id="80"/>
      <w:r w:rsidR="00491B3A" w:rsidRPr="00E44776">
        <w:rPr>
          <w:iCs/>
        </w:rPr>
        <w:t xml:space="preserve"> </w:t>
      </w:r>
    </w:p>
    <w:p w14:paraId="4DAEE941" w14:textId="45DA152F" w:rsidR="00D44C93" w:rsidRPr="00E44776" w:rsidRDefault="00D44C93" w:rsidP="008C5739">
      <w:pPr>
        <w:pStyle w:val="COMexecsumnumberedpara"/>
      </w:pPr>
      <w:r w:rsidRPr="00E44776">
        <w:t>The resubmission presented a modelled economic evaluation of acalabrutinib + obinutuzumab versus venetoclax + obinutuzumab, in patients with previously untreated CLL/SLL who are unsuitable for treatment with fludarabine-based chemoimmunotherapy. The economic evaluation was presented as a cost-effectiveness/cost-utility analysis.</w:t>
      </w:r>
    </w:p>
    <w:p w14:paraId="057D104A" w14:textId="72BEF979" w:rsidR="0011130B" w:rsidRPr="00E44776" w:rsidRDefault="0011130B" w:rsidP="00584B70">
      <w:pPr>
        <w:pStyle w:val="COMexecsumnumberedpara"/>
      </w:pPr>
      <w:r w:rsidRPr="00E44776">
        <w:t xml:space="preserve">A partitioned survival design, </w:t>
      </w:r>
      <w:r w:rsidR="00187FBE" w:rsidRPr="00E44776">
        <w:t>using</w:t>
      </w:r>
      <w:r w:rsidRPr="00E44776">
        <w:t xml:space="preserve"> extrapolated progression-free survival, time to next anti-leukaemic treatment, and </w:t>
      </w:r>
      <w:r w:rsidR="006A0EFE" w:rsidRPr="00E44776">
        <w:t xml:space="preserve">overall survival </w:t>
      </w:r>
      <w:r w:rsidR="00187FBE" w:rsidRPr="00E44776">
        <w:t>data</w:t>
      </w:r>
      <w:r w:rsidR="006A0EFE" w:rsidRPr="00E44776">
        <w:t>,</w:t>
      </w:r>
      <w:r w:rsidRPr="00E44776">
        <w:t xml:space="preserve"> was used to distribute patients between model health states</w:t>
      </w:r>
      <w:r w:rsidR="006A0EFE" w:rsidRPr="00E44776">
        <w:t xml:space="preserve">. </w:t>
      </w:r>
      <w:r w:rsidRPr="00E44776">
        <w:t>The area below the progression</w:t>
      </w:r>
      <w:r w:rsidR="008B4F7B" w:rsidRPr="00E44776">
        <w:t>-</w:t>
      </w:r>
      <w:r w:rsidRPr="00E44776">
        <w:t xml:space="preserve">free survival curve </w:t>
      </w:r>
      <w:r w:rsidR="006A0EFE" w:rsidRPr="00E44776">
        <w:t>was used to estimate the proportion of</w:t>
      </w:r>
      <w:r w:rsidRPr="00E44776">
        <w:t xml:space="preserve"> patients in the first-line progression-free health state</w:t>
      </w:r>
      <w:r w:rsidR="006A0EFE" w:rsidRPr="00E44776">
        <w:t>; t</w:t>
      </w:r>
      <w:r w:rsidRPr="00E44776">
        <w:t>he area between the progression</w:t>
      </w:r>
      <w:r w:rsidR="008B4F7B" w:rsidRPr="00E44776">
        <w:t>-</w:t>
      </w:r>
      <w:r w:rsidRPr="00E44776">
        <w:t>free survival and the time to next treatment curve</w:t>
      </w:r>
      <w:r w:rsidR="006A0EFE" w:rsidRPr="00E44776">
        <w:t xml:space="preserve"> was used to estimate the proportion of </w:t>
      </w:r>
      <w:r w:rsidRPr="00E44776">
        <w:t>patients in the first-line progressed disease (progressed but well) health state</w:t>
      </w:r>
      <w:r w:rsidR="006A0EFE" w:rsidRPr="00E44776">
        <w:t>; t</w:t>
      </w:r>
      <w:r w:rsidRPr="00E44776">
        <w:t xml:space="preserve">he area between the time to next treatment and overall survival curves </w:t>
      </w:r>
      <w:r w:rsidR="006A0EFE" w:rsidRPr="00E44776">
        <w:t>was used to estimate the proportion of</w:t>
      </w:r>
      <w:r w:rsidRPr="00E44776">
        <w:t xml:space="preserve"> patients in the relapsed/refractory disease health state</w:t>
      </w:r>
      <w:r w:rsidR="006A0EFE" w:rsidRPr="00E44776">
        <w:t xml:space="preserve">; and the </w:t>
      </w:r>
      <w:r w:rsidRPr="00E44776">
        <w:t xml:space="preserve">area above the </w:t>
      </w:r>
      <w:r w:rsidRPr="00E44776">
        <w:lastRenderedPageBreak/>
        <w:t xml:space="preserve">overall survival curve </w:t>
      </w:r>
      <w:r w:rsidR="006A0EFE" w:rsidRPr="00E44776">
        <w:t>was used to estimate the proportion of p</w:t>
      </w:r>
      <w:r w:rsidRPr="00E44776">
        <w:t>atients in the dead state.</w:t>
      </w:r>
    </w:p>
    <w:p w14:paraId="3DEA16F4" w14:textId="7D81C27F" w:rsidR="00797298" w:rsidRPr="00E44776" w:rsidRDefault="00797298" w:rsidP="008C5739">
      <w:pPr>
        <w:pStyle w:val="COMexecsumnumberedpara"/>
      </w:pPr>
      <w:r w:rsidRPr="00E44776">
        <w:t xml:space="preserve">The resubmission stated that the model structure was based on the model included in the July 2020 venetoclax + obinutuzumab </w:t>
      </w:r>
      <w:r w:rsidR="00C652B4" w:rsidRPr="00E44776">
        <w:t>re</w:t>
      </w:r>
      <w:r w:rsidRPr="00E44776">
        <w:t xml:space="preserve">submission. The model included in the November 2021 acalabrutinib resubmission was a partitioned survival model with three health states (progression-free, progressed disease and dead). </w:t>
      </w:r>
    </w:p>
    <w:p w14:paraId="15A9AFA4" w14:textId="5A4636FF" w:rsidR="00275C5A" w:rsidRPr="00E44776" w:rsidRDefault="00E16AD8" w:rsidP="00FD4ED6">
      <w:pPr>
        <w:pStyle w:val="COMtablefigcaption"/>
      </w:pPr>
      <w:r w:rsidRPr="00E44776">
        <w:t xml:space="preserve">Table </w:t>
      </w:r>
      <w:r w:rsidR="00B53F47">
        <w:fldChar w:fldCharType="begin" w:fldLock="1"/>
      </w:r>
      <w:r w:rsidR="00B53F47">
        <w:instrText xml:space="preserve"> SEQ Table \* ARABIC </w:instrText>
      </w:r>
      <w:r w:rsidR="00B53F47">
        <w:fldChar w:fldCharType="separate"/>
      </w:r>
      <w:r w:rsidR="00CB2B8B">
        <w:rPr>
          <w:noProof/>
        </w:rPr>
        <w:t>12</w:t>
      </w:r>
      <w:r w:rsidR="00B53F47">
        <w:rPr>
          <w:noProof/>
        </w:rPr>
        <w:fldChar w:fldCharType="end"/>
      </w:r>
      <w:r w:rsidRPr="00E44776">
        <w:t>:</w:t>
      </w:r>
      <w:r w:rsidR="00275C5A" w:rsidRPr="00E44776">
        <w:t xml:space="preserve"> </w:t>
      </w:r>
      <w:r w:rsidR="00F00549" w:rsidRPr="00E44776">
        <w:t>Key components of the economic evaluation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Caption w:val="Table 12: Key components of the economic evaluation"/>
      </w:tblPr>
      <w:tblGrid>
        <w:gridCol w:w="1576"/>
        <w:gridCol w:w="7441"/>
      </w:tblGrid>
      <w:tr w:rsidR="00275C5A" w:rsidRPr="00E44776" w14:paraId="48BB958D" w14:textId="77777777" w:rsidTr="00B86147">
        <w:trPr>
          <w:tblHeader/>
        </w:trPr>
        <w:tc>
          <w:tcPr>
            <w:tcW w:w="874" w:type="pct"/>
            <w:shd w:val="clear" w:color="auto" w:fill="auto"/>
            <w:vAlign w:val="center"/>
          </w:tcPr>
          <w:p w14:paraId="29C3D629" w14:textId="77777777" w:rsidR="00275C5A" w:rsidRPr="00E44776" w:rsidRDefault="00275C5A" w:rsidP="00013B37">
            <w:pPr>
              <w:pStyle w:val="COMTableheadingrow"/>
            </w:pPr>
            <w:r w:rsidRPr="00E44776">
              <w:t>Component</w:t>
            </w:r>
          </w:p>
        </w:tc>
        <w:tc>
          <w:tcPr>
            <w:tcW w:w="4126" w:type="pct"/>
            <w:shd w:val="clear" w:color="auto" w:fill="auto"/>
            <w:vAlign w:val="center"/>
          </w:tcPr>
          <w:p w14:paraId="58FBA37B" w14:textId="77777777" w:rsidR="00275C5A" w:rsidRPr="00E44776" w:rsidRDefault="00275C5A" w:rsidP="00013B37">
            <w:pPr>
              <w:pStyle w:val="COMTableheadingrow"/>
              <w:jc w:val="center"/>
            </w:pPr>
            <w:r w:rsidRPr="00E44776">
              <w:t>Summary</w:t>
            </w:r>
          </w:p>
        </w:tc>
      </w:tr>
      <w:tr w:rsidR="00F00549" w:rsidRPr="00E44776" w14:paraId="7476B2FD" w14:textId="77777777" w:rsidTr="00B86147">
        <w:tc>
          <w:tcPr>
            <w:tcW w:w="874" w:type="pct"/>
            <w:shd w:val="clear" w:color="auto" w:fill="auto"/>
            <w:vAlign w:val="center"/>
          </w:tcPr>
          <w:p w14:paraId="5FA8442E" w14:textId="4D346AF3" w:rsidR="00F00549" w:rsidRPr="00E44776" w:rsidRDefault="00F00549" w:rsidP="00013B37">
            <w:pPr>
              <w:pStyle w:val="COMTabletext"/>
            </w:pPr>
            <w:r w:rsidRPr="00E44776">
              <w:t>Type of analysis</w:t>
            </w:r>
          </w:p>
        </w:tc>
        <w:tc>
          <w:tcPr>
            <w:tcW w:w="4126" w:type="pct"/>
            <w:shd w:val="clear" w:color="auto" w:fill="auto"/>
          </w:tcPr>
          <w:p w14:paraId="554C8AD3" w14:textId="306D161C" w:rsidR="00F00549" w:rsidRPr="00E44776" w:rsidRDefault="00F00549" w:rsidP="00013B37">
            <w:pPr>
              <w:pStyle w:val="COMTabletext"/>
            </w:pPr>
            <w:r w:rsidRPr="00E44776">
              <w:t>Cost-effectiveness analysis and cost-utility analysis</w:t>
            </w:r>
          </w:p>
        </w:tc>
      </w:tr>
      <w:tr w:rsidR="00F00549" w:rsidRPr="00E44776" w14:paraId="6A8D84D4" w14:textId="77777777" w:rsidTr="00B86147">
        <w:tc>
          <w:tcPr>
            <w:tcW w:w="874" w:type="pct"/>
            <w:shd w:val="clear" w:color="auto" w:fill="auto"/>
            <w:vAlign w:val="center"/>
          </w:tcPr>
          <w:p w14:paraId="5F652354" w14:textId="1B0B1FF9" w:rsidR="00F00549" w:rsidRPr="00E44776" w:rsidRDefault="00F00549" w:rsidP="00013B37">
            <w:pPr>
              <w:pStyle w:val="COMTabletext"/>
            </w:pPr>
            <w:r w:rsidRPr="00E44776">
              <w:t>Outcomes</w:t>
            </w:r>
          </w:p>
        </w:tc>
        <w:tc>
          <w:tcPr>
            <w:tcW w:w="4126" w:type="pct"/>
            <w:shd w:val="clear" w:color="auto" w:fill="auto"/>
          </w:tcPr>
          <w:p w14:paraId="460936F1" w14:textId="7BA58DE8" w:rsidR="00F00549" w:rsidRPr="00E44776" w:rsidRDefault="00F00549" w:rsidP="00013B37">
            <w:pPr>
              <w:pStyle w:val="COMTabletext"/>
            </w:pPr>
            <w:r w:rsidRPr="00E44776">
              <w:t xml:space="preserve">Quality-adjusted life years; progression-free life years; life years gained. </w:t>
            </w:r>
          </w:p>
        </w:tc>
      </w:tr>
      <w:tr w:rsidR="005C4338" w:rsidRPr="00E44776" w14:paraId="003209BF" w14:textId="77777777" w:rsidTr="00B86147">
        <w:tc>
          <w:tcPr>
            <w:tcW w:w="874" w:type="pct"/>
            <w:shd w:val="clear" w:color="auto" w:fill="auto"/>
            <w:vAlign w:val="center"/>
          </w:tcPr>
          <w:p w14:paraId="522DAB95" w14:textId="0D26803E" w:rsidR="005C4338" w:rsidRPr="00E44776" w:rsidRDefault="005C4338" w:rsidP="00013B37">
            <w:pPr>
              <w:pStyle w:val="COMTabletext"/>
            </w:pPr>
            <w:r w:rsidRPr="00E44776">
              <w:t>Time horizon</w:t>
            </w:r>
          </w:p>
        </w:tc>
        <w:tc>
          <w:tcPr>
            <w:tcW w:w="4126" w:type="pct"/>
            <w:shd w:val="clear" w:color="auto" w:fill="auto"/>
            <w:vAlign w:val="center"/>
          </w:tcPr>
          <w:p w14:paraId="3D1C428E" w14:textId="1DC1E87D" w:rsidR="005C4338" w:rsidRPr="00E44776" w:rsidRDefault="005C4338" w:rsidP="00013B37">
            <w:pPr>
              <w:pStyle w:val="COMTabletext"/>
              <w:rPr>
                <w:vertAlign w:val="superscript"/>
              </w:rPr>
            </w:pPr>
            <w:r w:rsidRPr="00E44776">
              <w:t>15 years in the model base case versus a median follow-up of 46.9 months in the ELEVATE-TN trial.</w:t>
            </w:r>
            <w:r w:rsidRPr="00E44776">
              <w:rPr>
                <w:vertAlign w:val="superscript"/>
              </w:rPr>
              <w:t>a</w:t>
            </w:r>
          </w:p>
        </w:tc>
      </w:tr>
      <w:tr w:rsidR="005C4338" w:rsidRPr="00E44776" w14:paraId="29120B3F" w14:textId="77777777" w:rsidTr="00B86147">
        <w:tc>
          <w:tcPr>
            <w:tcW w:w="874" w:type="pct"/>
            <w:shd w:val="clear" w:color="auto" w:fill="auto"/>
            <w:vAlign w:val="center"/>
          </w:tcPr>
          <w:p w14:paraId="1AAC94CB" w14:textId="67868EA8" w:rsidR="005C4338" w:rsidRPr="00E44776" w:rsidRDefault="005C4338" w:rsidP="00013B37">
            <w:pPr>
              <w:pStyle w:val="COMTabletext"/>
            </w:pPr>
            <w:r w:rsidRPr="00E44776">
              <w:t>Methods used to generate results</w:t>
            </w:r>
          </w:p>
        </w:tc>
        <w:tc>
          <w:tcPr>
            <w:tcW w:w="4126" w:type="pct"/>
            <w:shd w:val="clear" w:color="auto" w:fill="auto"/>
            <w:vAlign w:val="center"/>
          </w:tcPr>
          <w:p w14:paraId="69D4F042" w14:textId="33BBEADE" w:rsidR="005C4338" w:rsidRPr="00E44776" w:rsidRDefault="005C4338" w:rsidP="00013B37">
            <w:pPr>
              <w:pStyle w:val="COMTabletext"/>
            </w:pPr>
            <w:r w:rsidRPr="00E44776">
              <w:t>Partitioned survival analysis</w:t>
            </w:r>
          </w:p>
        </w:tc>
      </w:tr>
      <w:tr w:rsidR="005C4338" w:rsidRPr="00E44776" w14:paraId="2758C512" w14:textId="77777777" w:rsidTr="00B86147">
        <w:tc>
          <w:tcPr>
            <w:tcW w:w="874" w:type="pct"/>
            <w:shd w:val="clear" w:color="auto" w:fill="auto"/>
            <w:vAlign w:val="center"/>
          </w:tcPr>
          <w:p w14:paraId="085345EE" w14:textId="080C8503" w:rsidR="005C4338" w:rsidRPr="00E44776" w:rsidRDefault="005C4338" w:rsidP="00013B37">
            <w:pPr>
              <w:pStyle w:val="COMTabletext"/>
            </w:pPr>
            <w:r w:rsidRPr="00E44776">
              <w:t>Health states</w:t>
            </w:r>
          </w:p>
        </w:tc>
        <w:tc>
          <w:tcPr>
            <w:tcW w:w="4126" w:type="pct"/>
            <w:shd w:val="clear" w:color="auto" w:fill="auto"/>
          </w:tcPr>
          <w:p w14:paraId="7DAE6B56" w14:textId="63577098" w:rsidR="005C4338" w:rsidRPr="00E44776" w:rsidRDefault="005C4338" w:rsidP="00013B37">
            <w:pPr>
              <w:pStyle w:val="COMTabletext"/>
            </w:pPr>
            <w:r w:rsidRPr="00E44776">
              <w:t>First-line progression-free; first-line progressed disease; relapsed/refractory disease; dead.</w:t>
            </w:r>
          </w:p>
        </w:tc>
      </w:tr>
      <w:tr w:rsidR="005C4338" w:rsidRPr="00E44776" w14:paraId="7F7ACECA" w14:textId="77777777" w:rsidTr="00B86147">
        <w:tc>
          <w:tcPr>
            <w:tcW w:w="874" w:type="pct"/>
            <w:shd w:val="clear" w:color="auto" w:fill="auto"/>
            <w:vAlign w:val="center"/>
          </w:tcPr>
          <w:p w14:paraId="344631D3" w14:textId="53297409" w:rsidR="005C4338" w:rsidRPr="00E44776" w:rsidRDefault="005C4338" w:rsidP="00013B37">
            <w:pPr>
              <w:pStyle w:val="COMTabletext"/>
            </w:pPr>
            <w:r w:rsidRPr="00E44776">
              <w:t>Treatments</w:t>
            </w:r>
          </w:p>
        </w:tc>
        <w:tc>
          <w:tcPr>
            <w:tcW w:w="4126" w:type="pct"/>
            <w:shd w:val="clear" w:color="auto" w:fill="auto"/>
          </w:tcPr>
          <w:p w14:paraId="03F23F80" w14:textId="04EFF010" w:rsidR="005C4338" w:rsidRPr="00E44776" w:rsidRDefault="005C4338" w:rsidP="00013B37">
            <w:pPr>
              <w:pStyle w:val="COMTabletext"/>
            </w:pPr>
            <w:r w:rsidRPr="00E44776">
              <w:t xml:space="preserve">Sequential treatment with acalabrutinib + obinutuzumab followed by venetoclax + rituximab (90%) or idelalisib + rituximab (10%); </w:t>
            </w:r>
            <w:r w:rsidR="007C4E22" w:rsidRPr="00E44776">
              <w:t xml:space="preserve">versus </w:t>
            </w:r>
            <w:r w:rsidRPr="00E44776">
              <w:t>sequential treatment with venetoclax + obinutuzumab followed by ibrutinib monotherapy (100%).</w:t>
            </w:r>
          </w:p>
        </w:tc>
      </w:tr>
      <w:tr w:rsidR="005C4338" w:rsidRPr="00E44776" w14:paraId="7F944EEA" w14:textId="77777777" w:rsidTr="00B86147">
        <w:tc>
          <w:tcPr>
            <w:tcW w:w="874" w:type="pct"/>
            <w:shd w:val="clear" w:color="auto" w:fill="auto"/>
            <w:vAlign w:val="center"/>
          </w:tcPr>
          <w:p w14:paraId="255C0B8D" w14:textId="0972A2D1" w:rsidR="005C4338" w:rsidRPr="00E44776" w:rsidRDefault="005C4338" w:rsidP="00013B37">
            <w:pPr>
              <w:pStyle w:val="COMTabletext"/>
            </w:pPr>
            <w:r w:rsidRPr="00E44776">
              <w:t>Cycle length</w:t>
            </w:r>
          </w:p>
        </w:tc>
        <w:tc>
          <w:tcPr>
            <w:tcW w:w="4126" w:type="pct"/>
            <w:shd w:val="clear" w:color="auto" w:fill="auto"/>
          </w:tcPr>
          <w:p w14:paraId="5733F6EA" w14:textId="6E171CB7" w:rsidR="005C4338" w:rsidRPr="00E44776" w:rsidRDefault="005C4338" w:rsidP="00013B37">
            <w:pPr>
              <w:pStyle w:val="COMTabletext"/>
            </w:pPr>
            <w:r w:rsidRPr="00E44776">
              <w:t>1 month</w:t>
            </w:r>
          </w:p>
        </w:tc>
      </w:tr>
      <w:tr w:rsidR="005C4338" w:rsidRPr="00E44776" w14:paraId="6EFF7035" w14:textId="77777777" w:rsidTr="00B86147">
        <w:tc>
          <w:tcPr>
            <w:tcW w:w="874" w:type="pct"/>
            <w:shd w:val="clear" w:color="auto" w:fill="auto"/>
            <w:vAlign w:val="center"/>
          </w:tcPr>
          <w:p w14:paraId="77A45407" w14:textId="347970D9" w:rsidR="005C4338" w:rsidRPr="00E44776" w:rsidRDefault="005C4338" w:rsidP="00013B37">
            <w:pPr>
              <w:pStyle w:val="COMTabletext"/>
            </w:pPr>
            <w:r w:rsidRPr="00E44776">
              <w:t>Allocation to health states</w:t>
            </w:r>
          </w:p>
        </w:tc>
        <w:tc>
          <w:tcPr>
            <w:tcW w:w="4126" w:type="pct"/>
            <w:shd w:val="clear" w:color="auto" w:fill="auto"/>
          </w:tcPr>
          <w:p w14:paraId="21E68AED" w14:textId="54585EAA" w:rsidR="005C4338" w:rsidRPr="00E44776" w:rsidRDefault="005C4338" w:rsidP="00013B37">
            <w:pPr>
              <w:pStyle w:val="TableText"/>
            </w:pPr>
            <w:r w:rsidRPr="00E44776">
              <w:t>Kaplan-Meier estimates of progression-free survival, overall survival and time to next treatment for the acalabrutinib + obinutuzumab arm derived from the ELEVATE-TN trial and extrapolated using parametric functions</w:t>
            </w:r>
            <w:r w:rsidR="0032275F" w:rsidRPr="00E44776">
              <w:t xml:space="preserve"> (PFS: exponential function; OS</w:t>
            </w:r>
            <w:r w:rsidR="004420E0" w:rsidRPr="00E44776">
              <w:t xml:space="preserve">: </w:t>
            </w:r>
            <w:r w:rsidR="0032275F" w:rsidRPr="00E44776">
              <w:t>lognormal function</w:t>
            </w:r>
            <w:r w:rsidR="004420E0" w:rsidRPr="00E44776">
              <w:t>; TTNT: exponential function).</w:t>
            </w:r>
          </w:p>
          <w:p w14:paraId="246C6530" w14:textId="77777777" w:rsidR="005C4338" w:rsidRPr="00E44776" w:rsidRDefault="005C4338" w:rsidP="00013B37">
            <w:pPr>
              <w:pStyle w:val="TableText"/>
            </w:pPr>
          </w:p>
          <w:p w14:paraId="76387578" w14:textId="18F8EFDB" w:rsidR="005C4338" w:rsidRPr="00E44776" w:rsidRDefault="005C4338" w:rsidP="00013B37">
            <w:pPr>
              <w:pStyle w:val="COMTabletext"/>
            </w:pPr>
            <w:r w:rsidRPr="00E44776">
              <w:t>Ka</w:t>
            </w:r>
            <w:r w:rsidR="00E74FA7" w:rsidRPr="00E44776">
              <w:t>p</w:t>
            </w:r>
            <w:r w:rsidRPr="00E44776">
              <w:t>lan-Meier estimates of progression-free survival and overall survival for the venetoclax + obinutuzumab arm derived from indirect comparisons of the ELEVATE-TN and CLL-14 trials (MAICs for PFS and OS; Bucher method indirect comparison for TTNT).</w:t>
            </w:r>
          </w:p>
        </w:tc>
      </w:tr>
      <w:tr w:rsidR="001D0D75" w:rsidRPr="00E44776" w14:paraId="07C0A709" w14:textId="77777777" w:rsidTr="00B86147">
        <w:tc>
          <w:tcPr>
            <w:tcW w:w="874" w:type="pct"/>
            <w:shd w:val="clear" w:color="auto" w:fill="auto"/>
            <w:vAlign w:val="center"/>
          </w:tcPr>
          <w:p w14:paraId="33B632EB" w14:textId="10716D31" w:rsidR="001D0D75" w:rsidRPr="00E44776" w:rsidRDefault="001D0D75" w:rsidP="00013B37">
            <w:pPr>
              <w:pStyle w:val="COMTabletext"/>
            </w:pPr>
            <w:r w:rsidRPr="00E44776">
              <w:rPr>
                <w:szCs w:val="20"/>
              </w:rPr>
              <w:t>Health state utility values</w:t>
            </w:r>
          </w:p>
        </w:tc>
        <w:tc>
          <w:tcPr>
            <w:tcW w:w="4126" w:type="pct"/>
            <w:shd w:val="clear" w:color="auto" w:fill="auto"/>
            <w:vAlign w:val="center"/>
          </w:tcPr>
          <w:p w14:paraId="78655D6E" w14:textId="41B53CB6" w:rsidR="001D0D75" w:rsidRPr="00E44776" w:rsidRDefault="001D0D75" w:rsidP="00013B37">
            <w:pPr>
              <w:pStyle w:val="COMTabletext"/>
            </w:pPr>
            <w:r w:rsidRPr="00E44776">
              <w:t>Based on health state utilities included in the July 2020 venetoclax resubmission:</w:t>
            </w:r>
          </w:p>
          <w:p w14:paraId="512C7A9D" w14:textId="77777777" w:rsidR="001D0D75" w:rsidRPr="00E44776" w:rsidRDefault="001D0D75" w:rsidP="00D32791">
            <w:pPr>
              <w:pStyle w:val="COMTabletext"/>
              <w:numPr>
                <w:ilvl w:val="0"/>
                <w:numId w:val="8"/>
              </w:numPr>
              <w:ind w:left="160" w:hanging="148"/>
            </w:pPr>
            <w:r w:rsidRPr="00E44776">
              <w:t>First-line progression-free: 0.82</w:t>
            </w:r>
          </w:p>
          <w:p w14:paraId="70C7D572" w14:textId="77777777" w:rsidR="001D0D75" w:rsidRPr="00E44776" w:rsidRDefault="001D0D75" w:rsidP="00D32791">
            <w:pPr>
              <w:pStyle w:val="COMTabletext"/>
              <w:numPr>
                <w:ilvl w:val="0"/>
                <w:numId w:val="8"/>
              </w:numPr>
              <w:ind w:left="160" w:hanging="148"/>
            </w:pPr>
            <w:r w:rsidRPr="00E44776">
              <w:t>First-line progressed disease: 0.776</w:t>
            </w:r>
          </w:p>
          <w:p w14:paraId="6FCC32AA" w14:textId="1A4C00CF" w:rsidR="001D0D75" w:rsidRPr="00E44776" w:rsidRDefault="001D0D75" w:rsidP="00D32791">
            <w:pPr>
              <w:pStyle w:val="COMTabletext"/>
              <w:numPr>
                <w:ilvl w:val="0"/>
                <w:numId w:val="8"/>
              </w:numPr>
              <w:ind w:left="160" w:hanging="148"/>
            </w:pPr>
            <w:r w:rsidRPr="00E44776">
              <w:t>Relapsed/refractory disease: 0.66</w:t>
            </w:r>
          </w:p>
        </w:tc>
      </w:tr>
      <w:tr w:rsidR="004420E0" w:rsidRPr="00E44776" w14:paraId="6093DA19" w14:textId="77777777" w:rsidTr="00B86147">
        <w:tc>
          <w:tcPr>
            <w:tcW w:w="874" w:type="pct"/>
            <w:shd w:val="clear" w:color="auto" w:fill="auto"/>
            <w:vAlign w:val="center"/>
          </w:tcPr>
          <w:p w14:paraId="63E46A80" w14:textId="496215C4" w:rsidR="004420E0" w:rsidRPr="00E44776" w:rsidRDefault="004420E0" w:rsidP="00013B37">
            <w:pPr>
              <w:pStyle w:val="COMTabletext"/>
            </w:pPr>
            <w:r w:rsidRPr="00E44776">
              <w:t>Health resource use and costs</w:t>
            </w:r>
          </w:p>
        </w:tc>
        <w:tc>
          <w:tcPr>
            <w:tcW w:w="4126" w:type="pct"/>
            <w:shd w:val="clear" w:color="auto" w:fill="auto"/>
            <w:vAlign w:val="center"/>
          </w:tcPr>
          <w:p w14:paraId="3A98F8CB" w14:textId="2BD7CBB5" w:rsidR="00070569" w:rsidRPr="00E44776" w:rsidRDefault="00FD0BD2" w:rsidP="00013B37">
            <w:pPr>
              <w:pStyle w:val="COMTabletext"/>
            </w:pPr>
            <w:r w:rsidRPr="00E44776">
              <w:t>Treatment</w:t>
            </w:r>
            <w:r w:rsidR="00E254C5" w:rsidRPr="00E44776">
              <w:t xml:space="preserve"> </w:t>
            </w:r>
            <w:r w:rsidRPr="00E44776">
              <w:t>costs associated with first-line (acalabrutinib + obinutuzumab and venetoclax + obinutuzumab) and second-line treatments (ibrutinib, venetoclax + rituximab and idelalisib + rituximab</w:t>
            </w:r>
            <w:r w:rsidR="00070569" w:rsidRPr="00E44776">
              <w:t>).</w:t>
            </w:r>
          </w:p>
          <w:p w14:paraId="6106C13F" w14:textId="77777777" w:rsidR="00070569" w:rsidRPr="00E44776" w:rsidRDefault="00070569" w:rsidP="00013B37">
            <w:pPr>
              <w:pStyle w:val="COMTabletext"/>
            </w:pPr>
          </w:p>
          <w:p w14:paraId="271F477C" w14:textId="41B6EC75" w:rsidR="004420E0" w:rsidRPr="00E44776" w:rsidRDefault="00070569" w:rsidP="00013B37">
            <w:pPr>
              <w:pStyle w:val="COMTabletext"/>
            </w:pPr>
            <w:r w:rsidRPr="00E44776">
              <w:t>Health state costs</w:t>
            </w:r>
            <w:r w:rsidR="00E254C5" w:rsidRPr="00E44776">
              <w:t xml:space="preserve"> based on </w:t>
            </w:r>
            <w:r w:rsidRPr="00E44776">
              <w:t>costs included in the July 2020 venetoclax resubmission.</w:t>
            </w:r>
          </w:p>
          <w:p w14:paraId="6407D7C1" w14:textId="77777777" w:rsidR="00070569" w:rsidRPr="00E44776" w:rsidRDefault="00070569" w:rsidP="00013B37">
            <w:pPr>
              <w:pStyle w:val="COMTabletext"/>
            </w:pPr>
          </w:p>
          <w:p w14:paraId="539D8D14" w14:textId="07ABA9A7" w:rsidR="00070569" w:rsidRPr="00E44776" w:rsidRDefault="00E254C5" w:rsidP="00013B37">
            <w:pPr>
              <w:pStyle w:val="COMTabletext"/>
            </w:pPr>
            <w:r w:rsidRPr="00E44776">
              <w:t xml:space="preserve">Costs associated with </w:t>
            </w:r>
            <w:r w:rsidR="00070569" w:rsidRPr="00E44776">
              <w:t xml:space="preserve">selected adverse events with a statistically significant difference between acalabrutinib + obinutuzumab in the MAIC, and selected adverse events </w:t>
            </w:r>
            <w:r w:rsidRPr="00E44776">
              <w:t xml:space="preserve">reported for </w:t>
            </w:r>
            <w:r w:rsidR="00070569" w:rsidRPr="00E44776">
              <w:t>second-line treatments.</w:t>
            </w:r>
          </w:p>
          <w:p w14:paraId="7559A187" w14:textId="77777777" w:rsidR="00070569" w:rsidRPr="00E44776" w:rsidRDefault="00070569" w:rsidP="00013B37">
            <w:pPr>
              <w:pStyle w:val="COMTabletext"/>
            </w:pPr>
          </w:p>
          <w:p w14:paraId="24D8359A" w14:textId="77777777" w:rsidR="00070569" w:rsidRPr="00E44776" w:rsidRDefault="00070569" w:rsidP="00013B37">
            <w:pPr>
              <w:pStyle w:val="COMTabletext"/>
            </w:pPr>
            <w:r w:rsidRPr="00E44776">
              <w:t>Tumour lysis syndrome prophylaxis costs</w:t>
            </w:r>
            <w:r w:rsidR="00E254C5" w:rsidRPr="00E44776">
              <w:t xml:space="preserve"> for venetoclax based on tumour lysis syndrome monitoring schedule outlined in the venetoclax product information.</w:t>
            </w:r>
          </w:p>
          <w:p w14:paraId="5EAE4739" w14:textId="77777777" w:rsidR="00E254C5" w:rsidRPr="00E44776" w:rsidRDefault="00E254C5" w:rsidP="00013B37">
            <w:pPr>
              <w:pStyle w:val="COMTabletext"/>
            </w:pPr>
          </w:p>
          <w:p w14:paraId="4CD69EB8" w14:textId="4180CCC1" w:rsidR="00E254C5" w:rsidRPr="00E44776" w:rsidRDefault="00E254C5" w:rsidP="00013B37">
            <w:pPr>
              <w:pStyle w:val="COMTabletext"/>
            </w:pPr>
            <w:r w:rsidRPr="00E44776">
              <w:t xml:space="preserve">Palliative care costs based on </w:t>
            </w:r>
            <w:r w:rsidR="00846E06" w:rsidRPr="00E44776">
              <w:t>estimate reported by Kardamanidis et al. (2007).</w:t>
            </w:r>
          </w:p>
        </w:tc>
      </w:tr>
    </w:tbl>
    <w:p w14:paraId="7168C921" w14:textId="1A0D0A00" w:rsidR="00FE644F" w:rsidRPr="00E44776" w:rsidRDefault="00FE644F" w:rsidP="00FE644F">
      <w:pPr>
        <w:pStyle w:val="TableFigureFooter"/>
      </w:pPr>
      <w:bookmarkStart w:id="81" w:name="_Hlk111416767"/>
      <w:r w:rsidRPr="00E44776">
        <w:t>Source: Section 3 of the resubmission.</w:t>
      </w:r>
    </w:p>
    <w:p w14:paraId="2AA2F633" w14:textId="77777777" w:rsidR="00F07849" w:rsidRPr="00E44776" w:rsidRDefault="00F07849" w:rsidP="00FE644F">
      <w:pPr>
        <w:pStyle w:val="TableFigureFooter"/>
        <w:rPr>
          <w:vertAlign w:val="superscript"/>
        </w:rPr>
      </w:pPr>
      <w:r w:rsidRPr="00E44776">
        <w:t>MAIC = matching adjusted indirect comparison, PFS = progression-free survival, OS = overall survival, TTNT = time to next treatment</w:t>
      </w:r>
      <w:r w:rsidRPr="00E44776">
        <w:rPr>
          <w:vertAlign w:val="superscript"/>
        </w:rPr>
        <w:t xml:space="preserve"> </w:t>
      </w:r>
    </w:p>
    <w:p w14:paraId="3EB6E5A7" w14:textId="7D07ADC9" w:rsidR="00F00549" w:rsidRPr="00E44776" w:rsidRDefault="00FE644F" w:rsidP="00FE644F">
      <w:pPr>
        <w:pStyle w:val="TableFigureFooter"/>
      </w:pPr>
      <w:r w:rsidRPr="00E44776">
        <w:rPr>
          <w:vertAlign w:val="superscript"/>
        </w:rPr>
        <w:t>a</w:t>
      </w:r>
      <w:r w:rsidRPr="00E44776">
        <w:t xml:space="preserve"> Progression-free survival, overall survival and time to next data used in the model were based on the September 2020 data cut. </w:t>
      </w:r>
      <w:r w:rsidR="00F00549" w:rsidRPr="00E44776">
        <w:t xml:space="preserve"> </w:t>
      </w:r>
    </w:p>
    <w:bookmarkEnd w:id="81"/>
    <w:p w14:paraId="1C7293CA" w14:textId="28F9DB96" w:rsidR="003B2FDC" w:rsidRPr="00E44776" w:rsidRDefault="003B2FDC" w:rsidP="00A57E5C">
      <w:pPr>
        <w:pStyle w:val="COMexecsumnumberedpara"/>
      </w:pPr>
      <w:r w:rsidRPr="00E44776">
        <w:t>Progression-free survival, overall survival</w:t>
      </w:r>
      <w:r w:rsidR="00E74FA7" w:rsidRPr="00E44776">
        <w:t xml:space="preserve"> and </w:t>
      </w:r>
      <w:r w:rsidRPr="00E44776">
        <w:t xml:space="preserve">time to next treatment for the acalabrutinib + obinutuzumab arm of the ELEVATE-TN trial were based on Kaplan-Meier survival curves from the ELEVATE-TN trial at a median duration of follow-up of 46.9 months, extrapolated to 15 years using parametric functions. </w:t>
      </w:r>
    </w:p>
    <w:p w14:paraId="12DDD6EF" w14:textId="4BB1D93B" w:rsidR="003B2FDC" w:rsidRPr="00E44776" w:rsidRDefault="003B2FDC" w:rsidP="00A57E5C">
      <w:pPr>
        <w:pStyle w:val="COMexecsumnumberedpara"/>
      </w:pPr>
      <w:r w:rsidRPr="00E44776">
        <w:lastRenderedPageBreak/>
        <w:t>Progression-free survival and overall survival curves for venetoclax + obinutuzumab were derived from the extrapolated acalabrutinib + obinutuzumab curves using the hazard ratio derived from the results of the MAIC analyse</w:t>
      </w:r>
      <w:r w:rsidR="008C432C" w:rsidRPr="00E44776">
        <w:t>s</w:t>
      </w:r>
      <w:r w:rsidRPr="00E44776">
        <w:t>.</w:t>
      </w:r>
      <w:r w:rsidR="008C432C" w:rsidRPr="00E44776">
        <w:t xml:space="preserve"> Time </w:t>
      </w:r>
      <w:r w:rsidR="00F12493" w:rsidRPr="00E44776">
        <w:t xml:space="preserve">to next </w:t>
      </w:r>
      <w:r w:rsidR="008C432C" w:rsidRPr="00E44776">
        <w:t xml:space="preserve">treatment curves for venetoclax + obinutuzumab were derived from the extrapolated time </w:t>
      </w:r>
      <w:r w:rsidR="00F12493" w:rsidRPr="00E44776">
        <w:t xml:space="preserve">to next </w:t>
      </w:r>
      <w:r w:rsidR="008C432C" w:rsidRPr="00E44776">
        <w:t xml:space="preserve">treatment curve for acalabrutinib + obinutuzumab using a hazard ratio derived from the results of a Bucher method indirect comparison. </w:t>
      </w:r>
    </w:p>
    <w:p w14:paraId="65AAB86F" w14:textId="308157B7" w:rsidR="00553CBA" w:rsidRPr="00E44776" w:rsidRDefault="00553CBA" w:rsidP="00A57E5C">
      <w:pPr>
        <w:pStyle w:val="COMexecsumnumberedpara"/>
      </w:pPr>
      <w:r w:rsidRPr="00E44776">
        <w:t xml:space="preserve">A comparison of </w:t>
      </w:r>
      <w:r w:rsidR="007F3E69" w:rsidRPr="00E44776">
        <w:t xml:space="preserve">the modelled </w:t>
      </w:r>
      <w:r w:rsidR="00945179" w:rsidRPr="00E44776">
        <w:t>overall survival, progression</w:t>
      </w:r>
      <w:r w:rsidRPr="00E44776">
        <w:t xml:space="preserve">-free </w:t>
      </w:r>
      <w:proofErr w:type="gramStart"/>
      <w:r w:rsidRPr="00E44776">
        <w:t>survival</w:t>
      </w:r>
      <w:proofErr w:type="gramEnd"/>
      <w:r w:rsidR="007F3E69" w:rsidRPr="00E44776">
        <w:t xml:space="preserve"> and time to next treatment for acalabrutinib + obinutuzumab and venetoclax + obinutuzumab </w:t>
      </w:r>
      <w:r w:rsidR="007E5A0C" w:rsidRPr="00E44776">
        <w:t xml:space="preserve">is </w:t>
      </w:r>
      <w:r w:rsidR="007F3E69" w:rsidRPr="00E44776">
        <w:t>presented</w:t>
      </w:r>
      <w:r w:rsidR="00945179" w:rsidRPr="00E44776">
        <w:t xml:space="preserve"> in </w:t>
      </w:r>
      <w:r w:rsidR="00945179" w:rsidRPr="00E44776">
        <w:fldChar w:fldCharType="begin" w:fldLock="1"/>
      </w:r>
      <w:r w:rsidR="00945179" w:rsidRPr="00E44776">
        <w:instrText xml:space="preserve"> REF _Ref111418975 \h </w:instrText>
      </w:r>
      <w:r w:rsidR="00E44776" w:rsidRPr="00E44776">
        <w:instrText xml:space="preserve"> \* MERGEFORMAT </w:instrText>
      </w:r>
      <w:r w:rsidR="00945179" w:rsidRPr="00E44776">
        <w:fldChar w:fldCharType="separate"/>
      </w:r>
      <w:r w:rsidR="00CB2B8B" w:rsidRPr="00E44776">
        <w:t xml:space="preserve">Figure </w:t>
      </w:r>
      <w:r w:rsidR="00CB2B8B">
        <w:rPr>
          <w:noProof/>
        </w:rPr>
        <w:t>6</w:t>
      </w:r>
      <w:r w:rsidR="00945179" w:rsidRPr="00E44776">
        <w:fldChar w:fldCharType="end"/>
      </w:r>
      <w:r w:rsidR="00F27623" w:rsidRPr="00E44776">
        <w:t>.</w:t>
      </w:r>
    </w:p>
    <w:p w14:paraId="239FEE34" w14:textId="0C4A0F9A" w:rsidR="00F27623" w:rsidRPr="00E44776" w:rsidRDefault="00F27623" w:rsidP="00F27623">
      <w:pPr>
        <w:pStyle w:val="TableHeading"/>
        <w:spacing w:before="0" w:after="0" w:line="240" w:lineRule="auto"/>
        <w:jc w:val="both"/>
      </w:pPr>
      <w:bookmarkStart w:id="82" w:name="_Ref111418975"/>
      <w:r w:rsidRPr="00E44776">
        <w:t xml:space="preserve">Figure </w:t>
      </w:r>
      <w:r w:rsidR="00B53F47">
        <w:fldChar w:fldCharType="begin" w:fldLock="1"/>
      </w:r>
      <w:r w:rsidR="00B53F47">
        <w:instrText xml:space="preserve"> SEQ Figure \* ARABIC </w:instrText>
      </w:r>
      <w:r w:rsidR="00B53F47">
        <w:fldChar w:fldCharType="separate"/>
      </w:r>
      <w:r w:rsidR="00CB2B8B">
        <w:rPr>
          <w:noProof/>
        </w:rPr>
        <w:t>6</w:t>
      </w:r>
      <w:r w:rsidR="00B53F47">
        <w:rPr>
          <w:noProof/>
        </w:rPr>
        <w:fldChar w:fldCharType="end"/>
      </w:r>
      <w:bookmarkEnd w:id="82"/>
      <w:r w:rsidRPr="00E44776">
        <w:t xml:space="preserve">: Comparison of </w:t>
      </w:r>
      <w:r w:rsidR="00D12AA9" w:rsidRPr="00E44776">
        <w:t xml:space="preserve">modelled </w:t>
      </w:r>
      <w:r w:rsidR="004056C9" w:rsidRPr="00E44776">
        <w:t xml:space="preserve">overall survival, </w:t>
      </w:r>
      <w:r w:rsidRPr="00E44776">
        <w:t xml:space="preserve">progression-free survival </w:t>
      </w:r>
      <w:r w:rsidR="004056C9" w:rsidRPr="00E44776">
        <w:t xml:space="preserve">and time to next treatment </w:t>
      </w:r>
      <w:r w:rsidR="00D12AA9" w:rsidRPr="00E44776">
        <w:t xml:space="preserve">for the </w:t>
      </w:r>
      <w:r w:rsidRPr="00E44776">
        <w:t>acalabrutinib + obinutuzumab and venetoclax + obinutuzumab arms</w:t>
      </w:r>
    </w:p>
    <w:p w14:paraId="4981F6D7" w14:textId="29301772" w:rsidR="00F27623" w:rsidRPr="00E44776" w:rsidRDefault="00A950FF" w:rsidP="0072692A">
      <w:pPr>
        <w:jc w:val="center"/>
      </w:pPr>
      <w:r w:rsidRPr="00E44776">
        <w:rPr>
          <w:noProof/>
        </w:rPr>
        <w:drawing>
          <wp:inline distT="0" distB="0" distL="0" distR="0" wp14:anchorId="3193E7D3" wp14:editId="16A3E079">
            <wp:extent cx="5688330" cy="3792220"/>
            <wp:effectExtent l="0" t="0" r="762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88330" cy="3792220"/>
                    </a:xfrm>
                    <a:prstGeom prst="rect">
                      <a:avLst/>
                    </a:prstGeom>
                    <a:noFill/>
                  </pic:spPr>
                </pic:pic>
              </a:graphicData>
            </a:graphic>
          </wp:inline>
        </w:drawing>
      </w:r>
    </w:p>
    <w:p w14:paraId="19E7678E" w14:textId="77777777" w:rsidR="00F27623" w:rsidRPr="00E44776" w:rsidRDefault="00F27623" w:rsidP="00F27623">
      <w:pPr>
        <w:pStyle w:val="TableFooter"/>
      </w:pPr>
      <w:r w:rsidRPr="00E44776">
        <w:t>Source: Compiled using the ‘Section 3 CEA model’ Excel Workbook.</w:t>
      </w:r>
    </w:p>
    <w:p w14:paraId="5D7C7712" w14:textId="7FB2964B" w:rsidR="00F27623" w:rsidRPr="00E44776" w:rsidRDefault="00F27623" w:rsidP="00F27623">
      <w:pPr>
        <w:pStyle w:val="TableFooter"/>
      </w:pPr>
      <w:r w:rsidRPr="00E44776">
        <w:t>ACAL = acalabrutinib</w:t>
      </w:r>
      <w:r w:rsidR="00A950FF" w:rsidRPr="00E44776">
        <w:t>,</w:t>
      </w:r>
      <w:r w:rsidRPr="00E44776">
        <w:t xml:space="preserve"> OBI = obinutuzumab</w:t>
      </w:r>
      <w:r w:rsidR="00A950FF" w:rsidRPr="00E44776">
        <w:t>,</w:t>
      </w:r>
      <w:r w:rsidRPr="00E44776">
        <w:t xml:space="preserve"> </w:t>
      </w:r>
      <w:r w:rsidR="00945179" w:rsidRPr="00E44776">
        <w:t xml:space="preserve">OS = overall survival, </w:t>
      </w:r>
      <w:r w:rsidR="00A950FF" w:rsidRPr="00E44776">
        <w:t xml:space="preserve">PFS = progression-free survival, TTNT = time to next treatment, </w:t>
      </w:r>
      <w:r w:rsidRPr="00E44776">
        <w:t>VEN = venetoclax</w:t>
      </w:r>
    </w:p>
    <w:p w14:paraId="4A35BFA9" w14:textId="0B2D1025" w:rsidR="00F27623" w:rsidRPr="00E44776" w:rsidRDefault="00F27623" w:rsidP="00F27623">
      <w:pPr>
        <w:pStyle w:val="TableFooter"/>
      </w:pPr>
      <w:r w:rsidRPr="00E44776">
        <w:t>Note: Plot excludes background population mortality adjustment (applied in the model from 48 months).</w:t>
      </w:r>
    </w:p>
    <w:p w14:paraId="77F3BC0E" w14:textId="28432A03" w:rsidR="00553CBA" w:rsidRPr="00E44776" w:rsidRDefault="00553CBA" w:rsidP="003E18F7">
      <w:pPr>
        <w:pStyle w:val="COMexecsumnumberedpara"/>
      </w:pPr>
      <w:r w:rsidRPr="00E44776">
        <w:t xml:space="preserve">The </w:t>
      </w:r>
      <w:r w:rsidR="00A405D9" w:rsidRPr="00E44776">
        <w:t xml:space="preserve">application of </w:t>
      </w:r>
      <w:r w:rsidR="003F52DC" w:rsidRPr="00E44776">
        <w:t>a</w:t>
      </w:r>
      <w:r w:rsidR="00A405D9" w:rsidRPr="00E44776">
        <w:t xml:space="preserve"> constant </w:t>
      </w:r>
      <w:r w:rsidRPr="00E44776">
        <w:t xml:space="preserve">hazard ratio </w:t>
      </w:r>
      <w:r w:rsidR="00A405D9" w:rsidRPr="00E44776">
        <w:t>to the acalabrutinib + obinutuzumab</w:t>
      </w:r>
      <w:r w:rsidR="003F52DC" w:rsidRPr="00E44776">
        <w:t xml:space="preserve"> progression-free survival, overall survival and time to next treatment</w:t>
      </w:r>
      <w:r w:rsidR="00CB3980" w:rsidRPr="00E44776">
        <w:t xml:space="preserve"> data</w:t>
      </w:r>
      <w:r w:rsidR="003F52DC" w:rsidRPr="00E44776">
        <w:t xml:space="preserve"> </w:t>
      </w:r>
      <w:r w:rsidR="00662BA9" w:rsidRPr="00E44776">
        <w:t xml:space="preserve">to derive the venetoclax + obinutuzumab curves </w:t>
      </w:r>
      <w:r w:rsidR="00CB3980" w:rsidRPr="00E44776">
        <w:t>may not be reasonable</w:t>
      </w:r>
      <w:r w:rsidR="00662BA9" w:rsidRPr="00E44776">
        <w:t>,</w:t>
      </w:r>
      <w:r w:rsidR="00CB3980" w:rsidRPr="00E44776">
        <w:t xml:space="preserve"> given </w:t>
      </w:r>
      <w:r w:rsidR="00243564" w:rsidRPr="00E44776">
        <w:t xml:space="preserve">it resulted in </w:t>
      </w:r>
      <w:r w:rsidR="00CB3980" w:rsidRPr="00E44776">
        <w:t>increasing differences</w:t>
      </w:r>
      <w:r w:rsidR="00A06135" w:rsidRPr="00E44776">
        <w:t xml:space="preserve"> between acalabrutinib + obinutuzumab and venetoclax + obinutuzumab </w:t>
      </w:r>
      <w:r w:rsidR="00CB3980" w:rsidRPr="00E44776">
        <w:t xml:space="preserve">in </w:t>
      </w:r>
      <w:r w:rsidR="00662BA9" w:rsidRPr="00E44776">
        <w:t>progression-free survival, overall survival and time to next treatment over time</w:t>
      </w:r>
      <w:r w:rsidR="00243564" w:rsidRPr="00E44776">
        <w:t xml:space="preserve">, and there was a lack of longer-term data to validate these </w:t>
      </w:r>
      <w:r w:rsidR="00623280" w:rsidRPr="00E44776">
        <w:t>assumptions</w:t>
      </w:r>
      <w:r w:rsidR="00CB3980" w:rsidRPr="00E44776">
        <w:t xml:space="preserve">. </w:t>
      </w:r>
    </w:p>
    <w:p w14:paraId="33AF862A" w14:textId="6D826DA1" w:rsidR="00CA4AB4" w:rsidRPr="00E44776" w:rsidRDefault="00CA4AB4" w:rsidP="003E18F7">
      <w:pPr>
        <w:pStyle w:val="COMexecsumnumberedpara"/>
      </w:pPr>
      <w:r w:rsidRPr="00E44776">
        <w:t xml:space="preserve">The ESC noted that the model </w:t>
      </w:r>
      <w:r w:rsidR="00757678" w:rsidRPr="00E44776">
        <w:t xml:space="preserve">presented in the pre-PBAC response for venetoclax + obinutuzumab applied risk convergence from five years (paragraph 5.19, venetoclax </w:t>
      </w:r>
      <w:r w:rsidR="005F4F13">
        <w:lastRenderedPageBreak/>
        <w:t>Public Summary Document (</w:t>
      </w:r>
      <w:r w:rsidR="00757678" w:rsidRPr="00E44776">
        <w:t>PSD</w:t>
      </w:r>
      <w:r w:rsidR="005F4F13">
        <w:t>)</w:t>
      </w:r>
      <w:r w:rsidR="00757678" w:rsidRPr="00E44776">
        <w:t>, July 2020 PBAC Meeting)</w:t>
      </w:r>
      <w:r w:rsidR="00530B87" w:rsidRPr="00E44776">
        <w:t>, and considered that this may be a potential method to address the aforementioned issues with the application of the constant hazard ratio</w:t>
      </w:r>
      <w:r w:rsidR="00757678" w:rsidRPr="00E44776">
        <w:t xml:space="preserve">. </w:t>
      </w:r>
    </w:p>
    <w:p w14:paraId="19A2E8F6" w14:textId="155F1E6E" w:rsidR="003E18F7" w:rsidRPr="00E44776" w:rsidRDefault="003E18F7" w:rsidP="003E18F7">
      <w:pPr>
        <w:pStyle w:val="COMexecsumnumberedpara"/>
      </w:pPr>
      <w:r w:rsidRPr="00E44776">
        <w:t xml:space="preserve">Modelled circumstances of use for first-line therapies were based on the treatment regimens used in the acalabrutinib + obinutuzumab arm of the ELEVATE-TN trial, and the venetoclax + obinutuzumab arm of the CLL-14 trial. </w:t>
      </w:r>
      <w:r w:rsidR="006975C9" w:rsidRPr="00E44776">
        <w:t xml:space="preserve">The duration of first-line treatment with acalabrutinib + obinutuzumab arm was estimated from the extrapolated time to treatment discontinuation curve for the acalabrutinib + obinutuzumab arm of the ELEVATE-TN trial. </w:t>
      </w:r>
      <w:r w:rsidR="002F3C9C" w:rsidRPr="00E44776">
        <w:t xml:space="preserve">The duration of first-line venetoclax treatment was based on </w:t>
      </w:r>
      <w:r w:rsidR="00346C07" w:rsidRPr="00E44776">
        <w:t xml:space="preserve">the mean duration of treatment reported in the July 2020 venetoclax Public Summary Document (288 days). </w:t>
      </w:r>
      <w:r w:rsidR="006975C9" w:rsidRPr="00E44776">
        <w:t>Patients in the acalabrutinib + obinutuzumab and venetoclax + obinutuzumab arms were assumed to receive a total of 8 infusions of obinutuzumab</w:t>
      </w:r>
      <w:r w:rsidR="00E74FA7" w:rsidRPr="00E44776">
        <w:t xml:space="preserve"> over 6 cycles</w:t>
      </w:r>
      <w:r w:rsidR="006975C9" w:rsidRPr="00E44776">
        <w:t>.</w:t>
      </w:r>
    </w:p>
    <w:p w14:paraId="53CE3432" w14:textId="77777777" w:rsidR="0014432F" w:rsidRPr="00E44776" w:rsidRDefault="006975C9" w:rsidP="00970C68">
      <w:pPr>
        <w:pStyle w:val="COMexecsumnumberedpara"/>
      </w:pPr>
      <w:r w:rsidRPr="00E44776">
        <w:t>The resubmission noted that, given the partitioned survival approach used in the model, treatment effectiveness reflected the first- and subsequent-line treatments used by patients in the ELEVATE-TN and CLL-14 trials.</w:t>
      </w:r>
      <w:r w:rsidR="00970C68" w:rsidRPr="00E44776">
        <w:t xml:space="preserve"> In order to estimate drug costs and adverse event management costs associated with second-line treatments used by patients in the PBS population, the resubmission assumed that second-line therapy for patients treated with acalabrutinib + obinutuzumab would consist of venetoclax + rituximab (90%) and idelalisib + rituximab (10%), and second-line therapy for patients treated with venetoclax + obinutuzumab would consist of ibrutinib.</w:t>
      </w:r>
    </w:p>
    <w:p w14:paraId="7F7D7C07" w14:textId="6EDBF77F" w:rsidR="00970C68" w:rsidRPr="00E44776" w:rsidRDefault="00CE0462" w:rsidP="00970C68">
      <w:pPr>
        <w:pStyle w:val="COMexecsumnumberedpara"/>
      </w:pPr>
      <w:bookmarkStart w:id="83" w:name="_Ref116029555"/>
      <w:bookmarkStart w:id="84" w:name="_Ref122618921"/>
      <w:r>
        <w:t xml:space="preserve">In the resubmission, </w:t>
      </w:r>
      <w:r w:rsidR="00FD13A8" w:rsidRPr="00E44776">
        <w:t xml:space="preserve">the cost of acalabrutinib </w:t>
      </w:r>
      <w:r w:rsidR="004F2E99" w:rsidRPr="00E44776">
        <w:t xml:space="preserve">in the model </w:t>
      </w:r>
      <w:r w:rsidR="00FD13A8" w:rsidRPr="00E44776">
        <w:t>was assumed to be nil beyond 60 months</w:t>
      </w:r>
      <w:r w:rsidRPr="00CE0462">
        <w:t xml:space="preserve"> </w:t>
      </w:r>
      <w:r>
        <w:t>t</w:t>
      </w:r>
      <w:r w:rsidRPr="00E44776">
        <w:t>o reflect the 60-month treatment cap in the proposed RSA</w:t>
      </w:r>
      <w:r w:rsidR="00FD13A8" w:rsidRPr="00E44776">
        <w:t xml:space="preserve">. </w:t>
      </w:r>
      <w:r w:rsidR="00A56139" w:rsidRPr="00E44776">
        <w:t xml:space="preserve">The PBAC </w:t>
      </w:r>
      <w:r>
        <w:t xml:space="preserve">had </w:t>
      </w:r>
      <w:r w:rsidR="00A56139" w:rsidRPr="00E44776">
        <w:t>previously considered that the use of a treatment cap to achieve cost-effectiveness was not a robust approach, and that the ICER would be much higher if patient numbers used to inform the caps were lower than estimated (paragraph 7.10, acalabrutinib, Public Summary Document, November 2021 PBAC meeting).</w:t>
      </w:r>
      <w:r w:rsidR="00E94389" w:rsidRPr="00E44776">
        <w:t xml:space="preserve"> </w:t>
      </w:r>
      <w:r w:rsidR="00236885" w:rsidRPr="00E44776">
        <w:t>As</w:t>
      </w:r>
      <w:r w:rsidR="0022238F" w:rsidRPr="00E44776">
        <w:t xml:space="preserve"> such </w:t>
      </w:r>
      <w:r w:rsidR="00886DDC" w:rsidRPr="00E44776">
        <w:t>the</w:t>
      </w:r>
      <w:r w:rsidR="00236885" w:rsidRPr="00E44776">
        <w:t xml:space="preserve"> ESC considered the</w:t>
      </w:r>
      <w:r w:rsidR="00886DDC" w:rsidRPr="00E44776">
        <w:t xml:space="preserve"> exclusion of acalabrutinib drug costs beyond 60 months in the base case of the model was not reasonable.</w:t>
      </w:r>
      <w:bookmarkEnd w:id="83"/>
      <w:r>
        <w:t xml:space="preserve"> The pre-PBAC response withdrew this proposal</w:t>
      </w:r>
      <w:r w:rsidR="004B5B8B">
        <w:t>, stating</w:t>
      </w:r>
      <w:r>
        <w:t xml:space="preserve"> “</w:t>
      </w:r>
      <w:r w:rsidRPr="00CE0462">
        <w:t xml:space="preserve">As a result, costs for </w:t>
      </w:r>
      <w:r w:rsidR="00041FF7">
        <w:t xml:space="preserve">acalabrutinib </w:t>
      </w:r>
      <w:r w:rsidRPr="00CE0462">
        <w:t xml:space="preserve">treatment on the PBS would continue beyond 60 months in the economic model, substantially increasing the ICER if no other model variables change. It is noted a lower </w:t>
      </w:r>
      <w:r w:rsidR="004B5B8B">
        <w:t>acalabrutinib</w:t>
      </w:r>
      <w:r w:rsidRPr="00CE0462">
        <w:t xml:space="preserve"> price would be required to deliver an acceptable ICER</w:t>
      </w:r>
      <w:r>
        <w:t>”</w:t>
      </w:r>
      <w:r w:rsidRPr="00CE0462">
        <w:t>.</w:t>
      </w:r>
      <w:bookmarkEnd w:id="84"/>
    </w:p>
    <w:p w14:paraId="5E3CF359" w14:textId="23757957" w:rsidR="00970C68" w:rsidRPr="00E44776" w:rsidRDefault="000D2F11" w:rsidP="00970C68">
      <w:pPr>
        <w:pStyle w:val="COMexecsumnumberedpara"/>
      </w:pPr>
      <w:r w:rsidRPr="00E44776">
        <w:t>Tumour lysis syndrome costs were included for venetoclax in the first and second-line setting.</w:t>
      </w:r>
      <w:r w:rsidR="007900F6" w:rsidRPr="00E44776">
        <w:t xml:space="preserve"> </w:t>
      </w:r>
      <w:r w:rsidR="004A1499" w:rsidRPr="00E44776">
        <w:t>The November 2021 resubmission assumed that treatment with obinutuzumab was associated with tumour lysis syndrome prophylaxis costs (based on the average cost per patient of $1,222 estimated for venetoclax + obinutuzumab in the July 2020 venetoclax resubmission).</w:t>
      </w:r>
      <w:r w:rsidR="00975C9B" w:rsidRPr="00E44776">
        <w:t xml:space="preserve"> The exclusion of tumour lysis syndrome costs </w:t>
      </w:r>
      <w:r w:rsidR="00662EF2" w:rsidRPr="00E44776">
        <w:t xml:space="preserve">for obinutuzumab </w:t>
      </w:r>
      <w:r w:rsidR="00975C9B" w:rsidRPr="00E44776">
        <w:t>is likely to favour the acalabrutinib + obinutuzumab arm given that the costs associated with tumour lysis syndrome monitoring/prophylaxis are already included for the venetoclax + obinutuzumab arm.</w:t>
      </w:r>
      <w:r w:rsidR="00757678" w:rsidRPr="00E44776">
        <w:t xml:space="preserve"> The ESC noted the ICER </w:t>
      </w:r>
      <w:r w:rsidR="00757678" w:rsidRPr="00E44776">
        <w:lastRenderedPageBreak/>
        <w:t xml:space="preserve">increased by 7% when tumour lysis syndrome prophylaxis costs in the first-line setting were removed. </w:t>
      </w:r>
    </w:p>
    <w:p w14:paraId="7449C587" w14:textId="4EE23018" w:rsidR="00DB23CA" w:rsidRPr="00E44776" w:rsidRDefault="00DB23CA" w:rsidP="00970C68">
      <w:pPr>
        <w:pStyle w:val="COMexecsumnumberedpara"/>
      </w:pPr>
      <w:r w:rsidRPr="00E44776">
        <w:t xml:space="preserve">The evaluation considered that the assumed cost and utility for the relapsed/refractory health state may not adequately reflect the cost and quality of life experienced by patients with CLL over time, given multiple lines of subsequent therapy, and periods of disease remission, however the ESC considered that </w:t>
      </w:r>
      <w:r w:rsidR="000E04B1" w:rsidRPr="00E44776">
        <w:t xml:space="preserve">health state costs </w:t>
      </w:r>
      <w:r w:rsidRPr="00E44776">
        <w:t xml:space="preserve">were unlikely to be </w:t>
      </w:r>
      <w:r w:rsidR="000E04B1" w:rsidRPr="00E44776">
        <w:t xml:space="preserve">a </w:t>
      </w:r>
      <w:r w:rsidRPr="00E44776">
        <w:t>key driver of the model (e.g.</w:t>
      </w:r>
      <w:r w:rsidR="00FA2D4B" w:rsidRPr="00E44776">
        <w:t>,</w:t>
      </w:r>
      <w:r w:rsidRPr="00E44776">
        <w:t xml:space="preserve"> the exclusion of all health state costs had less than 10% impact on the ICER). </w:t>
      </w:r>
    </w:p>
    <w:p w14:paraId="6DA96E9F" w14:textId="33CE60D9" w:rsidR="00157D08" w:rsidRPr="00E44776" w:rsidRDefault="00157D08" w:rsidP="00157D08">
      <w:pPr>
        <w:pStyle w:val="ExecSumBodyText"/>
        <w:numPr>
          <w:ilvl w:val="1"/>
          <w:numId w:val="1"/>
        </w:numPr>
      </w:pPr>
      <w:r w:rsidRPr="00E44776">
        <w:t xml:space="preserve">Key drivers of the economic model are summarised in </w:t>
      </w:r>
      <w:r w:rsidR="008B15F2" w:rsidRPr="00E44776">
        <w:fldChar w:fldCharType="begin" w:fldLock="1"/>
      </w:r>
      <w:r w:rsidR="008B15F2" w:rsidRPr="00E44776">
        <w:instrText xml:space="preserve"> REF _Ref104805122 \h </w:instrText>
      </w:r>
      <w:r w:rsidR="00E44776" w:rsidRPr="00E44776">
        <w:instrText xml:space="preserve"> \* MERGEFORMAT </w:instrText>
      </w:r>
      <w:r w:rsidR="008B15F2" w:rsidRPr="00E44776">
        <w:fldChar w:fldCharType="separate"/>
      </w:r>
      <w:r w:rsidR="00CB2B8B" w:rsidRPr="00E44776">
        <w:t xml:space="preserve">Table </w:t>
      </w:r>
      <w:r w:rsidR="00CB2B8B">
        <w:rPr>
          <w:noProof/>
        </w:rPr>
        <w:t>13</w:t>
      </w:r>
      <w:r w:rsidR="008B15F2" w:rsidRPr="00E44776">
        <w:fldChar w:fldCharType="end"/>
      </w:r>
      <w:r w:rsidRPr="00E44776">
        <w:t>.</w:t>
      </w:r>
    </w:p>
    <w:p w14:paraId="774D46B7" w14:textId="33BDD4D6" w:rsidR="00D110BD" w:rsidRPr="00E44776" w:rsidRDefault="00E16AD8" w:rsidP="00FD4ED6">
      <w:pPr>
        <w:pStyle w:val="COMtablefigcaption"/>
      </w:pPr>
      <w:bookmarkStart w:id="85" w:name="_Ref104805122"/>
      <w:bookmarkStart w:id="86" w:name="_Ref111296014"/>
      <w:r w:rsidRPr="00E44776">
        <w:lastRenderedPageBreak/>
        <w:t xml:space="preserve">Table </w:t>
      </w:r>
      <w:r w:rsidR="00B53F47">
        <w:fldChar w:fldCharType="begin" w:fldLock="1"/>
      </w:r>
      <w:r w:rsidR="00B53F47">
        <w:instrText xml:space="preserve"> SEQ Table \* ARABIC </w:instrText>
      </w:r>
      <w:r w:rsidR="00B53F47">
        <w:fldChar w:fldCharType="separate"/>
      </w:r>
      <w:r w:rsidR="00CB2B8B">
        <w:rPr>
          <w:noProof/>
        </w:rPr>
        <w:t>13</w:t>
      </w:r>
      <w:r w:rsidR="00B53F47">
        <w:rPr>
          <w:noProof/>
        </w:rPr>
        <w:fldChar w:fldCharType="end"/>
      </w:r>
      <w:bookmarkEnd w:id="85"/>
      <w:r w:rsidRPr="00E44776">
        <w:t>:</w:t>
      </w:r>
      <w:r w:rsidR="00D110BD" w:rsidRPr="00E44776">
        <w:t xml:space="preserve"> Key drivers of the model</w:t>
      </w:r>
      <w:bookmarkEnd w:id="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3: Key drivers of the model"/>
      </w:tblPr>
      <w:tblGrid>
        <w:gridCol w:w="1271"/>
        <w:gridCol w:w="6521"/>
        <w:gridCol w:w="1225"/>
      </w:tblGrid>
      <w:tr w:rsidR="00F07849" w:rsidRPr="00E44776" w14:paraId="40A6E865" w14:textId="77777777" w:rsidTr="00A57E5C">
        <w:trPr>
          <w:cantSplit/>
          <w:tblHeader/>
        </w:trPr>
        <w:tc>
          <w:tcPr>
            <w:tcW w:w="705" w:type="pct"/>
            <w:tcBorders>
              <w:top w:val="single" w:sz="4" w:space="0" w:color="auto"/>
              <w:left w:val="single" w:sz="4" w:space="0" w:color="auto"/>
              <w:bottom w:val="single" w:sz="4" w:space="0" w:color="auto"/>
              <w:right w:val="single" w:sz="4" w:space="0" w:color="auto"/>
            </w:tcBorders>
            <w:vAlign w:val="center"/>
            <w:hideMark/>
          </w:tcPr>
          <w:p w14:paraId="74E1F287" w14:textId="77777777" w:rsidR="00F07849" w:rsidRPr="00E44776" w:rsidRDefault="00F07849" w:rsidP="00013B37">
            <w:pPr>
              <w:pStyle w:val="Tableheadingrow"/>
              <w:rPr>
                <w:szCs w:val="20"/>
                <w:lang w:val="en-AU"/>
              </w:rPr>
            </w:pPr>
            <w:r w:rsidRPr="00E44776">
              <w:rPr>
                <w:szCs w:val="20"/>
                <w:lang w:val="en-AU"/>
              </w:rPr>
              <w:t>Description</w:t>
            </w:r>
          </w:p>
        </w:tc>
        <w:tc>
          <w:tcPr>
            <w:tcW w:w="3616" w:type="pct"/>
            <w:tcBorders>
              <w:top w:val="single" w:sz="4" w:space="0" w:color="auto"/>
              <w:left w:val="single" w:sz="4" w:space="0" w:color="auto"/>
              <w:bottom w:val="single" w:sz="4" w:space="0" w:color="auto"/>
              <w:right w:val="single" w:sz="4" w:space="0" w:color="auto"/>
            </w:tcBorders>
            <w:vAlign w:val="center"/>
            <w:hideMark/>
          </w:tcPr>
          <w:p w14:paraId="1B2223C0" w14:textId="77777777" w:rsidR="00F07849" w:rsidRPr="00E44776" w:rsidRDefault="00F07849" w:rsidP="00013B37">
            <w:pPr>
              <w:pStyle w:val="Tableheadingrow"/>
              <w:jc w:val="center"/>
              <w:rPr>
                <w:szCs w:val="20"/>
                <w:lang w:val="en-AU"/>
              </w:rPr>
            </w:pPr>
            <w:r w:rsidRPr="00E44776">
              <w:rPr>
                <w:szCs w:val="20"/>
                <w:lang w:val="en-AU"/>
              </w:rPr>
              <w:t>Method/Value</w:t>
            </w:r>
          </w:p>
        </w:tc>
        <w:tc>
          <w:tcPr>
            <w:tcW w:w="679" w:type="pct"/>
            <w:tcBorders>
              <w:top w:val="single" w:sz="4" w:space="0" w:color="auto"/>
              <w:left w:val="single" w:sz="4" w:space="0" w:color="auto"/>
              <w:bottom w:val="single" w:sz="4" w:space="0" w:color="auto"/>
              <w:right w:val="single" w:sz="4" w:space="0" w:color="auto"/>
            </w:tcBorders>
            <w:vAlign w:val="center"/>
            <w:hideMark/>
          </w:tcPr>
          <w:p w14:paraId="07C23639" w14:textId="77777777" w:rsidR="00F07849" w:rsidRPr="00E44776" w:rsidRDefault="00F07849" w:rsidP="00013B37">
            <w:pPr>
              <w:pStyle w:val="Tableheadingrow"/>
              <w:jc w:val="center"/>
              <w:rPr>
                <w:szCs w:val="20"/>
                <w:lang w:val="en-AU"/>
              </w:rPr>
            </w:pPr>
            <w:r w:rsidRPr="00E44776">
              <w:rPr>
                <w:szCs w:val="20"/>
                <w:lang w:val="en-AU"/>
              </w:rPr>
              <w:t>Impact</w:t>
            </w:r>
          </w:p>
        </w:tc>
      </w:tr>
      <w:tr w:rsidR="00447422" w:rsidRPr="00E44776" w14:paraId="48EE1B37" w14:textId="77777777" w:rsidTr="00A57E5C">
        <w:trPr>
          <w:cantSplit/>
        </w:trPr>
        <w:tc>
          <w:tcPr>
            <w:tcW w:w="705" w:type="pct"/>
            <w:tcBorders>
              <w:top w:val="single" w:sz="4" w:space="0" w:color="auto"/>
              <w:left w:val="single" w:sz="4" w:space="0" w:color="auto"/>
              <w:bottom w:val="single" w:sz="4" w:space="0" w:color="auto"/>
              <w:right w:val="single" w:sz="4" w:space="0" w:color="auto"/>
            </w:tcBorders>
            <w:vAlign w:val="center"/>
          </w:tcPr>
          <w:p w14:paraId="5E2E53AA" w14:textId="77777777" w:rsidR="00447422" w:rsidRPr="00E44776" w:rsidRDefault="00447422" w:rsidP="00013B37">
            <w:pPr>
              <w:pStyle w:val="TableText"/>
              <w:rPr>
                <w:szCs w:val="20"/>
              </w:rPr>
            </w:pPr>
            <w:r w:rsidRPr="00E44776">
              <w:rPr>
                <w:szCs w:val="20"/>
              </w:rPr>
              <w:t>Time horizon</w:t>
            </w:r>
          </w:p>
        </w:tc>
        <w:tc>
          <w:tcPr>
            <w:tcW w:w="3616" w:type="pct"/>
            <w:tcBorders>
              <w:top w:val="single" w:sz="4" w:space="0" w:color="auto"/>
              <w:left w:val="single" w:sz="4" w:space="0" w:color="auto"/>
              <w:bottom w:val="single" w:sz="4" w:space="0" w:color="auto"/>
              <w:right w:val="single" w:sz="4" w:space="0" w:color="auto"/>
            </w:tcBorders>
            <w:vAlign w:val="center"/>
          </w:tcPr>
          <w:p w14:paraId="087CE7EE" w14:textId="77777777" w:rsidR="00447422" w:rsidRPr="00E44776" w:rsidRDefault="00447422" w:rsidP="00013B37">
            <w:pPr>
              <w:pStyle w:val="TableText"/>
              <w:rPr>
                <w:szCs w:val="20"/>
              </w:rPr>
            </w:pPr>
            <w:r w:rsidRPr="00E44776">
              <w:rPr>
                <w:szCs w:val="20"/>
              </w:rPr>
              <w:t>The base case assumed a 15-year time horizon with a one-month cycle length. The PBAC previously considered that a 10-year time horizon would be more reasonable than a 15-year horizon, as it would be consistent with previous decisions in the first-line CLL/SLL setting</w:t>
            </w:r>
            <w:r w:rsidR="00D034F9" w:rsidRPr="00E44776">
              <w:rPr>
                <w:szCs w:val="20"/>
              </w:rPr>
              <w:t xml:space="preserve"> </w:t>
            </w:r>
            <w:r w:rsidRPr="00E44776">
              <w:rPr>
                <w:szCs w:val="20"/>
              </w:rPr>
              <w:t>and given that a longer extrapolation would be subject to considerable uncertainty (paragraph 7.10, acalabrutinib, Public Summary Document, November 2021 PBAC meeting).</w:t>
            </w:r>
          </w:p>
          <w:p w14:paraId="324C8CF5" w14:textId="51C0385A" w:rsidR="000E04B1" w:rsidRPr="00E44776" w:rsidRDefault="000E04B1" w:rsidP="00013B37">
            <w:pPr>
              <w:pStyle w:val="TableText"/>
              <w:rPr>
                <w:szCs w:val="20"/>
              </w:rPr>
            </w:pPr>
            <w:r w:rsidRPr="00E44776">
              <w:rPr>
                <w:szCs w:val="20"/>
              </w:rPr>
              <w:t xml:space="preserve">The PSCR maintained that a 15-year time horizon was appropriate, given that 90% of patients receiving acalabrutinib + obinutuzumab were alive at 5 years in the longer-term follow-up data, and given </w:t>
            </w:r>
            <w:r w:rsidR="004935B3" w:rsidRPr="00E44776">
              <w:rPr>
                <w:szCs w:val="20"/>
              </w:rPr>
              <w:t>that effective therapies are</w:t>
            </w:r>
            <w:r w:rsidRPr="00E44776">
              <w:rPr>
                <w:szCs w:val="20"/>
              </w:rPr>
              <w:t xml:space="preserve"> availab</w:t>
            </w:r>
            <w:r w:rsidR="004935B3" w:rsidRPr="00E44776">
              <w:rPr>
                <w:szCs w:val="20"/>
              </w:rPr>
              <w:t xml:space="preserve">le </w:t>
            </w:r>
            <w:r w:rsidRPr="00E44776">
              <w:rPr>
                <w:szCs w:val="20"/>
              </w:rPr>
              <w:t xml:space="preserve">in the relapsed/refractory setting. </w:t>
            </w:r>
            <w:r w:rsidR="004935B3" w:rsidRPr="00E44776">
              <w:rPr>
                <w:szCs w:val="20"/>
              </w:rPr>
              <w:t>However, the ESC considered that the extrapolation of outcomes to 15 years is associated with substantial uncertainty and that a 10</w:t>
            </w:r>
            <w:r w:rsidR="00537765" w:rsidRPr="00E44776">
              <w:rPr>
                <w:szCs w:val="20"/>
              </w:rPr>
              <w:t>-</w:t>
            </w:r>
            <w:r w:rsidR="004935B3" w:rsidRPr="00E44776">
              <w:rPr>
                <w:szCs w:val="20"/>
              </w:rPr>
              <w:t>year time horizon would be more appropriate and consistent with previous decisions in the unfit population in the first-line CLL/</w:t>
            </w:r>
            <w:r w:rsidR="00537765" w:rsidRPr="00E44776">
              <w:rPr>
                <w:szCs w:val="20"/>
              </w:rPr>
              <w:t>S</w:t>
            </w:r>
            <w:r w:rsidR="004935B3" w:rsidRPr="00E44776">
              <w:rPr>
                <w:szCs w:val="20"/>
              </w:rPr>
              <w:t xml:space="preserve">LL setting. </w:t>
            </w:r>
            <w:r w:rsidRPr="00E44776">
              <w:rPr>
                <w:szCs w:val="20"/>
              </w:rPr>
              <w:t xml:space="preserve"> </w:t>
            </w:r>
            <w:r w:rsidR="00CE0462">
              <w:rPr>
                <w:szCs w:val="20"/>
              </w:rPr>
              <w:t xml:space="preserve">The pre-PBAC response argued that while shorter time horizons had been applied in submissions for other CLL therapies, these therapies were fixed duration, whereas acalabrutinib </w:t>
            </w:r>
            <w:r w:rsidR="00E558EE">
              <w:rPr>
                <w:szCs w:val="20"/>
              </w:rPr>
              <w:t>is a treat to progression regimen</w:t>
            </w:r>
            <w:r w:rsidR="00F51968">
              <w:rPr>
                <w:szCs w:val="20"/>
              </w:rPr>
              <w:t>.</w:t>
            </w:r>
          </w:p>
        </w:tc>
        <w:tc>
          <w:tcPr>
            <w:tcW w:w="679" w:type="pct"/>
            <w:tcBorders>
              <w:top w:val="single" w:sz="4" w:space="0" w:color="auto"/>
              <w:left w:val="single" w:sz="4" w:space="0" w:color="auto"/>
              <w:bottom w:val="single" w:sz="4" w:space="0" w:color="auto"/>
              <w:right w:val="single" w:sz="4" w:space="0" w:color="auto"/>
            </w:tcBorders>
            <w:vAlign w:val="center"/>
          </w:tcPr>
          <w:p w14:paraId="3DC85192" w14:textId="271921EF" w:rsidR="00447422" w:rsidRPr="00E44776" w:rsidRDefault="00447422" w:rsidP="00013B37">
            <w:pPr>
              <w:pStyle w:val="TableText"/>
              <w:jc w:val="center"/>
              <w:rPr>
                <w:szCs w:val="20"/>
              </w:rPr>
            </w:pPr>
            <w:r w:rsidRPr="00E44776">
              <w:rPr>
                <w:szCs w:val="20"/>
              </w:rPr>
              <w:t>Moderate, favours acalabrutinib</w:t>
            </w:r>
          </w:p>
        </w:tc>
      </w:tr>
      <w:tr w:rsidR="002A3E60" w:rsidRPr="00E44776" w14:paraId="21403708" w14:textId="77777777" w:rsidTr="00A57E5C">
        <w:trPr>
          <w:cantSplit/>
        </w:trPr>
        <w:tc>
          <w:tcPr>
            <w:tcW w:w="705" w:type="pct"/>
            <w:tcBorders>
              <w:top w:val="single" w:sz="4" w:space="0" w:color="auto"/>
              <w:left w:val="single" w:sz="4" w:space="0" w:color="auto"/>
              <w:bottom w:val="single" w:sz="4" w:space="0" w:color="auto"/>
              <w:right w:val="single" w:sz="4" w:space="0" w:color="auto"/>
            </w:tcBorders>
            <w:vAlign w:val="center"/>
            <w:hideMark/>
          </w:tcPr>
          <w:p w14:paraId="7196EA43" w14:textId="75FADA9C" w:rsidR="002A3E60" w:rsidRPr="00E44776" w:rsidRDefault="002A3E60" w:rsidP="00013B37">
            <w:pPr>
              <w:pStyle w:val="TableText"/>
              <w:rPr>
                <w:szCs w:val="20"/>
              </w:rPr>
            </w:pPr>
            <w:bookmarkStart w:id="87" w:name="_Hlk80029903"/>
            <w:r w:rsidRPr="00E44776">
              <w:rPr>
                <w:szCs w:val="20"/>
              </w:rPr>
              <w:t>Acalabrutinib + obinutuzumab survival extrapolations</w:t>
            </w:r>
          </w:p>
        </w:tc>
        <w:tc>
          <w:tcPr>
            <w:tcW w:w="3616" w:type="pct"/>
            <w:tcBorders>
              <w:top w:val="single" w:sz="4" w:space="0" w:color="auto"/>
              <w:left w:val="single" w:sz="4" w:space="0" w:color="auto"/>
              <w:bottom w:val="single" w:sz="4" w:space="0" w:color="auto"/>
              <w:right w:val="single" w:sz="4" w:space="0" w:color="auto"/>
            </w:tcBorders>
            <w:vAlign w:val="center"/>
          </w:tcPr>
          <w:p w14:paraId="45A61203" w14:textId="3D8032DB" w:rsidR="00B97617" w:rsidRPr="00E44776" w:rsidRDefault="002A3E60" w:rsidP="00013B37">
            <w:pPr>
              <w:pStyle w:val="TableText"/>
              <w:rPr>
                <w:szCs w:val="20"/>
              </w:rPr>
            </w:pPr>
            <w:r w:rsidRPr="00E44776">
              <w:rPr>
                <w:szCs w:val="20"/>
              </w:rPr>
              <w:t xml:space="preserve">Progression-free survival and overall survival data for acalabrutinib + obinutuzumab corresponding to a median duration of follow-up of 46.9 months </w:t>
            </w:r>
            <w:r w:rsidR="00D034F9" w:rsidRPr="00E44776">
              <w:rPr>
                <w:szCs w:val="20"/>
              </w:rPr>
              <w:t>were</w:t>
            </w:r>
            <w:r w:rsidRPr="00E44776">
              <w:rPr>
                <w:szCs w:val="20"/>
              </w:rPr>
              <w:t xml:space="preserve"> extrapolated to 15 years using parametric functions. </w:t>
            </w:r>
            <w:r w:rsidR="00056B77" w:rsidRPr="00E44776">
              <w:rPr>
                <w:szCs w:val="20"/>
              </w:rPr>
              <w:t xml:space="preserve">The extrapolated survival data was considered uncertain due to the lack of available </w:t>
            </w:r>
            <w:r w:rsidR="005C7EF5" w:rsidRPr="00E44776">
              <w:rPr>
                <w:szCs w:val="20"/>
              </w:rPr>
              <w:t>clinical evidence</w:t>
            </w:r>
            <w:r w:rsidR="00056B77" w:rsidRPr="00E44776">
              <w:rPr>
                <w:szCs w:val="20"/>
              </w:rPr>
              <w:t xml:space="preserve"> to validate the longer-term survival assumptions.</w:t>
            </w:r>
          </w:p>
        </w:tc>
        <w:tc>
          <w:tcPr>
            <w:tcW w:w="679" w:type="pct"/>
            <w:tcBorders>
              <w:top w:val="single" w:sz="4" w:space="0" w:color="auto"/>
              <w:left w:val="single" w:sz="4" w:space="0" w:color="auto"/>
              <w:bottom w:val="single" w:sz="4" w:space="0" w:color="auto"/>
              <w:right w:val="single" w:sz="4" w:space="0" w:color="auto"/>
            </w:tcBorders>
            <w:vAlign w:val="center"/>
          </w:tcPr>
          <w:p w14:paraId="0F0DD8BB" w14:textId="5F78C62A" w:rsidR="002A3E60" w:rsidRPr="00E44776" w:rsidRDefault="002A3E60" w:rsidP="00013B37">
            <w:pPr>
              <w:pStyle w:val="TableText"/>
              <w:jc w:val="center"/>
              <w:rPr>
                <w:szCs w:val="20"/>
              </w:rPr>
            </w:pPr>
            <w:r w:rsidRPr="00E44776">
              <w:rPr>
                <w:szCs w:val="20"/>
              </w:rPr>
              <w:t>Moderate, favours acalabrutinib</w:t>
            </w:r>
          </w:p>
        </w:tc>
      </w:tr>
      <w:tr w:rsidR="002A3E60" w:rsidRPr="00E44776" w14:paraId="19778C26" w14:textId="77777777" w:rsidTr="002A3E60">
        <w:trPr>
          <w:cantSplit/>
        </w:trPr>
        <w:tc>
          <w:tcPr>
            <w:tcW w:w="705" w:type="pct"/>
            <w:tcBorders>
              <w:top w:val="single" w:sz="4" w:space="0" w:color="auto"/>
              <w:left w:val="single" w:sz="4" w:space="0" w:color="auto"/>
              <w:bottom w:val="single" w:sz="4" w:space="0" w:color="auto"/>
              <w:right w:val="single" w:sz="4" w:space="0" w:color="auto"/>
            </w:tcBorders>
            <w:vAlign w:val="center"/>
          </w:tcPr>
          <w:p w14:paraId="3F5ED1E5" w14:textId="7CB4EE0E" w:rsidR="002A3E60" w:rsidRPr="00E44776" w:rsidRDefault="00D76F30" w:rsidP="00013B37">
            <w:pPr>
              <w:pStyle w:val="TableText"/>
              <w:rPr>
                <w:szCs w:val="20"/>
              </w:rPr>
            </w:pPr>
            <w:r w:rsidRPr="00E44776">
              <w:rPr>
                <w:szCs w:val="20"/>
              </w:rPr>
              <w:t>Venetoclax</w:t>
            </w:r>
            <w:r w:rsidR="002A3E60" w:rsidRPr="00E44776">
              <w:rPr>
                <w:szCs w:val="20"/>
              </w:rPr>
              <w:t xml:space="preserve"> + obinutuzumab survival </w:t>
            </w:r>
          </w:p>
        </w:tc>
        <w:tc>
          <w:tcPr>
            <w:tcW w:w="3616" w:type="pct"/>
            <w:tcBorders>
              <w:top w:val="single" w:sz="4" w:space="0" w:color="auto"/>
              <w:left w:val="single" w:sz="4" w:space="0" w:color="auto"/>
              <w:bottom w:val="single" w:sz="4" w:space="0" w:color="auto"/>
              <w:right w:val="single" w:sz="4" w:space="0" w:color="auto"/>
            </w:tcBorders>
          </w:tcPr>
          <w:p w14:paraId="33A720F3" w14:textId="6B37827F" w:rsidR="002A3E60" w:rsidRPr="00E44776" w:rsidRDefault="002A3E60" w:rsidP="00013B37">
            <w:pPr>
              <w:pStyle w:val="TableText"/>
              <w:rPr>
                <w:szCs w:val="20"/>
              </w:rPr>
            </w:pPr>
            <w:r w:rsidRPr="00E44776">
              <w:rPr>
                <w:szCs w:val="20"/>
              </w:rPr>
              <w:t xml:space="preserve">Progression-free survival and overall survival </w:t>
            </w:r>
            <w:r w:rsidR="00217150" w:rsidRPr="00E44776">
              <w:rPr>
                <w:szCs w:val="20"/>
              </w:rPr>
              <w:t xml:space="preserve">estimates </w:t>
            </w:r>
            <w:r w:rsidRPr="00E44776">
              <w:rPr>
                <w:szCs w:val="20"/>
              </w:rPr>
              <w:t>for venetoclax + obinutuzumab were derived</w:t>
            </w:r>
            <w:r w:rsidR="00217150" w:rsidRPr="00E44776">
              <w:rPr>
                <w:szCs w:val="20"/>
              </w:rPr>
              <w:t xml:space="preserve"> from the extrapolated progression-free survival and overall survival for acalabrutinib + obinutuzumab based on the hazard ratio derived from the MAIC</w:t>
            </w:r>
            <w:r w:rsidR="00935E6E" w:rsidRPr="00E44776">
              <w:rPr>
                <w:szCs w:val="20"/>
              </w:rPr>
              <w:t xml:space="preserve">. </w:t>
            </w:r>
            <w:r w:rsidR="00414DFF" w:rsidRPr="00E44776">
              <w:rPr>
                <w:szCs w:val="20"/>
              </w:rPr>
              <w:t>The application of a constant hazard ratio to the extrapolated acalabrutinib + obinutuzumab progression-free survival, overall survival curves to derive the venetoclax + obinutuzumab curves may not be reasonable, given that it resulted in increasing differences between acalabrutinib + obinutuzumab and venetoclax + obinutuzumab over time.  There was a lack of longer-term data to validate these increasing differences.</w:t>
            </w:r>
          </w:p>
        </w:tc>
        <w:tc>
          <w:tcPr>
            <w:tcW w:w="679" w:type="pct"/>
            <w:tcBorders>
              <w:top w:val="single" w:sz="4" w:space="0" w:color="auto"/>
              <w:left w:val="single" w:sz="4" w:space="0" w:color="auto"/>
              <w:bottom w:val="single" w:sz="4" w:space="0" w:color="auto"/>
              <w:right w:val="single" w:sz="4" w:space="0" w:color="auto"/>
            </w:tcBorders>
            <w:vAlign w:val="center"/>
          </w:tcPr>
          <w:p w14:paraId="2DA7CD31" w14:textId="25C75D0F" w:rsidR="002A3E60" w:rsidRPr="00E44776" w:rsidRDefault="002A3E60" w:rsidP="00013B37">
            <w:pPr>
              <w:pStyle w:val="TableText"/>
              <w:jc w:val="center"/>
              <w:rPr>
                <w:szCs w:val="20"/>
              </w:rPr>
            </w:pPr>
            <w:r w:rsidRPr="00E44776">
              <w:rPr>
                <w:szCs w:val="20"/>
              </w:rPr>
              <w:t>High, favours acalabrutinib</w:t>
            </w:r>
          </w:p>
        </w:tc>
      </w:tr>
      <w:tr w:rsidR="002A3E60" w:rsidRPr="00E44776" w14:paraId="445CFD18" w14:textId="77777777" w:rsidTr="00A57E5C">
        <w:trPr>
          <w:cantSplit/>
        </w:trPr>
        <w:tc>
          <w:tcPr>
            <w:tcW w:w="705" w:type="pct"/>
            <w:tcBorders>
              <w:top w:val="single" w:sz="4" w:space="0" w:color="auto"/>
              <w:left w:val="single" w:sz="4" w:space="0" w:color="auto"/>
              <w:bottom w:val="single" w:sz="4" w:space="0" w:color="auto"/>
              <w:right w:val="single" w:sz="4" w:space="0" w:color="auto"/>
            </w:tcBorders>
            <w:vAlign w:val="center"/>
          </w:tcPr>
          <w:p w14:paraId="378BF11E" w14:textId="77777777" w:rsidR="002A3E60" w:rsidRPr="00E44776" w:rsidRDefault="002A3E60" w:rsidP="00013B37">
            <w:pPr>
              <w:pStyle w:val="TableText"/>
              <w:rPr>
                <w:szCs w:val="20"/>
              </w:rPr>
            </w:pPr>
            <w:r w:rsidRPr="00E44776">
              <w:rPr>
                <w:szCs w:val="20"/>
              </w:rPr>
              <w:t>Partitioned survival analysis</w:t>
            </w:r>
          </w:p>
        </w:tc>
        <w:tc>
          <w:tcPr>
            <w:tcW w:w="3616" w:type="pct"/>
            <w:tcBorders>
              <w:top w:val="single" w:sz="4" w:space="0" w:color="auto"/>
              <w:left w:val="single" w:sz="4" w:space="0" w:color="auto"/>
              <w:bottom w:val="single" w:sz="4" w:space="0" w:color="auto"/>
              <w:right w:val="single" w:sz="4" w:space="0" w:color="auto"/>
            </w:tcBorders>
            <w:vAlign w:val="center"/>
          </w:tcPr>
          <w:p w14:paraId="0EADE31E" w14:textId="3CD2B681" w:rsidR="002A3E60" w:rsidRPr="00E44776" w:rsidRDefault="002A3E60" w:rsidP="00013B37">
            <w:pPr>
              <w:pStyle w:val="TableText"/>
              <w:rPr>
                <w:szCs w:val="20"/>
              </w:rPr>
            </w:pPr>
            <w:r w:rsidRPr="00E44776">
              <w:rPr>
                <w:szCs w:val="20"/>
              </w:rPr>
              <w:t xml:space="preserve">A partitioned survival design, using the overall survival and progression-free survival results from the ELEVATE-TN trial, was implemented to distribute patients between model health states. The assumed </w:t>
            </w:r>
            <w:r w:rsidR="00B27413" w:rsidRPr="00E44776">
              <w:rPr>
                <w:szCs w:val="20"/>
              </w:rPr>
              <w:t xml:space="preserve">cost and utility for the </w:t>
            </w:r>
            <w:r w:rsidRPr="00E44776">
              <w:rPr>
                <w:szCs w:val="20"/>
              </w:rPr>
              <w:t>relapsed</w:t>
            </w:r>
            <w:r w:rsidR="00B27413" w:rsidRPr="00E44776">
              <w:rPr>
                <w:szCs w:val="20"/>
              </w:rPr>
              <w:t>/</w:t>
            </w:r>
            <w:r w:rsidR="00D034F9" w:rsidRPr="00E44776">
              <w:rPr>
                <w:szCs w:val="20"/>
              </w:rPr>
              <w:t>refractory</w:t>
            </w:r>
            <w:r w:rsidRPr="00E44776">
              <w:rPr>
                <w:szCs w:val="20"/>
              </w:rPr>
              <w:t xml:space="preserve"> </w:t>
            </w:r>
            <w:r w:rsidR="00B27413" w:rsidRPr="00E44776">
              <w:rPr>
                <w:szCs w:val="20"/>
              </w:rPr>
              <w:t>health</w:t>
            </w:r>
            <w:r w:rsidRPr="00E44776">
              <w:rPr>
                <w:szCs w:val="20"/>
              </w:rPr>
              <w:t xml:space="preserve"> state may not adequately reflect the cost and quality of life experienced by patients with CLL over time, given multiple lines of subsequent therapy, and periods of disease remission.</w:t>
            </w:r>
          </w:p>
        </w:tc>
        <w:tc>
          <w:tcPr>
            <w:tcW w:w="679" w:type="pct"/>
            <w:tcBorders>
              <w:top w:val="single" w:sz="4" w:space="0" w:color="auto"/>
              <w:left w:val="single" w:sz="4" w:space="0" w:color="auto"/>
              <w:bottom w:val="single" w:sz="4" w:space="0" w:color="auto"/>
              <w:right w:val="single" w:sz="4" w:space="0" w:color="auto"/>
            </w:tcBorders>
            <w:vAlign w:val="center"/>
          </w:tcPr>
          <w:p w14:paraId="3FEEB9DC" w14:textId="6F2E2C4F" w:rsidR="002A3E60" w:rsidRPr="00E44776" w:rsidRDefault="002A3E60" w:rsidP="00013B37">
            <w:pPr>
              <w:pStyle w:val="TableText"/>
              <w:jc w:val="center"/>
              <w:rPr>
                <w:szCs w:val="20"/>
              </w:rPr>
            </w:pPr>
            <w:r w:rsidRPr="00E44776">
              <w:rPr>
                <w:szCs w:val="20"/>
              </w:rPr>
              <w:t>High, favours acalabrutinib</w:t>
            </w:r>
          </w:p>
        </w:tc>
      </w:tr>
      <w:tr w:rsidR="002A3E60" w:rsidRPr="00E44776" w14:paraId="6DBD6D45" w14:textId="77777777" w:rsidTr="00A57E5C">
        <w:trPr>
          <w:cantSplit/>
        </w:trPr>
        <w:tc>
          <w:tcPr>
            <w:tcW w:w="705" w:type="pct"/>
            <w:tcBorders>
              <w:top w:val="single" w:sz="4" w:space="0" w:color="auto"/>
              <w:left w:val="single" w:sz="4" w:space="0" w:color="auto"/>
              <w:bottom w:val="single" w:sz="4" w:space="0" w:color="auto"/>
              <w:right w:val="single" w:sz="4" w:space="0" w:color="auto"/>
            </w:tcBorders>
            <w:vAlign w:val="center"/>
          </w:tcPr>
          <w:p w14:paraId="4C67D468" w14:textId="1F6DFF77" w:rsidR="002A3E60" w:rsidRPr="00E44776" w:rsidRDefault="002A3E60" w:rsidP="00013B37">
            <w:pPr>
              <w:pStyle w:val="TableText"/>
              <w:rPr>
                <w:szCs w:val="20"/>
              </w:rPr>
            </w:pPr>
            <w:r w:rsidRPr="00E44776">
              <w:rPr>
                <w:szCs w:val="20"/>
              </w:rPr>
              <w:t>Subsequent treatment costs</w:t>
            </w:r>
          </w:p>
        </w:tc>
        <w:tc>
          <w:tcPr>
            <w:tcW w:w="3616" w:type="pct"/>
            <w:tcBorders>
              <w:top w:val="single" w:sz="4" w:space="0" w:color="auto"/>
              <w:left w:val="single" w:sz="4" w:space="0" w:color="auto"/>
              <w:bottom w:val="single" w:sz="4" w:space="0" w:color="auto"/>
              <w:right w:val="single" w:sz="4" w:space="0" w:color="auto"/>
            </w:tcBorders>
            <w:vAlign w:val="center"/>
          </w:tcPr>
          <w:p w14:paraId="27F2E8ED" w14:textId="5CB556F0" w:rsidR="002A3E60" w:rsidRPr="00E44776" w:rsidRDefault="002A3E60" w:rsidP="00013B37">
            <w:pPr>
              <w:pStyle w:val="TableText"/>
              <w:spacing w:after="60"/>
              <w:rPr>
                <w:szCs w:val="20"/>
              </w:rPr>
            </w:pPr>
            <w:r w:rsidRPr="00E44776">
              <w:rPr>
                <w:szCs w:val="20"/>
              </w:rPr>
              <w:t xml:space="preserve">Subsequent therapy costs were derived based on the assumption that patients in the acalabrutinib arm would receive subsequent treatment with venetoclax + obinutuzumab (90%) or idelalisib with rituximab (10%), and patients in the venetoclax + obinutuzumab arm would receive subsequent treatment with ibrutinib monotherapy. While the intention of this assumption was to model costs for the PBS population based on available PBS-listed treatments, this resulted in a mismatch between assumed use and actual use in the ELEVATE-TN and CLL-14 trials. </w:t>
            </w:r>
          </w:p>
          <w:p w14:paraId="464C6A54" w14:textId="2AC11E12" w:rsidR="002A3E60" w:rsidRPr="00E44776" w:rsidRDefault="002A3E60" w:rsidP="00013B37">
            <w:pPr>
              <w:pStyle w:val="TableText"/>
              <w:rPr>
                <w:szCs w:val="20"/>
              </w:rPr>
            </w:pPr>
            <w:r w:rsidRPr="00E44776">
              <w:rPr>
                <w:szCs w:val="20"/>
              </w:rPr>
              <w:t xml:space="preserve">The resubmission estimated the impact of risk-sharing arrangements for idelalisib and ibrutinib by assuming maximum treatment duration caps of 12 and </w:t>
            </w:r>
            <w:r w:rsidR="002358C7" w:rsidRPr="00E44776">
              <w:rPr>
                <w:szCs w:val="20"/>
              </w:rPr>
              <w:t>44</w:t>
            </w:r>
            <w:r w:rsidRPr="00E44776">
              <w:rPr>
                <w:szCs w:val="20"/>
              </w:rPr>
              <w:t xml:space="preserve"> months for idelalisib and ibrutinib, respectively. The assumed maximum treatment caps may not reflect the actual risk-sharing arrangements in place</w:t>
            </w:r>
          </w:p>
        </w:tc>
        <w:tc>
          <w:tcPr>
            <w:tcW w:w="679" w:type="pct"/>
            <w:tcBorders>
              <w:top w:val="single" w:sz="4" w:space="0" w:color="auto"/>
              <w:left w:val="single" w:sz="4" w:space="0" w:color="auto"/>
              <w:bottom w:val="single" w:sz="4" w:space="0" w:color="auto"/>
              <w:right w:val="single" w:sz="4" w:space="0" w:color="auto"/>
            </w:tcBorders>
            <w:vAlign w:val="center"/>
          </w:tcPr>
          <w:p w14:paraId="7C97FC77" w14:textId="02EC6E0D" w:rsidR="002A3E60" w:rsidRPr="00E44776" w:rsidRDefault="002A3E60" w:rsidP="00013B37">
            <w:pPr>
              <w:pStyle w:val="TableText"/>
              <w:jc w:val="center"/>
              <w:rPr>
                <w:szCs w:val="20"/>
              </w:rPr>
            </w:pPr>
            <w:r w:rsidRPr="00E44776">
              <w:rPr>
                <w:szCs w:val="20"/>
              </w:rPr>
              <w:t>Unclear impact</w:t>
            </w:r>
          </w:p>
        </w:tc>
      </w:tr>
    </w:tbl>
    <w:bookmarkEnd w:id="87"/>
    <w:p w14:paraId="20DC9883" w14:textId="3FB4B92B" w:rsidR="00F07849" w:rsidRDefault="00F07849" w:rsidP="00F07849">
      <w:pPr>
        <w:pStyle w:val="TableFooter"/>
      </w:pPr>
      <w:r w:rsidRPr="00E44776">
        <w:t>Source: Constructed during the evaluation.</w:t>
      </w:r>
    </w:p>
    <w:p w14:paraId="13306DE2" w14:textId="4DE78CD9" w:rsidR="005F4F13" w:rsidRPr="00E44776" w:rsidRDefault="005F4F13" w:rsidP="00F07849">
      <w:pPr>
        <w:pStyle w:val="TableFooter"/>
        <w:rPr>
          <w:szCs w:val="22"/>
        </w:rPr>
      </w:pPr>
      <w:r>
        <w:t>PSCR = Pre-Sub-Committee Response</w:t>
      </w:r>
    </w:p>
    <w:p w14:paraId="49D3A38B" w14:textId="44BADA0A" w:rsidR="00F07849" w:rsidRPr="00E44776" w:rsidRDefault="00F07849" w:rsidP="00F07849">
      <w:pPr>
        <w:pStyle w:val="ExecSumBodyText"/>
        <w:numPr>
          <w:ilvl w:val="1"/>
          <w:numId w:val="1"/>
        </w:numPr>
      </w:pPr>
      <w:r w:rsidRPr="00E44776">
        <w:t xml:space="preserve">Model traces for the acalabrutinib </w:t>
      </w:r>
      <w:r w:rsidR="00E9443F" w:rsidRPr="00E44776">
        <w:t xml:space="preserve">+ obinutuzumab </w:t>
      </w:r>
      <w:r w:rsidRPr="00E44776">
        <w:t xml:space="preserve">and </w:t>
      </w:r>
      <w:r w:rsidR="00E9443F" w:rsidRPr="00E44776">
        <w:t>venetoclax + obinutuzumab</w:t>
      </w:r>
      <w:r w:rsidRPr="00E44776">
        <w:t xml:space="preserve"> arms are presented in </w:t>
      </w:r>
      <w:r w:rsidR="008B15F2" w:rsidRPr="00E44776">
        <w:fldChar w:fldCharType="begin" w:fldLock="1"/>
      </w:r>
      <w:r w:rsidR="008B15F2" w:rsidRPr="00E44776">
        <w:instrText xml:space="preserve"> REF _Ref111475978 \h </w:instrText>
      </w:r>
      <w:r w:rsidR="00E44776" w:rsidRPr="00E44776">
        <w:instrText xml:space="preserve"> \* MERGEFORMAT </w:instrText>
      </w:r>
      <w:r w:rsidR="008B15F2" w:rsidRPr="00E44776">
        <w:fldChar w:fldCharType="separate"/>
      </w:r>
      <w:r w:rsidR="00CB2B8B" w:rsidRPr="00E44776">
        <w:t xml:space="preserve">Figure </w:t>
      </w:r>
      <w:r w:rsidR="00CB2B8B">
        <w:rPr>
          <w:noProof/>
        </w:rPr>
        <w:t>7</w:t>
      </w:r>
      <w:r w:rsidR="008B15F2" w:rsidRPr="00E44776">
        <w:fldChar w:fldCharType="end"/>
      </w:r>
      <w:r w:rsidRPr="00E44776">
        <w:t>.</w:t>
      </w:r>
    </w:p>
    <w:p w14:paraId="08651953" w14:textId="4146754A" w:rsidR="00860B1C" w:rsidRPr="00E44776" w:rsidRDefault="00D60F32" w:rsidP="00860B1C">
      <w:pPr>
        <w:pStyle w:val="TableFigureCaption"/>
      </w:pPr>
      <w:bookmarkStart w:id="88" w:name="_Ref111475978"/>
      <w:bookmarkStart w:id="89" w:name="_Ref111298404"/>
      <w:r w:rsidRPr="00E44776">
        <w:lastRenderedPageBreak/>
        <w:t xml:space="preserve">Figure </w:t>
      </w:r>
      <w:r w:rsidR="00B53F47">
        <w:fldChar w:fldCharType="begin" w:fldLock="1"/>
      </w:r>
      <w:r w:rsidR="00B53F47">
        <w:instrText xml:space="preserve"> SEQ Figure \* ARABIC </w:instrText>
      </w:r>
      <w:r w:rsidR="00B53F47">
        <w:fldChar w:fldCharType="separate"/>
      </w:r>
      <w:r w:rsidR="00CB2B8B">
        <w:rPr>
          <w:noProof/>
        </w:rPr>
        <w:t>7</w:t>
      </w:r>
      <w:r w:rsidR="00B53F47">
        <w:rPr>
          <w:noProof/>
        </w:rPr>
        <w:fldChar w:fldCharType="end"/>
      </w:r>
      <w:bookmarkEnd w:id="88"/>
      <w:r w:rsidR="00860B1C" w:rsidRPr="00E44776">
        <w:t>: Model traces for the acalabrutinib + obinutuzumab and venetoclax + obinutuzumab arms</w:t>
      </w:r>
      <w:bookmarkEnd w:id="89"/>
    </w:p>
    <w:p w14:paraId="29893E66" w14:textId="77777777" w:rsidR="00860B1C" w:rsidRPr="00E44776" w:rsidRDefault="00860B1C" w:rsidP="00860B1C">
      <w:r w:rsidRPr="00E44776">
        <w:rPr>
          <w:noProof/>
        </w:rPr>
        <w:drawing>
          <wp:inline distT="0" distB="0" distL="0" distR="0" wp14:anchorId="3A25188D" wp14:editId="3C2BBDDA">
            <wp:extent cx="5688330" cy="3602990"/>
            <wp:effectExtent l="0" t="0" r="7620" b="0"/>
            <wp:docPr id="27" name="Picture 27"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Chart, line char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88330" cy="3602990"/>
                    </a:xfrm>
                    <a:prstGeom prst="rect">
                      <a:avLst/>
                    </a:prstGeom>
                    <a:noFill/>
                  </pic:spPr>
                </pic:pic>
              </a:graphicData>
            </a:graphic>
          </wp:inline>
        </w:drawing>
      </w:r>
    </w:p>
    <w:p w14:paraId="112BA035" w14:textId="73A25F39" w:rsidR="00860B1C" w:rsidRPr="00E44776" w:rsidRDefault="00860B1C" w:rsidP="00860B1C">
      <w:pPr>
        <w:pStyle w:val="TableFigureFooter"/>
      </w:pPr>
      <w:r w:rsidRPr="00E44776">
        <w:t xml:space="preserve">Source: </w:t>
      </w:r>
      <w:r w:rsidR="00750B13" w:rsidRPr="00E44776">
        <w:t>Constructed during the evaluation using the ‘Section 3 CEA model’ Excel workbook.</w:t>
      </w:r>
    </w:p>
    <w:p w14:paraId="372BF449" w14:textId="1AB07F59" w:rsidR="00750B13" w:rsidRPr="00E44776" w:rsidRDefault="00750B13" w:rsidP="00860B1C">
      <w:pPr>
        <w:pStyle w:val="TableFigureFooter"/>
      </w:pPr>
      <w:r w:rsidRPr="00E44776">
        <w:t>ACAL, acalabrutinib, OBI = obinutuzumab, PD, progressive disease, PF = progression-free, R/R, relapsed/refractory, VEN = venetoclax</w:t>
      </w:r>
    </w:p>
    <w:p w14:paraId="001241DE" w14:textId="5C007795" w:rsidR="00B14955" w:rsidRPr="00E44776" w:rsidRDefault="002542B3" w:rsidP="00860B1C">
      <w:pPr>
        <w:pStyle w:val="TableFigureFooter"/>
      </w:pPr>
      <w:r w:rsidRPr="00E44776">
        <w:t>Note: Half cycle correction not included in model traces.</w:t>
      </w:r>
    </w:p>
    <w:p w14:paraId="7F60E81C" w14:textId="47510D86" w:rsidR="00860B1C" w:rsidRPr="00E44776" w:rsidRDefault="00860B1C" w:rsidP="00860B1C">
      <w:pPr>
        <w:pStyle w:val="COMexecsumnumberedpara"/>
      </w:pPr>
      <w:r w:rsidRPr="00E44776">
        <w:t xml:space="preserve">The model traces indicated that approximately 57% of patients in the acalabrutinib + obinutuzumab arm were alive at 15 years, with approximately 40% of patients remaining progression-free. </w:t>
      </w:r>
    </w:p>
    <w:p w14:paraId="31855EA8" w14:textId="448EB79B" w:rsidR="00932408" w:rsidRPr="00E44776" w:rsidRDefault="00932408" w:rsidP="007B7F50">
      <w:pPr>
        <w:pStyle w:val="COMexecsumnumberedpara"/>
      </w:pPr>
      <w:r w:rsidRPr="00E44776">
        <w:t xml:space="preserve">The results of the modelled economic evaluation using the </w:t>
      </w:r>
      <w:r w:rsidR="00781DA1" w:rsidRPr="00E44776">
        <w:t>re</w:t>
      </w:r>
      <w:r w:rsidR="005B74FD" w:rsidRPr="00E44776">
        <w:t xml:space="preserve">submission’s </w:t>
      </w:r>
      <w:r w:rsidRPr="00E44776">
        <w:t>estimated effective prices for venetoclax, obinutuzumab, ibrutinib and idelalisib are summarised in</w:t>
      </w:r>
      <w:r w:rsidR="006C6872" w:rsidRPr="00E44776">
        <w:t xml:space="preserve"> </w:t>
      </w:r>
      <w:r w:rsidR="006C6872" w:rsidRPr="00E44776">
        <w:fldChar w:fldCharType="begin" w:fldLock="1"/>
      </w:r>
      <w:r w:rsidR="006C6872" w:rsidRPr="00E44776">
        <w:instrText xml:space="preserve"> REF _Ref104805160 \h </w:instrText>
      </w:r>
      <w:r w:rsidR="00E44776" w:rsidRPr="00E44776">
        <w:instrText xml:space="preserve"> \* MERGEFORMAT </w:instrText>
      </w:r>
      <w:r w:rsidR="006C6872" w:rsidRPr="00E44776">
        <w:fldChar w:fldCharType="separate"/>
      </w:r>
      <w:r w:rsidR="00CB2B8B" w:rsidRPr="00E44776">
        <w:t xml:space="preserve">Table </w:t>
      </w:r>
      <w:r w:rsidR="00CB2B8B">
        <w:rPr>
          <w:noProof/>
        </w:rPr>
        <w:t>14</w:t>
      </w:r>
      <w:r w:rsidR="006C6872" w:rsidRPr="00E44776">
        <w:fldChar w:fldCharType="end"/>
      </w:r>
      <w:r w:rsidRPr="00E44776">
        <w:t>.</w:t>
      </w:r>
    </w:p>
    <w:p w14:paraId="63D487B8" w14:textId="0C610FA3" w:rsidR="00D110BD" w:rsidRPr="00E44776" w:rsidRDefault="00E16AD8" w:rsidP="00FD4ED6">
      <w:pPr>
        <w:pStyle w:val="COMtablefigcaption"/>
      </w:pPr>
      <w:bookmarkStart w:id="90" w:name="_Ref104805160"/>
      <w:bookmarkStart w:id="91" w:name="_Ref111296028"/>
      <w:r w:rsidRPr="00E44776">
        <w:t xml:space="preserve">Table </w:t>
      </w:r>
      <w:r w:rsidR="00B53F47">
        <w:fldChar w:fldCharType="begin" w:fldLock="1"/>
      </w:r>
      <w:r w:rsidR="00B53F47">
        <w:instrText xml:space="preserve"> SEQ Table \* ARABIC </w:instrText>
      </w:r>
      <w:r w:rsidR="00B53F47">
        <w:fldChar w:fldCharType="separate"/>
      </w:r>
      <w:r w:rsidR="00CB2B8B">
        <w:rPr>
          <w:noProof/>
        </w:rPr>
        <w:t>14</w:t>
      </w:r>
      <w:r w:rsidR="00B53F47">
        <w:rPr>
          <w:noProof/>
        </w:rPr>
        <w:fldChar w:fldCharType="end"/>
      </w:r>
      <w:bookmarkEnd w:id="90"/>
      <w:r w:rsidRPr="00E44776">
        <w:t>:</w:t>
      </w:r>
      <w:r w:rsidR="005A373D" w:rsidRPr="00E44776">
        <w:t xml:space="preserve"> Results of the economic evaluation</w:t>
      </w:r>
      <w:bookmarkEnd w:id="91"/>
    </w:p>
    <w:tbl>
      <w:tblPr>
        <w:tblW w:w="50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Caption w:val="Table 14: Results of the economic evaluation"/>
      </w:tblPr>
      <w:tblGrid>
        <w:gridCol w:w="2241"/>
        <w:gridCol w:w="2578"/>
        <w:gridCol w:w="2580"/>
        <w:gridCol w:w="1640"/>
      </w:tblGrid>
      <w:tr w:rsidR="00932408" w:rsidRPr="00E44776" w14:paraId="30B5559E" w14:textId="77777777" w:rsidTr="00BF688D">
        <w:trPr>
          <w:tblHeader/>
        </w:trPr>
        <w:tc>
          <w:tcPr>
            <w:tcW w:w="1240" w:type="pct"/>
            <w:tcBorders>
              <w:top w:val="single" w:sz="4" w:space="0" w:color="auto"/>
              <w:left w:val="single" w:sz="4" w:space="0" w:color="auto"/>
              <w:bottom w:val="single" w:sz="4" w:space="0" w:color="auto"/>
              <w:right w:val="single" w:sz="4" w:space="0" w:color="auto"/>
            </w:tcBorders>
            <w:vAlign w:val="center"/>
            <w:hideMark/>
          </w:tcPr>
          <w:p w14:paraId="3DAC32AB" w14:textId="77777777" w:rsidR="00932408" w:rsidRPr="00E44776" w:rsidRDefault="00932408" w:rsidP="00013B37">
            <w:pPr>
              <w:pStyle w:val="Tabletext0"/>
              <w:keepNext/>
              <w:rPr>
                <w:szCs w:val="20"/>
              </w:rPr>
            </w:pPr>
            <w:r w:rsidRPr="00E44776">
              <w:rPr>
                <w:b/>
                <w:szCs w:val="20"/>
              </w:rPr>
              <w:t>Component</w:t>
            </w:r>
          </w:p>
        </w:tc>
        <w:tc>
          <w:tcPr>
            <w:tcW w:w="1426" w:type="pct"/>
            <w:tcBorders>
              <w:top w:val="single" w:sz="4" w:space="0" w:color="auto"/>
              <w:left w:val="single" w:sz="4" w:space="0" w:color="auto"/>
              <w:bottom w:val="single" w:sz="4" w:space="0" w:color="auto"/>
              <w:right w:val="single" w:sz="4" w:space="0" w:color="auto"/>
            </w:tcBorders>
            <w:vAlign w:val="center"/>
            <w:hideMark/>
          </w:tcPr>
          <w:p w14:paraId="12208E9C" w14:textId="77777777" w:rsidR="00932408" w:rsidRPr="00E44776" w:rsidRDefault="00932408" w:rsidP="00013B37">
            <w:pPr>
              <w:pStyle w:val="Tabletext0"/>
              <w:keepNext/>
              <w:jc w:val="center"/>
              <w:rPr>
                <w:b/>
                <w:szCs w:val="20"/>
              </w:rPr>
            </w:pPr>
            <w:r w:rsidRPr="00E44776">
              <w:rPr>
                <w:b/>
                <w:szCs w:val="20"/>
              </w:rPr>
              <w:t>Acalabrutinib + obinutuzumab</w:t>
            </w:r>
          </w:p>
        </w:tc>
        <w:tc>
          <w:tcPr>
            <w:tcW w:w="1427" w:type="pct"/>
            <w:tcBorders>
              <w:top w:val="single" w:sz="4" w:space="0" w:color="auto"/>
              <w:left w:val="single" w:sz="4" w:space="0" w:color="auto"/>
              <w:bottom w:val="single" w:sz="4" w:space="0" w:color="auto"/>
              <w:right w:val="single" w:sz="4" w:space="0" w:color="auto"/>
            </w:tcBorders>
            <w:vAlign w:val="center"/>
            <w:hideMark/>
          </w:tcPr>
          <w:p w14:paraId="060BAAE7" w14:textId="77777777" w:rsidR="00932408" w:rsidRPr="00E44776" w:rsidRDefault="00932408" w:rsidP="00013B37">
            <w:pPr>
              <w:pStyle w:val="Tabletext0"/>
              <w:keepNext/>
              <w:jc w:val="center"/>
              <w:rPr>
                <w:b/>
                <w:szCs w:val="20"/>
              </w:rPr>
            </w:pPr>
            <w:r w:rsidRPr="00E44776">
              <w:rPr>
                <w:b/>
                <w:szCs w:val="20"/>
              </w:rPr>
              <w:t>Venetoclax + obinutuzumab</w:t>
            </w:r>
          </w:p>
        </w:tc>
        <w:tc>
          <w:tcPr>
            <w:tcW w:w="907" w:type="pct"/>
            <w:tcBorders>
              <w:top w:val="single" w:sz="4" w:space="0" w:color="auto"/>
              <w:left w:val="single" w:sz="4" w:space="0" w:color="auto"/>
              <w:bottom w:val="single" w:sz="4" w:space="0" w:color="auto"/>
              <w:right w:val="single" w:sz="4" w:space="0" w:color="auto"/>
            </w:tcBorders>
            <w:vAlign w:val="center"/>
            <w:hideMark/>
          </w:tcPr>
          <w:p w14:paraId="08A80430" w14:textId="77777777" w:rsidR="00932408" w:rsidRPr="00E44776" w:rsidRDefault="00932408" w:rsidP="00013B37">
            <w:pPr>
              <w:pStyle w:val="Tabletext0"/>
              <w:keepNext/>
              <w:jc w:val="center"/>
              <w:rPr>
                <w:b/>
                <w:szCs w:val="20"/>
              </w:rPr>
            </w:pPr>
            <w:r w:rsidRPr="00E44776">
              <w:rPr>
                <w:b/>
                <w:szCs w:val="20"/>
              </w:rPr>
              <w:t>Increment</w:t>
            </w:r>
          </w:p>
        </w:tc>
      </w:tr>
      <w:tr w:rsidR="00E26562" w:rsidRPr="00E44776" w14:paraId="1815D47B" w14:textId="77777777" w:rsidTr="00BF688D">
        <w:tc>
          <w:tcPr>
            <w:tcW w:w="5000" w:type="pct"/>
            <w:gridSpan w:val="4"/>
            <w:tcBorders>
              <w:top w:val="single" w:sz="4" w:space="0" w:color="auto"/>
              <w:left w:val="single" w:sz="4" w:space="0" w:color="auto"/>
              <w:bottom w:val="single" w:sz="4" w:space="0" w:color="auto"/>
              <w:right w:val="single" w:sz="4" w:space="0" w:color="auto"/>
            </w:tcBorders>
            <w:vAlign w:val="center"/>
          </w:tcPr>
          <w:p w14:paraId="4CEB60A9" w14:textId="2D45C030" w:rsidR="00BF688D" w:rsidRPr="00E44776" w:rsidRDefault="00BF688D" w:rsidP="00013B37">
            <w:pPr>
              <w:pStyle w:val="Tabletext0"/>
              <w:keepNext/>
              <w:rPr>
                <w:b/>
                <w:bCs/>
              </w:rPr>
            </w:pPr>
            <w:r w:rsidRPr="00E44776">
              <w:rPr>
                <w:b/>
                <w:bCs/>
              </w:rPr>
              <w:t xml:space="preserve">Base case: with RSA </w:t>
            </w:r>
            <w:r w:rsidR="00D016FD" w:rsidRPr="00E44776">
              <w:rPr>
                <w:b/>
                <w:bCs/>
              </w:rPr>
              <w:t xml:space="preserve">rebates </w:t>
            </w:r>
            <w:r w:rsidRPr="00E44776">
              <w:rPr>
                <w:b/>
                <w:bCs/>
              </w:rPr>
              <w:t>applied</w:t>
            </w:r>
            <w:r w:rsidR="00D016FD" w:rsidRPr="00E44776">
              <w:rPr>
                <w:b/>
                <w:bCs/>
              </w:rPr>
              <w:t xml:space="preserve"> (i.e.</w:t>
            </w:r>
            <w:r w:rsidR="006227EF" w:rsidRPr="00E44776">
              <w:rPr>
                <w:b/>
                <w:bCs/>
              </w:rPr>
              <w:t>,</w:t>
            </w:r>
            <w:r w:rsidR="00D016FD" w:rsidRPr="00E44776">
              <w:rPr>
                <w:b/>
                <w:bCs/>
              </w:rPr>
              <w:t xml:space="preserve"> no acalabrutinib drug costs applied after 60 months)</w:t>
            </w:r>
          </w:p>
        </w:tc>
      </w:tr>
      <w:tr w:rsidR="00932408" w:rsidRPr="00E44776" w14:paraId="0A039DC2" w14:textId="77777777" w:rsidTr="00D016FD">
        <w:trPr>
          <w:trHeight w:val="111"/>
        </w:trPr>
        <w:tc>
          <w:tcPr>
            <w:tcW w:w="1240" w:type="pct"/>
            <w:tcBorders>
              <w:top w:val="single" w:sz="4" w:space="0" w:color="auto"/>
              <w:left w:val="single" w:sz="4" w:space="0" w:color="auto"/>
              <w:bottom w:val="single" w:sz="4" w:space="0" w:color="auto"/>
              <w:right w:val="single" w:sz="4" w:space="0" w:color="auto"/>
            </w:tcBorders>
            <w:vAlign w:val="center"/>
            <w:hideMark/>
          </w:tcPr>
          <w:p w14:paraId="37A2605F" w14:textId="77777777" w:rsidR="00932408" w:rsidRPr="00E44776" w:rsidRDefault="00932408" w:rsidP="00013B37">
            <w:pPr>
              <w:pStyle w:val="Tabletext0"/>
              <w:keepNext/>
              <w:rPr>
                <w:szCs w:val="20"/>
                <w:vertAlign w:val="superscript"/>
              </w:rPr>
            </w:pPr>
            <w:r w:rsidRPr="00E44776">
              <w:rPr>
                <w:szCs w:val="20"/>
              </w:rPr>
              <w:t>Costs</w:t>
            </w:r>
          </w:p>
        </w:tc>
        <w:tc>
          <w:tcPr>
            <w:tcW w:w="1426" w:type="pct"/>
            <w:tcBorders>
              <w:top w:val="single" w:sz="4" w:space="0" w:color="auto"/>
              <w:left w:val="single" w:sz="4" w:space="0" w:color="D9D9D9"/>
              <w:bottom w:val="single" w:sz="4" w:space="0" w:color="auto"/>
              <w:right w:val="single" w:sz="4" w:space="0" w:color="auto"/>
            </w:tcBorders>
            <w:shd w:val="clear" w:color="auto" w:fill="FFFFFF"/>
            <w:vAlign w:val="center"/>
            <w:hideMark/>
          </w:tcPr>
          <w:p w14:paraId="6B57EB69" w14:textId="688DA995" w:rsidR="00932408" w:rsidRPr="00E44776" w:rsidRDefault="00932408" w:rsidP="00013B37">
            <w:pPr>
              <w:pStyle w:val="Tabletext0"/>
              <w:keepNext/>
              <w:jc w:val="center"/>
              <w:rPr>
                <w:szCs w:val="20"/>
              </w:rPr>
            </w:pPr>
            <w:r w:rsidRPr="00E44776">
              <w:t>$</w:t>
            </w:r>
            <w:r w:rsidR="00777DAE" w:rsidRPr="00777DAE">
              <w:rPr>
                <w:color w:val="000000"/>
                <w:shd w:val="solid" w:color="000000" w:fill="000000"/>
                <w14:textFill>
                  <w14:solidFill>
                    <w14:srgbClr w14:val="000000">
                      <w14:alpha w14:val="100000"/>
                    </w14:srgbClr>
                  </w14:solidFill>
                </w14:textFill>
              </w:rPr>
              <w:t>|</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6EEFF40" w14:textId="0DCE1F4E" w:rsidR="00932408" w:rsidRPr="00E44776" w:rsidRDefault="00EC2081" w:rsidP="00013B37">
            <w:pPr>
              <w:pStyle w:val="Tabletext0"/>
              <w:keepNext/>
              <w:jc w:val="center"/>
              <w:rPr>
                <w:szCs w:val="20"/>
              </w:rPr>
            </w:pPr>
            <w:r w:rsidRPr="00E44776">
              <w:rPr>
                <w:szCs w:val="20"/>
              </w:rPr>
              <w:t>$</w:t>
            </w:r>
            <w:r w:rsidR="00BE4D52" w:rsidRPr="00BE4D52">
              <w:rPr>
                <w:color w:val="000000"/>
                <w:szCs w:val="20"/>
                <w:shd w:val="solid" w:color="000000" w:fill="000000"/>
                <w14:textFill>
                  <w14:solidFill>
                    <w14:srgbClr w14:val="000000">
                      <w14:alpha w14:val="100000"/>
                    </w14:srgbClr>
                  </w14:solidFill>
                </w14:textFill>
              </w:rPr>
              <w:t>|</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39C30780" w14:textId="3ED96A1B" w:rsidR="00932408" w:rsidRPr="00E44776" w:rsidRDefault="00932408" w:rsidP="00013B37">
            <w:pPr>
              <w:pStyle w:val="Tabletext0"/>
              <w:keepNext/>
              <w:jc w:val="center"/>
              <w:rPr>
                <w:szCs w:val="20"/>
              </w:rPr>
            </w:pPr>
            <w:r w:rsidRPr="00E44776">
              <w:t>$</w:t>
            </w:r>
            <w:r w:rsidR="00777DAE" w:rsidRPr="00FC7B41">
              <w:rPr>
                <w:rFonts w:hint="eastAsia"/>
                <w:color w:val="000000"/>
                <w:w w:val="20"/>
                <w:shd w:val="solid" w:color="000000" w:fill="000000"/>
                <w:fitText w:val="90" w:id="-1280031997"/>
                <w14:textFill>
                  <w14:solidFill>
                    <w14:srgbClr w14:val="000000">
                      <w14:alpha w14:val="100000"/>
                    </w14:srgbClr>
                  </w14:solidFill>
                </w14:textFill>
              </w:rPr>
              <w:t xml:space="preserve">　</w:t>
            </w:r>
            <w:r w:rsidR="00777DAE" w:rsidRPr="00FC7B41">
              <w:rPr>
                <w:color w:val="000000"/>
                <w:w w:val="20"/>
                <w:shd w:val="solid" w:color="000000" w:fill="000000"/>
                <w:fitText w:val="90" w:id="-1280031997"/>
                <w14:textFill>
                  <w14:solidFill>
                    <w14:srgbClr w14:val="000000">
                      <w14:alpha w14:val="100000"/>
                    </w14:srgbClr>
                  </w14:solidFill>
                </w14:textFill>
              </w:rPr>
              <w:t>|</w:t>
            </w:r>
            <w:r w:rsidR="00777DAE" w:rsidRPr="00FC7B41">
              <w:rPr>
                <w:rFonts w:hint="eastAsia"/>
                <w:color w:val="000000"/>
                <w:w w:val="20"/>
                <w:shd w:val="solid" w:color="000000" w:fill="000000"/>
                <w:fitText w:val="90" w:id="-1280031997"/>
                <w14:textFill>
                  <w14:solidFill>
                    <w14:srgbClr w14:val="000000">
                      <w14:alpha w14:val="100000"/>
                    </w14:srgbClr>
                  </w14:solidFill>
                </w14:textFill>
              </w:rPr>
              <w:t xml:space="preserve">　</w:t>
            </w:r>
          </w:p>
        </w:tc>
      </w:tr>
      <w:tr w:rsidR="00932408" w:rsidRPr="00E44776" w14:paraId="4E87948B" w14:textId="77777777" w:rsidTr="00BF688D">
        <w:tc>
          <w:tcPr>
            <w:tcW w:w="1240" w:type="pct"/>
            <w:tcBorders>
              <w:top w:val="single" w:sz="4" w:space="0" w:color="auto"/>
              <w:left w:val="single" w:sz="4" w:space="0" w:color="auto"/>
              <w:bottom w:val="single" w:sz="4" w:space="0" w:color="auto"/>
              <w:right w:val="single" w:sz="4" w:space="0" w:color="auto"/>
            </w:tcBorders>
            <w:vAlign w:val="center"/>
            <w:hideMark/>
          </w:tcPr>
          <w:p w14:paraId="47C7D04D" w14:textId="77777777" w:rsidR="00932408" w:rsidRPr="00E44776" w:rsidRDefault="00932408" w:rsidP="00013B37">
            <w:pPr>
              <w:pStyle w:val="Tabletext0"/>
              <w:keepNext/>
              <w:rPr>
                <w:szCs w:val="20"/>
              </w:rPr>
            </w:pPr>
            <w:r w:rsidRPr="00E44776">
              <w:rPr>
                <w:szCs w:val="20"/>
              </w:rPr>
              <w:t>QALYs</w:t>
            </w:r>
          </w:p>
        </w:tc>
        <w:tc>
          <w:tcPr>
            <w:tcW w:w="1426" w:type="pct"/>
            <w:tcBorders>
              <w:top w:val="single" w:sz="4" w:space="0" w:color="auto"/>
              <w:left w:val="single" w:sz="4" w:space="0" w:color="D9D9D9"/>
              <w:bottom w:val="single" w:sz="4" w:space="0" w:color="auto"/>
              <w:right w:val="single" w:sz="4" w:space="0" w:color="auto"/>
            </w:tcBorders>
            <w:shd w:val="clear" w:color="auto" w:fill="FFFFFF"/>
            <w:vAlign w:val="center"/>
            <w:hideMark/>
          </w:tcPr>
          <w:p w14:paraId="578EF5FC" w14:textId="77777777" w:rsidR="00932408" w:rsidRPr="00E44776" w:rsidRDefault="00932408" w:rsidP="00013B37">
            <w:pPr>
              <w:pStyle w:val="Tabletext0"/>
              <w:keepNext/>
              <w:jc w:val="center"/>
              <w:rPr>
                <w:szCs w:val="20"/>
              </w:rPr>
            </w:pPr>
            <w:r w:rsidRPr="00E44776">
              <w:rPr>
                <w:szCs w:val="20"/>
              </w:rPr>
              <w:t>7.372</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227FA07C" w14:textId="77777777" w:rsidR="00932408" w:rsidRPr="00E44776" w:rsidRDefault="00932408" w:rsidP="00013B37">
            <w:pPr>
              <w:pStyle w:val="Tabletext0"/>
              <w:keepNext/>
              <w:jc w:val="center"/>
              <w:rPr>
                <w:szCs w:val="20"/>
              </w:rPr>
            </w:pPr>
            <w:r w:rsidRPr="00E44776">
              <w:rPr>
                <w:szCs w:val="20"/>
              </w:rPr>
              <w:t>6.386</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hideMark/>
          </w:tcPr>
          <w:p w14:paraId="153C8A05" w14:textId="77777777" w:rsidR="00932408" w:rsidRPr="00E44776" w:rsidRDefault="00932408" w:rsidP="00013B37">
            <w:pPr>
              <w:pStyle w:val="Tabletext0"/>
              <w:keepNext/>
              <w:jc w:val="center"/>
              <w:rPr>
                <w:szCs w:val="20"/>
              </w:rPr>
            </w:pPr>
            <w:r w:rsidRPr="00E44776">
              <w:rPr>
                <w:szCs w:val="20"/>
              </w:rPr>
              <w:t>0.986</w:t>
            </w:r>
          </w:p>
        </w:tc>
      </w:tr>
      <w:tr w:rsidR="00CD15AF" w:rsidRPr="00E44776" w14:paraId="1B5F710B" w14:textId="77777777" w:rsidTr="00BF688D">
        <w:tc>
          <w:tcPr>
            <w:tcW w:w="1240" w:type="pct"/>
            <w:tcBorders>
              <w:top w:val="single" w:sz="4" w:space="0" w:color="auto"/>
              <w:left w:val="single" w:sz="4" w:space="0" w:color="auto"/>
              <w:bottom w:val="single" w:sz="4" w:space="0" w:color="auto"/>
              <w:right w:val="single" w:sz="4" w:space="0" w:color="auto"/>
            </w:tcBorders>
            <w:vAlign w:val="center"/>
          </w:tcPr>
          <w:p w14:paraId="3B60A92A" w14:textId="78B962DE" w:rsidR="008726C2" w:rsidRPr="00E44776" w:rsidRDefault="008726C2" w:rsidP="00013B37">
            <w:pPr>
              <w:pStyle w:val="Tabletext0"/>
              <w:keepNext/>
              <w:rPr>
                <w:szCs w:val="20"/>
              </w:rPr>
            </w:pPr>
            <w:r w:rsidRPr="00E44776">
              <w:rPr>
                <w:szCs w:val="20"/>
              </w:rPr>
              <w:t>LYs</w:t>
            </w:r>
          </w:p>
        </w:tc>
        <w:tc>
          <w:tcPr>
            <w:tcW w:w="1426" w:type="pct"/>
            <w:tcBorders>
              <w:top w:val="single" w:sz="4" w:space="0" w:color="auto"/>
              <w:left w:val="single" w:sz="4" w:space="0" w:color="D9D9D9"/>
              <w:bottom w:val="single" w:sz="4" w:space="0" w:color="auto"/>
              <w:right w:val="single" w:sz="4" w:space="0" w:color="auto"/>
            </w:tcBorders>
            <w:shd w:val="clear" w:color="auto" w:fill="FFFFFF"/>
            <w:vAlign w:val="center"/>
          </w:tcPr>
          <w:p w14:paraId="064671E6" w14:textId="3D203E5C" w:rsidR="008726C2" w:rsidRPr="00E44776" w:rsidRDefault="00DE25EA" w:rsidP="00013B37">
            <w:pPr>
              <w:pStyle w:val="Tabletext0"/>
              <w:keepNext/>
              <w:jc w:val="center"/>
              <w:rPr>
                <w:szCs w:val="20"/>
              </w:rPr>
            </w:pPr>
            <w:r w:rsidRPr="00E44776">
              <w:rPr>
                <w:szCs w:val="20"/>
              </w:rPr>
              <w:t>9.15</w:t>
            </w:r>
            <w:r w:rsidR="000A5EB3" w:rsidRPr="00E44776">
              <w:rPr>
                <w:szCs w:val="20"/>
              </w:rPr>
              <w:t>0</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578C3C86" w14:textId="3670C404" w:rsidR="008726C2" w:rsidRPr="00E44776" w:rsidRDefault="00DE25EA" w:rsidP="00013B37">
            <w:pPr>
              <w:pStyle w:val="Tabletext0"/>
              <w:keepNext/>
              <w:jc w:val="center"/>
              <w:rPr>
                <w:szCs w:val="20"/>
              </w:rPr>
            </w:pPr>
            <w:r w:rsidRPr="00E44776">
              <w:rPr>
                <w:szCs w:val="20"/>
              </w:rPr>
              <w:t>8.1</w:t>
            </w:r>
            <w:r w:rsidR="000A5EB3" w:rsidRPr="00E44776">
              <w:rPr>
                <w:szCs w:val="20"/>
              </w:rPr>
              <w:t>58</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39FAD4D2" w14:textId="2035BDAF" w:rsidR="008726C2" w:rsidRPr="00E44776" w:rsidRDefault="00DE25EA" w:rsidP="00013B37">
            <w:pPr>
              <w:pStyle w:val="Tabletext0"/>
              <w:keepNext/>
              <w:jc w:val="center"/>
              <w:rPr>
                <w:szCs w:val="20"/>
              </w:rPr>
            </w:pPr>
            <w:r w:rsidRPr="00E44776">
              <w:rPr>
                <w:szCs w:val="20"/>
              </w:rPr>
              <w:t>0.992</w:t>
            </w:r>
          </w:p>
        </w:tc>
      </w:tr>
      <w:tr w:rsidR="00932408" w:rsidRPr="00E44776" w14:paraId="3B4B9C0A" w14:textId="77777777" w:rsidTr="00BF688D">
        <w:tc>
          <w:tcPr>
            <w:tcW w:w="4093" w:type="pct"/>
            <w:gridSpan w:val="3"/>
            <w:tcBorders>
              <w:top w:val="single" w:sz="4" w:space="0" w:color="auto"/>
              <w:left w:val="single" w:sz="4" w:space="0" w:color="auto"/>
              <w:bottom w:val="single" w:sz="4" w:space="0" w:color="auto"/>
              <w:right w:val="single" w:sz="4" w:space="0" w:color="auto"/>
            </w:tcBorders>
            <w:vAlign w:val="center"/>
            <w:hideMark/>
          </w:tcPr>
          <w:p w14:paraId="425A7136" w14:textId="77777777" w:rsidR="00932408" w:rsidRPr="00E44776" w:rsidRDefault="00932408" w:rsidP="00013B37">
            <w:pPr>
              <w:pStyle w:val="Tabletext0"/>
              <w:keepNext/>
              <w:jc w:val="right"/>
              <w:rPr>
                <w:b/>
                <w:szCs w:val="20"/>
              </w:rPr>
            </w:pPr>
            <w:r w:rsidRPr="00E44776">
              <w:rPr>
                <w:b/>
                <w:szCs w:val="20"/>
              </w:rPr>
              <w:t>Incremental cost per QALY gained</w:t>
            </w:r>
          </w:p>
        </w:tc>
        <w:tc>
          <w:tcPr>
            <w:tcW w:w="907" w:type="pct"/>
            <w:tcBorders>
              <w:top w:val="single" w:sz="4" w:space="0" w:color="auto"/>
              <w:left w:val="single" w:sz="4" w:space="0" w:color="auto"/>
              <w:bottom w:val="single" w:sz="4" w:space="0" w:color="auto"/>
              <w:right w:val="single" w:sz="4" w:space="0" w:color="auto"/>
            </w:tcBorders>
            <w:vAlign w:val="center"/>
            <w:hideMark/>
          </w:tcPr>
          <w:p w14:paraId="22B600DB" w14:textId="64D9EA7A" w:rsidR="00932408" w:rsidRPr="0030608C" w:rsidRDefault="00932408" w:rsidP="00013B37">
            <w:pPr>
              <w:pStyle w:val="Tabletext0"/>
              <w:keepNext/>
              <w:jc w:val="center"/>
              <w:rPr>
                <w:bCs/>
                <w:snapToGrid/>
                <w:szCs w:val="20"/>
                <w:vertAlign w:val="superscript"/>
              </w:rPr>
            </w:pPr>
            <w:r w:rsidRPr="00E44776">
              <w:rPr>
                <w:b/>
                <w:szCs w:val="20"/>
              </w:rPr>
              <w:t>$</w:t>
            </w:r>
            <w:r w:rsidR="00777DAE" w:rsidRPr="00FC7B41">
              <w:rPr>
                <w:rFonts w:hint="eastAsia"/>
                <w:b/>
                <w:color w:val="000000"/>
                <w:w w:val="17"/>
                <w:szCs w:val="20"/>
                <w:shd w:val="solid" w:color="000000" w:fill="000000"/>
                <w:fitText w:val="80" w:id="-1280031996"/>
                <w14:textFill>
                  <w14:solidFill>
                    <w14:srgbClr w14:val="000000">
                      <w14:alpha w14:val="100000"/>
                    </w14:srgbClr>
                  </w14:solidFill>
                </w14:textFill>
              </w:rPr>
              <w:t xml:space="preserve">　</w:t>
            </w:r>
            <w:r w:rsidR="00777DAE" w:rsidRPr="00FC7B41">
              <w:rPr>
                <w:b/>
                <w:color w:val="000000"/>
                <w:w w:val="17"/>
                <w:szCs w:val="20"/>
                <w:shd w:val="solid" w:color="000000" w:fill="000000"/>
                <w:fitText w:val="80" w:id="-1280031996"/>
                <w14:textFill>
                  <w14:solidFill>
                    <w14:srgbClr w14:val="000000">
                      <w14:alpha w14:val="100000"/>
                    </w14:srgbClr>
                  </w14:solidFill>
                </w14:textFill>
              </w:rPr>
              <w:t>|</w:t>
            </w:r>
            <w:r w:rsidR="00777DAE" w:rsidRPr="00FC7B41">
              <w:rPr>
                <w:rFonts w:hint="eastAsia"/>
                <w:b/>
                <w:color w:val="000000"/>
                <w:spacing w:val="6"/>
                <w:w w:val="17"/>
                <w:szCs w:val="20"/>
                <w:shd w:val="solid" w:color="000000" w:fill="000000"/>
                <w:fitText w:val="80" w:id="-1280031996"/>
                <w14:textFill>
                  <w14:solidFill>
                    <w14:srgbClr w14:val="000000">
                      <w14:alpha w14:val="100000"/>
                    </w14:srgbClr>
                  </w14:solidFill>
                </w14:textFill>
              </w:rPr>
              <w:t xml:space="preserve">　</w:t>
            </w:r>
            <w:r w:rsidR="001E6E35">
              <w:rPr>
                <w:bCs/>
                <w:szCs w:val="20"/>
                <w:vertAlign w:val="superscript"/>
              </w:rPr>
              <w:t>1</w:t>
            </w:r>
          </w:p>
        </w:tc>
      </w:tr>
      <w:tr w:rsidR="00CD15AF" w:rsidRPr="00E44776" w14:paraId="3C28B4C1" w14:textId="77777777" w:rsidTr="00CD15AF">
        <w:tc>
          <w:tcPr>
            <w:tcW w:w="5000" w:type="pct"/>
            <w:gridSpan w:val="4"/>
            <w:tcBorders>
              <w:top w:val="single" w:sz="4" w:space="0" w:color="auto"/>
              <w:left w:val="single" w:sz="4" w:space="0" w:color="auto"/>
              <w:bottom w:val="single" w:sz="4" w:space="0" w:color="auto"/>
              <w:right w:val="single" w:sz="4" w:space="0" w:color="auto"/>
            </w:tcBorders>
            <w:vAlign w:val="center"/>
          </w:tcPr>
          <w:p w14:paraId="7EC83BC3" w14:textId="4EF9A521" w:rsidR="00D016FD" w:rsidRPr="00E44776" w:rsidRDefault="00D016FD" w:rsidP="00013B37">
            <w:pPr>
              <w:pStyle w:val="Tabletext0"/>
              <w:keepNext/>
              <w:rPr>
                <w:b/>
                <w:bCs/>
              </w:rPr>
            </w:pPr>
            <w:r w:rsidRPr="00E44776">
              <w:rPr>
                <w:b/>
                <w:bCs/>
              </w:rPr>
              <w:t xml:space="preserve">Without RSA rebates applied </w:t>
            </w:r>
          </w:p>
        </w:tc>
      </w:tr>
      <w:tr w:rsidR="00CD15AF" w:rsidRPr="00E44776" w14:paraId="506206E9" w14:textId="77777777" w:rsidTr="00D016FD">
        <w:tc>
          <w:tcPr>
            <w:tcW w:w="1240" w:type="pct"/>
            <w:tcBorders>
              <w:top w:val="single" w:sz="4" w:space="0" w:color="auto"/>
              <w:left w:val="single" w:sz="4" w:space="0" w:color="auto"/>
              <w:bottom w:val="single" w:sz="4" w:space="0" w:color="auto"/>
              <w:right w:val="single" w:sz="4" w:space="0" w:color="auto"/>
            </w:tcBorders>
            <w:vAlign w:val="center"/>
            <w:hideMark/>
          </w:tcPr>
          <w:p w14:paraId="210826AD" w14:textId="77777777" w:rsidR="00D016FD" w:rsidRPr="00E44776" w:rsidRDefault="00D016FD" w:rsidP="00013B37">
            <w:pPr>
              <w:pStyle w:val="Tabletext0"/>
              <w:keepNext/>
              <w:rPr>
                <w:szCs w:val="20"/>
                <w:vertAlign w:val="superscript"/>
              </w:rPr>
            </w:pPr>
            <w:r w:rsidRPr="00E44776">
              <w:rPr>
                <w:szCs w:val="20"/>
              </w:rPr>
              <w:t>Costs</w:t>
            </w:r>
          </w:p>
        </w:tc>
        <w:tc>
          <w:tcPr>
            <w:tcW w:w="1426" w:type="pct"/>
            <w:tcBorders>
              <w:top w:val="single" w:sz="4" w:space="0" w:color="auto"/>
              <w:left w:val="single" w:sz="4" w:space="0" w:color="D9D9D9"/>
              <w:bottom w:val="single" w:sz="4" w:space="0" w:color="auto"/>
              <w:right w:val="single" w:sz="4" w:space="0" w:color="auto"/>
            </w:tcBorders>
            <w:shd w:val="clear" w:color="auto" w:fill="FFFFFF"/>
            <w:vAlign w:val="center"/>
          </w:tcPr>
          <w:p w14:paraId="50C0700C" w14:textId="6EBA09E9" w:rsidR="00D016FD" w:rsidRPr="00E44776" w:rsidRDefault="00DB3296" w:rsidP="00013B37">
            <w:pPr>
              <w:pStyle w:val="Tabletext0"/>
              <w:keepNext/>
              <w:jc w:val="center"/>
              <w:rPr>
                <w:szCs w:val="20"/>
              </w:rPr>
            </w:pPr>
            <w:r w:rsidRPr="00E44776">
              <w:rPr>
                <w:szCs w:val="20"/>
              </w:rPr>
              <w:t>$</w:t>
            </w:r>
            <w:r w:rsidR="00777DAE" w:rsidRPr="00777DAE">
              <w:rPr>
                <w:color w:val="000000"/>
                <w:szCs w:val="20"/>
                <w:shd w:val="solid" w:color="000000" w:fill="000000"/>
                <w14:textFill>
                  <w14:solidFill>
                    <w14:srgbClr w14:val="000000">
                      <w14:alpha w14:val="100000"/>
                    </w14:srgbClr>
                  </w14:solidFill>
                </w14:textFill>
              </w:rPr>
              <w:t>|</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019754DB" w14:textId="1016D5C9" w:rsidR="00D016FD" w:rsidRPr="00E44776" w:rsidRDefault="00DB3296" w:rsidP="00013B37">
            <w:pPr>
              <w:pStyle w:val="Tabletext0"/>
              <w:keepNext/>
              <w:jc w:val="center"/>
              <w:rPr>
                <w:szCs w:val="20"/>
              </w:rPr>
            </w:pPr>
            <w:r w:rsidRPr="00E44776">
              <w:rPr>
                <w:szCs w:val="20"/>
              </w:rPr>
              <w:t>$</w:t>
            </w:r>
            <w:r w:rsidR="00BE4D52" w:rsidRPr="00BE4D52">
              <w:rPr>
                <w:color w:val="000000"/>
                <w:szCs w:val="20"/>
                <w:shd w:val="solid" w:color="000000" w:fill="000000"/>
                <w14:textFill>
                  <w14:solidFill>
                    <w14:srgbClr w14:val="000000">
                      <w14:alpha w14:val="100000"/>
                    </w14:srgbClr>
                  </w14:solidFill>
                </w14:textFill>
              </w:rPr>
              <w:t>|</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259EF687" w14:textId="69D9E92F" w:rsidR="00D016FD" w:rsidRPr="00E44776" w:rsidRDefault="00DB3296" w:rsidP="00013B37">
            <w:pPr>
              <w:pStyle w:val="Tabletext0"/>
              <w:keepNext/>
              <w:jc w:val="center"/>
              <w:rPr>
                <w:szCs w:val="20"/>
              </w:rPr>
            </w:pPr>
            <w:r w:rsidRPr="00E44776">
              <w:rPr>
                <w:szCs w:val="20"/>
              </w:rPr>
              <w:t>$</w:t>
            </w:r>
            <w:r w:rsidR="00777DAE" w:rsidRPr="00FC7B41">
              <w:rPr>
                <w:rFonts w:hint="eastAsia"/>
                <w:color w:val="000000"/>
                <w:w w:val="20"/>
                <w:szCs w:val="20"/>
                <w:shd w:val="solid" w:color="000000" w:fill="000000"/>
                <w:fitText w:val="90" w:id="-1280031995"/>
                <w14:textFill>
                  <w14:solidFill>
                    <w14:srgbClr w14:val="000000">
                      <w14:alpha w14:val="100000"/>
                    </w14:srgbClr>
                  </w14:solidFill>
                </w14:textFill>
              </w:rPr>
              <w:t xml:space="preserve">　</w:t>
            </w:r>
            <w:r w:rsidR="00777DAE" w:rsidRPr="00FC7B41">
              <w:rPr>
                <w:color w:val="000000"/>
                <w:w w:val="20"/>
                <w:szCs w:val="20"/>
                <w:shd w:val="solid" w:color="000000" w:fill="000000"/>
                <w:fitText w:val="90" w:id="-1280031995"/>
                <w14:textFill>
                  <w14:solidFill>
                    <w14:srgbClr w14:val="000000">
                      <w14:alpha w14:val="100000"/>
                    </w14:srgbClr>
                  </w14:solidFill>
                </w14:textFill>
              </w:rPr>
              <w:t>|</w:t>
            </w:r>
            <w:r w:rsidR="00777DAE" w:rsidRPr="00FC7B41">
              <w:rPr>
                <w:rFonts w:hint="eastAsia"/>
                <w:color w:val="000000"/>
                <w:w w:val="20"/>
                <w:szCs w:val="20"/>
                <w:shd w:val="solid" w:color="000000" w:fill="000000"/>
                <w:fitText w:val="90" w:id="-1280031995"/>
                <w14:textFill>
                  <w14:solidFill>
                    <w14:srgbClr w14:val="000000">
                      <w14:alpha w14:val="100000"/>
                    </w14:srgbClr>
                  </w14:solidFill>
                </w14:textFill>
              </w:rPr>
              <w:t xml:space="preserve">　</w:t>
            </w:r>
          </w:p>
        </w:tc>
      </w:tr>
      <w:tr w:rsidR="00CD15AF" w:rsidRPr="00E44776" w14:paraId="30E4B543" w14:textId="77777777" w:rsidTr="00D016FD">
        <w:tc>
          <w:tcPr>
            <w:tcW w:w="1240" w:type="pct"/>
            <w:tcBorders>
              <w:top w:val="single" w:sz="4" w:space="0" w:color="auto"/>
              <w:left w:val="single" w:sz="4" w:space="0" w:color="auto"/>
              <w:bottom w:val="single" w:sz="4" w:space="0" w:color="auto"/>
              <w:right w:val="single" w:sz="4" w:space="0" w:color="auto"/>
            </w:tcBorders>
            <w:vAlign w:val="center"/>
            <w:hideMark/>
          </w:tcPr>
          <w:p w14:paraId="4E252A73" w14:textId="77777777" w:rsidR="00D016FD" w:rsidRPr="00E44776" w:rsidRDefault="00D016FD" w:rsidP="00013B37">
            <w:pPr>
              <w:pStyle w:val="Tabletext0"/>
              <w:keepNext/>
              <w:rPr>
                <w:szCs w:val="20"/>
              </w:rPr>
            </w:pPr>
            <w:r w:rsidRPr="00E44776">
              <w:rPr>
                <w:szCs w:val="20"/>
              </w:rPr>
              <w:t>QALYs</w:t>
            </w:r>
          </w:p>
        </w:tc>
        <w:tc>
          <w:tcPr>
            <w:tcW w:w="1426" w:type="pct"/>
            <w:tcBorders>
              <w:top w:val="single" w:sz="4" w:space="0" w:color="auto"/>
              <w:left w:val="single" w:sz="4" w:space="0" w:color="D9D9D9"/>
              <w:bottom w:val="single" w:sz="4" w:space="0" w:color="auto"/>
              <w:right w:val="single" w:sz="4" w:space="0" w:color="auto"/>
            </w:tcBorders>
            <w:shd w:val="clear" w:color="auto" w:fill="FFFFFF"/>
            <w:vAlign w:val="center"/>
          </w:tcPr>
          <w:p w14:paraId="02DA4ACF" w14:textId="74776283" w:rsidR="00D016FD" w:rsidRPr="00E44776" w:rsidRDefault="00DB3296" w:rsidP="00013B37">
            <w:pPr>
              <w:pStyle w:val="Tabletext0"/>
              <w:keepNext/>
              <w:jc w:val="center"/>
              <w:rPr>
                <w:szCs w:val="20"/>
              </w:rPr>
            </w:pPr>
            <w:r w:rsidRPr="00E44776">
              <w:rPr>
                <w:szCs w:val="20"/>
              </w:rPr>
              <w:t>7.372</w:t>
            </w:r>
          </w:p>
        </w:tc>
        <w:tc>
          <w:tcPr>
            <w:tcW w:w="1427" w:type="pct"/>
            <w:tcBorders>
              <w:top w:val="single" w:sz="4" w:space="0" w:color="auto"/>
              <w:left w:val="single" w:sz="4" w:space="0" w:color="auto"/>
              <w:bottom w:val="single" w:sz="4" w:space="0" w:color="auto"/>
              <w:right w:val="single" w:sz="4" w:space="0" w:color="auto"/>
            </w:tcBorders>
            <w:shd w:val="clear" w:color="auto" w:fill="FFFFFF"/>
            <w:vAlign w:val="center"/>
          </w:tcPr>
          <w:p w14:paraId="0B749030" w14:textId="2212BF4A" w:rsidR="00D016FD" w:rsidRPr="00E44776" w:rsidRDefault="00DB3296" w:rsidP="00013B37">
            <w:pPr>
              <w:pStyle w:val="Tabletext0"/>
              <w:keepNext/>
              <w:jc w:val="center"/>
              <w:rPr>
                <w:szCs w:val="20"/>
              </w:rPr>
            </w:pPr>
            <w:r w:rsidRPr="00E44776">
              <w:rPr>
                <w:szCs w:val="20"/>
              </w:rPr>
              <w:t>6.386</w:t>
            </w:r>
          </w:p>
        </w:tc>
        <w:tc>
          <w:tcPr>
            <w:tcW w:w="907" w:type="pct"/>
            <w:tcBorders>
              <w:top w:val="single" w:sz="4" w:space="0" w:color="auto"/>
              <w:left w:val="single" w:sz="4" w:space="0" w:color="auto"/>
              <w:bottom w:val="single" w:sz="4" w:space="0" w:color="auto"/>
              <w:right w:val="single" w:sz="4" w:space="0" w:color="auto"/>
            </w:tcBorders>
            <w:shd w:val="clear" w:color="auto" w:fill="FFFFFF"/>
            <w:vAlign w:val="center"/>
          </w:tcPr>
          <w:p w14:paraId="11CC42A1" w14:textId="3A882078" w:rsidR="00D016FD" w:rsidRPr="00E44776" w:rsidRDefault="00DB3296" w:rsidP="00013B37">
            <w:pPr>
              <w:pStyle w:val="Tabletext0"/>
              <w:keepNext/>
              <w:jc w:val="center"/>
              <w:rPr>
                <w:szCs w:val="20"/>
              </w:rPr>
            </w:pPr>
            <w:r w:rsidRPr="00E44776">
              <w:rPr>
                <w:szCs w:val="20"/>
              </w:rPr>
              <w:t>0.986</w:t>
            </w:r>
          </w:p>
        </w:tc>
      </w:tr>
      <w:tr w:rsidR="00CD15AF" w:rsidRPr="00E44776" w14:paraId="70824D95" w14:textId="77777777" w:rsidTr="00CD15AF">
        <w:tc>
          <w:tcPr>
            <w:tcW w:w="4093" w:type="pct"/>
            <w:gridSpan w:val="3"/>
            <w:tcBorders>
              <w:top w:val="single" w:sz="4" w:space="0" w:color="auto"/>
              <w:left w:val="single" w:sz="4" w:space="0" w:color="auto"/>
              <w:bottom w:val="single" w:sz="4" w:space="0" w:color="auto"/>
              <w:right w:val="single" w:sz="4" w:space="0" w:color="auto"/>
            </w:tcBorders>
            <w:vAlign w:val="center"/>
            <w:hideMark/>
          </w:tcPr>
          <w:p w14:paraId="5B758B9B" w14:textId="77777777" w:rsidR="00D016FD" w:rsidRPr="00E44776" w:rsidRDefault="00D016FD" w:rsidP="00013B37">
            <w:pPr>
              <w:pStyle w:val="Tabletext0"/>
              <w:keepNext/>
              <w:jc w:val="right"/>
              <w:rPr>
                <w:b/>
                <w:szCs w:val="20"/>
              </w:rPr>
            </w:pPr>
            <w:r w:rsidRPr="00E44776">
              <w:rPr>
                <w:b/>
                <w:szCs w:val="20"/>
              </w:rPr>
              <w:t>Incremental cost per QALY gained</w:t>
            </w:r>
          </w:p>
        </w:tc>
        <w:tc>
          <w:tcPr>
            <w:tcW w:w="907" w:type="pct"/>
            <w:tcBorders>
              <w:top w:val="single" w:sz="4" w:space="0" w:color="auto"/>
              <w:left w:val="single" w:sz="4" w:space="0" w:color="auto"/>
              <w:bottom w:val="single" w:sz="4" w:space="0" w:color="auto"/>
              <w:right w:val="single" w:sz="4" w:space="0" w:color="auto"/>
            </w:tcBorders>
            <w:vAlign w:val="center"/>
            <w:hideMark/>
          </w:tcPr>
          <w:p w14:paraId="4779A0EF" w14:textId="58C4EEAE" w:rsidR="00D016FD" w:rsidRPr="0030608C" w:rsidRDefault="00DB3296" w:rsidP="00013B37">
            <w:pPr>
              <w:pStyle w:val="Tabletext0"/>
              <w:keepNext/>
              <w:jc w:val="center"/>
              <w:rPr>
                <w:bCs/>
                <w:snapToGrid/>
                <w:szCs w:val="20"/>
                <w:vertAlign w:val="superscript"/>
              </w:rPr>
            </w:pPr>
            <w:r w:rsidRPr="00E44776">
              <w:rPr>
                <w:b/>
                <w:snapToGrid/>
                <w:szCs w:val="20"/>
              </w:rPr>
              <w:t>$</w:t>
            </w:r>
            <w:r w:rsidR="00777DAE" w:rsidRPr="00FC7B41">
              <w:rPr>
                <w:rFonts w:hint="eastAsia"/>
                <w:b/>
                <w:snapToGrid/>
                <w:color w:val="000000"/>
                <w:w w:val="17"/>
                <w:szCs w:val="20"/>
                <w:shd w:val="solid" w:color="000000" w:fill="000000"/>
                <w:fitText w:val="80" w:id="-1280031994"/>
                <w14:textFill>
                  <w14:solidFill>
                    <w14:srgbClr w14:val="000000">
                      <w14:alpha w14:val="100000"/>
                    </w14:srgbClr>
                  </w14:solidFill>
                </w14:textFill>
              </w:rPr>
              <w:t xml:space="preserve">　</w:t>
            </w:r>
            <w:r w:rsidR="00777DAE" w:rsidRPr="00FC7B41">
              <w:rPr>
                <w:b/>
                <w:snapToGrid/>
                <w:color w:val="000000"/>
                <w:w w:val="17"/>
                <w:szCs w:val="20"/>
                <w:shd w:val="solid" w:color="000000" w:fill="000000"/>
                <w:fitText w:val="80" w:id="-1280031994"/>
                <w14:textFill>
                  <w14:solidFill>
                    <w14:srgbClr w14:val="000000">
                      <w14:alpha w14:val="100000"/>
                    </w14:srgbClr>
                  </w14:solidFill>
                </w14:textFill>
              </w:rPr>
              <w:t>|</w:t>
            </w:r>
            <w:r w:rsidR="00777DAE" w:rsidRPr="00FC7B41">
              <w:rPr>
                <w:rFonts w:hint="eastAsia"/>
                <w:b/>
                <w:snapToGrid/>
                <w:color w:val="000000"/>
                <w:w w:val="17"/>
                <w:szCs w:val="20"/>
                <w:shd w:val="solid" w:color="000000" w:fill="000000"/>
                <w:fitText w:val="80" w:id="-1280031994"/>
                <w14:textFill>
                  <w14:solidFill>
                    <w14:srgbClr w14:val="000000">
                      <w14:alpha w14:val="100000"/>
                    </w14:srgbClr>
                  </w14:solidFill>
                </w14:textFill>
              </w:rPr>
              <w:t xml:space="preserve">　</w:t>
            </w:r>
            <w:r w:rsidR="001E6E35">
              <w:rPr>
                <w:bCs/>
                <w:snapToGrid/>
                <w:szCs w:val="20"/>
                <w:vertAlign w:val="superscript"/>
              </w:rPr>
              <w:t>2</w:t>
            </w:r>
          </w:p>
        </w:tc>
      </w:tr>
    </w:tbl>
    <w:p w14:paraId="5EADF43D" w14:textId="01455D59" w:rsidR="00932408" w:rsidRPr="00E44776" w:rsidRDefault="00932408" w:rsidP="00932408">
      <w:pPr>
        <w:pStyle w:val="TableFooter"/>
        <w:rPr>
          <w:szCs w:val="22"/>
        </w:rPr>
      </w:pPr>
      <w:r w:rsidRPr="00E44776">
        <w:t>Source: Table 3.30 of the resubmission.</w:t>
      </w:r>
    </w:p>
    <w:p w14:paraId="527FA25F" w14:textId="12CA48B6" w:rsidR="00932408" w:rsidRDefault="00932408" w:rsidP="00932408">
      <w:pPr>
        <w:pStyle w:val="TableFooter"/>
      </w:pPr>
      <w:r w:rsidRPr="00E44776">
        <w:t>QALY = quality-adjusted life year.</w:t>
      </w:r>
    </w:p>
    <w:p w14:paraId="75541E5E" w14:textId="371DFB74" w:rsidR="001E6E35" w:rsidRDefault="001E6E35" w:rsidP="00932408">
      <w:pPr>
        <w:pStyle w:val="TableFooter"/>
      </w:pPr>
    </w:p>
    <w:p w14:paraId="0C59C1F4" w14:textId="77777777" w:rsidR="001E6E35" w:rsidRPr="001E6E35" w:rsidRDefault="001E6E35" w:rsidP="001E6E35">
      <w:pPr>
        <w:rPr>
          <w:rFonts w:ascii="Arial Narrow" w:hAnsi="Arial Narrow"/>
          <w:i/>
          <w:sz w:val="18"/>
          <w:szCs w:val="18"/>
        </w:rPr>
      </w:pPr>
      <w:r w:rsidRPr="001E6E35">
        <w:rPr>
          <w:rFonts w:ascii="Arial Narrow" w:hAnsi="Arial Narrow"/>
          <w:i/>
          <w:sz w:val="18"/>
          <w:szCs w:val="18"/>
        </w:rPr>
        <w:t xml:space="preserve">The redacted values correspond to the following ranges: </w:t>
      </w:r>
    </w:p>
    <w:p w14:paraId="75054CB6" w14:textId="121172EB" w:rsidR="001E6E35" w:rsidRPr="0030608C" w:rsidRDefault="001E6E35" w:rsidP="001E6E35">
      <w:pPr>
        <w:ind w:right="147"/>
        <w:rPr>
          <w:rFonts w:ascii="Arial Narrow" w:hAnsi="Arial Narrow"/>
          <w:i/>
          <w:color w:val="333333"/>
          <w:sz w:val="18"/>
          <w:szCs w:val="18"/>
        </w:rPr>
      </w:pPr>
      <w:r w:rsidRPr="0030608C">
        <w:rPr>
          <w:rFonts w:ascii="Arial Narrow" w:hAnsi="Arial Narrow"/>
          <w:i/>
          <w:color w:val="333333"/>
          <w:sz w:val="18"/>
          <w:szCs w:val="18"/>
          <w:vertAlign w:val="superscript"/>
        </w:rPr>
        <w:t>1</w:t>
      </w:r>
      <w:r w:rsidRPr="0030608C">
        <w:rPr>
          <w:rFonts w:ascii="Arial Narrow" w:hAnsi="Arial Narrow"/>
          <w:i/>
          <w:color w:val="333333"/>
          <w:sz w:val="18"/>
          <w:szCs w:val="18"/>
        </w:rPr>
        <w:t>$45,000 to &lt; $55,000</w:t>
      </w:r>
    </w:p>
    <w:p w14:paraId="14445BFF" w14:textId="37E70264" w:rsidR="001E6E35" w:rsidRPr="0030608C" w:rsidRDefault="001E6E35" w:rsidP="00932408">
      <w:pPr>
        <w:pStyle w:val="TableFooter"/>
        <w:rPr>
          <w:i/>
          <w:szCs w:val="18"/>
        </w:rPr>
      </w:pPr>
      <w:r w:rsidRPr="0030608C">
        <w:rPr>
          <w:i/>
          <w:szCs w:val="18"/>
          <w:vertAlign w:val="superscript"/>
        </w:rPr>
        <w:lastRenderedPageBreak/>
        <w:t>2</w:t>
      </w:r>
      <w:r w:rsidRPr="0030608C">
        <w:rPr>
          <w:i/>
          <w:szCs w:val="18"/>
        </w:rPr>
        <w:t>$155,000 to &lt; $255,000</w:t>
      </w:r>
    </w:p>
    <w:p w14:paraId="0CD5C7A4" w14:textId="3E08354D" w:rsidR="007B7F50" w:rsidRPr="00E44776" w:rsidRDefault="007B7F50" w:rsidP="00584B70">
      <w:pPr>
        <w:pStyle w:val="COMexecsumnumberedpara"/>
      </w:pPr>
      <w:bookmarkStart w:id="92" w:name="_Ref104805181"/>
      <w:r w:rsidRPr="00E44776">
        <w:t xml:space="preserve">Based on the economic model, treatment with acalabrutinib + obinutuzumab was associated with an incremental cost per QALY gained of </w:t>
      </w:r>
      <w:r w:rsidR="001E6E35" w:rsidRPr="001E6E35">
        <w:t>$45,000 to &lt; $55,000</w:t>
      </w:r>
      <w:r w:rsidR="00BE4D52">
        <w:t xml:space="preserve"> </w:t>
      </w:r>
      <w:r w:rsidRPr="00E44776">
        <w:t>compared to venetoclax + obinutuzumab</w:t>
      </w:r>
      <w:r w:rsidR="000B045C" w:rsidRPr="00E44776">
        <w:t xml:space="preserve"> with the proposed RSA rebates applied</w:t>
      </w:r>
      <w:r w:rsidR="00D8005F" w:rsidRPr="00E44776">
        <w:t>,</w:t>
      </w:r>
      <w:r w:rsidR="004D69FD" w:rsidRPr="00E44776">
        <w:t xml:space="preserve"> and </w:t>
      </w:r>
      <w:r w:rsidR="001E6E35" w:rsidRPr="001E6E35">
        <w:t>$155,000 to &lt; $255,000</w:t>
      </w:r>
      <w:r w:rsidR="001E6E35">
        <w:t xml:space="preserve"> </w:t>
      </w:r>
      <w:r w:rsidR="004D69FD" w:rsidRPr="00E44776">
        <w:t>per QALY without the rebates applied. The ESC noted that</w:t>
      </w:r>
      <w:r w:rsidR="00FE71D6" w:rsidRPr="00E44776">
        <w:t>, without the RSA rebates applied,</w:t>
      </w:r>
      <w:r w:rsidR="004D69FD" w:rsidRPr="00E44776">
        <w:t xml:space="preserve"> a 46% price reduction would be required</w:t>
      </w:r>
      <w:r w:rsidR="00FE71D6" w:rsidRPr="00E44776">
        <w:t xml:space="preserve"> to achieve the ICER of </w:t>
      </w:r>
      <w:r w:rsidR="00B705A3" w:rsidRPr="00B705A3">
        <w:t>$45,000 to &lt; $55,000</w:t>
      </w:r>
      <w:r w:rsidR="00B705A3">
        <w:t xml:space="preserve"> </w:t>
      </w:r>
      <w:r w:rsidR="00FE71D6" w:rsidRPr="00E44776">
        <w:t>per QALY.</w:t>
      </w:r>
      <w:r w:rsidR="004D69FD" w:rsidRPr="00E44776">
        <w:t xml:space="preserve"> </w:t>
      </w:r>
      <w:r w:rsidR="00652AD4">
        <w:t xml:space="preserve">The pre-PBAC response stated that it withdrew the RSA proposal and noted this would </w:t>
      </w:r>
      <w:r w:rsidR="00652AD4" w:rsidRPr="00652AD4">
        <w:t>substantially increas</w:t>
      </w:r>
      <w:r w:rsidR="00652AD4">
        <w:t>e</w:t>
      </w:r>
      <w:r w:rsidR="00652AD4" w:rsidRPr="00652AD4">
        <w:t xml:space="preserve"> the ICER if no other model variables change</w:t>
      </w:r>
      <w:r w:rsidR="00652AD4">
        <w:t>.</w:t>
      </w:r>
    </w:p>
    <w:p w14:paraId="53DC5D8A" w14:textId="3AC9F5F5" w:rsidR="007B7F50" w:rsidRPr="00E44776" w:rsidRDefault="007B7F50" w:rsidP="007B7F50">
      <w:pPr>
        <w:pStyle w:val="COMexecsumnumberedpara"/>
      </w:pPr>
      <w:r w:rsidRPr="00E44776">
        <w:t>The difference in total cost between treatment arms was primarily driven by first-line treatment costs, which was partly offset by second-line treatment costs, disease monitoring costs and first-line tumour lysis syndrome monitoring costs.</w:t>
      </w:r>
    </w:p>
    <w:p w14:paraId="3B489B65" w14:textId="26041D82" w:rsidR="007B7F50" w:rsidRPr="00E44776" w:rsidRDefault="007B7F50" w:rsidP="007B7F50">
      <w:pPr>
        <w:pStyle w:val="COMexecsumnumberedpara"/>
      </w:pPr>
      <w:r w:rsidRPr="00E44776">
        <w:t>The difference in health outcomes between treatment arms was driven the higher number of life years for the acalabrutinib + obinutuzumab arm, and by the differences in time spent in the first-line progression-free and relapsed/refractory health states.</w:t>
      </w:r>
    </w:p>
    <w:p w14:paraId="5AF39C6D" w14:textId="7508C045" w:rsidR="0080674F" w:rsidRPr="00E44776" w:rsidRDefault="0080674F" w:rsidP="0080674F">
      <w:pPr>
        <w:pStyle w:val="ExecSumBodyText"/>
        <w:numPr>
          <w:ilvl w:val="1"/>
          <w:numId w:val="1"/>
        </w:numPr>
      </w:pPr>
      <w:r w:rsidRPr="00E44776">
        <w:t xml:space="preserve">The results of key sensitivity analyses presented in the resubmission and conducted during the evaluation are summarised in </w:t>
      </w:r>
      <w:r w:rsidR="006C6872" w:rsidRPr="00E44776">
        <w:fldChar w:fldCharType="begin" w:fldLock="1"/>
      </w:r>
      <w:r w:rsidR="006C6872" w:rsidRPr="00E44776">
        <w:instrText xml:space="preserve"> REF _Ref111419055 \h </w:instrText>
      </w:r>
      <w:r w:rsidR="00E44776" w:rsidRPr="00E44776">
        <w:instrText xml:space="preserve"> \* MERGEFORMAT </w:instrText>
      </w:r>
      <w:r w:rsidR="006C6872" w:rsidRPr="00E44776">
        <w:fldChar w:fldCharType="separate"/>
      </w:r>
      <w:r w:rsidR="00CB2B8B" w:rsidRPr="00E44776">
        <w:t xml:space="preserve">Table </w:t>
      </w:r>
      <w:r w:rsidR="00CB2B8B">
        <w:rPr>
          <w:noProof/>
        </w:rPr>
        <w:t>15</w:t>
      </w:r>
      <w:r w:rsidR="006C6872" w:rsidRPr="00E44776">
        <w:fldChar w:fldCharType="end"/>
      </w:r>
      <w:r w:rsidR="00652AD4">
        <w:t xml:space="preserve"> (based on the resubmission’s model with RSA caps applied)</w:t>
      </w:r>
      <w:r w:rsidRPr="00E44776">
        <w:t>.</w:t>
      </w:r>
    </w:p>
    <w:p w14:paraId="09AB90B8" w14:textId="205A99A3" w:rsidR="008D2097" w:rsidRPr="00E44776" w:rsidRDefault="00E87620" w:rsidP="008D2097">
      <w:pPr>
        <w:pStyle w:val="TableFigureCaption"/>
        <w:rPr>
          <w:rStyle w:val="CommentReference"/>
          <w:b w:val="0"/>
          <w:sz w:val="20"/>
        </w:rPr>
      </w:pPr>
      <w:bookmarkStart w:id="93" w:name="_Ref111419055"/>
      <w:bookmarkStart w:id="94" w:name="_Ref111419089"/>
      <w:r w:rsidRPr="00E44776">
        <w:t xml:space="preserve">Table </w:t>
      </w:r>
      <w:r w:rsidR="00B53F47">
        <w:fldChar w:fldCharType="begin" w:fldLock="1"/>
      </w:r>
      <w:r w:rsidR="00B53F47">
        <w:instrText xml:space="preserve"> SEQ Table \* ARABIC </w:instrText>
      </w:r>
      <w:r w:rsidR="00B53F47">
        <w:fldChar w:fldCharType="separate"/>
      </w:r>
      <w:r w:rsidR="00CB2B8B">
        <w:rPr>
          <w:noProof/>
        </w:rPr>
        <w:t>15</w:t>
      </w:r>
      <w:r w:rsidR="00B53F47">
        <w:rPr>
          <w:noProof/>
        </w:rPr>
        <w:fldChar w:fldCharType="end"/>
      </w:r>
      <w:bookmarkEnd w:id="93"/>
      <w:r w:rsidR="008D2097" w:rsidRPr="00E44776">
        <w:rPr>
          <w:rStyle w:val="CommentReference"/>
          <w:sz w:val="20"/>
        </w:rPr>
        <w:t>: Results of sensitivity analyses</w:t>
      </w:r>
      <w:bookmarkEnd w:id="94"/>
    </w:p>
    <w:tbl>
      <w:tblPr>
        <w:tblW w:w="92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15:  Results of sensitivity analyses"/>
      </w:tblPr>
      <w:tblGrid>
        <w:gridCol w:w="4224"/>
        <w:gridCol w:w="1488"/>
        <w:gridCol w:w="1489"/>
        <w:gridCol w:w="1023"/>
        <w:gridCol w:w="1024"/>
      </w:tblGrid>
      <w:tr w:rsidR="008D2097" w:rsidRPr="00E44776" w14:paraId="57DA717C" w14:textId="77777777" w:rsidTr="00A57E5C">
        <w:trPr>
          <w:cantSplit/>
          <w:tblHeader/>
        </w:trPr>
        <w:tc>
          <w:tcPr>
            <w:tcW w:w="4224" w:type="dxa"/>
            <w:tcBorders>
              <w:top w:val="single" w:sz="4" w:space="0" w:color="auto"/>
              <w:left w:val="single" w:sz="4" w:space="0" w:color="auto"/>
              <w:bottom w:val="single" w:sz="4" w:space="0" w:color="auto"/>
              <w:right w:val="single" w:sz="4" w:space="0" w:color="auto"/>
            </w:tcBorders>
            <w:vAlign w:val="center"/>
            <w:hideMark/>
          </w:tcPr>
          <w:p w14:paraId="15DB8B75" w14:textId="77777777" w:rsidR="008D2097" w:rsidRPr="00E44776" w:rsidRDefault="008D2097" w:rsidP="00A57E5C">
            <w:pPr>
              <w:pStyle w:val="Tabletext0"/>
              <w:tabs>
                <w:tab w:val="left" w:pos="142"/>
              </w:tabs>
              <w:rPr>
                <w:szCs w:val="22"/>
              </w:rPr>
            </w:pPr>
            <w:r w:rsidRPr="00E44776">
              <w:rPr>
                <w:b/>
              </w:rPr>
              <w:t>Analyses</w:t>
            </w:r>
          </w:p>
        </w:tc>
        <w:tc>
          <w:tcPr>
            <w:tcW w:w="1488" w:type="dxa"/>
            <w:tcBorders>
              <w:top w:val="single" w:sz="4" w:space="0" w:color="auto"/>
              <w:left w:val="single" w:sz="4" w:space="0" w:color="auto"/>
              <w:bottom w:val="single" w:sz="4" w:space="0" w:color="auto"/>
              <w:right w:val="single" w:sz="4" w:space="0" w:color="auto"/>
            </w:tcBorders>
            <w:hideMark/>
          </w:tcPr>
          <w:p w14:paraId="2281CC37" w14:textId="77777777" w:rsidR="008D2097" w:rsidRPr="00E44776" w:rsidRDefault="008D2097" w:rsidP="00A57E5C">
            <w:pPr>
              <w:pStyle w:val="Tabletext0"/>
              <w:jc w:val="center"/>
              <w:rPr>
                <w:b/>
              </w:rPr>
            </w:pPr>
            <w:r w:rsidRPr="00E44776">
              <w:rPr>
                <w:b/>
              </w:rPr>
              <w:t>Incremental cost</w:t>
            </w:r>
          </w:p>
        </w:tc>
        <w:tc>
          <w:tcPr>
            <w:tcW w:w="1489" w:type="dxa"/>
            <w:tcBorders>
              <w:top w:val="single" w:sz="4" w:space="0" w:color="auto"/>
              <w:left w:val="single" w:sz="4" w:space="0" w:color="auto"/>
              <w:bottom w:val="single" w:sz="4" w:space="0" w:color="auto"/>
              <w:right w:val="single" w:sz="4" w:space="0" w:color="auto"/>
            </w:tcBorders>
            <w:hideMark/>
          </w:tcPr>
          <w:p w14:paraId="6884231C" w14:textId="77777777" w:rsidR="008D2097" w:rsidRPr="00E44776" w:rsidRDefault="008D2097" w:rsidP="00A57E5C">
            <w:pPr>
              <w:pStyle w:val="Tabletext0"/>
              <w:jc w:val="center"/>
              <w:rPr>
                <w:b/>
              </w:rPr>
            </w:pPr>
            <w:r w:rsidRPr="00E44776">
              <w:rPr>
                <w:b/>
              </w:rPr>
              <w:t>Incremental QALY</w:t>
            </w:r>
          </w:p>
        </w:tc>
        <w:tc>
          <w:tcPr>
            <w:tcW w:w="1023" w:type="dxa"/>
            <w:tcBorders>
              <w:top w:val="single" w:sz="4" w:space="0" w:color="auto"/>
              <w:left w:val="single" w:sz="4" w:space="0" w:color="auto"/>
              <w:bottom w:val="single" w:sz="4" w:space="0" w:color="auto"/>
              <w:right w:val="single" w:sz="4" w:space="0" w:color="auto"/>
            </w:tcBorders>
            <w:vAlign w:val="center"/>
            <w:hideMark/>
          </w:tcPr>
          <w:p w14:paraId="3043CDCD" w14:textId="77777777" w:rsidR="008D2097" w:rsidRPr="00E44776" w:rsidRDefault="008D2097" w:rsidP="00A57E5C">
            <w:pPr>
              <w:pStyle w:val="Tabletext0"/>
              <w:jc w:val="center"/>
              <w:rPr>
                <w:b/>
              </w:rPr>
            </w:pPr>
            <w:r w:rsidRPr="00E44776">
              <w:rPr>
                <w:b/>
              </w:rPr>
              <w:t>ICER</w:t>
            </w:r>
          </w:p>
        </w:tc>
        <w:tc>
          <w:tcPr>
            <w:tcW w:w="1024" w:type="dxa"/>
            <w:tcBorders>
              <w:top w:val="single" w:sz="4" w:space="0" w:color="auto"/>
              <w:left w:val="single" w:sz="4" w:space="0" w:color="auto"/>
              <w:bottom w:val="single" w:sz="4" w:space="0" w:color="auto"/>
              <w:right w:val="single" w:sz="4" w:space="0" w:color="auto"/>
            </w:tcBorders>
            <w:vAlign w:val="center"/>
          </w:tcPr>
          <w:p w14:paraId="343B0924" w14:textId="77777777" w:rsidR="008D2097" w:rsidRPr="00E44776" w:rsidRDefault="008D2097" w:rsidP="00A57E5C">
            <w:pPr>
              <w:pStyle w:val="Tabletext0"/>
              <w:jc w:val="center"/>
              <w:rPr>
                <w:b/>
              </w:rPr>
            </w:pPr>
            <w:r w:rsidRPr="00E44776">
              <w:rPr>
                <w:b/>
              </w:rPr>
              <w:t>% change</w:t>
            </w:r>
          </w:p>
        </w:tc>
      </w:tr>
      <w:tr w:rsidR="008D2097" w:rsidRPr="00E44776" w14:paraId="55CB8466" w14:textId="77777777" w:rsidTr="00A57E5C">
        <w:trPr>
          <w:cantSplit/>
        </w:trPr>
        <w:tc>
          <w:tcPr>
            <w:tcW w:w="4224" w:type="dxa"/>
            <w:tcBorders>
              <w:top w:val="single" w:sz="4" w:space="0" w:color="auto"/>
              <w:left w:val="single" w:sz="4" w:space="0" w:color="auto"/>
              <w:bottom w:val="single" w:sz="4" w:space="0" w:color="auto"/>
              <w:right w:val="single" w:sz="4" w:space="0" w:color="auto"/>
            </w:tcBorders>
            <w:hideMark/>
          </w:tcPr>
          <w:p w14:paraId="72407FDB" w14:textId="77777777" w:rsidR="008D2097" w:rsidRPr="00E44776" w:rsidRDefault="008D2097" w:rsidP="00A57E5C">
            <w:pPr>
              <w:pStyle w:val="Tabletext0"/>
              <w:tabs>
                <w:tab w:val="left" w:pos="142"/>
              </w:tabs>
              <w:rPr>
                <w:b/>
                <w:vertAlign w:val="superscript"/>
              </w:rPr>
            </w:pPr>
            <w:r w:rsidRPr="00E44776">
              <w:rPr>
                <w:b/>
              </w:rPr>
              <w:t>Base case</w:t>
            </w:r>
          </w:p>
        </w:tc>
        <w:tc>
          <w:tcPr>
            <w:tcW w:w="1488" w:type="dxa"/>
            <w:tcBorders>
              <w:top w:val="single" w:sz="4" w:space="0" w:color="auto"/>
              <w:left w:val="single" w:sz="4" w:space="0" w:color="auto"/>
              <w:bottom w:val="single" w:sz="4" w:space="0" w:color="auto"/>
              <w:right w:val="single" w:sz="4" w:space="0" w:color="auto"/>
            </w:tcBorders>
            <w:hideMark/>
          </w:tcPr>
          <w:p w14:paraId="2F75DE49" w14:textId="181E4B4B" w:rsidR="008D2097" w:rsidRPr="00E44776" w:rsidRDefault="008D2097" w:rsidP="00A57E5C">
            <w:pPr>
              <w:pStyle w:val="Tabletext0"/>
              <w:jc w:val="center"/>
              <w:rPr>
                <w:b/>
                <w:bCs/>
                <w:highlight w:val="yellow"/>
              </w:rPr>
            </w:pPr>
            <w:r w:rsidRPr="00E44776">
              <w:rPr>
                <w:b/>
                <w:bCs/>
              </w:rPr>
              <w:t>$</w:t>
            </w:r>
            <w:r w:rsidR="00777DAE" w:rsidRPr="00FC7B41">
              <w:rPr>
                <w:b/>
                <w:bCs/>
                <w:color w:val="000000"/>
                <w:spacing w:val="36"/>
                <w:shd w:val="solid" w:color="000000" w:fill="000000"/>
                <w:fitText w:val="210" w:id="-1280031993"/>
                <w14:textFill>
                  <w14:solidFill>
                    <w14:srgbClr w14:val="000000">
                      <w14:alpha w14:val="100000"/>
                    </w14:srgbClr>
                  </w14:solidFill>
                </w14:textFill>
              </w:rPr>
              <w:t>||</w:t>
            </w:r>
            <w:r w:rsidR="00777DAE" w:rsidRPr="00FC7B41">
              <w:rPr>
                <w:b/>
                <w:bCs/>
                <w:color w:val="000000"/>
                <w:spacing w:val="1"/>
                <w:shd w:val="solid" w:color="000000" w:fill="000000"/>
                <w:fitText w:val="210" w:id="-1280031993"/>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hideMark/>
          </w:tcPr>
          <w:p w14:paraId="57DD5562" w14:textId="77777777" w:rsidR="008D2097" w:rsidRPr="00E44776" w:rsidRDefault="008D2097" w:rsidP="00A57E5C">
            <w:pPr>
              <w:pStyle w:val="Tabletext0"/>
              <w:jc w:val="center"/>
              <w:rPr>
                <w:b/>
                <w:bCs/>
                <w:highlight w:val="yellow"/>
              </w:rPr>
            </w:pPr>
            <w:r w:rsidRPr="00E44776">
              <w:rPr>
                <w:b/>
                <w:bCs/>
              </w:rPr>
              <w:t>0.986</w:t>
            </w:r>
          </w:p>
        </w:tc>
        <w:tc>
          <w:tcPr>
            <w:tcW w:w="1023" w:type="dxa"/>
            <w:tcBorders>
              <w:top w:val="single" w:sz="4" w:space="0" w:color="auto"/>
              <w:left w:val="single" w:sz="4" w:space="0" w:color="auto"/>
              <w:bottom w:val="single" w:sz="4" w:space="0" w:color="auto"/>
              <w:right w:val="single" w:sz="4" w:space="0" w:color="auto"/>
            </w:tcBorders>
            <w:hideMark/>
          </w:tcPr>
          <w:p w14:paraId="612179A6" w14:textId="3261D5C5" w:rsidR="008D2097" w:rsidRPr="00E44776" w:rsidRDefault="008D2097" w:rsidP="00A57E5C">
            <w:pPr>
              <w:pStyle w:val="Tabletext0"/>
              <w:jc w:val="center"/>
              <w:rPr>
                <w:b/>
                <w:bCs/>
                <w:highlight w:val="yellow"/>
              </w:rPr>
            </w:pPr>
            <w:r w:rsidRPr="00E44776">
              <w:rPr>
                <w:b/>
                <w:bCs/>
              </w:rPr>
              <w:t>$</w:t>
            </w:r>
            <w:r w:rsidR="00777DAE" w:rsidRPr="00FC7B41">
              <w:rPr>
                <w:b/>
                <w:bCs/>
                <w:color w:val="000000"/>
                <w:spacing w:val="32"/>
                <w:shd w:val="solid" w:color="000000" w:fill="000000"/>
                <w:fitText w:val="440" w:id="-1280031992"/>
                <w14:textFill>
                  <w14:solidFill>
                    <w14:srgbClr w14:val="000000">
                      <w14:alpha w14:val="100000"/>
                    </w14:srgbClr>
                  </w14:solidFill>
                </w14:textFill>
              </w:rPr>
              <w:t>|||||</w:t>
            </w:r>
            <w:r w:rsidR="00777DAE" w:rsidRPr="00FC7B41">
              <w:rPr>
                <w:b/>
                <w:bCs/>
                <w:color w:val="000000"/>
                <w:spacing w:val="5"/>
                <w:shd w:val="solid" w:color="000000" w:fill="000000"/>
                <w:fitText w:val="440" w:id="-1280031992"/>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5C44C878" w14:textId="77777777" w:rsidR="008D2097" w:rsidRPr="00E44776" w:rsidRDefault="008D2097" w:rsidP="00A57E5C">
            <w:pPr>
              <w:pStyle w:val="Tabletext0"/>
              <w:jc w:val="center"/>
              <w:rPr>
                <w:b/>
                <w:bCs/>
              </w:rPr>
            </w:pPr>
            <w:r w:rsidRPr="00E44776">
              <w:rPr>
                <w:b/>
                <w:bCs/>
              </w:rPr>
              <w:t>-</w:t>
            </w:r>
          </w:p>
        </w:tc>
      </w:tr>
      <w:tr w:rsidR="008D2097" w:rsidRPr="00E44776" w14:paraId="24F40FDC"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hideMark/>
          </w:tcPr>
          <w:p w14:paraId="53454EFD" w14:textId="77777777" w:rsidR="008D2097" w:rsidRPr="00E44776" w:rsidRDefault="008D2097" w:rsidP="00A57E5C">
            <w:pPr>
              <w:pStyle w:val="Tabletext0"/>
              <w:rPr>
                <w:b/>
              </w:rPr>
            </w:pPr>
            <w:r w:rsidRPr="00E44776">
              <w:rPr>
                <w:b/>
              </w:rPr>
              <w:t>Time horizon (base case 15 years)</w:t>
            </w:r>
          </w:p>
        </w:tc>
      </w:tr>
      <w:tr w:rsidR="008D2097" w:rsidRPr="00E44776" w14:paraId="06A2779C"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42113D7E" w14:textId="77777777" w:rsidR="008D2097" w:rsidRPr="00E44776" w:rsidRDefault="008D2097" w:rsidP="00A57E5C">
            <w:pPr>
              <w:pStyle w:val="Tabletext0"/>
              <w:ind w:left="142" w:hanging="108"/>
              <w:rPr>
                <w:szCs w:val="20"/>
              </w:rPr>
            </w:pPr>
            <w:r w:rsidRPr="00E44776">
              <w:rPr>
                <w:szCs w:val="20"/>
              </w:rPr>
              <w:t>5 years</w:t>
            </w:r>
          </w:p>
        </w:tc>
        <w:tc>
          <w:tcPr>
            <w:tcW w:w="1488" w:type="dxa"/>
            <w:tcBorders>
              <w:top w:val="single" w:sz="4" w:space="0" w:color="auto"/>
              <w:left w:val="single" w:sz="4" w:space="0" w:color="auto"/>
              <w:bottom w:val="single" w:sz="4" w:space="0" w:color="auto"/>
              <w:right w:val="single" w:sz="4" w:space="0" w:color="auto"/>
            </w:tcBorders>
          </w:tcPr>
          <w:p w14:paraId="2A70EB0F" w14:textId="2A90B189"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91"/>
                <w14:textFill>
                  <w14:solidFill>
                    <w14:srgbClr w14:val="000000">
                      <w14:alpha w14:val="100000"/>
                    </w14:srgbClr>
                  </w14:solidFill>
                </w14:textFill>
              </w:rPr>
              <w:t>||</w:t>
            </w:r>
            <w:r w:rsidR="00777DAE" w:rsidRPr="00FC7B41">
              <w:rPr>
                <w:color w:val="000000"/>
                <w:spacing w:val="1"/>
                <w:shd w:val="solid" w:color="000000" w:fill="000000"/>
                <w:fitText w:val="230" w:id="-1280031991"/>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48F66196" w14:textId="77777777" w:rsidR="008D2097" w:rsidRPr="00E44776" w:rsidRDefault="008D2097" w:rsidP="00A57E5C">
            <w:pPr>
              <w:pStyle w:val="Tabletext0"/>
              <w:jc w:val="center"/>
            </w:pPr>
            <w:r w:rsidRPr="00E44776">
              <w:t>0.262</w:t>
            </w:r>
          </w:p>
        </w:tc>
        <w:tc>
          <w:tcPr>
            <w:tcW w:w="1023" w:type="dxa"/>
            <w:tcBorders>
              <w:top w:val="single" w:sz="4" w:space="0" w:color="auto"/>
              <w:left w:val="single" w:sz="4" w:space="0" w:color="auto"/>
              <w:bottom w:val="single" w:sz="4" w:space="0" w:color="auto"/>
              <w:right w:val="single" w:sz="4" w:space="0" w:color="auto"/>
            </w:tcBorders>
          </w:tcPr>
          <w:p w14:paraId="2F0A87BE" w14:textId="30E9CEEC"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90"/>
                <w14:textFill>
                  <w14:solidFill>
                    <w14:srgbClr w14:val="000000">
                      <w14:alpha w14:val="100000"/>
                    </w14:srgbClr>
                  </w14:solidFill>
                </w14:textFill>
              </w:rPr>
              <w:t>|||||</w:t>
            </w:r>
            <w:r w:rsidR="00777DAE" w:rsidRPr="00FC7B41">
              <w:rPr>
                <w:color w:val="000000"/>
                <w:spacing w:val="5"/>
                <w:shd w:val="solid" w:color="000000" w:fill="000000"/>
                <w:fitText w:val="470" w:id="-1280031990"/>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42064C1B" w14:textId="77777777" w:rsidR="008D2097" w:rsidRPr="00E44776" w:rsidRDefault="008D2097" w:rsidP="00A57E5C">
            <w:pPr>
              <w:pStyle w:val="Tabletext0"/>
              <w:jc w:val="center"/>
            </w:pPr>
            <w:r w:rsidRPr="00E44776">
              <w:t>422%</w:t>
            </w:r>
          </w:p>
        </w:tc>
      </w:tr>
      <w:tr w:rsidR="008D2097" w:rsidRPr="00E44776" w14:paraId="1169FCC3" w14:textId="77777777" w:rsidTr="00A57E5C">
        <w:trPr>
          <w:cantSplit/>
        </w:trPr>
        <w:tc>
          <w:tcPr>
            <w:tcW w:w="4224" w:type="dxa"/>
            <w:tcBorders>
              <w:top w:val="single" w:sz="4" w:space="0" w:color="auto"/>
              <w:left w:val="single" w:sz="4" w:space="0" w:color="auto"/>
              <w:bottom w:val="single" w:sz="4" w:space="0" w:color="auto"/>
              <w:right w:val="single" w:sz="4" w:space="0" w:color="auto"/>
            </w:tcBorders>
            <w:hideMark/>
          </w:tcPr>
          <w:p w14:paraId="21D3604F" w14:textId="008E2CBC" w:rsidR="008D2097" w:rsidRPr="00E44776" w:rsidRDefault="008D2097" w:rsidP="00A57E5C">
            <w:pPr>
              <w:pStyle w:val="Tabletext0"/>
              <w:ind w:left="142" w:hanging="108"/>
            </w:pPr>
            <w:r w:rsidRPr="00E44776">
              <w:rPr>
                <w:szCs w:val="20"/>
              </w:rPr>
              <w:t>10 years</w:t>
            </w:r>
            <w:r w:rsidR="00236885" w:rsidRPr="00E44776">
              <w:rPr>
                <w:szCs w:val="20"/>
              </w:rPr>
              <w:t xml:space="preserve"> </w:t>
            </w:r>
            <w:r w:rsidR="00236885" w:rsidRPr="00E44776">
              <w:rPr>
                <w:b/>
                <w:bCs/>
                <w:szCs w:val="20"/>
              </w:rPr>
              <w:t>(A)</w:t>
            </w:r>
          </w:p>
        </w:tc>
        <w:tc>
          <w:tcPr>
            <w:tcW w:w="1488" w:type="dxa"/>
            <w:tcBorders>
              <w:top w:val="single" w:sz="4" w:space="0" w:color="auto"/>
              <w:left w:val="single" w:sz="4" w:space="0" w:color="auto"/>
              <w:bottom w:val="single" w:sz="4" w:space="0" w:color="auto"/>
              <w:right w:val="single" w:sz="4" w:space="0" w:color="auto"/>
            </w:tcBorders>
          </w:tcPr>
          <w:p w14:paraId="452278DC" w14:textId="6CAFBADA"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89"/>
                <w14:textFill>
                  <w14:solidFill>
                    <w14:srgbClr w14:val="000000">
                      <w14:alpha w14:val="100000"/>
                    </w14:srgbClr>
                  </w14:solidFill>
                </w14:textFill>
              </w:rPr>
              <w:t>||</w:t>
            </w:r>
            <w:r w:rsidR="00777DAE" w:rsidRPr="00FC7B41">
              <w:rPr>
                <w:color w:val="000000"/>
                <w:spacing w:val="1"/>
                <w:shd w:val="solid" w:color="000000" w:fill="000000"/>
                <w:fitText w:val="230" w:id="-1280031989"/>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568378AC" w14:textId="77777777" w:rsidR="008D2097" w:rsidRPr="00E44776" w:rsidRDefault="008D2097" w:rsidP="00A57E5C">
            <w:pPr>
              <w:pStyle w:val="Tabletext0"/>
              <w:jc w:val="center"/>
            </w:pPr>
            <w:r w:rsidRPr="00E44776">
              <w:t>0.657</w:t>
            </w:r>
          </w:p>
        </w:tc>
        <w:tc>
          <w:tcPr>
            <w:tcW w:w="1023" w:type="dxa"/>
            <w:tcBorders>
              <w:top w:val="single" w:sz="4" w:space="0" w:color="auto"/>
              <w:left w:val="single" w:sz="4" w:space="0" w:color="auto"/>
              <w:bottom w:val="single" w:sz="4" w:space="0" w:color="auto"/>
              <w:right w:val="single" w:sz="4" w:space="0" w:color="auto"/>
            </w:tcBorders>
          </w:tcPr>
          <w:p w14:paraId="0CB935C7" w14:textId="62F8013A"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88"/>
                <w14:textFill>
                  <w14:solidFill>
                    <w14:srgbClr w14:val="000000">
                      <w14:alpha w14:val="100000"/>
                    </w14:srgbClr>
                  </w14:solidFill>
                </w14:textFill>
              </w:rPr>
              <w:t>|||||</w:t>
            </w:r>
            <w:r w:rsidR="00777DAE" w:rsidRPr="00FC7B41">
              <w:rPr>
                <w:color w:val="000000"/>
                <w:spacing w:val="5"/>
                <w:shd w:val="solid" w:color="000000" w:fill="000000"/>
                <w:fitText w:val="470" w:id="-1280031988"/>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3850DE39" w14:textId="77777777" w:rsidR="008D2097" w:rsidRPr="00E44776" w:rsidRDefault="008D2097" w:rsidP="00A57E5C">
            <w:pPr>
              <w:pStyle w:val="Tabletext0"/>
              <w:jc w:val="center"/>
            </w:pPr>
            <w:r w:rsidRPr="00E44776">
              <w:t>63%</w:t>
            </w:r>
          </w:p>
        </w:tc>
      </w:tr>
      <w:tr w:rsidR="008D2097" w:rsidRPr="00E44776" w14:paraId="53152F74"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hideMark/>
          </w:tcPr>
          <w:p w14:paraId="3FA5B4C8" w14:textId="1FC7A0D4" w:rsidR="008D2097" w:rsidRPr="00E44776" w:rsidRDefault="008D2097" w:rsidP="00A57E5C">
            <w:pPr>
              <w:pStyle w:val="Tabletext0"/>
              <w:rPr>
                <w:b/>
                <w:vertAlign w:val="superscript"/>
              </w:rPr>
            </w:pPr>
            <w:r w:rsidRPr="00E44776">
              <w:rPr>
                <w:b/>
              </w:rPr>
              <w:t>PFS extrapolation for acalabrutinib + obinutuzumab (base case: exponential function)</w:t>
            </w:r>
            <w:r w:rsidR="00D67E2B" w:rsidRPr="00E44776">
              <w:rPr>
                <w:b/>
                <w:vertAlign w:val="superscript"/>
              </w:rPr>
              <w:t>a</w:t>
            </w:r>
          </w:p>
        </w:tc>
      </w:tr>
      <w:tr w:rsidR="008D2097" w:rsidRPr="00E44776" w14:paraId="5AD54C55"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6ECA43F6" w14:textId="77777777" w:rsidR="008D2097" w:rsidRPr="00E44776" w:rsidRDefault="008D2097" w:rsidP="00A57E5C">
            <w:pPr>
              <w:pStyle w:val="Tabletext0"/>
              <w:tabs>
                <w:tab w:val="left" w:pos="37"/>
              </w:tabs>
              <w:ind w:left="37"/>
              <w:rPr>
                <w:szCs w:val="20"/>
              </w:rPr>
            </w:pPr>
            <w:r w:rsidRPr="00E44776">
              <w:rPr>
                <w:szCs w:val="20"/>
              </w:rPr>
              <w:t>Weibull</w:t>
            </w:r>
          </w:p>
        </w:tc>
        <w:tc>
          <w:tcPr>
            <w:tcW w:w="1488" w:type="dxa"/>
            <w:tcBorders>
              <w:top w:val="single" w:sz="4" w:space="0" w:color="auto"/>
              <w:left w:val="single" w:sz="4" w:space="0" w:color="auto"/>
              <w:bottom w:val="single" w:sz="4" w:space="0" w:color="auto"/>
              <w:right w:val="single" w:sz="4" w:space="0" w:color="auto"/>
            </w:tcBorders>
          </w:tcPr>
          <w:p w14:paraId="609E37DD" w14:textId="35482F31" w:rsidR="008D2097" w:rsidRPr="00E44776" w:rsidRDefault="008D2097" w:rsidP="00A57E5C">
            <w:pPr>
              <w:pStyle w:val="Tabletext0"/>
              <w:jc w:val="center"/>
              <w:rPr>
                <w:szCs w:val="22"/>
              </w:rPr>
            </w:pPr>
            <w:r w:rsidRPr="00E44776">
              <w:t>$</w:t>
            </w:r>
            <w:r w:rsidR="00777DAE" w:rsidRPr="00FC7B41">
              <w:rPr>
                <w:color w:val="000000"/>
                <w:spacing w:val="51"/>
                <w:shd w:val="solid" w:color="000000" w:fill="000000"/>
                <w:fitText w:val="230" w:id="-1280031987"/>
                <w14:textFill>
                  <w14:solidFill>
                    <w14:srgbClr w14:val="000000">
                      <w14:alpha w14:val="100000"/>
                    </w14:srgbClr>
                  </w14:solidFill>
                </w14:textFill>
              </w:rPr>
              <w:t>||</w:t>
            </w:r>
            <w:r w:rsidR="00777DAE" w:rsidRPr="00FC7B41">
              <w:rPr>
                <w:color w:val="000000"/>
                <w:spacing w:val="1"/>
                <w:shd w:val="solid" w:color="000000" w:fill="000000"/>
                <w:fitText w:val="230" w:id="-1280031987"/>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30D21119" w14:textId="77777777" w:rsidR="008D2097" w:rsidRPr="00E44776" w:rsidRDefault="008D2097" w:rsidP="00A57E5C">
            <w:pPr>
              <w:pStyle w:val="Tabletext0"/>
              <w:jc w:val="center"/>
            </w:pPr>
            <w:r w:rsidRPr="00E44776">
              <w:t>0.973</w:t>
            </w:r>
          </w:p>
        </w:tc>
        <w:tc>
          <w:tcPr>
            <w:tcW w:w="1023" w:type="dxa"/>
            <w:tcBorders>
              <w:top w:val="single" w:sz="4" w:space="0" w:color="auto"/>
              <w:left w:val="single" w:sz="4" w:space="0" w:color="auto"/>
              <w:bottom w:val="single" w:sz="4" w:space="0" w:color="auto"/>
              <w:right w:val="single" w:sz="4" w:space="0" w:color="auto"/>
            </w:tcBorders>
          </w:tcPr>
          <w:p w14:paraId="05E6B092" w14:textId="3F6590BF"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86"/>
                <w14:textFill>
                  <w14:solidFill>
                    <w14:srgbClr w14:val="000000">
                      <w14:alpha w14:val="100000"/>
                    </w14:srgbClr>
                  </w14:solidFill>
                </w14:textFill>
              </w:rPr>
              <w:t>|||||</w:t>
            </w:r>
            <w:r w:rsidR="00777DAE" w:rsidRPr="00FC7B41">
              <w:rPr>
                <w:color w:val="000000"/>
                <w:spacing w:val="5"/>
                <w:shd w:val="solid" w:color="000000" w:fill="000000"/>
                <w:fitText w:val="470" w:id="-1280031986"/>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7E108543" w14:textId="77777777" w:rsidR="008D2097" w:rsidRPr="00E44776" w:rsidRDefault="008D2097" w:rsidP="00A57E5C">
            <w:pPr>
              <w:pStyle w:val="Tabletext0"/>
              <w:jc w:val="center"/>
            </w:pPr>
            <w:r w:rsidRPr="00E44776">
              <w:t>7%</w:t>
            </w:r>
          </w:p>
        </w:tc>
      </w:tr>
      <w:tr w:rsidR="008D2097" w:rsidRPr="00E44776" w14:paraId="6E0A07A9"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58EE80C8" w14:textId="77777777" w:rsidR="008D2097" w:rsidRPr="00E44776" w:rsidRDefault="008D2097" w:rsidP="00A57E5C">
            <w:pPr>
              <w:pStyle w:val="Tabletext0"/>
              <w:tabs>
                <w:tab w:val="left" w:pos="37"/>
              </w:tabs>
              <w:ind w:left="37"/>
              <w:rPr>
                <w:szCs w:val="20"/>
              </w:rPr>
            </w:pPr>
            <w:r w:rsidRPr="00E44776">
              <w:rPr>
                <w:szCs w:val="20"/>
              </w:rPr>
              <w:t>Gompertz</w:t>
            </w:r>
          </w:p>
        </w:tc>
        <w:tc>
          <w:tcPr>
            <w:tcW w:w="1488" w:type="dxa"/>
            <w:tcBorders>
              <w:top w:val="single" w:sz="4" w:space="0" w:color="auto"/>
              <w:left w:val="single" w:sz="4" w:space="0" w:color="auto"/>
              <w:bottom w:val="single" w:sz="4" w:space="0" w:color="auto"/>
              <w:right w:val="single" w:sz="4" w:space="0" w:color="auto"/>
            </w:tcBorders>
          </w:tcPr>
          <w:p w14:paraId="50CF697F" w14:textId="6B2D6685" w:rsidR="008D2097" w:rsidRPr="00E44776" w:rsidRDefault="008D2097" w:rsidP="00A57E5C">
            <w:pPr>
              <w:pStyle w:val="Tabletext0"/>
              <w:jc w:val="center"/>
              <w:rPr>
                <w:szCs w:val="22"/>
              </w:rPr>
            </w:pPr>
            <w:r w:rsidRPr="00E44776">
              <w:t>$</w:t>
            </w:r>
            <w:r w:rsidR="00777DAE" w:rsidRPr="00FC7B41">
              <w:rPr>
                <w:color w:val="000000"/>
                <w:spacing w:val="51"/>
                <w:shd w:val="solid" w:color="000000" w:fill="000000"/>
                <w:fitText w:val="230" w:id="-1280031985"/>
                <w14:textFill>
                  <w14:solidFill>
                    <w14:srgbClr w14:val="000000">
                      <w14:alpha w14:val="100000"/>
                    </w14:srgbClr>
                  </w14:solidFill>
                </w14:textFill>
              </w:rPr>
              <w:t>||</w:t>
            </w:r>
            <w:r w:rsidR="00777DAE" w:rsidRPr="00FC7B41">
              <w:rPr>
                <w:color w:val="000000"/>
                <w:spacing w:val="1"/>
                <w:shd w:val="solid" w:color="000000" w:fill="000000"/>
                <w:fitText w:val="230" w:id="-1280031985"/>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400F1C1B" w14:textId="77777777" w:rsidR="008D2097" w:rsidRPr="00E44776" w:rsidRDefault="008D2097" w:rsidP="00A57E5C">
            <w:pPr>
              <w:pStyle w:val="Tabletext0"/>
              <w:jc w:val="center"/>
            </w:pPr>
            <w:r w:rsidRPr="00E44776">
              <w:t>0.948</w:t>
            </w:r>
          </w:p>
        </w:tc>
        <w:tc>
          <w:tcPr>
            <w:tcW w:w="1023" w:type="dxa"/>
            <w:tcBorders>
              <w:top w:val="single" w:sz="4" w:space="0" w:color="auto"/>
              <w:left w:val="single" w:sz="4" w:space="0" w:color="auto"/>
              <w:bottom w:val="single" w:sz="4" w:space="0" w:color="auto"/>
              <w:right w:val="single" w:sz="4" w:space="0" w:color="auto"/>
            </w:tcBorders>
          </w:tcPr>
          <w:p w14:paraId="1EB61206" w14:textId="194CFC6C"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84"/>
                <w14:textFill>
                  <w14:solidFill>
                    <w14:srgbClr w14:val="000000">
                      <w14:alpha w14:val="100000"/>
                    </w14:srgbClr>
                  </w14:solidFill>
                </w14:textFill>
              </w:rPr>
              <w:t>|||||</w:t>
            </w:r>
            <w:r w:rsidR="00777DAE" w:rsidRPr="00FC7B41">
              <w:rPr>
                <w:color w:val="000000"/>
                <w:spacing w:val="5"/>
                <w:shd w:val="solid" w:color="000000" w:fill="000000"/>
                <w:fitText w:val="470" w:id="-1280031984"/>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49DE3E54" w14:textId="77777777" w:rsidR="008D2097" w:rsidRPr="00E44776" w:rsidRDefault="008D2097" w:rsidP="00A57E5C">
            <w:pPr>
              <w:pStyle w:val="Tabletext0"/>
              <w:jc w:val="center"/>
            </w:pPr>
            <w:r w:rsidRPr="00E44776">
              <w:t>20%</w:t>
            </w:r>
          </w:p>
        </w:tc>
      </w:tr>
      <w:tr w:rsidR="008D2097" w:rsidRPr="00E44776" w14:paraId="2BB976FB"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hideMark/>
          </w:tcPr>
          <w:p w14:paraId="37D2C417" w14:textId="2B236D1B" w:rsidR="008D2097" w:rsidRPr="00E44776" w:rsidRDefault="008D2097" w:rsidP="00A57E5C">
            <w:pPr>
              <w:pStyle w:val="Tabletext0"/>
              <w:keepNext/>
              <w:tabs>
                <w:tab w:val="left" w:pos="37"/>
              </w:tabs>
              <w:rPr>
                <w:b/>
              </w:rPr>
            </w:pPr>
            <w:r w:rsidRPr="00E44776">
              <w:rPr>
                <w:b/>
              </w:rPr>
              <w:t>O</w:t>
            </w:r>
            <w:r w:rsidR="00D10A86" w:rsidRPr="00E44776">
              <w:rPr>
                <w:b/>
              </w:rPr>
              <w:t xml:space="preserve">S </w:t>
            </w:r>
            <w:r w:rsidRPr="00E44776">
              <w:rPr>
                <w:b/>
              </w:rPr>
              <w:t xml:space="preserve">extrapolation </w:t>
            </w:r>
            <w:r w:rsidR="003531E8" w:rsidRPr="00E44776">
              <w:rPr>
                <w:b/>
              </w:rPr>
              <w:t xml:space="preserve">for acalabrutinib + obinutuzumab </w:t>
            </w:r>
            <w:r w:rsidRPr="00E44776">
              <w:rPr>
                <w:b/>
              </w:rPr>
              <w:t>(base case: log-normal)</w:t>
            </w:r>
          </w:p>
        </w:tc>
      </w:tr>
      <w:tr w:rsidR="008D2097" w:rsidRPr="00E44776" w14:paraId="781ADA21"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05163FBF" w14:textId="77777777" w:rsidR="008D2097" w:rsidRPr="00E44776" w:rsidRDefault="008D2097" w:rsidP="00A57E5C">
            <w:pPr>
              <w:pStyle w:val="Tabletext0"/>
              <w:tabs>
                <w:tab w:val="left" w:pos="37"/>
              </w:tabs>
              <w:ind w:left="37"/>
              <w:rPr>
                <w:szCs w:val="20"/>
              </w:rPr>
            </w:pPr>
            <w:r w:rsidRPr="00E44776">
              <w:rPr>
                <w:szCs w:val="20"/>
              </w:rPr>
              <w:t>Gompertz</w:t>
            </w:r>
          </w:p>
        </w:tc>
        <w:tc>
          <w:tcPr>
            <w:tcW w:w="1488" w:type="dxa"/>
            <w:tcBorders>
              <w:top w:val="single" w:sz="4" w:space="0" w:color="auto"/>
              <w:left w:val="single" w:sz="4" w:space="0" w:color="auto"/>
              <w:bottom w:val="single" w:sz="4" w:space="0" w:color="auto"/>
              <w:right w:val="single" w:sz="4" w:space="0" w:color="auto"/>
            </w:tcBorders>
          </w:tcPr>
          <w:p w14:paraId="41983D95" w14:textId="3F3257C6" w:rsidR="008D2097" w:rsidRPr="00E44776" w:rsidRDefault="008D2097" w:rsidP="00A57E5C">
            <w:pPr>
              <w:pStyle w:val="Tabletext0"/>
              <w:jc w:val="center"/>
              <w:rPr>
                <w:szCs w:val="22"/>
                <w:highlight w:val="yellow"/>
              </w:rPr>
            </w:pPr>
            <w:r w:rsidRPr="00E44776">
              <w:t>$</w:t>
            </w:r>
            <w:r w:rsidR="00777DAE" w:rsidRPr="00FC7B41">
              <w:rPr>
                <w:color w:val="000000"/>
                <w:spacing w:val="51"/>
                <w:shd w:val="solid" w:color="000000" w:fill="000000"/>
                <w:fitText w:val="230" w:id="-1280032000"/>
                <w14:textFill>
                  <w14:solidFill>
                    <w14:srgbClr w14:val="000000">
                      <w14:alpha w14:val="100000"/>
                    </w14:srgbClr>
                  </w14:solidFill>
                </w14:textFill>
              </w:rPr>
              <w:t>||</w:t>
            </w:r>
            <w:r w:rsidR="00777DAE" w:rsidRPr="00FC7B41">
              <w:rPr>
                <w:color w:val="000000"/>
                <w:spacing w:val="1"/>
                <w:shd w:val="solid" w:color="000000" w:fill="000000"/>
                <w:fitText w:val="230" w:id="-1280032000"/>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087F43A4" w14:textId="77777777" w:rsidR="008D2097" w:rsidRPr="00E44776" w:rsidRDefault="008D2097" w:rsidP="00A57E5C">
            <w:pPr>
              <w:pStyle w:val="Tabletext0"/>
              <w:jc w:val="center"/>
              <w:rPr>
                <w:highlight w:val="yellow"/>
              </w:rPr>
            </w:pPr>
            <w:r w:rsidRPr="00E44776">
              <w:t>0.870</w:t>
            </w:r>
          </w:p>
        </w:tc>
        <w:tc>
          <w:tcPr>
            <w:tcW w:w="1023" w:type="dxa"/>
            <w:tcBorders>
              <w:top w:val="single" w:sz="4" w:space="0" w:color="auto"/>
              <w:left w:val="single" w:sz="4" w:space="0" w:color="auto"/>
              <w:bottom w:val="single" w:sz="4" w:space="0" w:color="auto"/>
              <w:right w:val="single" w:sz="4" w:space="0" w:color="auto"/>
            </w:tcBorders>
          </w:tcPr>
          <w:p w14:paraId="15529B22" w14:textId="7C910DFC" w:rsidR="008D2097" w:rsidRPr="00E44776" w:rsidRDefault="008D2097" w:rsidP="00A57E5C">
            <w:pPr>
              <w:pStyle w:val="Tabletext0"/>
              <w:jc w:val="center"/>
              <w:rPr>
                <w:highlight w:val="yellow"/>
              </w:rPr>
            </w:pPr>
            <w:r w:rsidRPr="00E44776">
              <w:t>$</w:t>
            </w:r>
            <w:r w:rsidR="00777DAE" w:rsidRPr="00FC7B41">
              <w:rPr>
                <w:color w:val="000000"/>
                <w:spacing w:val="42"/>
                <w:shd w:val="solid" w:color="000000" w:fill="000000"/>
                <w:fitText w:val="470" w:id="-1280031999"/>
                <w14:textFill>
                  <w14:solidFill>
                    <w14:srgbClr w14:val="000000">
                      <w14:alpha w14:val="100000"/>
                    </w14:srgbClr>
                  </w14:solidFill>
                </w14:textFill>
              </w:rPr>
              <w:t>|||||</w:t>
            </w:r>
            <w:r w:rsidR="00777DAE" w:rsidRPr="00FC7B41">
              <w:rPr>
                <w:color w:val="000000"/>
                <w:spacing w:val="5"/>
                <w:shd w:val="solid" w:color="000000" w:fill="000000"/>
                <w:fitText w:val="470" w:id="-1280031999"/>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1D1635CE" w14:textId="77777777" w:rsidR="008D2097" w:rsidRPr="00E44776" w:rsidRDefault="008D2097" w:rsidP="00A57E5C">
            <w:pPr>
              <w:pStyle w:val="Tabletext0"/>
              <w:jc w:val="center"/>
            </w:pPr>
            <w:r w:rsidRPr="00E44776">
              <w:t>12%</w:t>
            </w:r>
          </w:p>
        </w:tc>
      </w:tr>
      <w:tr w:rsidR="008D2097" w:rsidRPr="00E44776" w14:paraId="01B3D07D"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392F09F7" w14:textId="77777777" w:rsidR="008D2097" w:rsidRPr="00E44776" w:rsidRDefault="008D2097" w:rsidP="00A57E5C">
            <w:pPr>
              <w:pStyle w:val="Tabletext0"/>
              <w:tabs>
                <w:tab w:val="left" w:pos="37"/>
              </w:tabs>
              <w:ind w:left="37"/>
              <w:rPr>
                <w:szCs w:val="20"/>
              </w:rPr>
            </w:pPr>
            <w:r w:rsidRPr="00E44776">
              <w:rPr>
                <w:szCs w:val="20"/>
              </w:rPr>
              <w:t>Weibull</w:t>
            </w:r>
          </w:p>
        </w:tc>
        <w:tc>
          <w:tcPr>
            <w:tcW w:w="1488" w:type="dxa"/>
            <w:tcBorders>
              <w:top w:val="single" w:sz="4" w:space="0" w:color="auto"/>
              <w:left w:val="single" w:sz="4" w:space="0" w:color="auto"/>
              <w:bottom w:val="single" w:sz="4" w:space="0" w:color="auto"/>
              <w:right w:val="single" w:sz="4" w:space="0" w:color="auto"/>
            </w:tcBorders>
          </w:tcPr>
          <w:p w14:paraId="5C9E2ACF" w14:textId="389E5EB4"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98"/>
                <w14:textFill>
                  <w14:solidFill>
                    <w14:srgbClr w14:val="000000">
                      <w14:alpha w14:val="100000"/>
                    </w14:srgbClr>
                  </w14:solidFill>
                </w14:textFill>
              </w:rPr>
              <w:t>||</w:t>
            </w:r>
            <w:r w:rsidR="00777DAE" w:rsidRPr="00FC7B41">
              <w:rPr>
                <w:color w:val="000000"/>
                <w:spacing w:val="1"/>
                <w:shd w:val="solid" w:color="000000" w:fill="000000"/>
                <w:fitText w:val="230" w:id="-1280031998"/>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3ADD3E7C" w14:textId="77777777" w:rsidR="008D2097" w:rsidRPr="00E44776" w:rsidRDefault="008D2097" w:rsidP="00A57E5C">
            <w:pPr>
              <w:pStyle w:val="Tabletext0"/>
              <w:jc w:val="center"/>
            </w:pPr>
            <w:r w:rsidRPr="00E44776">
              <w:t>1.014</w:t>
            </w:r>
          </w:p>
        </w:tc>
        <w:tc>
          <w:tcPr>
            <w:tcW w:w="1023" w:type="dxa"/>
            <w:tcBorders>
              <w:top w:val="single" w:sz="4" w:space="0" w:color="auto"/>
              <w:left w:val="single" w:sz="4" w:space="0" w:color="auto"/>
              <w:bottom w:val="single" w:sz="4" w:space="0" w:color="auto"/>
              <w:right w:val="single" w:sz="4" w:space="0" w:color="auto"/>
            </w:tcBorders>
          </w:tcPr>
          <w:p w14:paraId="54B2FB7B" w14:textId="1D5141FD"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97"/>
                <w14:textFill>
                  <w14:solidFill>
                    <w14:srgbClr w14:val="000000">
                      <w14:alpha w14:val="100000"/>
                    </w14:srgbClr>
                  </w14:solidFill>
                </w14:textFill>
              </w:rPr>
              <w:t>|||||</w:t>
            </w:r>
            <w:r w:rsidR="00777DAE" w:rsidRPr="00FC7B41">
              <w:rPr>
                <w:color w:val="000000"/>
                <w:spacing w:val="5"/>
                <w:shd w:val="solid" w:color="000000" w:fill="000000"/>
                <w:fitText w:val="470" w:id="-1280031997"/>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71666EC1" w14:textId="77777777" w:rsidR="008D2097" w:rsidRPr="00E44776" w:rsidRDefault="008D2097" w:rsidP="00A57E5C">
            <w:pPr>
              <w:pStyle w:val="Tabletext0"/>
              <w:jc w:val="center"/>
            </w:pPr>
            <w:r w:rsidRPr="00E44776">
              <w:t>-2%</w:t>
            </w:r>
          </w:p>
        </w:tc>
      </w:tr>
      <w:tr w:rsidR="008D2097" w:rsidRPr="00E44776" w14:paraId="6DFABE8C"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6A51EDF3" w14:textId="77777777" w:rsidR="008D2097" w:rsidRPr="00E44776" w:rsidRDefault="008D2097" w:rsidP="00A57E5C">
            <w:pPr>
              <w:pStyle w:val="Tabletext0"/>
              <w:tabs>
                <w:tab w:val="left" w:pos="37"/>
              </w:tabs>
              <w:ind w:left="37"/>
              <w:rPr>
                <w:szCs w:val="20"/>
              </w:rPr>
            </w:pPr>
            <w:r w:rsidRPr="00E44776">
              <w:rPr>
                <w:szCs w:val="20"/>
              </w:rPr>
              <w:t>Exponential</w:t>
            </w:r>
          </w:p>
        </w:tc>
        <w:tc>
          <w:tcPr>
            <w:tcW w:w="1488" w:type="dxa"/>
            <w:tcBorders>
              <w:top w:val="single" w:sz="4" w:space="0" w:color="auto"/>
              <w:left w:val="single" w:sz="4" w:space="0" w:color="auto"/>
              <w:bottom w:val="single" w:sz="4" w:space="0" w:color="auto"/>
              <w:right w:val="single" w:sz="4" w:space="0" w:color="auto"/>
            </w:tcBorders>
          </w:tcPr>
          <w:p w14:paraId="6422795D" w14:textId="1CC8F736" w:rsidR="008D2097" w:rsidRPr="00E44776" w:rsidRDefault="008D2097" w:rsidP="00A57E5C">
            <w:pPr>
              <w:pStyle w:val="Tabletext0"/>
              <w:jc w:val="center"/>
              <w:rPr>
                <w:szCs w:val="22"/>
                <w:highlight w:val="yellow"/>
              </w:rPr>
            </w:pPr>
            <w:r w:rsidRPr="00E44776">
              <w:t>$</w:t>
            </w:r>
            <w:r w:rsidR="00777DAE" w:rsidRPr="00FC7B41">
              <w:rPr>
                <w:color w:val="000000"/>
                <w:spacing w:val="51"/>
                <w:shd w:val="solid" w:color="000000" w:fill="000000"/>
                <w:fitText w:val="230" w:id="-1280031996"/>
                <w14:textFill>
                  <w14:solidFill>
                    <w14:srgbClr w14:val="000000">
                      <w14:alpha w14:val="100000"/>
                    </w14:srgbClr>
                  </w14:solidFill>
                </w14:textFill>
              </w:rPr>
              <w:t>||</w:t>
            </w:r>
            <w:r w:rsidR="00777DAE" w:rsidRPr="00FC7B41">
              <w:rPr>
                <w:color w:val="000000"/>
                <w:spacing w:val="1"/>
                <w:shd w:val="solid" w:color="000000" w:fill="000000"/>
                <w:fitText w:val="230" w:id="-1280031996"/>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1996DFD2" w14:textId="77777777" w:rsidR="008D2097" w:rsidRPr="00E44776" w:rsidRDefault="008D2097" w:rsidP="00A57E5C">
            <w:pPr>
              <w:pStyle w:val="Tabletext0"/>
              <w:jc w:val="center"/>
              <w:rPr>
                <w:highlight w:val="yellow"/>
              </w:rPr>
            </w:pPr>
            <w:r w:rsidRPr="00E44776">
              <w:t>1.116</w:t>
            </w:r>
          </w:p>
        </w:tc>
        <w:tc>
          <w:tcPr>
            <w:tcW w:w="1023" w:type="dxa"/>
            <w:tcBorders>
              <w:top w:val="single" w:sz="4" w:space="0" w:color="auto"/>
              <w:left w:val="single" w:sz="4" w:space="0" w:color="auto"/>
              <w:bottom w:val="single" w:sz="4" w:space="0" w:color="auto"/>
              <w:right w:val="single" w:sz="4" w:space="0" w:color="auto"/>
            </w:tcBorders>
          </w:tcPr>
          <w:p w14:paraId="4C153881" w14:textId="573267D8" w:rsidR="008D2097" w:rsidRPr="00E44776" w:rsidRDefault="008D2097" w:rsidP="00A57E5C">
            <w:pPr>
              <w:pStyle w:val="Tabletext0"/>
              <w:jc w:val="center"/>
              <w:rPr>
                <w:highlight w:val="yellow"/>
              </w:rPr>
            </w:pPr>
            <w:r w:rsidRPr="00E44776">
              <w:t>$</w:t>
            </w:r>
            <w:r w:rsidR="00777DAE" w:rsidRPr="00FC7B41">
              <w:rPr>
                <w:color w:val="000000"/>
                <w:spacing w:val="42"/>
                <w:shd w:val="solid" w:color="000000" w:fill="000000"/>
                <w:fitText w:val="470" w:id="-1280031995"/>
                <w14:textFill>
                  <w14:solidFill>
                    <w14:srgbClr w14:val="000000">
                      <w14:alpha w14:val="100000"/>
                    </w14:srgbClr>
                  </w14:solidFill>
                </w14:textFill>
              </w:rPr>
              <w:t>|||||</w:t>
            </w:r>
            <w:r w:rsidR="00777DAE" w:rsidRPr="00FC7B41">
              <w:rPr>
                <w:color w:val="000000"/>
                <w:spacing w:val="5"/>
                <w:shd w:val="solid" w:color="000000" w:fill="000000"/>
                <w:fitText w:val="470" w:id="-1280031995"/>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65259610" w14:textId="77777777" w:rsidR="008D2097" w:rsidRPr="00E44776" w:rsidRDefault="008D2097" w:rsidP="00A57E5C">
            <w:pPr>
              <w:pStyle w:val="Tabletext0"/>
              <w:jc w:val="center"/>
            </w:pPr>
            <w:r w:rsidRPr="00E44776">
              <w:t>-10%</w:t>
            </w:r>
          </w:p>
        </w:tc>
      </w:tr>
      <w:tr w:rsidR="008D2097" w:rsidRPr="00E44776" w14:paraId="3B9DB6D5"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tcPr>
          <w:p w14:paraId="476CFFCA" w14:textId="4837CD31" w:rsidR="008D2097" w:rsidRPr="00E44776" w:rsidRDefault="00D67E2B" w:rsidP="00A57E5C">
            <w:pPr>
              <w:pStyle w:val="Tabletext0"/>
              <w:rPr>
                <w:b/>
                <w:bCs/>
              </w:rPr>
            </w:pPr>
            <w:r w:rsidRPr="00E44776">
              <w:rPr>
                <w:b/>
                <w:bCs/>
              </w:rPr>
              <w:t>Time to treatment discontinuation</w:t>
            </w:r>
            <w:r w:rsidR="008D2097" w:rsidRPr="00E44776">
              <w:rPr>
                <w:b/>
                <w:bCs/>
              </w:rPr>
              <w:t xml:space="preserve"> extrapolation for acalabrutinib + obinutuzumab (base case: exponential)</w:t>
            </w:r>
          </w:p>
        </w:tc>
      </w:tr>
      <w:tr w:rsidR="008D2097" w:rsidRPr="00E44776" w14:paraId="6B543855"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2C7BEA0A" w14:textId="77777777" w:rsidR="008D2097" w:rsidRPr="00E44776" w:rsidRDefault="008D2097" w:rsidP="00A57E5C">
            <w:pPr>
              <w:pStyle w:val="Tabletext0"/>
              <w:tabs>
                <w:tab w:val="left" w:pos="37"/>
              </w:tabs>
              <w:ind w:left="37"/>
              <w:rPr>
                <w:szCs w:val="20"/>
              </w:rPr>
            </w:pPr>
            <w:r w:rsidRPr="00E44776">
              <w:rPr>
                <w:szCs w:val="20"/>
              </w:rPr>
              <w:t>Log-normal</w:t>
            </w:r>
          </w:p>
        </w:tc>
        <w:tc>
          <w:tcPr>
            <w:tcW w:w="1488" w:type="dxa"/>
            <w:tcBorders>
              <w:top w:val="single" w:sz="4" w:space="0" w:color="auto"/>
              <w:left w:val="single" w:sz="4" w:space="0" w:color="auto"/>
              <w:bottom w:val="single" w:sz="4" w:space="0" w:color="auto"/>
              <w:right w:val="single" w:sz="4" w:space="0" w:color="auto"/>
            </w:tcBorders>
          </w:tcPr>
          <w:p w14:paraId="28CE4140" w14:textId="4206C5F9" w:rsidR="008D2097" w:rsidRPr="00E44776" w:rsidRDefault="008D2097" w:rsidP="00A57E5C">
            <w:pPr>
              <w:pStyle w:val="Tabletext0"/>
              <w:jc w:val="center"/>
              <w:rPr>
                <w:szCs w:val="22"/>
              </w:rPr>
            </w:pPr>
            <w:r w:rsidRPr="00E44776">
              <w:t>$</w:t>
            </w:r>
            <w:r w:rsidR="00777DAE" w:rsidRPr="00FC7B41">
              <w:rPr>
                <w:color w:val="000000"/>
                <w:spacing w:val="51"/>
                <w:shd w:val="solid" w:color="000000" w:fill="000000"/>
                <w:fitText w:val="230" w:id="-1280031994"/>
                <w14:textFill>
                  <w14:solidFill>
                    <w14:srgbClr w14:val="000000">
                      <w14:alpha w14:val="100000"/>
                    </w14:srgbClr>
                  </w14:solidFill>
                </w14:textFill>
              </w:rPr>
              <w:t>||</w:t>
            </w:r>
            <w:r w:rsidR="00777DAE" w:rsidRPr="00FC7B41">
              <w:rPr>
                <w:color w:val="000000"/>
                <w:spacing w:val="1"/>
                <w:shd w:val="solid" w:color="000000" w:fill="000000"/>
                <w:fitText w:val="230" w:id="-1280031994"/>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0BA9EFE5" w14:textId="77777777" w:rsidR="008D2097" w:rsidRPr="00E44776" w:rsidRDefault="008D2097" w:rsidP="00A57E5C">
            <w:pPr>
              <w:pStyle w:val="Tabletext0"/>
              <w:jc w:val="center"/>
            </w:pPr>
            <w:r w:rsidRPr="00E44776">
              <w:t>0.99</w:t>
            </w:r>
          </w:p>
        </w:tc>
        <w:tc>
          <w:tcPr>
            <w:tcW w:w="1023" w:type="dxa"/>
            <w:tcBorders>
              <w:top w:val="single" w:sz="4" w:space="0" w:color="auto"/>
              <w:left w:val="single" w:sz="4" w:space="0" w:color="auto"/>
              <w:bottom w:val="single" w:sz="4" w:space="0" w:color="auto"/>
              <w:right w:val="single" w:sz="4" w:space="0" w:color="auto"/>
            </w:tcBorders>
          </w:tcPr>
          <w:p w14:paraId="1164EE26" w14:textId="32D9FBDD"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93"/>
                <w14:textFill>
                  <w14:solidFill>
                    <w14:srgbClr w14:val="000000">
                      <w14:alpha w14:val="100000"/>
                    </w14:srgbClr>
                  </w14:solidFill>
                </w14:textFill>
              </w:rPr>
              <w:t>|||||</w:t>
            </w:r>
            <w:r w:rsidR="00777DAE" w:rsidRPr="00FC7B41">
              <w:rPr>
                <w:color w:val="000000"/>
                <w:spacing w:val="5"/>
                <w:shd w:val="solid" w:color="000000" w:fill="000000"/>
                <w:fitText w:val="470" w:id="-1280031993"/>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6810E5FE" w14:textId="77777777" w:rsidR="008D2097" w:rsidRPr="00E44776" w:rsidRDefault="008D2097" w:rsidP="00A57E5C">
            <w:pPr>
              <w:pStyle w:val="Tabletext0"/>
              <w:jc w:val="center"/>
            </w:pPr>
            <w:r w:rsidRPr="00E44776">
              <w:t>1%</w:t>
            </w:r>
          </w:p>
        </w:tc>
      </w:tr>
      <w:tr w:rsidR="008D2097" w:rsidRPr="00E44776" w14:paraId="7DCA9100"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tcPr>
          <w:p w14:paraId="190206C6" w14:textId="77777777" w:rsidR="008D2097" w:rsidRPr="00E44776" w:rsidRDefault="008D2097" w:rsidP="00A57E5C">
            <w:pPr>
              <w:pStyle w:val="Tabletext0"/>
              <w:rPr>
                <w:b/>
                <w:bCs/>
              </w:rPr>
            </w:pPr>
            <w:r w:rsidRPr="00E44776">
              <w:rPr>
                <w:b/>
                <w:bCs/>
              </w:rPr>
              <w:t>PFS hazard ratio for venetoclax + obinutuzumab (base case: 0.38)</w:t>
            </w:r>
          </w:p>
        </w:tc>
      </w:tr>
      <w:tr w:rsidR="008D2097" w:rsidRPr="00E44776" w14:paraId="7FAD0D8D"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5F299A3E" w14:textId="77777777" w:rsidR="008D2097" w:rsidRPr="00E44776" w:rsidRDefault="008D2097" w:rsidP="00A57E5C">
            <w:pPr>
              <w:pStyle w:val="Tabletext0"/>
              <w:tabs>
                <w:tab w:val="left" w:pos="37"/>
              </w:tabs>
              <w:ind w:left="37"/>
              <w:rPr>
                <w:szCs w:val="20"/>
              </w:rPr>
            </w:pPr>
            <w:r w:rsidRPr="00E44776">
              <w:rPr>
                <w:szCs w:val="20"/>
              </w:rPr>
              <w:t>Hazard ratio 0.20 (lower 95% CI of MAIC)</w:t>
            </w:r>
          </w:p>
        </w:tc>
        <w:tc>
          <w:tcPr>
            <w:tcW w:w="1488" w:type="dxa"/>
            <w:tcBorders>
              <w:top w:val="single" w:sz="4" w:space="0" w:color="auto"/>
              <w:left w:val="single" w:sz="4" w:space="0" w:color="auto"/>
              <w:bottom w:val="single" w:sz="4" w:space="0" w:color="auto"/>
              <w:right w:val="single" w:sz="4" w:space="0" w:color="auto"/>
            </w:tcBorders>
          </w:tcPr>
          <w:p w14:paraId="5A0F366E" w14:textId="7EDFB455"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92"/>
                <w14:textFill>
                  <w14:solidFill>
                    <w14:srgbClr w14:val="000000">
                      <w14:alpha w14:val="100000"/>
                    </w14:srgbClr>
                  </w14:solidFill>
                </w14:textFill>
              </w:rPr>
              <w:t>||</w:t>
            </w:r>
            <w:r w:rsidR="00777DAE" w:rsidRPr="00FC7B41">
              <w:rPr>
                <w:color w:val="000000"/>
                <w:spacing w:val="1"/>
                <w:shd w:val="solid" w:color="000000" w:fill="000000"/>
                <w:fitText w:val="230" w:id="-1280031992"/>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14A8081C" w14:textId="77777777" w:rsidR="008D2097" w:rsidRPr="00E44776" w:rsidRDefault="008D2097" w:rsidP="00A57E5C">
            <w:pPr>
              <w:pStyle w:val="Tabletext0"/>
              <w:jc w:val="center"/>
            </w:pPr>
            <w:r w:rsidRPr="00E44776">
              <w:t>1.076</w:t>
            </w:r>
          </w:p>
        </w:tc>
        <w:tc>
          <w:tcPr>
            <w:tcW w:w="1023" w:type="dxa"/>
            <w:tcBorders>
              <w:top w:val="single" w:sz="4" w:space="0" w:color="auto"/>
              <w:left w:val="single" w:sz="4" w:space="0" w:color="auto"/>
              <w:bottom w:val="single" w:sz="4" w:space="0" w:color="auto"/>
              <w:right w:val="single" w:sz="4" w:space="0" w:color="auto"/>
            </w:tcBorders>
          </w:tcPr>
          <w:p w14:paraId="0D4BCE1A" w14:textId="7092E80B"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91"/>
                <w14:textFill>
                  <w14:solidFill>
                    <w14:srgbClr w14:val="000000">
                      <w14:alpha w14:val="100000"/>
                    </w14:srgbClr>
                  </w14:solidFill>
                </w14:textFill>
              </w:rPr>
              <w:t>|||||</w:t>
            </w:r>
            <w:r w:rsidR="00777DAE" w:rsidRPr="00FC7B41">
              <w:rPr>
                <w:color w:val="000000"/>
                <w:spacing w:val="5"/>
                <w:shd w:val="solid" w:color="000000" w:fill="000000"/>
                <w:fitText w:val="470" w:id="-1280031991"/>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302E6A34" w14:textId="77777777" w:rsidR="008D2097" w:rsidRPr="00E44776" w:rsidRDefault="008D2097" w:rsidP="00A57E5C">
            <w:pPr>
              <w:pStyle w:val="Tabletext0"/>
              <w:jc w:val="center"/>
            </w:pPr>
            <w:r w:rsidRPr="00E44776">
              <w:t>-11%</w:t>
            </w:r>
          </w:p>
        </w:tc>
      </w:tr>
      <w:tr w:rsidR="008D2097" w:rsidRPr="00E44776" w14:paraId="78631B4A"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2CEDD10F" w14:textId="77777777" w:rsidR="008D2097" w:rsidRPr="00E44776" w:rsidRDefault="008D2097" w:rsidP="00A57E5C">
            <w:pPr>
              <w:pStyle w:val="Tabletext0"/>
              <w:tabs>
                <w:tab w:val="left" w:pos="37"/>
              </w:tabs>
              <w:ind w:left="37"/>
              <w:rPr>
                <w:szCs w:val="20"/>
              </w:rPr>
            </w:pPr>
            <w:r w:rsidRPr="00E44776">
              <w:rPr>
                <w:szCs w:val="20"/>
              </w:rPr>
              <w:t>Hazard ratio 0.73 (upper 95% CI of MAIC)</w:t>
            </w:r>
          </w:p>
        </w:tc>
        <w:tc>
          <w:tcPr>
            <w:tcW w:w="1488" w:type="dxa"/>
            <w:tcBorders>
              <w:top w:val="single" w:sz="4" w:space="0" w:color="auto"/>
              <w:left w:val="single" w:sz="4" w:space="0" w:color="auto"/>
              <w:bottom w:val="single" w:sz="4" w:space="0" w:color="auto"/>
              <w:right w:val="single" w:sz="4" w:space="0" w:color="auto"/>
            </w:tcBorders>
          </w:tcPr>
          <w:p w14:paraId="3A7A0996" w14:textId="109A1488"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90"/>
                <w14:textFill>
                  <w14:solidFill>
                    <w14:srgbClr w14:val="000000">
                      <w14:alpha w14:val="100000"/>
                    </w14:srgbClr>
                  </w14:solidFill>
                </w14:textFill>
              </w:rPr>
              <w:t>||</w:t>
            </w:r>
            <w:r w:rsidR="00777DAE" w:rsidRPr="00FC7B41">
              <w:rPr>
                <w:color w:val="000000"/>
                <w:spacing w:val="1"/>
                <w:shd w:val="solid" w:color="000000" w:fill="000000"/>
                <w:fitText w:val="230" w:id="-1280031990"/>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76CE90DC" w14:textId="77777777" w:rsidR="008D2097" w:rsidRPr="00E44776" w:rsidRDefault="008D2097" w:rsidP="00A57E5C">
            <w:pPr>
              <w:pStyle w:val="Tabletext0"/>
              <w:jc w:val="center"/>
            </w:pPr>
            <w:r w:rsidRPr="00E44776">
              <w:t>0.770</w:t>
            </w:r>
          </w:p>
        </w:tc>
        <w:tc>
          <w:tcPr>
            <w:tcW w:w="1023" w:type="dxa"/>
            <w:tcBorders>
              <w:top w:val="single" w:sz="4" w:space="0" w:color="auto"/>
              <w:left w:val="single" w:sz="4" w:space="0" w:color="auto"/>
              <w:bottom w:val="single" w:sz="4" w:space="0" w:color="auto"/>
              <w:right w:val="single" w:sz="4" w:space="0" w:color="auto"/>
            </w:tcBorders>
          </w:tcPr>
          <w:p w14:paraId="6D98522A" w14:textId="7CB46363"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89"/>
                <w14:textFill>
                  <w14:solidFill>
                    <w14:srgbClr w14:val="000000">
                      <w14:alpha w14:val="100000"/>
                    </w14:srgbClr>
                  </w14:solidFill>
                </w14:textFill>
              </w:rPr>
              <w:t>|||||</w:t>
            </w:r>
            <w:r w:rsidR="00777DAE" w:rsidRPr="00FC7B41">
              <w:rPr>
                <w:color w:val="000000"/>
                <w:spacing w:val="5"/>
                <w:shd w:val="solid" w:color="000000" w:fill="000000"/>
                <w:fitText w:val="470" w:id="-1280031989"/>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0794F40C" w14:textId="77777777" w:rsidR="008D2097" w:rsidRPr="00E44776" w:rsidRDefault="008D2097" w:rsidP="00A57E5C">
            <w:pPr>
              <w:pStyle w:val="Tabletext0"/>
              <w:jc w:val="center"/>
            </w:pPr>
            <w:r w:rsidRPr="00E44776">
              <w:t>88%</w:t>
            </w:r>
          </w:p>
        </w:tc>
      </w:tr>
      <w:tr w:rsidR="008D2097" w:rsidRPr="00E44776" w14:paraId="518FD689"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0D1AE929" w14:textId="77777777" w:rsidR="008D2097" w:rsidRPr="00E44776" w:rsidRDefault="008D2097" w:rsidP="00A57E5C">
            <w:pPr>
              <w:pStyle w:val="Tabletext0"/>
              <w:tabs>
                <w:tab w:val="left" w:pos="37"/>
              </w:tabs>
              <w:ind w:left="37"/>
              <w:rPr>
                <w:szCs w:val="20"/>
              </w:rPr>
            </w:pPr>
            <w:r w:rsidRPr="00E44776">
              <w:rPr>
                <w:szCs w:val="20"/>
              </w:rPr>
              <w:t>Hazard ratio 1.0</w:t>
            </w:r>
          </w:p>
        </w:tc>
        <w:tc>
          <w:tcPr>
            <w:tcW w:w="1488" w:type="dxa"/>
            <w:tcBorders>
              <w:top w:val="single" w:sz="4" w:space="0" w:color="auto"/>
              <w:left w:val="single" w:sz="4" w:space="0" w:color="auto"/>
              <w:bottom w:val="single" w:sz="4" w:space="0" w:color="auto"/>
              <w:right w:val="single" w:sz="4" w:space="0" w:color="auto"/>
            </w:tcBorders>
          </w:tcPr>
          <w:p w14:paraId="5C6F865C" w14:textId="790BA53B"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88"/>
                <w14:textFill>
                  <w14:solidFill>
                    <w14:srgbClr w14:val="000000">
                      <w14:alpha w14:val="100000"/>
                    </w14:srgbClr>
                  </w14:solidFill>
                </w14:textFill>
              </w:rPr>
              <w:t>||</w:t>
            </w:r>
            <w:r w:rsidR="00777DAE" w:rsidRPr="00FC7B41">
              <w:rPr>
                <w:color w:val="000000"/>
                <w:spacing w:val="1"/>
                <w:shd w:val="solid" w:color="000000" w:fill="000000"/>
                <w:fitText w:val="230" w:id="-1280031988"/>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3D8267AA" w14:textId="77777777" w:rsidR="008D2097" w:rsidRPr="00E44776" w:rsidRDefault="008D2097" w:rsidP="00A57E5C">
            <w:pPr>
              <w:pStyle w:val="Tabletext0"/>
              <w:jc w:val="center"/>
            </w:pPr>
            <w:r w:rsidRPr="00E44776">
              <w:t>0.681</w:t>
            </w:r>
          </w:p>
        </w:tc>
        <w:tc>
          <w:tcPr>
            <w:tcW w:w="1023" w:type="dxa"/>
            <w:tcBorders>
              <w:top w:val="single" w:sz="4" w:space="0" w:color="auto"/>
              <w:left w:val="single" w:sz="4" w:space="0" w:color="auto"/>
              <w:bottom w:val="single" w:sz="4" w:space="0" w:color="auto"/>
              <w:right w:val="single" w:sz="4" w:space="0" w:color="auto"/>
            </w:tcBorders>
          </w:tcPr>
          <w:p w14:paraId="4ECFC258" w14:textId="6E1878C8"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87"/>
                <w14:textFill>
                  <w14:solidFill>
                    <w14:srgbClr w14:val="000000">
                      <w14:alpha w14:val="100000"/>
                    </w14:srgbClr>
                  </w14:solidFill>
                </w14:textFill>
              </w:rPr>
              <w:t>|||||</w:t>
            </w:r>
            <w:r w:rsidR="00777DAE" w:rsidRPr="00FC7B41">
              <w:rPr>
                <w:color w:val="000000"/>
                <w:spacing w:val="5"/>
                <w:shd w:val="solid" w:color="000000" w:fill="000000"/>
                <w:fitText w:val="470" w:id="-1280031987"/>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135F7ECA" w14:textId="77777777" w:rsidR="008D2097" w:rsidRPr="00E44776" w:rsidRDefault="008D2097" w:rsidP="00A57E5C">
            <w:pPr>
              <w:pStyle w:val="Tabletext0"/>
              <w:jc w:val="center"/>
            </w:pPr>
            <w:r w:rsidRPr="00E44776">
              <w:t>143%</w:t>
            </w:r>
          </w:p>
        </w:tc>
      </w:tr>
      <w:tr w:rsidR="008D2097" w:rsidRPr="00E44776" w14:paraId="50A8890F"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tcPr>
          <w:p w14:paraId="162626BB" w14:textId="77777777" w:rsidR="008D2097" w:rsidRPr="00E44776" w:rsidRDefault="008D2097" w:rsidP="00034201">
            <w:pPr>
              <w:pStyle w:val="Tabletext0"/>
              <w:keepNext/>
              <w:rPr>
                <w:b/>
                <w:bCs/>
              </w:rPr>
            </w:pPr>
            <w:r w:rsidRPr="00E44776">
              <w:rPr>
                <w:b/>
                <w:bCs/>
              </w:rPr>
              <w:t>OS hazard ratio for venetoclax + obinutuzumab (base case: 0.43)</w:t>
            </w:r>
          </w:p>
        </w:tc>
      </w:tr>
      <w:tr w:rsidR="008D2097" w:rsidRPr="00E44776" w14:paraId="16EF651A"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6C9ED5F8" w14:textId="77777777" w:rsidR="008D2097" w:rsidRPr="00E44776" w:rsidRDefault="008D2097" w:rsidP="00A57E5C">
            <w:pPr>
              <w:pStyle w:val="Tabletext0"/>
              <w:tabs>
                <w:tab w:val="left" w:pos="37"/>
              </w:tabs>
              <w:ind w:left="37"/>
              <w:rPr>
                <w:szCs w:val="20"/>
              </w:rPr>
            </w:pPr>
            <w:r w:rsidRPr="00E44776">
              <w:rPr>
                <w:szCs w:val="20"/>
              </w:rPr>
              <w:t>Hazard ratio 0.19 (lower 95% CI of MAIC)</w:t>
            </w:r>
          </w:p>
        </w:tc>
        <w:tc>
          <w:tcPr>
            <w:tcW w:w="1488" w:type="dxa"/>
            <w:tcBorders>
              <w:top w:val="single" w:sz="4" w:space="0" w:color="auto"/>
              <w:left w:val="single" w:sz="4" w:space="0" w:color="auto"/>
              <w:bottom w:val="single" w:sz="4" w:space="0" w:color="auto"/>
              <w:right w:val="single" w:sz="4" w:space="0" w:color="auto"/>
            </w:tcBorders>
          </w:tcPr>
          <w:p w14:paraId="24837CE9" w14:textId="03A1870C"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86"/>
                <w14:textFill>
                  <w14:solidFill>
                    <w14:srgbClr w14:val="000000">
                      <w14:alpha w14:val="100000"/>
                    </w14:srgbClr>
                  </w14:solidFill>
                </w14:textFill>
              </w:rPr>
              <w:t>||</w:t>
            </w:r>
            <w:r w:rsidR="00777DAE" w:rsidRPr="00FC7B41">
              <w:rPr>
                <w:color w:val="000000"/>
                <w:spacing w:val="1"/>
                <w:shd w:val="solid" w:color="000000" w:fill="000000"/>
                <w:fitText w:val="230" w:id="-1280031986"/>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635BCD2F" w14:textId="77777777" w:rsidR="008D2097" w:rsidRPr="00E44776" w:rsidRDefault="008D2097" w:rsidP="00A57E5C">
            <w:pPr>
              <w:pStyle w:val="Tabletext0"/>
              <w:jc w:val="center"/>
            </w:pPr>
            <w:r w:rsidRPr="00E44776">
              <w:t>2.162</w:t>
            </w:r>
          </w:p>
        </w:tc>
        <w:tc>
          <w:tcPr>
            <w:tcW w:w="1023" w:type="dxa"/>
            <w:tcBorders>
              <w:top w:val="single" w:sz="4" w:space="0" w:color="auto"/>
              <w:left w:val="single" w:sz="4" w:space="0" w:color="auto"/>
              <w:bottom w:val="single" w:sz="4" w:space="0" w:color="auto"/>
              <w:right w:val="single" w:sz="4" w:space="0" w:color="auto"/>
            </w:tcBorders>
          </w:tcPr>
          <w:p w14:paraId="53DB7C68" w14:textId="0C27D6A0"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85"/>
                <w14:textFill>
                  <w14:solidFill>
                    <w14:srgbClr w14:val="000000">
                      <w14:alpha w14:val="100000"/>
                    </w14:srgbClr>
                  </w14:solidFill>
                </w14:textFill>
              </w:rPr>
              <w:t>|||||</w:t>
            </w:r>
            <w:r w:rsidR="00777DAE" w:rsidRPr="00FC7B41">
              <w:rPr>
                <w:color w:val="000000"/>
                <w:spacing w:val="5"/>
                <w:shd w:val="solid" w:color="000000" w:fill="000000"/>
                <w:fitText w:val="470" w:id="-1280031985"/>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2640970C" w14:textId="77777777" w:rsidR="008D2097" w:rsidRPr="00E44776" w:rsidRDefault="008D2097" w:rsidP="00A57E5C">
            <w:pPr>
              <w:pStyle w:val="Tabletext0"/>
              <w:jc w:val="center"/>
            </w:pPr>
            <w:r w:rsidRPr="00E44776">
              <w:t>-47%</w:t>
            </w:r>
          </w:p>
        </w:tc>
      </w:tr>
      <w:tr w:rsidR="008D2097" w:rsidRPr="00E44776" w14:paraId="00E7FC75"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790663B1" w14:textId="77777777" w:rsidR="008D2097" w:rsidRPr="00E44776" w:rsidRDefault="008D2097" w:rsidP="00A57E5C">
            <w:pPr>
              <w:pStyle w:val="Tabletext0"/>
              <w:tabs>
                <w:tab w:val="left" w:pos="37"/>
              </w:tabs>
              <w:ind w:left="37"/>
              <w:rPr>
                <w:szCs w:val="20"/>
              </w:rPr>
            </w:pPr>
            <w:r w:rsidRPr="00E44776">
              <w:rPr>
                <w:szCs w:val="20"/>
              </w:rPr>
              <w:t>Hazard ratio 0.99 (upper 95% CI of MAIC)</w:t>
            </w:r>
          </w:p>
        </w:tc>
        <w:tc>
          <w:tcPr>
            <w:tcW w:w="1488" w:type="dxa"/>
            <w:tcBorders>
              <w:top w:val="single" w:sz="4" w:space="0" w:color="auto"/>
              <w:left w:val="single" w:sz="4" w:space="0" w:color="auto"/>
              <w:bottom w:val="single" w:sz="4" w:space="0" w:color="auto"/>
              <w:right w:val="single" w:sz="4" w:space="0" w:color="auto"/>
            </w:tcBorders>
          </w:tcPr>
          <w:p w14:paraId="052B87EC" w14:textId="19D065AB"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84"/>
                <w14:textFill>
                  <w14:solidFill>
                    <w14:srgbClr w14:val="000000">
                      <w14:alpha w14:val="100000"/>
                    </w14:srgbClr>
                  </w14:solidFill>
                </w14:textFill>
              </w:rPr>
              <w:t>||</w:t>
            </w:r>
            <w:r w:rsidR="00777DAE" w:rsidRPr="00FC7B41">
              <w:rPr>
                <w:color w:val="000000"/>
                <w:spacing w:val="1"/>
                <w:shd w:val="solid" w:color="000000" w:fill="000000"/>
                <w:fitText w:val="230" w:id="-1280031984"/>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720A1DB5" w14:textId="77777777" w:rsidR="008D2097" w:rsidRPr="00E44776" w:rsidRDefault="008D2097" w:rsidP="00A57E5C">
            <w:pPr>
              <w:pStyle w:val="Tabletext0"/>
              <w:jc w:val="center"/>
            </w:pPr>
            <w:r w:rsidRPr="00E44776">
              <w:t>0.336</w:t>
            </w:r>
          </w:p>
        </w:tc>
        <w:tc>
          <w:tcPr>
            <w:tcW w:w="1023" w:type="dxa"/>
            <w:tcBorders>
              <w:top w:val="single" w:sz="4" w:space="0" w:color="auto"/>
              <w:left w:val="single" w:sz="4" w:space="0" w:color="auto"/>
              <w:bottom w:val="single" w:sz="4" w:space="0" w:color="auto"/>
              <w:right w:val="single" w:sz="4" w:space="0" w:color="auto"/>
            </w:tcBorders>
          </w:tcPr>
          <w:p w14:paraId="092292B5" w14:textId="7B7E8888"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2000"/>
                <w14:textFill>
                  <w14:solidFill>
                    <w14:srgbClr w14:val="000000">
                      <w14:alpha w14:val="100000"/>
                    </w14:srgbClr>
                  </w14:solidFill>
                </w14:textFill>
              </w:rPr>
              <w:t>|||||</w:t>
            </w:r>
            <w:r w:rsidR="00777DAE" w:rsidRPr="00FC7B41">
              <w:rPr>
                <w:color w:val="000000"/>
                <w:spacing w:val="5"/>
                <w:shd w:val="solid" w:color="000000" w:fill="000000"/>
                <w:fitText w:val="470" w:id="-1280032000"/>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0E62D73D" w14:textId="77777777" w:rsidR="008D2097" w:rsidRPr="00E44776" w:rsidRDefault="008D2097" w:rsidP="00A57E5C">
            <w:pPr>
              <w:pStyle w:val="Tabletext0"/>
              <w:jc w:val="center"/>
            </w:pPr>
            <w:r w:rsidRPr="00E44776">
              <w:t>166%</w:t>
            </w:r>
          </w:p>
        </w:tc>
      </w:tr>
      <w:tr w:rsidR="008D2097" w:rsidRPr="00E44776" w14:paraId="1E876D6C"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5ECCB7F2" w14:textId="77777777" w:rsidR="008D2097" w:rsidRPr="00E44776" w:rsidRDefault="008D2097" w:rsidP="00A57E5C">
            <w:pPr>
              <w:pStyle w:val="Tabletext0"/>
              <w:tabs>
                <w:tab w:val="left" w:pos="37"/>
              </w:tabs>
              <w:ind w:left="37"/>
              <w:rPr>
                <w:szCs w:val="20"/>
              </w:rPr>
            </w:pPr>
            <w:r w:rsidRPr="00E44776">
              <w:rPr>
                <w:szCs w:val="20"/>
              </w:rPr>
              <w:t>Hazard ratio 1.0</w:t>
            </w:r>
          </w:p>
        </w:tc>
        <w:tc>
          <w:tcPr>
            <w:tcW w:w="1488" w:type="dxa"/>
            <w:tcBorders>
              <w:top w:val="single" w:sz="4" w:space="0" w:color="auto"/>
              <w:left w:val="single" w:sz="4" w:space="0" w:color="auto"/>
              <w:bottom w:val="single" w:sz="4" w:space="0" w:color="auto"/>
              <w:right w:val="single" w:sz="4" w:space="0" w:color="auto"/>
            </w:tcBorders>
          </w:tcPr>
          <w:p w14:paraId="6EB99588" w14:textId="78DA5BE5"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99"/>
                <w14:textFill>
                  <w14:solidFill>
                    <w14:srgbClr w14:val="000000">
                      <w14:alpha w14:val="100000"/>
                    </w14:srgbClr>
                  </w14:solidFill>
                </w14:textFill>
              </w:rPr>
              <w:t>||</w:t>
            </w:r>
            <w:r w:rsidR="00777DAE" w:rsidRPr="00FC7B41">
              <w:rPr>
                <w:color w:val="000000"/>
                <w:spacing w:val="1"/>
                <w:shd w:val="solid" w:color="000000" w:fill="000000"/>
                <w:fitText w:val="230" w:id="-1280031999"/>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60AA66CF" w14:textId="77777777" w:rsidR="008D2097" w:rsidRPr="00E44776" w:rsidRDefault="008D2097" w:rsidP="00A57E5C">
            <w:pPr>
              <w:pStyle w:val="Tabletext0"/>
              <w:jc w:val="center"/>
            </w:pPr>
            <w:r w:rsidRPr="00E44776">
              <w:t>0.331</w:t>
            </w:r>
          </w:p>
        </w:tc>
        <w:tc>
          <w:tcPr>
            <w:tcW w:w="1023" w:type="dxa"/>
            <w:tcBorders>
              <w:top w:val="single" w:sz="4" w:space="0" w:color="auto"/>
              <w:left w:val="single" w:sz="4" w:space="0" w:color="auto"/>
              <w:bottom w:val="single" w:sz="4" w:space="0" w:color="auto"/>
              <w:right w:val="single" w:sz="4" w:space="0" w:color="auto"/>
            </w:tcBorders>
          </w:tcPr>
          <w:p w14:paraId="0436FC54" w14:textId="160CEE00"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98"/>
                <w14:textFill>
                  <w14:solidFill>
                    <w14:srgbClr w14:val="000000">
                      <w14:alpha w14:val="100000"/>
                    </w14:srgbClr>
                  </w14:solidFill>
                </w14:textFill>
              </w:rPr>
              <w:t>|||||</w:t>
            </w:r>
            <w:r w:rsidR="00777DAE" w:rsidRPr="00FC7B41">
              <w:rPr>
                <w:color w:val="000000"/>
                <w:spacing w:val="5"/>
                <w:shd w:val="solid" w:color="000000" w:fill="000000"/>
                <w:fitText w:val="470" w:id="-1280031998"/>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4C7ACFEC" w14:textId="77777777" w:rsidR="008D2097" w:rsidRPr="00E44776" w:rsidRDefault="008D2097" w:rsidP="00A57E5C">
            <w:pPr>
              <w:pStyle w:val="Tabletext0"/>
              <w:jc w:val="center"/>
            </w:pPr>
            <w:r w:rsidRPr="00E44776">
              <w:t>170%</w:t>
            </w:r>
          </w:p>
        </w:tc>
      </w:tr>
      <w:tr w:rsidR="008D2097" w:rsidRPr="00E44776" w14:paraId="08F67924"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tcPr>
          <w:p w14:paraId="4C7D9629" w14:textId="77777777" w:rsidR="008D2097" w:rsidRPr="00E44776" w:rsidRDefault="008D2097" w:rsidP="00A57E5C">
            <w:pPr>
              <w:pStyle w:val="Tabletext0"/>
              <w:rPr>
                <w:b/>
                <w:bCs/>
              </w:rPr>
            </w:pPr>
            <w:r w:rsidRPr="00E44776">
              <w:rPr>
                <w:b/>
                <w:bCs/>
              </w:rPr>
              <w:t>TTNT hazard ratio for venetoclax + obinutuzumab (base case: 0.346)</w:t>
            </w:r>
          </w:p>
        </w:tc>
      </w:tr>
      <w:tr w:rsidR="008D2097" w:rsidRPr="00E44776" w14:paraId="5E523F78"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7292102C" w14:textId="77777777" w:rsidR="008D2097" w:rsidRPr="00E44776" w:rsidRDefault="008D2097" w:rsidP="00A57E5C">
            <w:pPr>
              <w:pStyle w:val="Tabletext0"/>
              <w:tabs>
                <w:tab w:val="left" w:pos="37"/>
              </w:tabs>
              <w:ind w:left="37"/>
              <w:rPr>
                <w:szCs w:val="20"/>
              </w:rPr>
            </w:pPr>
            <w:r w:rsidRPr="00E44776">
              <w:rPr>
                <w:szCs w:val="20"/>
              </w:rPr>
              <w:t>Hazard ratio 0.275 (lower 95% CI of Bucher indirect)</w:t>
            </w:r>
          </w:p>
        </w:tc>
        <w:tc>
          <w:tcPr>
            <w:tcW w:w="1488" w:type="dxa"/>
            <w:tcBorders>
              <w:top w:val="single" w:sz="4" w:space="0" w:color="auto"/>
              <w:left w:val="single" w:sz="4" w:space="0" w:color="auto"/>
              <w:bottom w:val="single" w:sz="4" w:space="0" w:color="auto"/>
              <w:right w:val="single" w:sz="4" w:space="0" w:color="auto"/>
            </w:tcBorders>
          </w:tcPr>
          <w:p w14:paraId="68836DBB" w14:textId="79BD4388"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97"/>
                <w14:textFill>
                  <w14:solidFill>
                    <w14:srgbClr w14:val="000000">
                      <w14:alpha w14:val="100000"/>
                    </w14:srgbClr>
                  </w14:solidFill>
                </w14:textFill>
              </w:rPr>
              <w:t>||</w:t>
            </w:r>
            <w:r w:rsidR="00777DAE" w:rsidRPr="00FC7B41">
              <w:rPr>
                <w:color w:val="000000"/>
                <w:spacing w:val="1"/>
                <w:shd w:val="solid" w:color="000000" w:fill="000000"/>
                <w:fitText w:val="230" w:id="-1280031997"/>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1515819E" w14:textId="77777777" w:rsidR="008D2097" w:rsidRPr="00E44776" w:rsidRDefault="008D2097" w:rsidP="00A57E5C">
            <w:pPr>
              <w:pStyle w:val="Tabletext0"/>
              <w:jc w:val="center"/>
            </w:pPr>
            <w:r w:rsidRPr="00E44776">
              <w:t>1.013</w:t>
            </w:r>
          </w:p>
        </w:tc>
        <w:tc>
          <w:tcPr>
            <w:tcW w:w="1023" w:type="dxa"/>
            <w:tcBorders>
              <w:top w:val="single" w:sz="4" w:space="0" w:color="auto"/>
              <w:left w:val="single" w:sz="4" w:space="0" w:color="auto"/>
              <w:bottom w:val="single" w:sz="4" w:space="0" w:color="auto"/>
              <w:right w:val="single" w:sz="4" w:space="0" w:color="auto"/>
            </w:tcBorders>
          </w:tcPr>
          <w:p w14:paraId="751A4657" w14:textId="1904C147"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96"/>
                <w14:textFill>
                  <w14:solidFill>
                    <w14:srgbClr w14:val="000000">
                      <w14:alpha w14:val="100000"/>
                    </w14:srgbClr>
                  </w14:solidFill>
                </w14:textFill>
              </w:rPr>
              <w:t>|||||</w:t>
            </w:r>
            <w:r w:rsidR="00777DAE" w:rsidRPr="00FC7B41">
              <w:rPr>
                <w:color w:val="000000"/>
                <w:spacing w:val="5"/>
                <w:shd w:val="solid" w:color="000000" w:fill="000000"/>
                <w:fitText w:val="470" w:id="-1280031996"/>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0C095D70" w14:textId="77777777" w:rsidR="008D2097" w:rsidRPr="00E44776" w:rsidRDefault="008D2097" w:rsidP="00A57E5C">
            <w:pPr>
              <w:pStyle w:val="Tabletext0"/>
              <w:jc w:val="center"/>
            </w:pPr>
            <w:r w:rsidRPr="00E44776">
              <w:t>-10%</w:t>
            </w:r>
          </w:p>
        </w:tc>
      </w:tr>
      <w:tr w:rsidR="008D2097" w:rsidRPr="00E44776" w14:paraId="16B9BD8F"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1459B7C3" w14:textId="77777777" w:rsidR="008D2097" w:rsidRPr="00E44776" w:rsidRDefault="008D2097" w:rsidP="00A57E5C">
            <w:pPr>
              <w:pStyle w:val="Tabletext0"/>
              <w:tabs>
                <w:tab w:val="left" w:pos="37"/>
              </w:tabs>
              <w:ind w:left="37"/>
              <w:rPr>
                <w:szCs w:val="20"/>
              </w:rPr>
            </w:pPr>
            <w:r w:rsidRPr="00E44776">
              <w:rPr>
                <w:szCs w:val="20"/>
              </w:rPr>
              <w:t>Hazard ratio 0.435 (upper 95% CI of Bucher indirect)</w:t>
            </w:r>
          </w:p>
        </w:tc>
        <w:tc>
          <w:tcPr>
            <w:tcW w:w="1488" w:type="dxa"/>
            <w:tcBorders>
              <w:top w:val="single" w:sz="4" w:space="0" w:color="auto"/>
              <w:left w:val="single" w:sz="4" w:space="0" w:color="auto"/>
              <w:bottom w:val="single" w:sz="4" w:space="0" w:color="auto"/>
              <w:right w:val="single" w:sz="4" w:space="0" w:color="auto"/>
            </w:tcBorders>
          </w:tcPr>
          <w:p w14:paraId="50EB6D29" w14:textId="15E6EADB"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95"/>
                <w14:textFill>
                  <w14:solidFill>
                    <w14:srgbClr w14:val="000000">
                      <w14:alpha w14:val="100000"/>
                    </w14:srgbClr>
                  </w14:solidFill>
                </w14:textFill>
              </w:rPr>
              <w:t>||</w:t>
            </w:r>
            <w:r w:rsidR="00777DAE" w:rsidRPr="00FC7B41">
              <w:rPr>
                <w:color w:val="000000"/>
                <w:spacing w:val="1"/>
                <w:shd w:val="solid" w:color="000000" w:fill="000000"/>
                <w:fitText w:val="230" w:id="-1280031995"/>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72C79602" w14:textId="77777777" w:rsidR="008D2097" w:rsidRPr="00E44776" w:rsidRDefault="008D2097" w:rsidP="00A57E5C">
            <w:pPr>
              <w:pStyle w:val="Tabletext0"/>
              <w:jc w:val="center"/>
            </w:pPr>
            <w:r w:rsidRPr="00E44776">
              <w:t>0.929</w:t>
            </w:r>
          </w:p>
        </w:tc>
        <w:tc>
          <w:tcPr>
            <w:tcW w:w="1023" w:type="dxa"/>
            <w:tcBorders>
              <w:top w:val="single" w:sz="4" w:space="0" w:color="auto"/>
              <w:left w:val="single" w:sz="4" w:space="0" w:color="auto"/>
              <w:bottom w:val="single" w:sz="4" w:space="0" w:color="auto"/>
              <w:right w:val="single" w:sz="4" w:space="0" w:color="auto"/>
            </w:tcBorders>
          </w:tcPr>
          <w:p w14:paraId="6DD2BBF1" w14:textId="71A82CBA"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94"/>
                <w14:textFill>
                  <w14:solidFill>
                    <w14:srgbClr w14:val="000000">
                      <w14:alpha w14:val="100000"/>
                    </w14:srgbClr>
                  </w14:solidFill>
                </w14:textFill>
              </w:rPr>
              <w:t>|||||</w:t>
            </w:r>
            <w:r w:rsidR="00777DAE" w:rsidRPr="00FC7B41">
              <w:rPr>
                <w:color w:val="000000"/>
                <w:spacing w:val="5"/>
                <w:shd w:val="solid" w:color="000000" w:fill="000000"/>
                <w:fitText w:val="470" w:id="-1280031994"/>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4880F813" w14:textId="77777777" w:rsidR="008D2097" w:rsidRPr="00E44776" w:rsidRDefault="008D2097" w:rsidP="00A57E5C">
            <w:pPr>
              <w:pStyle w:val="Tabletext0"/>
              <w:jc w:val="center"/>
            </w:pPr>
            <w:r w:rsidRPr="00E44776">
              <w:t>25%</w:t>
            </w:r>
          </w:p>
        </w:tc>
      </w:tr>
      <w:tr w:rsidR="008D2097" w:rsidRPr="00E44776" w14:paraId="7DE2E21D"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6EA9C374" w14:textId="77777777" w:rsidR="008D2097" w:rsidRPr="00E44776" w:rsidRDefault="008D2097" w:rsidP="00A57E5C">
            <w:pPr>
              <w:pStyle w:val="Tabletext0"/>
              <w:tabs>
                <w:tab w:val="left" w:pos="37"/>
              </w:tabs>
              <w:ind w:left="37"/>
              <w:rPr>
                <w:szCs w:val="20"/>
              </w:rPr>
            </w:pPr>
            <w:r w:rsidRPr="00E44776">
              <w:rPr>
                <w:szCs w:val="20"/>
              </w:rPr>
              <w:t>Hazard ratio 1.0</w:t>
            </w:r>
          </w:p>
        </w:tc>
        <w:tc>
          <w:tcPr>
            <w:tcW w:w="1488" w:type="dxa"/>
            <w:tcBorders>
              <w:top w:val="single" w:sz="4" w:space="0" w:color="auto"/>
              <w:left w:val="single" w:sz="4" w:space="0" w:color="auto"/>
              <w:bottom w:val="single" w:sz="4" w:space="0" w:color="auto"/>
              <w:right w:val="single" w:sz="4" w:space="0" w:color="auto"/>
            </w:tcBorders>
          </w:tcPr>
          <w:p w14:paraId="01BC354D" w14:textId="201E87CE" w:rsidR="008D2097" w:rsidRPr="00E44776" w:rsidRDefault="008D2097" w:rsidP="00A57E5C">
            <w:pPr>
              <w:pStyle w:val="Tabletext0"/>
              <w:jc w:val="center"/>
            </w:pPr>
            <w:r w:rsidRPr="00E44776">
              <w:t>$</w:t>
            </w:r>
            <w:r w:rsidR="00777DAE" w:rsidRPr="00FC7B41">
              <w:rPr>
                <w:color w:val="000000"/>
                <w:spacing w:val="51"/>
                <w:shd w:val="solid" w:color="000000" w:fill="000000"/>
                <w:fitText w:val="230" w:id="-1280031993"/>
                <w14:textFill>
                  <w14:solidFill>
                    <w14:srgbClr w14:val="000000">
                      <w14:alpha w14:val="100000"/>
                    </w14:srgbClr>
                  </w14:solidFill>
                </w14:textFill>
              </w:rPr>
              <w:t>||</w:t>
            </w:r>
            <w:r w:rsidR="00777DAE" w:rsidRPr="00FC7B41">
              <w:rPr>
                <w:color w:val="000000"/>
                <w:spacing w:val="1"/>
                <w:shd w:val="solid" w:color="000000" w:fill="000000"/>
                <w:fitText w:val="230" w:id="-1280031993"/>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2C557DB3" w14:textId="77777777" w:rsidR="008D2097" w:rsidRPr="00E44776" w:rsidRDefault="008D2097" w:rsidP="00A57E5C">
            <w:pPr>
              <w:pStyle w:val="Tabletext0"/>
              <w:jc w:val="center"/>
            </w:pPr>
            <w:r w:rsidRPr="00E44776">
              <w:t>0.992</w:t>
            </w:r>
          </w:p>
        </w:tc>
        <w:tc>
          <w:tcPr>
            <w:tcW w:w="1023" w:type="dxa"/>
            <w:tcBorders>
              <w:top w:val="single" w:sz="4" w:space="0" w:color="auto"/>
              <w:left w:val="single" w:sz="4" w:space="0" w:color="auto"/>
              <w:bottom w:val="single" w:sz="4" w:space="0" w:color="auto"/>
              <w:right w:val="single" w:sz="4" w:space="0" w:color="auto"/>
            </w:tcBorders>
          </w:tcPr>
          <w:p w14:paraId="66C414BE" w14:textId="553F1EF7" w:rsidR="008D2097" w:rsidRPr="00E44776" w:rsidRDefault="008D2097" w:rsidP="00A57E5C">
            <w:pPr>
              <w:pStyle w:val="Tabletext0"/>
              <w:jc w:val="center"/>
            </w:pPr>
            <w:r w:rsidRPr="00E44776">
              <w:t>$</w:t>
            </w:r>
            <w:r w:rsidR="00777DAE" w:rsidRPr="00FC7B41">
              <w:rPr>
                <w:color w:val="000000"/>
                <w:spacing w:val="42"/>
                <w:shd w:val="solid" w:color="000000" w:fill="000000"/>
                <w:fitText w:val="470" w:id="-1280031992"/>
                <w14:textFill>
                  <w14:solidFill>
                    <w14:srgbClr w14:val="000000">
                      <w14:alpha w14:val="100000"/>
                    </w14:srgbClr>
                  </w14:solidFill>
                </w14:textFill>
              </w:rPr>
              <w:t>|||||</w:t>
            </w:r>
            <w:r w:rsidR="00777DAE" w:rsidRPr="00FC7B41">
              <w:rPr>
                <w:color w:val="000000"/>
                <w:spacing w:val="5"/>
                <w:shd w:val="solid" w:color="000000" w:fill="000000"/>
                <w:fitText w:val="470" w:id="-1280031992"/>
                <w14:textFill>
                  <w14:solidFill>
                    <w14:srgbClr w14:val="000000">
                      <w14:alpha w14:val="100000"/>
                    </w14:srgbClr>
                  </w14:solidFill>
                </w14:textFill>
              </w:rPr>
              <w:t>|</w:t>
            </w:r>
          </w:p>
        </w:tc>
        <w:tc>
          <w:tcPr>
            <w:tcW w:w="1024" w:type="dxa"/>
            <w:tcBorders>
              <w:top w:val="single" w:sz="4" w:space="0" w:color="auto"/>
              <w:left w:val="single" w:sz="4" w:space="0" w:color="auto"/>
              <w:bottom w:val="single" w:sz="4" w:space="0" w:color="auto"/>
              <w:right w:val="single" w:sz="4" w:space="0" w:color="auto"/>
            </w:tcBorders>
          </w:tcPr>
          <w:p w14:paraId="0B5CB044" w14:textId="77777777" w:rsidR="008D2097" w:rsidRPr="00E44776" w:rsidRDefault="008D2097" w:rsidP="00A57E5C">
            <w:pPr>
              <w:pStyle w:val="Tabletext0"/>
              <w:jc w:val="center"/>
            </w:pPr>
            <w:r w:rsidRPr="00E44776">
              <w:t>134%</w:t>
            </w:r>
          </w:p>
        </w:tc>
      </w:tr>
      <w:tr w:rsidR="00657184" w:rsidRPr="00E44776" w14:paraId="0611C3D5"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tcPr>
          <w:p w14:paraId="052C0D95" w14:textId="3DF420C3" w:rsidR="00657184" w:rsidRPr="00E44776" w:rsidRDefault="00657184" w:rsidP="00657184">
            <w:pPr>
              <w:pStyle w:val="Tabletext0"/>
            </w:pPr>
            <w:r w:rsidRPr="00E44776">
              <w:rPr>
                <w:b/>
                <w:bCs/>
                <w:szCs w:val="20"/>
              </w:rPr>
              <w:t>Survival curve convergence (base: no convergence; constant HR over 15 years for PFS, OS, TTNT)</w:t>
            </w:r>
          </w:p>
        </w:tc>
      </w:tr>
      <w:tr w:rsidR="00657184" w:rsidRPr="00E44776" w14:paraId="2DFB67B0"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5F5677EA" w14:textId="0BCD852E" w:rsidR="00657184" w:rsidRPr="00E44776" w:rsidRDefault="00657184" w:rsidP="00657184">
            <w:pPr>
              <w:pStyle w:val="Tabletext0"/>
              <w:tabs>
                <w:tab w:val="left" w:pos="37"/>
              </w:tabs>
              <w:ind w:left="37"/>
              <w:rPr>
                <w:szCs w:val="20"/>
              </w:rPr>
            </w:pPr>
            <w:r w:rsidRPr="00E44776">
              <w:lastRenderedPageBreak/>
              <w:t>PFS, OS, TTNT HRs converge between 5 years and 15 years</w:t>
            </w:r>
          </w:p>
        </w:tc>
        <w:tc>
          <w:tcPr>
            <w:tcW w:w="1488" w:type="dxa"/>
            <w:tcBorders>
              <w:top w:val="single" w:sz="4" w:space="0" w:color="auto"/>
              <w:left w:val="single" w:sz="4" w:space="0" w:color="auto"/>
              <w:bottom w:val="single" w:sz="4" w:space="0" w:color="auto"/>
              <w:right w:val="single" w:sz="4" w:space="0" w:color="auto"/>
            </w:tcBorders>
            <w:vAlign w:val="center"/>
          </w:tcPr>
          <w:p w14:paraId="13432B18" w14:textId="2F60E025"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91"/>
                <w14:textFill>
                  <w14:solidFill>
                    <w14:srgbClr w14:val="000000">
                      <w14:alpha w14:val="100000"/>
                    </w14:srgbClr>
                  </w14:solidFill>
                </w14:textFill>
              </w:rPr>
              <w:t>||</w:t>
            </w:r>
            <w:r w:rsidR="00777DAE" w:rsidRPr="00FC7B41">
              <w:rPr>
                <w:color w:val="000000"/>
                <w:spacing w:val="1"/>
                <w:shd w:val="solid" w:color="000000" w:fill="000000"/>
                <w:fitText w:val="230" w:id="-1280031991"/>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12D8FE74" w14:textId="254B161F" w:rsidR="00657184" w:rsidRPr="00E44776" w:rsidRDefault="00657184" w:rsidP="00657184">
            <w:pPr>
              <w:pStyle w:val="Tabletext0"/>
              <w:jc w:val="center"/>
            </w:pPr>
            <w:r w:rsidRPr="00E44776">
              <w:t>0.891</w:t>
            </w:r>
          </w:p>
        </w:tc>
        <w:tc>
          <w:tcPr>
            <w:tcW w:w="1023" w:type="dxa"/>
            <w:tcBorders>
              <w:top w:val="single" w:sz="4" w:space="0" w:color="auto"/>
              <w:left w:val="single" w:sz="4" w:space="0" w:color="auto"/>
              <w:bottom w:val="single" w:sz="4" w:space="0" w:color="auto"/>
              <w:right w:val="single" w:sz="4" w:space="0" w:color="auto"/>
            </w:tcBorders>
            <w:vAlign w:val="center"/>
          </w:tcPr>
          <w:p w14:paraId="29A66D9A" w14:textId="1365656D"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90"/>
                <w14:textFill>
                  <w14:solidFill>
                    <w14:srgbClr w14:val="000000">
                      <w14:alpha w14:val="100000"/>
                    </w14:srgbClr>
                  </w14:solidFill>
                </w14:textFill>
              </w:rPr>
              <w:t>|||</w:t>
            </w:r>
            <w:r w:rsidR="00777DAE" w:rsidRPr="00FC7B41">
              <w:rPr>
                <w:color w:val="000000"/>
                <w:spacing w:val="2"/>
                <w:shd w:val="solid" w:color="000000" w:fill="000000"/>
                <w:fitText w:val="310" w:id="-1280031990"/>
                <w14:textFill>
                  <w14:solidFill>
                    <w14:srgbClr w14:val="000000">
                      <w14:alpha w14:val="100000"/>
                    </w14:srgbClr>
                  </w14:solidFill>
                </w14:textFill>
              </w:rPr>
              <w:t>|</w:t>
            </w:r>
            <w:r w:rsidR="00836112">
              <w:rPr>
                <w:vertAlign w:val="superscript"/>
              </w:rPr>
              <w:t>1</w:t>
            </w:r>
          </w:p>
        </w:tc>
        <w:tc>
          <w:tcPr>
            <w:tcW w:w="1024" w:type="dxa"/>
            <w:tcBorders>
              <w:top w:val="single" w:sz="4" w:space="0" w:color="auto"/>
              <w:left w:val="single" w:sz="4" w:space="0" w:color="auto"/>
              <w:bottom w:val="single" w:sz="4" w:space="0" w:color="auto"/>
              <w:right w:val="single" w:sz="4" w:space="0" w:color="auto"/>
            </w:tcBorders>
            <w:vAlign w:val="center"/>
          </w:tcPr>
          <w:p w14:paraId="70C76F08" w14:textId="28787724" w:rsidR="00657184" w:rsidRPr="00E44776" w:rsidRDefault="00657184" w:rsidP="00657184">
            <w:pPr>
              <w:pStyle w:val="Tabletext0"/>
              <w:jc w:val="center"/>
            </w:pPr>
            <w:r w:rsidRPr="00E44776">
              <w:t>27%</w:t>
            </w:r>
          </w:p>
        </w:tc>
      </w:tr>
      <w:tr w:rsidR="00657184" w:rsidRPr="00E44776" w14:paraId="5EAE6B97"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1863652E" w14:textId="1B412D56" w:rsidR="00657184" w:rsidRPr="00E44776" w:rsidRDefault="00657184" w:rsidP="00657184">
            <w:pPr>
              <w:pStyle w:val="Tabletext0"/>
              <w:tabs>
                <w:tab w:val="left" w:pos="37"/>
              </w:tabs>
              <w:ind w:left="37"/>
              <w:rPr>
                <w:szCs w:val="20"/>
              </w:rPr>
            </w:pPr>
            <w:bookmarkStart w:id="95" w:name="_Hlk115962412"/>
            <w:r w:rsidRPr="00E44776">
              <w:t>PFS, OS, TTNT HRs converge between 5 years and 10 years</w:t>
            </w:r>
            <w:bookmarkEnd w:id="95"/>
            <w:r w:rsidR="00236885" w:rsidRPr="00E44776">
              <w:rPr>
                <w:b/>
                <w:bCs/>
              </w:rPr>
              <w:t xml:space="preserve"> (B)</w:t>
            </w:r>
          </w:p>
        </w:tc>
        <w:tc>
          <w:tcPr>
            <w:tcW w:w="1488" w:type="dxa"/>
            <w:tcBorders>
              <w:top w:val="single" w:sz="4" w:space="0" w:color="auto"/>
              <w:left w:val="single" w:sz="4" w:space="0" w:color="auto"/>
              <w:bottom w:val="single" w:sz="4" w:space="0" w:color="auto"/>
              <w:right w:val="single" w:sz="4" w:space="0" w:color="auto"/>
            </w:tcBorders>
            <w:vAlign w:val="center"/>
          </w:tcPr>
          <w:p w14:paraId="382D5314" w14:textId="507631D3"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89"/>
                <w14:textFill>
                  <w14:solidFill>
                    <w14:srgbClr w14:val="000000">
                      <w14:alpha w14:val="100000"/>
                    </w14:srgbClr>
                  </w14:solidFill>
                </w14:textFill>
              </w:rPr>
              <w:t>||</w:t>
            </w:r>
            <w:r w:rsidR="00777DAE" w:rsidRPr="00FC7B41">
              <w:rPr>
                <w:color w:val="000000"/>
                <w:spacing w:val="1"/>
                <w:shd w:val="solid" w:color="000000" w:fill="000000"/>
                <w:fitText w:val="230" w:id="-1280031989"/>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3DD8F70A" w14:textId="20563905" w:rsidR="00657184" w:rsidRPr="00E44776" w:rsidRDefault="00657184" w:rsidP="00657184">
            <w:pPr>
              <w:pStyle w:val="Tabletext0"/>
              <w:jc w:val="center"/>
            </w:pPr>
            <w:r w:rsidRPr="00E44776">
              <w:t>0.846</w:t>
            </w:r>
          </w:p>
        </w:tc>
        <w:tc>
          <w:tcPr>
            <w:tcW w:w="1023" w:type="dxa"/>
            <w:tcBorders>
              <w:top w:val="single" w:sz="4" w:space="0" w:color="auto"/>
              <w:left w:val="single" w:sz="4" w:space="0" w:color="auto"/>
              <w:bottom w:val="single" w:sz="4" w:space="0" w:color="auto"/>
              <w:right w:val="single" w:sz="4" w:space="0" w:color="auto"/>
            </w:tcBorders>
            <w:vAlign w:val="center"/>
          </w:tcPr>
          <w:p w14:paraId="478A0D21" w14:textId="4ECDF588"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88"/>
                <w14:textFill>
                  <w14:solidFill>
                    <w14:srgbClr w14:val="000000">
                      <w14:alpha w14:val="100000"/>
                    </w14:srgbClr>
                  </w14:solidFill>
                </w14:textFill>
              </w:rPr>
              <w:t>|||</w:t>
            </w:r>
            <w:r w:rsidR="00777DAE" w:rsidRPr="00FC7B41">
              <w:rPr>
                <w:color w:val="000000"/>
                <w:spacing w:val="2"/>
                <w:shd w:val="solid" w:color="000000" w:fill="000000"/>
                <w:fitText w:val="310" w:id="-1280031988"/>
                <w14:textFill>
                  <w14:solidFill>
                    <w14:srgbClr w14:val="000000">
                      <w14:alpha w14:val="100000"/>
                    </w14:srgbClr>
                  </w14:solidFill>
                </w14:textFill>
              </w:rPr>
              <w:t>|</w:t>
            </w:r>
            <w:r w:rsidR="00836112">
              <w:rPr>
                <w:vertAlign w:val="superscript"/>
              </w:rPr>
              <w:t>2</w:t>
            </w:r>
          </w:p>
        </w:tc>
        <w:tc>
          <w:tcPr>
            <w:tcW w:w="1024" w:type="dxa"/>
            <w:tcBorders>
              <w:top w:val="single" w:sz="4" w:space="0" w:color="auto"/>
              <w:left w:val="single" w:sz="4" w:space="0" w:color="auto"/>
              <w:bottom w:val="single" w:sz="4" w:space="0" w:color="auto"/>
              <w:right w:val="single" w:sz="4" w:space="0" w:color="auto"/>
            </w:tcBorders>
            <w:vAlign w:val="center"/>
          </w:tcPr>
          <w:p w14:paraId="1626844E" w14:textId="00AC58BC" w:rsidR="00657184" w:rsidRPr="00E44776" w:rsidRDefault="00657184" w:rsidP="00657184">
            <w:pPr>
              <w:pStyle w:val="Tabletext0"/>
              <w:jc w:val="center"/>
            </w:pPr>
            <w:r w:rsidRPr="00E44776">
              <w:t>41%</w:t>
            </w:r>
          </w:p>
        </w:tc>
      </w:tr>
      <w:tr w:rsidR="00657184" w:rsidRPr="00E44776" w14:paraId="67EA7032"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5EABA434" w14:textId="123A002B" w:rsidR="00657184" w:rsidRPr="00E44776" w:rsidRDefault="00657184" w:rsidP="00657184">
            <w:pPr>
              <w:pStyle w:val="Tabletext0"/>
              <w:tabs>
                <w:tab w:val="left" w:pos="37"/>
              </w:tabs>
              <w:ind w:left="37"/>
              <w:rPr>
                <w:szCs w:val="20"/>
              </w:rPr>
            </w:pPr>
            <w:r w:rsidRPr="00E44776">
              <w:t>PFS, OS, TTNT curves converge linearly between 5 years and 15 years</w:t>
            </w:r>
          </w:p>
        </w:tc>
        <w:tc>
          <w:tcPr>
            <w:tcW w:w="1488" w:type="dxa"/>
            <w:tcBorders>
              <w:top w:val="single" w:sz="4" w:space="0" w:color="auto"/>
              <w:left w:val="single" w:sz="4" w:space="0" w:color="auto"/>
              <w:bottom w:val="single" w:sz="4" w:space="0" w:color="auto"/>
              <w:right w:val="single" w:sz="4" w:space="0" w:color="auto"/>
            </w:tcBorders>
            <w:vAlign w:val="center"/>
          </w:tcPr>
          <w:p w14:paraId="79C74F0E" w14:textId="197E2872"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87"/>
                <w14:textFill>
                  <w14:solidFill>
                    <w14:srgbClr w14:val="000000">
                      <w14:alpha w14:val="100000"/>
                    </w14:srgbClr>
                  </w14:solidFill>
                </w14:textFill>
              </w:rPr>
              <w:t>||</w:t>
            </w:r>
            <w:r w:rsidR="00777DAE" w:rsidRPr="00FC7B41">
              <w:rPr>
                <w:color w:val="000000"/>
                <w:spacing w:val="1"/>
                <w:shd w:val="solid" w:color="000000" w:fill="000000"/>
                <w:fitText w:val="230" w:id="-1280031987"/>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6E30C910" w14:textId="737B3A3A" w:rsidR="00657184" w:rsidRPr="00E44776" w:rsidRDefault="00657184" w:rsidP="00657184">
            <w:pPr>
              <w:pStyle w:val="Tabletext0"/>
              <w:jc w:val="center"/>
            </w:pPr>
            <w:r w:rsidRPr="00E44776">
              <w:t>0.548</w:t>
            </w:r>
          </w:p>
        </w:tc>
        <w:tc>
          <w:tcPr>
            <w:tcW w:w="1023" w:type="dxa"/>
            <w:tcBorders>
              <w:top w:val="single" w:sz="4" w:space="0" w:color="auto"/>
              <w:left w:val="single" w:sz="4" w:space="0" w:color="auto"/>
              <w:bottom w:val="single" w:sz="4" w:space="0" w:color="auto"/>
              <w:right w:val="single" w:sz="4" w:space="0" w:color="auto"/>
            </w:tcBorders>
            <w:vAlign w:val="center"/>
          </w:tcPr>
          <w:p w14:paraId="609E6A1D" w14:textId="6FAF0A2C"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86"/>
                <w14:textFill>
                  <w14:solidFill>
                    <w14:srgbClr w14:val="000000">
                      <w14:alpha w14:val="100000"/>
                    </w14:srgbClr>
                  </w14:solidFill>
                </w14:textFill>
              </w:rPr>
              <w:t>|||</w:t>
            </w:r>
            <w:r w:rsidR="00777DAE" w:rsidRPr="00FC7B41">
              <w:rPr>
                <w:color w:val="000000"/>
                <w:spacing w:val="2"/>
                <w:shd w:val="solid" w:color="000000" w:fill="000000"/>
                <w:fitText w:val="310" w:id="-1280031986"/>
                <w14:textFill>
                  <w14:solidFill>
                    <w14:srgbClr w14:val="000000">
                      <w14:alpha w14:val="100000"/>
                    </w14:srgbClr>
                  </w14:solidFill>
                </w14:textFill>
              </w:rPr>
              <w:t>|</w:t>
            </w:r>
            <w:r w:rsidR="00836112">
              <w:rPr>
                <w:vertAlign w:val="superscript"/>
              </w:rPr>
              <w:t>3</w:t>
            </w:r>
          </w:p>
        </w:tc>
        <w:tc>
          <w:tcPr>
            <w:tcW w:w="1024" w:type="dxa"/>
            <w:tcBorders>
              <w:top w:val="single" w:sz="4" w:space="0" w:color="auto"/>
              <w:left w:val="single" w:sz="4" w:space="0" w:color="auto"/>
              <w:bottom w:val="single" w:sz="4" w:space="0" w:color="auto"/>
              <w:right w:val="single" w:sz="4" w:space="0" w:color="auto"/>
            </w:tcBorders>
            <w:vAlign w:val="center"/>
          </w:tcPr>
          <w:p w14:paraId="3859CBC1" w14:textId="115359E9" w:rsidR="00657184" w:rsidRPr="00E44776" w:rsidRDefault="00657184" w:rsidP="00657184">
            <w:pPr>
              <w:pStyle w:val="Tabletext0"/>
              <w:jc w:val="center"/>
            </w:pPr>
            <w:r w:rsidRPr="00E44776">
              <w:t>165%</w:t>
            </w:r>
          </w:p>
        </w:tc>
      </w:tr>
      <w:tr w:rsidR="00657184" w:rsidRPr="00E44776" w14:paraId="770E0AA7"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tcPr>
          <w:p w14:paraId="04096255" w14:textId="77777777" w:rsidR="00657184" w:rsidRPr="00E44776" w:rsidRDefault="00657184" w:rsidP="00657184">
            <w:pPr>
              <w:pStyle w:val="Tabletext0"/>
              <w:rPr>
                <w:b/>
                <w:bCs/>
              </w:rPr>
            </w:pPr>
            <w:r w:rsidRPr="00E44776">
              <w:rPr>
                <w:b/>
                <w:bCs/>
              </w:rPr>
              <w:t>All-cause mortality (base case: applied from 48 months)</w:t>
            </w:r>
          </w:p>
        </w:tc>
      </w:tr>
      <w:tr w:rsidR="00657184" w:rsidRPr="00E44776" w14:paraId="16C9BA83"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70BB9636" w14:textId="77777777" w:rsidR="00657184" w:rsidRPr="00E44776" w:rsidRDefault="00657184" w:rsidP="00657184">
            <w:pPr>
              <w:pStyle w:val="Tabletext0"/>
              <w:tabs>
                <w:tab w:val="left" w:pos="37"/>
              </w:tabs>
              <w:ind w:left="37"/>
              <w:rPr>
                <w:szCs w:val="20"/>
              </w:rPr>
            </w:pPr>
            <w:r w:rsidRPr="00E44776">
              <w:rPr>
                <w:szCs w:val="20"/>
              </w:rPr>
              <w:t>All-cause mortality removed</w:t>
            </w:r>
          </w:p>
        </w:tc>
        <w:tc>
          <w:tcPr>
            <w:tcW w:w="1488" w:type="dxa"/>
            <w:tcBorders>
              <w:top w:val="single" w:sz="4" w:space="0" w:color="auto"/>
              <w:left w:val="single" w:sz="4" w:space="0" w:color="auto"/>
              <w:bottom w:val="single" w:sz="4" w:space="0" w:color="auto"/>
              <w:right w:val="single" w:sz="4" w:space="0" w:color="auto"/>
            </w:tcBorders>
          </w:tcPr>
          <w:p w14:paraId="677E8509" w14:textId="555D4614"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85"/>
                <w14:textFill>
                  <w14:solidFill>
                    <w14:srgbClr w14:val="000000">
                      <w14:alpha w14:val="100000"/>
                    </w14:srgbClr>
                  </w14:solidFill>
                </w14:textFill>
              </w:rPr>
              <w:t>||</w:t>
            </w:r>
            <w:r w:rsidR="00777DAE" w:rsidRPr="00FC7B41">
              <w:rPr>
                <w:color w:val="000000"/>
                <w:spacing w:val="1"/>
                <w:shd w:val="solid" w:color="000000" w:fill="000000"/>
                <w:fitText w:val="230" w:id="-1280031985"/>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7BC28800" w14:textId="77777777" w:rsidR="00657184" w:rsidRPr="00E44776" w:rsidRDefault="00657184" w:rsidP="00657184">
            <w:pPr>
              <w:pStyle w:val="Tabletext0"/>
              <w:jc w:val="center"/>
            </w:pPr>
            <w:r w:rsidRPr="00E44776">
              <w:t>1.118</w:t>
            </w:r>
          </w:p>
        </w:tc>
        <w:tc>
          <w:tcPr>
            <w:tcW w:w="1023" w:type="dxa"/>
            <w:tcBorders>
              <w:top w:val="single" w:sz="4" w:space="0" w:color="auto"/>
              <w:left w:val="single" w:sz="4" w:space="0" w:color="auto"/>
              <w:bottom w:val="single" w:sz="4" w:space="0" w:color="auto"/>
              <w:right w:val="single" w:sz="4" w:space="0" w:color="auto"/>
            </w:tcBorders>
          </w:tcPr>
          <w:p w14:paraId="70E8711E" w14:textId="7CEE1329"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84"/>
                <w14:textFill>
                  <w14:solidFill>
                    <w14:srgbClr w14:val="000000">
                      <w14:alpha w14:val="100000"/>
                    </w14:srgbClr>
                  </w14:solidFill>
                </w14:textFill>
              </w:rPr>
              <w:t>|||</w:t>
            </w:r>
            <w:r w:rsidR="00777DAE" w:rsidRPr="00FC7B41">
              <w:rPr>
                <w:color w:val="000000"/>
                <w:spacing w:val="2"/>
                <w:shd w:val="solid" w:color="000000" w:fill="000000"/>
                <w:fitText w:val="310" w:id="-1280031984"/>
                <w14:textFill>
                  <w14:solidFill>
                    <w14:srgbClr w14:val="000000">
                      <w14:alpha w14:val="100000"/>
                    </w14:srgbClr>
                  </w14:solidFill>
                </w14:textFill>
              </w:rPr>
              <w:t>|</w:t>
            </w:r>
            <w:r w:rsidR="00836112">
              <w:rPr>
                <w:vertAlign w:val="superscript"/>
              </w:rPr>
              <w:t>4</w:t>
            </w:r>
          </w:p>
        </w:tc>
        <w:tc>
          <w:tcPr>
            <w:tcW w:w="1024" w:type="dxa"/>
            <w:tcBorders>
              <w:top w:val="single" w:sz="4" w:space="0" w:color="auto"/>
              <w:left w:val="single" w:sz="4" w:space="0" w:color="auto"/>
              <w:bottom w:val="single" w:sz="4" w:space="0" w:color="auto"/>
              <w:right w:val="single" w:sz="4" w:space="0" w:color="auto"/>
            </w:tcBorders>
          </w:tcPr>
          <w:p w14:paraId="20487553" w14:textId="77777777" w:rsidR="00657184" w:rsidRPr="00E44776" w:rsidRDefault="00657184" w:rsidP="00657184">
            <w:pPr>
              <w:pStyle w:val="Tabletext0"/>
              <w:jc w:val="center"/>
            </w:pPr>
            <w:r w:rsidRPr="00E44776">
              <w:t>-25%</w:t>
            </w:r>
          </w:p>
        </w:tc>
      </w:tr>
      <w:tr w:rsidR="00657184" w:rsidRPr="00E44776" w14:paraId="5A21745B"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tcPr>
          <w:p w14:paraId="5404E065" w14:textId="78C00684" w:rsidR="00657184" w:rsidRPr="00E44776" w:rsidRDefault="00657184" w:rsidP="00657184">
            <w:pPr>
              <w:pStyle w:val="Tabletext0"/>
              <w:rPr>
                <w:b/>
                <w:szCs w:val="20"/>
              </w:rPr>
            </w:pPr>
            <w:r w:rsidRPr="00E44776">
              <w:rPr>
                <w:b/>
                <w:szCs w:val="20"/>
              </w:rPr>
              <w:t xml:space="preserve">Treatment costs (base case: acalabrutinib – proposed effective DPMQ with 60-month cap; venetoclax – </w:t>
            </w:r>
            <w:r w:rsidR="00BE4D52" w:rsidRPr="00FC7B41">
              <w:rPr>
                <w:b/>
                <w:color w:val="000000"/>
                <w:spacing w:val="45"/>
                <w:szCs w:val="20"/>
                <w:shd w:val="solid" w:color="000000" w:fill="000000"/>
                <w:fitText w:val="320" w:id="-1280024832"/>
                <w14:textFill>
                  <w14:solidFill>
                    <w14:srgbClr w14:val="000000">
                      <w14:alpha w14:val="100000"/>
                    </w14:srgbClr>
                  </w14:solidFill>
                </w14:textFill>
              </w:rPr>
              <w:t>|||</w:t>
            </w:r>
            <w:r w:rsidR="00BE4D52" w:rsidRPr="00FC7B41">
              <w:rPr>
                <w:b/>
                <w:color w:val="000000"/>
                <w:spacing w:val="2"/>
                <w:szCs w:val="20"/>
                <w:shd w:val="solid" w:color="000000" w:fill="000000"/>
                <w:fitText w:val="320" w:id="-1280024832"/>
                <w14:textFill>
                  <w14:solidFill>
                    <w14:srgbClr w14:val="000000">
                      <w14:alpha w14:val="100000"/>
                    </w14:srgbClr>
                  </w14:solidFill>
                </w14:textFill>
              </w:rPr>
              <w:t>|</w:t>
            </w:r>
            <w:r w:rsidRPr="00E44776">
              <w:rPr>
                <w:b/>
                <w:szCs w:val="20"/>
              </w:rPr>
              <w:t xml:space="preserve">% rebate to published DPMQ; obinutuzumab – </w:t>
            </w:r>
            <w:r w:rsidR="00BE4D52" w:rsidRPr="00FC7B41">
              <w:rPr>
                <w:rFonts w:hint="eastAsia"/>
                <w:b/>
                <w:color w:val="000000"/>
                <w:w w:val="22"/>
                <w:szCs w:val="20"/>
                <w:shd w:val="solid" w:color="000000" w:fill="000000"/>
                <w:fitText w:val="100" w:id="-1280024831"/>
                <w14:textFill>
                  <w14:solidFill>
                    <w14:srgbClr w14:val="000000">
                      <w14:alpha w14:val="100000"/>
                    </w14:srgbClr>
                  </w14:solidFill>
                </w14:textFill>
              </w:rPr>
              <w:t xml:space="preserve">　</w:t>
            </w:r>
            <w:r w:rsidR="00BE4D52" w:rsidRPr="00FC7B41">
              <w:rPr>
                <w:b/>
                <w:color w:val="000000"/>
                <w:w w:val="22"/>
                <w:szCs w:val="20"/>
                <w:shd w:val="solid" w:color="000000" w:fill="000000"/>
                <w:fitText w:val="100" w:id="-1280024831"/>
                <w14:textFill>
                  <w14:solidFill>
                    <w14:srgbClr w14:val="000000">
                      <w14:alpha w14:val="100000"/>
                    </w14:srgbClr>
                  </w14:solidFill>
                </w14:textFill>
              </w:rPr>
              <w:t>|</w:t>
            </w:r>
            <w:r w:rsidR="00BE4D52" w:rsidRPr="00FC7B41">
              <w:rPr>
                <w:rFonts w:hint="eastAsia"/>
                <w:b/>
                <w:color w:val="000000"/>
                <w:spacing w:val="2"/>
                <w:w w:val="22"/>
                <w:szCs w:val="20"/>
                <w:shd w:val="solid" w:color="000000" w:fill="000000"/>
                <w:fitText w:val="100" w:id="-1280024831"/>
                <w14:textFill>
                  <w14:solidFill>
                    <w14:srgbClr w14:val="000000">
                      <w14:alpha w14:val="100000"/>
                    </w14:srgbClr>
                  </w14:solidFill>
                </w14:textFill>
              </w:rPr>
              <w:t xml:space="preserve">　</w:t>
            </w:r>
            <w:r w:rsidRPr="00E44776">
              <w:rPr>
                <w:b/>
                <w:szCs w:val="20"/>
              </w:rPr>
              <w:t xml:space="preserve">% rebate on published AEMP; ibrutinib – estimated effective DPMQ with 24-month cap; idelalisib – </w:t>
            </w:r>
            <w:r w:rsidR="00BE4D52" w:rsidRPr="00FC7B41">
              <w:rPr>
                <w:rFonts w:hint="eastAsia"/>
                <w:b/>
                <w:color w:val="000000"/>
                <w:w w:val="20"/>
                <w:szCs w:val="20"/>
                <w:shd w:val="solid" w:color="000000" w:fill="000000"/>
                <w:fitText w:val="90" w:id="-1280024576"/>
                <w14:textFill>
                  <w14:solidFill>
                    <w14:srgbClr w14:val="000000">
                      <w14:alpha w14:val="100000"/>
                    </w14:srgbClr>
                  </w14:solidFill>
                </w14:textFill>
              </w:rPr>
              <w:t xml:space="preserve">　</w:t>
            </w:r>
            <w:r w:rsidR="00BE4D52" w:rsidRPr="00FC7B41">
              <w:rPr>
                <w:b/>
                <w:color w:val="000000"/>
                <w:w w:val="20"/>
                <w:szCs w:val="20"/>
                <w:shd w:val="solid" w:color="000000" w:fill="000000"/>
                <w:fitText w:val="90" w:id="-1280024576"/>
                <w14:textFill>
                  <w14:solidFill>
                    <w14:srgbClr w14:val="000000">
                      <w14:alpha w14:val="100000"/>
                    </w14:srgbClr>
                  </w14:solidFill>
                </w14:textFill>
              </w:rPr>
              <w:t>|</w:t>
            </w:r>
            <w:r w:rsidR="00BE4D52" w:rsidRPr="00FC7B41">
              <w:rPr>
                <w:rFonts w:hint="eastAsia"/>
                <w:b/>
                <w:color w:val="000000"/>
                <w:w w:val="20"/>
                <w:szCs w:val="20"/>
                <w:shd w:val="solid" w:color="000000" w:fill="000000"/>
                <w:fitText w:val="90" w:id="-1280024576"/>
                <w14:textFill>
                  <w14:solidFill>
                    <w14:srgbClr w14:val="000000">
                      <w14:alpha w14:val="100000"/>
                    </w14:srgbClr>
                  </w14:solidFill>
                </w14:textFill>
              </w:rPr>
              <w:t xml:space="preserve">　</w:t>
            </w:r>
            <w:r w:rsidRPr="00E44776">
              <w:rPr>
                <w:b/>
                <w:szCs w:val="20"/>
              </w:rPr>
              <w:t>% rebate on published AEMP with 12-month cap; rituximab – published DPMA)</w:t>
            </w:r>
          </w:p>
        </w:tc>
      </w:tr>
      <w:tr w:rsidR="00657184" w:rsidRPr="00E44776" w14:paraId="011248C0" w14:textId="77777777" w:rsidTr="008D2097">
        <w:trPr>
          <w:cantSplit/>
        </w:trPr>
        <w:tc>
          <w:tcPr>
            <w:tcW w:w="4224" w:type="dxa"/>
            <w:tcBorders>
              <w:top w:val="single" w:sz="4" w:space="0" w:color="auto"/>
              <w:left w:val="single" w:sz="4" w:space="0" w:color="auto"/>
              <w:bottom w:val="single" w:sz="4" w:space="0" w:color="auto"/>
              <w:right w:val="single" w:sz="4" w:space="0" w:color="auto"/>
            </w:tcBorders>
          </w:tcPr>
          <w:p w14:paraId="53B38A1C" w14:textId="77777777" w:rsidR="00657184" w:rsidRPr="00E44776" w:rsidRDefault="00657184" w:rsidP="00657184">
            <w:pPr>
              <w:pStyle w:val="Tabletext0"/>
              <w:tabs>
                <w:tab w:val="left" w:pos="37"/>
              </w:tabs>
              <w:ind w:left="37"/>
              <w:rPr>
                <w:szCs w:val="20"/>
              </w:rPr>
            </w:pPr>
            <w:r w:rsidRPr="00E44776">
              <w:rPr>
                <w:szCs w:val="20"/>
              </w:rPr>
              <w:t>Cycle cap of 48 months (cap proposed in November 2021 resubmission)</w:t>
            </w:r>
          </w:p>
        </w:tc>
        <w:tc>
          <w:tcPr>
            <w:tcW w:w="1488" w:type="dxa"/>
            <w:tcBorders>
              <w:top w:val="single" w:sz="4" w:space="0" w:color="auto"/>
              <w:left w:val="single" w:sz="4" w:space="0" w:color="auto"/>
              <w:bottom w:val="single" w:sz="4" w:space="0" w:color="auto"/>
              <w:right w:val="single" w:sz="4" w:space="0" w:color="auto"/>
            </w:tcBorders>
            <w:vAlign w:val="center"/>
          </w:tcPr>
          <w:p w14:paraId="29C629AB" w14:textId="50FB5EF7"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2000"/>
                <w14:textFill>
                  <w14:solidFill>
                    <w14:srgbClr w14:val="000000">
                      <w14:alpha w14:val="100000"/>
                    </w14:srgbClr>
                  </w14:solidFill>
                </w14:textFill>
              </w:rPr>
              <w:t>||</w:t>
            </w:r>
            <w:r w:rsidR="00777DAE" w:rsidRPr="00FC7B41">
              <w:rPr>
                <w:color w:val="000000"/>
                <w:spacing w:val="1"/>
                <w:shd w:val="solid" w:color="000000" w:fill="000000"/>
                <w:fitText w:val="230" w:id="-1280032000"/>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32394244" w14:textId="77777777" w:rsidR="00657184" w:rsidRPr="00E44776" w:rsidRDefault="00657184" w:rsidP="00657184">
            <w:pPr>
              <w:pStyle w:val="Tabletext0"/>
              <w:jc w:val="center"/>
            </w:pPr>
            <w:r w:rsidRPr="00E44776">
              <w:t>0.986</w:t>
            </w:r>
          </w:p>
        </w:tc>
        <w:tc>
          <w:tcPr>
            <w:tcW w:w="1023" w:type="dxa"/>
            <w:tcBorders>
              <w:top w:val="single" w:sz="4" w:space="0" w:color="auto"/>
              <w:left w:val="single" w:sz="4" w:space="0" w:color="auto"/>
              <w:bottom w:val="single" w:sz="4" w:space="0" w:color="auto"/>
              <w:right w:val="single" w:sz="4" w:space="0" w:color="auto"/>
            </w:tcBorders>
            <w:vAlign w:val="center"/>
          </w:tcPr>
          <w:p w14:paraId="59AFE692" w14:textId="3F54D7F1"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99"/>
                <w14:textFill>
                  <w14:solidFill>
                    <w14:srgbClr w14:val="000000">
                      <w14:alpha w14:val="100000"/>
                    </w14:srgbClr>
                  </w14:solidFill>
                </w14:textFill>
              </w:rPr>
              <w:t>|||</w:t>
            </w:r>
            <w:r w:rsidR="00777DAE" w:rsidRPr="00FC7B41">
              <w:rPr>
                <w:color w:val="000000"/>
                <w:spacing w:val="2"/>
                <w:shd w:val="solid" w:color="000000" w:fill="000000"/>
                <w:fitText w:val="310" w:id="-1280031999"/>
                <w14:textFill>
                  <w14:solidFill>
                    <w14:srgbClr w14:val="000000">
                      <w14:alpha w14:val="100000"/>
                    </w14:srgbClr>
                  </w14:solidFill>
                </w14:textFill>
              </w:rPr>
              <w:t>|</w:t>
            </w:r>
            <w:r w:rsidR="00836112">
              <w:rPr>
                <w:vertAlign w:val="superscript"/>
              </w:rPr>
              <w:t>5</w:t>
            </w:r>
          </w:p>
        </w:tc>
        <w:tc>
          <w:tcPr>
            <w:tcW w:w="1024" w:type="dxa"/>
            <w:tcBorders>
              <w:top w:val="single" w:sz="4" w:space="0" w:color="auto"/>
              <w:left w:val="single" w:sz="4" w:space="0" w:color="auto"/>
              <w:bottom w:val="single" w:sz="4" w:space="0" w:color="auto"/>
              <w:right w:val="single" w:sz="4" w:space="0" w:color="auto"/>
            </w:tcBorders>
            <w:vAlign w:val="center"/>
          </w:tcPr>
          <w:p w14:paraId="4C2D4DE6" w14:textId="77777777" w:rsidR="00657184" w:rsidRPr="00E44776" w:rsidRDefault="00657184" w:rsidP="00657184">
            <w:pPr>
              <w:pStyle w:val="Tabletext0"/>
              <w:jc w:val="center"/>
            </w:pPr>
            <w:r w:rsidRPr="00E44776">
              <w:t>-45%</w:t>
            </w:r>
          </w:p>
        </w:tc>
      </w:tr>
      <w:tr w:rsidR="00657184" w:rsidRPr="00E44776" w14:paraId="04B55EB0" w14:textId="77777777" w:rsidTr="008D2097">
        <w:trPr>
          <w:cantSplit/>
        </w:trPr>
        <w:tc>
          <w:tcPr>
            <w:tcW w:w="4224" w:type="dxa"/>
            <w:tcBorders>
              <w:top w:val="single" w:sz="4" w:space="0" w:color="auto"/>
              <w:left w:val="single" w:sz="4" w:space="0" w:color="auto"/>
              <w:bottom w:val="single" w:sz="4" w:space="0" w:color="auto"/>
              <w:right w:val="single" w:sz="4" w:space="0" w:color="auto"/>
            </w:tcBorders>
          </w:tcPr>
          <w:p w14:paraId="26ACBE09" w14:textId="77777777" w:rsidR="00657184" w:rsidRPr="00E44776" w:rsidRDefault="00657184" w:rsidP="00657184">
            <w:pPr>
              <w:pStyle w:val="Tabletext0"/>
              <w:tabs>
                <w:tab w:val="left" w:pos="37"/>
              </w:tabs>
              <w:ind w:left="37"/>
              <w:rPr>
                <w:szCs w:val="20"/>
              </w:rPr>
            </w:pPr>
            <w:r w:rsidRPr="00E44776">
              <w:t>Remove cycle cap for ongoing second-line therapies (ibrutinib, idelalisib)</w:t>
            </w:r>
          </w:p>
        </w:tc>
        <w:tc>
          <w:tcPr>
            <w:tcW w:w="1488" w:type="dxa"/>
            <w:tcBorders>
              <w:top w:val="single" w:sz="4" w:space="0" w:color="auto"/>
              <w:left w:val="single" w:sz="4" w:space="0" w:color="auto"/>
              <w:bottom w:val="single" w:sz="4" w:space="0" w:color="auto"/>
              <w:right w:val="single" w:sz="4" w:space="0" w:color="auto"/>
            </w:tcBorders>
            <w:vAlign w:val="center"/>
          </w:tcPr>
          <w:p w14:paraId="4C032E2B" w14:textId="13192B87"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98"/>
                <w14:textFill>
                  <w14:solidFill>
                    <w14:srgbClr w14:val="000000">
                      <w14:alpha w14:val="100000"/>
                    </w14:srgbClr>
                  </w14:solidFill>
                </w14:textFill>
              </w:rPr>
              <w:t>||</w:t>
            </w:r>
            <w:r w:rsidR="00777DAE" w:rsidRPr="00FC7B41">
              <w:rPr>
                <w:color w:val="000000"/>
                <w:spacing w:val="1"/>
                <w:shd w:val="solid" w:color="000000" w:fill="000000"/>
                <w:fitText w:val="230" w:id="-1280031998"/>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310F0BBA" w14:textId="77777777" w:rsidR="00657184" w:rsidRPr="00E44776" w:rsidRDefault="00657184" w:rsidP="00657184">
            <w:pPr>
              <w:pStyle w:val="Tabletext0"/>
              <w:jc w:val="center"/>
            </w:pPr>
            <w:r w:rsidRPr="00E44776">
              <w:t>0.986</w:t>
            </w:r>
          </w:p>
        </w:tc>
        <w:tc>
          <w:tcPr>
            <w:tcW w:w="1023" w:type="dxa"/>
            <w:tcBorders>
              <w:top w:val="single" w:sz="4" w:space="0" w:color="auto"/>
              <w:left w:val="single" w:sz="4" w:space="0" w:color="auto"/>
              <w:bottom w:val="single" w:sz="4" w:space="0" w:color="auto"/>
              <w:right w:val="single" w:sz="4" w:space="0" w:color="auto"/>
            </w:tcBorders>
            <w:vAlign w:val="center"/>
          </w:tcPr>
          <w:p w14:paraId="2941ABD3" w14:textId="098824CA"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97"/>
                <w14:textFill>
                  <w14:solidFill>
                    <w14:srgbClr w14:val="000000">
                      <w14:alpha w14:val="100000"/>
                    </w14:srgbClr>
                  </w14:solidFill>
                </w14:textFill>
              </w:rPr>
              <w:t>|||</w:t>
            </w:r>
            <w:r w:rsidR="00777DAE" w:rsidRPr="00FC7B41">
              <w:rPr>
                <w:color w:val="000000"/>
                <w:spacing w:val="2"/>
                <w:shd w:val="solid" w:color="000000" w:fill="000000"/>
                <w:fitText w:val="310" w:id="-1280031997"/>
                <w14:textFill>
                  <w14:solidFill>
                    <w14:srgbClr w14:val="000000">
                      <w14:alpha w14:val="100000"/>
                    </w14:srgbClr>
                  </w14:solidFill>
                </w14:textFill>
              </w:rPr>
              <w:t>|</w:t>
            </w:r>
            <w:r w:rsidR="00836112">
              <w:rPr>
                <w:vertAlign w:val="superscript"/>
              </w:rPr>
              <w:t>6</w:t>
            </w:r>
          </w:p>
        </w:tc>
        <w:tc>
          <w:tcPr>
            <w:tcW w:w="1024" w:type="dxa"/>
            <w:tcBorders>
              <w:top w:val="single" w:sz="4" w:space="0" w:color="auto"/>
              <w:left w:val="single" w:sz="4" w:space="0" w:color="auto"/>
              <w:bottom w:val="single" w:sz="4" w:space="0" w:color="auto"/>
              <w:right w:val="single" w:sz="4" w:space="0" w:color="auto"/>
            </w:tcBorders>
            <w:vAlign w:val="center"/>
          </w:tcPr>
          <w:p w14:paraId="57697B8B" w14:textId="77777777" w:rsidR="00657184" w:rsidRPr="00E44776" w:rsidRDefault="00657184" w:rsidP="00657184">
            <w:pPr>
              <w:pStyle w:val="Tabletext0"/>
              <w:jc w:val="center"/>
            </w:pPr>
            <w:r w:rsidRPr="00E44776">
              <w:t>-9%</w:t>
            </w:r>
          </w:p>
        </w:tc>
      </w:tr>
      <w:tr w:rsidR="00657184" w:rsidRPr="00E44776" w14:paraId="2CAA6F98" w14:textId="77777777" w:rsidTr="008D2097">
        <w:trPr>
          <w:cantSplit/>
        </w:trPr>
        <w:tc>
          <w:tcPr>
            <w:tcW w:w="4224" w:type="dxa"/>
            <w:tcBorders>
              <w:top w:val="single" w:sz="4" w:space="0" w:color="auto"/>
              <w:left w:val="single" w:sz="4" w:space="0" w:color="auto"/>
              <w:bottom w:val="single" w:sz="4" w:space="0" w:color="auto"/>
              <w:right w:val="single" w:sz="4" w:space="0" w:color="auto"/>
            </w:tcBorders>
          </w:tcPr>
          <w:p w14:paraId="3CFE3B96" w14:textId="77777777" w:rsidR="00657184" w:rsidRPr="00E44776" w:rsidRDefault="00657184" w:rsidP="00657184">
            <w:pPr>
              <w:pStyle w:val="Tabletext0"/>
              <w:tabs>
                <w:tab w:val="left" w:pos="37"/>
              </w:tabs>
              <w:ind w:left="37"/>
              <w:rPr>
                <w:szCs w:val="20"/>
              </w:rPr>
            </w:pPr>
            <w:r w:rsidRPr="00E44776">
              <w:rPr>
                <w:szCs w:val="20"/>
              </w:rPr>
              <w:t>Remove dose intensity for acalabrutinib</w:t>
            </w:r>
          </w:p>
        </w:tc>
        <w:tc>
          <w:tcPr>
            <w:tcW w:w="1488" w:type="dxa"/>
            <w:tcBorders>
              <w:top w:val="single" w:sz="4" w:space="0" w:color="auto"/>
              <w:left w:val="single" w:sz="4" w:space="0" w:color="auto"/>
              <w:bottom w:val="single" w:sz="4" w:space="0" w:color="auto"/>
              <w:right w:val="single" w:sz="4" w:space="0" w:color="auto"/>
            </w:tcBorders>
          </w:tcPr>
          <w:p w14:paraId="0040C56F" w14:textId="1813C488"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96"/>
                <w14:textFill>
                  <w14:solidFill>
                    <w14:srgbClr w14:val="000000">
                      <w14:alpha w14:val="100000"/>
                    </w14:srgbClr>
                  </w14:solidFill>
                </w14:textFill>
              </w:rPr>
              <w:t>||</w:t>
            </w:r>
            <w:r w:rsidR="00777DAE" w:rsidRPr="00FC7B41">
              <w:rPr>
                <w:color w:val="000000"/>
                <w:spacing w:val="1"/>
                <w:shd w:val="solid" w:color="000000" w:fill="000000"/>
                <w:fitText w:val="230" w:id="-1280031996"/>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4FE2E1EE" w14:textId="77777777" w:rsidR="00657184" w:rsidRPr="00E44776" w:rsidRDefault="00657184" w:rsidP="00657184">
            <w:pPr>
              <w:pStyle w:val="Tabletext0"/>
              <w:jc w:val="center"/>
            </w:pPr>
            <w:r w:rsidRPr="00E44776">
              <w:t>0.986</w:t>
            </w:r>
          </w:p>
        </w:tc>
        <w:tc>
          <w:tcPr>
            <w:tcW w:w="1023" w:type="dxa"/>
            <w:tcBorders>
              <w:top w:val="single" w:sz="4" w:space="0" w:color="auto"/>
              <w:left w:val="single" w:sz="4" w:space="0" w:color="auto"/>
              <w:bottom w:val="single" w:sz="4" w:space="0" w:color="auto"/>
              <w:right w:val="single" w:sz="4" w:space="0" w:color="auto"/>
            </w:tcBorders>
          </w:tcPr>
          <w:p w14:paraId="4E02408D" w14:textId="51162905"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95"/>
                <w14:textFill>
                  <w14:solidFill>
                    <w14:srgbClr w14:val="000000">
                      <w14:alpha w14:val="100000"/>
                    </w14:srgbClr>
                  </w14:solidFill>
                </w14:textFill>
              </w:rPr>
              <w:t>|||</w:t>
            </w:r>
            <w:r w:rsidR="00777DAE" w:rsidRPr="00FC7B41">
              <w:rPr>
                <w:color w:val="000000"/>
                <w:spacing w:val="2"/>
                <w:shd w:val="solid" w:color="000000" w:fill="000000"/>
                <w:fitText w:val="310" w:id="-1280031995"/>
                <w14:textFill>
                  <w14:solidFill>
                    <w14:srgbClr w14:val="000000">
                      <w14:alpha w14:val="100000"/>
                    </w14:srgbClr>
                  </w14:solidFill>
                </w14:textFill>
              </w:rPr>
              <w:t>|</w:t>
            </w:r>
            <w:r w:rsidR="00836112">
              <w:rPr>
                <w:vertAlign w:val="superscript"/>
              </w:rPr>
              <w:t>1</w:t>
            </w:r>
          </w:p>
        </w:tc>
        <w:tc>
          <w:tcPr>
            <w:tcW w:w="1024" w:type="dxa"/>
            <w:tcBorders>
              <w:top w:val="single" w:sz="4" w:space="0" w:color="auto"/>
              <w:left w:val="single" w:sz="4" w:space="0" w:color="auto"/>
              <w:bottom w:val="single" w:sz="4" w:space="0" w:color="auto"/>
              <w:right w:val="single" w:sz="4" w:space="0" w:color="auto"/>
            </w:tcBorders>
            <w:vAlign w:val="center"/>
          </w:tcPr>
          <w:p w14:paraId="47734853" w14:textId="77777777" w:rsidR="00657184" w:rsidRPr="00E44776" w:rsidRDefault="00657184" w:rsidP="00657184">
            <w:pPr>
              <w:pStyle w:val="Tabletext0"/>
              <w:jc w:val="center"/>
            </w:pPr>
            <w:r w:rsidRPr="00E44776">
              <w:t>16%</w:t>
            </w:r>
          </w:p>
        </w:tc>
      </w:tr>
      <w:tr w:rsidR="00657184" w:rsidRPr="00E44776" w14:paraId="778556CD"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tcPr>
          <w:p w14:paraId="2187F316" w14:textId="77777777" w:rsidR="00657184" w:rsidRPr="00E44776" w:rsidRDefault="00657184" w:rsidP="00657184">
            <w:pPr>
              <w:pStyle w:val="Tabletext0"/>
              <w:rPr>
                <w:b/>
                <w:bCs/>
              </w:rPr>
            </w:pPr>
            <w:r w:rsidRPr="00E44776">
              <w:rPr>
                <w:b/>
                <w:bCs/>
              </w:rPr>
              <w:t>Proportion of acalabrutinib + obinutuzumab patients treated with second line venetoclax + rituximab (base case: 90%)</w:t>
            </w:r>
          </w:p>
        </w:tc>
      </w:tr>
      <w:tr w:rsidR="00657184" w:rsidRPr="00E44776" w14:paraId="2D1C0BA3"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515FDF12" w14:textId="77777777" w:rsidR="00657184" w:rsidRPr="00E44776" w:rsidRDefault="00657184" w:rsidP="00657184">
            <w:pPr>
              <w:pStyle w:val="Tabletext0"/>
              <w:tabs>
                <w:tab w:val="left" w:pos="37"/>
              </w:tabs>
              <w:ind w:left="37"/>
              <w:rPr>
                <w:szCs w:val="20"/>
              </w:rPr>
            </w:pPr>
            <w:r w:rsidRPr="00E44776">
              <w:rPr>
                <w:szCs w:val="20"/>
              </w:rPr>
              <w:t>100%</w:t>
            </w:r>
          </w:p>
        </w:tc>
        <w:tc>
          <w:tcPr>
            <w:tcW w:w="1488" w:type="dxa"/>
            <w:tcBorders>
              <w:top w:val="single" w:sz="4" w:space="0" w:color="auto"/>
              <w:left w:val="single" w:sz="4" w:space="0" w:color="auto"/>
              <w:bottom w:val="single" w:sz="4" w:space="0" w:color="auto"/>
              <w:right w:val="single" w:sz="4" w:space="0" w:color="auto"/>
            </w:tcBorders>
          </w:tcPr>
          <w:p w14:paraId="65FDA541" w14:textId="5D598D4A"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94"/>
                <w14:textFill>
                  <w14:solidFill>
                    <w14:srgbClr w14:val="000000">
                      <w14:alpha w14:val="100000"/>
                    </w14:srgbClr>
                  </w14:solidFill>
                </w14:textFill>
              </w:rPr>
              <w:t>||</w:t>
            </w:r>
            <w:r w:rsidR="00777DAE" w:rsidRPr="00FC7B41">
              <w:rPr>
                <w:color w:val="000000"/>
                <w:spacing w:val="1"/>
                <w:shd w:val="solid" w:color="000000" w:fill="000000"/>
                <w:fitText w:val="230" w:id="-1280031994"/>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4EB9A825" w14:textId="77777777" w:rsidR="00657184" w:rsidRPr="00E44776" w:rsidRDefault="00657184" w:rsidP="00657184">
            <w:pPr>
              <w:pStyle w:val="Tabletext0"/>
              <w:jc w:val="center"/>
            </w:pPr>
            <w:r w:rsidRPr="00E44776">
              <w:t>0.986</w:t>
            </w:r>
          </w:p>
        </w:tc>
        <w:tc>
          <w:tcPr>
            <w:tcW w:w="1023" w:type="dxa"/>
            <w:tcBorders>
              <w:top w:val="single" w:sz="4" w:space="0" w:color="auto"/>
              <w:left w:val="single" w:sz="4" w:space="0" w:color="auto"/>
              <w:bottom w:val="single" w:sz="4" w:space="0" w:color="auto"/>
              <w:right w:val="single" w:sz="4" w:space="0" w:color="auto"/>
            </w:tcBorders>
          </w:tcPr>
          <w:p w14:paraId="4374851C" w14:textId="578ED600"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93"/>
                <w14:textFill>
                  <w14:solidFill>
                    <w14:srgbClr w14:val="000000">
                      <w14:alpha w14:val="100000"/>
                    </w14:srgbClr>
                  </w14:solidFill>
                </w14:textFill>
              </w:rPr>
              <w:t>|||</w:t>
            </w:r>
            <w:r w:rsidR="00777DAE" w:rsidRPr="00FC7B41">
              <w:rPr>
                <w:color w:val="000000"/>
                <w:spacing w:val="2"/>
                <w:shd w:val="solid" w:color="000000" w:fill="000000"/>
                <w:fitText w:val="310" w:id="-1280031993"/>
                <w14:textFill>
                  <w14:solidFill>
                    <w14:srgbClr w14:val="000000">
                      <w14:alpha w14:val="100000"/>
                    </w14:srgbClr>
                  </w14:solidFill>
                </w14:textFill>
              </w:rPr>
              <w:t>|</w:t>
            </w:r>
            <w:r w:rsidR="00836112">
              <w:rPr>
                <w:vertAlign w:val="superscript"/>
              </w:rPr>
              <w:t>1</w:t>
            </w:r>
          </w:p>
        </w:tc>
        <w:tc>
          <w:tcPr>
            <w:tcW w:w="1024" w:type="dxa"/>
            <w:tcBorders>
              <w:top w:val="single" w:sz="4" w:space="0" w:color="auto"/>
              <w:left w:val="single" w:sz="4" w:space="0" w:color="auto"/>
              <w:bottom w:val="single" w:sz="4" w:space="0" w:color="auto"/>
              <w:right w:val="single" w:sz="4" w:space="0" w:color="auto"/>
            </w:tcBorders>
          </w:tcPr>
          <w:p w14:paraId="68234BB3" w14:textId="77777777" w:rsidR="00657184" w:rsidRPr="00E44776" w:rsidRDefault="00657184" w:rsidP="00657184">
            <w:pPr>
              <w:pStyle w:val="Tabletext0"/>
              <w:jc w:val="center"/>
            </w:pPr>
            <w:r w:rsidRPr="00E44776">
              <w:t>6%</w:t>
            </w:r>
          </w:p>
        </w:tc>
      </w:tr>
      <w:tr w:rsidR="00657184" w:rsidRPr="00E44776" w14:paraId="0FE5B26B"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27F73E7D" w14:textId="77777777" w:rsidR="00657184" w:rsidRPr="00E44776" w:rsidRDefault="00657184" w:rsidP="00657184">
            <w:pPr>
              <w:pStyle w:val="Tabletext0"/>
              <w:tabs>
                <w:tab w:val="left" w:pos="37"/>
              </w:tabs>
              <w:ind w:left="37"/>
              <w:rPr>
                <w:szCs w:val="20"/>
              </w:rPr>
            </w:pPr>
            <w:r w:rsidRPr="00E44776">
              <w:rPr>
                <w:szCs w:val="20"/>
              </w:rPr>
              <w:t>80%</w:t>
            </w:r>
          </w:p>
        </w:tc>
        <w:tc>
          <w:tcPr>
            <w:tcW w:w="1488" w:type="dxa"/>
            <w:tcBorders>
              <w:top w:val="single" w:sz="4" w:space="0" w:color="auto"/>
              <w:left w:val="single" w:sz="4" w:space="0" w:color="auto"/>
              <w:bottom w:val="single" w:sz="4" w:space="0" w:color="auto"/>
              <w:right w:val="single" w:sz="4" w:space="0" w:color="auto"/>
            </w:tcBorders>
          </w:tcPr>
          <w:p w14:paraId="532505D2" w14:textId="2038BDA6"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92"/>
                <w14:textFill>
                  <w14:solidFill>
                    <w14:srgbClr w14:val="000000">
                      <w14:alpha w14:val="100000"/>
                    </w14:srgbClr>
                  </w14:solidFill>
                </w14:textFill>
              </w:rPr>
              <w:t>||</w:t>
            </w:r>
            <w:r w:rsidR="00777DAE" w:rsidRPr="00FC7B41">
              <w:rPr>
                <w:color w:val="000000"/>
                <w:spacing w:val="1"/>
                <w:shd w:val="solid" w:color="000000" w:fill="000000"/>
                <w:fitText w:val="230" w:id="-1280031992"/>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4E5D1CE9" w14:textId="77777777" w:rsidR="00657184" w:rsidRPr="00E44776" w:rsidRDefault="00657184" w:rsidP="00657184">
            <w:pPr>
              <w:pStyle w:val="Tabletext0"/>
              <w:jc w:val="center"/>
            </w:pPr>
            <w:r w:rsidRPr="00E44776">
              <w:t>0.986</w:t>
            </w:r>
          </w:p>
        </w:tc>
        <w:tc>
          <w:tcPr>
            <w:tcW w:w="1023" w:type="dxa"/>
            <w:tcBorders>
              <w:top w:val="single" w:sz="4" w:space="0" w:color="auto"/>
              <w:left w:val="single" w:sz="4" w:space="0" w:color="auto"/>
              <w:bottom w:val="single" w:sz="4" w:space="0" w:color="auto"/>
              <w:right w:val="single" w:sz="4" w:space="0" w:color="auto"/>
            </w:tcBorders>
          </w:tcPr>
          <w:p w14:paraId="652AE564" w14:textId="0D8107AD"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91"/>
                <w14:textFill>
                  <w14:solidFill>
                    <w14:srgbClr w14:val="000000">
                      <w14:alpha w14:val="100000"/>
                    </w14:srgbClr>
                  </w14:solidFill>
                </w14:textFill>
              </w:rPr>
              <w:t>|||</w:t>
            </w:r>
            <w:r w:rsidR="00777DAE" w:rsidRPr="00FC7B41">
              <w:rPr>
                <w:color w:val="000000"/>
                <w:spacing w:val="2"/>
                <w:shd w:val="solid" w:color="000000" w:fill="000000"/>
                <w:fitText w:val="310" w:id="-1280031991"/>
                <w14:textFill>
                  <w14:solidFill>
                    <w14:srgbClr w14:val="000000">
                      <w14:alpha w14:val="100000"/>
                    </w14:srgbClr>
                  </w14:solidFill>
                </w14:textFill>
              </w:rPr>
              <w:t>|</w:t>
            </w:r>
            <w:r w:rsidR="00836112">
              <w:rPr>
                <w:vertAlign w:val="superscript"/>
              </w:rPr>
              <w:t>6</w:t>
            </w:r>
          </w:p>
        </w:tc>
        <w:tc>
          <w:tcPr>
            <w:tcW w:w="1024" w:type="dxa"/>
            <w:tcBorders>
              <w:top w:val="single" w:sz="4" w:space="0" w:color="auto"/>
              <w:left w:val="single" w:sz="4" w:space="0" w:color="auto"/>
              <w:bottom w:val="single" w:sz="4" w:space="0" w:color="auto"/>
              <w:right w:val="single" w:sz="4" w:space="0" w:color="auto"/>
            </w:tcBorders>
          </w:tcPr>
          <w:p w14:paraId="39AF29DC" w14:textId="77777777" w:rsidR="00657184" w:rsidRPr="00E44776" w:rsidRDefault="00657184" w:rsidP="00657184">
            <w:pPr>
              <w:pStyle w:val="Tabletext0"/>
              <w:jc w:val="center"/>
            </w:pPr>
            <w:r w:rsidRPr="00E44776">
              <w:t>-6%</w:t>
            </w:r>
          </w:p>
        </w:tc>
      </w:tr>
      <w:tr w:rsidR="00657184" w:rsidRPr="00E44776" w14:paraId="17A80553"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tcPr>
          <w:p w14:paraId="79FA7002" w14:textId="77777777" w:rsidR="00657184" w:rsidRPr="00E44776" w:rsidRDefault="00657184" w:rsidP="00657184">
            <w:pPr>
              <w:pStyle w:val="Tabletext0"/>
              <w:rPr>
                <w:b/>
                <w:bCs/>
              </w:rPr>
            </w:pPr>
            <w:r w:rsidRPr="00E44776">
              <w:rPr>
                <w:b/>
                <w:bCs/>
              </w:rPr>
              <w:t>Utilities (base case: first-line progression-free 0.82; first-line progressed disease decrement of 0.044; relapsed/refractory disease 0.66)</w:t>
            </w:r>
          </w:p>
        </w:tc>
      </w:tr>
      <w:tr w:rsidR="00657184" w:rsidRPr="00E44776" w14:paraId="29DC6FB2" w14:textId="77777777" w:rsidTr="00A57E5C">
        <w:trPr>
          <w:cantSplit/>
          <w:trHeight w:val="70"/>
        </w:trPr>
        <w:tc>
          <w:tcPr>
            <w:tcW w:w="4224" w:type="dxa"/>
            <w:tcBorders>
              <w:top w:val="single" w:sz="4" w:space="0" w:color="auto"/>
              <w:left w:val="single" w:sz="4" w:space="0" w:color="auto"/>
              <w:bottom w:val="single" w:sz="4" w:space="0" w:color="auto"/>
              <w:right w:val="single" w:sz="4" w:space="0" w:color="auto"/>
            </w:tcBorders>
          </w:tcPr>
          <w:p w14:paraId="23E0F9BA" w14:textId="77777777" w:rsidR="00657184" w:rsidRPr="00E44776" w:rsidRDefault="00657184" w:rsidP="00657184">
            <w:pPr>
              <w:pStyle w:val="Tabletext0"/>
              <w:tabs>
                <w:tab w:val="left" w:pos="37"/>
              </w:tabs>
              <w:ind w:left="37"/>
              <w:rPr>
                <w:szCs w:val="20"/>
              </w:rPr>
            </w:pPr>
            <w:r w:rsidRPr="00E44776">
              <w:rPr>
                <w:szCs w:val="20"/>
              </w:rPr>
              <w:t>First line progression-free increased to 0.87</w:t>
            </w:r>
          </w:p>
        </w:tc>
        <w:tc>
          <w:tcPr>
            <w:tcW w:w="1488" w:type="dxa"/>
            <w:tcBorders>
              <w:top w:val="single" w:sz="4" w:space="0" w:color="auto"/>
              <w:left w:val="single" w:sz="4" w:space="0" w:color="auto"/>
              <w:bottom w:val="single" w:sz="4" w:space="0" w:color="auto"/>
              <w:right w:val="single" w:sz="4" w:space="0" w:color="auto"/>
            </w:tcBorders>
          </w:tcPr>
          <w:p w14:paraId="08D90D5F" w14:textId="01E555FF"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90"/>
                <w14:textFill>
                  <w14:solidFill>
                    <w14:srgbClr w14:val="000000">
                      <w14:alpha w14:val="100000"/>
                    </w14:srgbClr>
                  </w14:solidFill>
                </w14:textFill>
              </w:rPr>
              <w:t>||</w:t>
            </w:r>
            <w:r w:rsidR="00777DAE" w:rsidRPr="00FC7B41">
              <w:rPr>
                <w:color w:val="000000"/>
                <w:spacing w:val="1"/>
                <w:shd w:val="solid" w:color="000000" w:fill="000000"/>
                <w:fitText w:val="230" w:id="-1280031990"/>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09E29CDA" w14:textId="77777777" w:rsidR="00657184" w:rsidRPr="00E44776" w:rsidRDefault="00657184" w:rsidP="00657184">
            <w:pPr>
              <w:pStyle w:val="Tabletext0"/>
              <w:jc w:val="center"/>
            </w:pPr>
            <w:r w:rsidRPr="00E44776">
              <w:t>1.089</w:t>
            </w:r>
          </w:p>
        </w:tc>
        <w:tc>
          <w:tcPr>
            <w:tcW w:w="1023" w:type="dxa"/>
            <w:tcBorders>
              <w:top w:val="single" w:sz="4" w:space="0" w:color="auto"/>
              <w:left w:val="single" w:sz="4" w:space="0" w:color="auto"/>
              <w:bottom w:val="single" w:sz="4" w:space="0" w:color="auto"/>
              <w:right w:val="single" w:sz="4" w:space="0" w:color="auto"/>
            </w:tcBorders>
          </w:tcPr>
          <w:p w14:paraId="55A81888" w14:textId="7EF31665"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89"/>
                <w14:textFill>
                  <w14:solidFill>
                    <w14:srgbClr w14:val="000000">
                      <w14:alpha w14:val="100000"/>
                    </w14:srgbClr>
                  </w14:solidFill>
                </w14:textFill>
              </w:rPr>
              <w:t>|||</w:t>
            </w:r>
            <w:r w:rsidR="00777DAE" w:rsidRPr="00FC7B41">
              <w:rPr>
                <w:color w:val="000000"/>
                <w:spacing w:val="2"/>
                <w:shd w:val="solid" w:color="000000" w:fill="000000"/>
                <w:fitText w:val="310" w:id="-1280031989"/>
                <w14:textFill>
                  <w14:solidFill>
                    <w14:srgbClr w14:val="000000">
                      <w14:alpha w14:val="100000"/>
                    </w14:srgbClr>
                  </w14:solidFill>
                </w14:textFill>
              </w:rPr>
              <w:t>|</w:t>
            </w:r>
            <w:r w:rsidR="00836112">
              <w:rPr>
                <w:vertAlign w:val="superscript"/>
              </w:rPr>
              <w:t>6</w:t>
            </w:r>
          </w:p>
        </w:tc>
        <w:tc>
          <w:tcPr>
            <w:tcW w:w="1024" w:type="dxa"/>
            <w:tcBorders>
              <w:top w:val="single" w:sz="4" w:space="0" w:color="auto"/>
              <w:left w:val="single" w:sz="4" w:space="0" w:color="auto"/>
              <w:bottom w:val="single" w:sz="4" w:space="0" w:color="auto"/>
              <w:right w:val="single" w:sz="4" w:space="0" w:color="auto"/>
            </w:tcBorders>
          </w:tcPr>
          <w:p w14:paraId="2CC2023C" w14:textId="77777777" w:rsidR="00657184" w:rsidRPr="00E44776" w:rsidRDefault="00657184" w:rsidP="00657184">
            <w:pPr>
              <w:pStyle w:val="Tabletext0"/>
              <w:jc w:val="center"/>
            </w:pPr>
            <w:r w:rsidRPr="00E44776">
              <w:t>-9%</w:t>
            </w:r>
          </w:p>
        </w:tc>
      </w:tr>
      <w:tr w:rsidR="00657184" w:rsidRPr="00E44776" w14:paraId="3AA8AB32"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08B5C67A" w14:textId="7059D779" w:rsidR="00657184" w:rsidRPr="00E44776" w:rsidRDefault="003720E5" w:rsidP="00657184">
            <w:pPr>
              <w:pStyle w:val="Tabletext0"/>
              <w:tabs>
                <w:tab w:val="left" w:pos="37"/>
              </w:tabs>
              <w:ind w:left="37"/>
              <w:rPr>
                <w:szCs w:val="20"/>
              </w:rPr>
            </w:pPr>
            <w:r w:rsidRPr="00E44776">
              <w:rPr>
                <w:szCs w:val="20"/>
              </w:rPr>
              <w:t>First-line p</w:t>
            </w:r>
            <w:r w:rsidR="00657184" w:rsidRPr="00E44776">
              <w:rPr>
                <w:szCs w:val="20"/>
              </w:rPr>
              <w:t>rogression-free decreased to 0.77</w:t>
            </w:r>
          </w:p>
        </w:tc>
        <w:tc>
          <w:tcPr>
            <w:tcW w:w="1488" w:type="dxa"/>
            <w:tcBorders>
              <w:top w:val="single" w:sz="4" w:space="0" w:color="auto"/>
              <w:left w:val="single" w:sz="4" w:space="0" w:color="auto"/>
              <w:bottom w:val="single" w:sz="4" w:space="0" w:color="auto"/>
              <w:right w:val="single" w:sz="4" w:space="0" w:color="auto"/>
            </w:tcBorders>
          </w:tcPr>
          <w:p w14:paraId="408BDC62" w14:textId="5F19237C"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88"/>
                <w14:textFill>
                  <w14:solidFill>
                    <w14:srgbClr w14:val="000000">
                      <w14:alpha w14:val="100000"/>
                    </w14:srgbClr>
                  </w14:solidFill>
                </w14:textFill>
              </w:rPr>
              <w:t>||</w:t>
            </w:r>
            <w:r w:rsidR="00777DAE" w:rsidRPr="00FC7B41">
              <w:rPr>
                <w:color w:val="000000"/>
                <w:spacing w:val="1"/>
                <w:shd w:val="solid" w:color="000000" w:fill="000000"/>
                <w:fitText w:val="230" w:id="-1280031988"/>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50927FEE" w14:textId="77777777" w:rsidR="00657184" w:rsidRPr="00E44776" w:rsidRDefault="00657184" w:rsidP="00657184">
            <w:pPr>
              <w:pStyle w:val="Tabletext0"/>
              <w:jc w:val="center"/>
            </w:pPr>
            <w:r w:rsidRPr="00E44776">
              <w:t>0.883</w:t>
            </w:r>
          </w:p>
        </w:tc>
        <w:tc>
          <w:tcPr>
            <w:tcW w:w="1023" w:type="dxa"/>
            <w:tcBorders>
              <w:top w:val="single" w:sz="4" w:space="0" w:color="auto"/>
              <w:left w:val="single" w:sz="4" w:space="0" w:color="auto"/>
              <w:bottom w:val="single" w:sz="4" w:space="0" w:color="auto"/>
              <w:right w:val="single" w:sz="4" w:space="0" w:color="auto"/>
            </w:tcBorders>
          </w:tcPr>
          <w:p w14:paraId="1F42AF9F" w14:textId="7829D4AA"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87"/>
                <w14:textFill>
                  <w14:solidFill>
                    <w14:srgbClr w14:val="000000">
                      <w14:alpha w14:val="100000"/>
                    </w14:srgbClr>
                  </w14:solidFill>
                </w14:textFill>
              </w:rPr>
              <w:t>|||</w:t>
            </w:r>
            <w:r w:rsidR="00777DAE" w:rsidRPr="00FC7B41">
              <w:rPr>
                <w:color w:val="000000"/>
                <w:spacing w:val="2"/>
                <w:shd w:val="solid" w:color="000000" w:fill="000000"/>
                <w:fitText w:val="310" w:id="-1280031987"/>
                <w14:textFill>
                  <w14:solidFill>
                    <w14:srgbClr w14:val="000000">
                      <w14:alpha w14:val="100000"/>
                    </w14:srgbClr>
                  </w14:solidFill>
                </w14:textFill>
              </w:rPr>
              <w:t>|</w:t>
            </w:r>
            <w:r w:rsidR="00836112">
              <w:rPr>
                <w:vertAlign w:val="superscript"/>
              </w:rPr>
              <w:t>1</w:t>
            </w:r>
          </w:p>
        </w:tc>
        <w:tc>
          <w:tcPr>
            <w:tcW w:w="1024" w:type="dxa"/>
            <w:tcBorders>
              <w:top w:val="single" w:sz="4" w:space="0" w:color="auto"/>
              <w:left w:val="single" w:sz="4" w:space="0" w:color="auto"/>
              <w:bottom w:val="single" w:sz="4" w:space="0" w:color="auto"/>
              <w:right w:val="single" w:sz="4" w:space="0" w:color="auto"/>
            </w:tcBorders>
          </w:tcPr>
          <w:p w14:paraId="5C58184A" w14:textId="77777777" w:rsidR="00657184" w:rsidRPr="00E44776" w:rsidRDefault="00657184" w:rsidP="00657184">
            <w:pPr>
              <w:pStyle w:val="Tabletext0"/>
              <w:jc w:val="center"/>
            </w:pPr>
            <w:r w:rsidRPr="00E44776">
              <w:t>12%</w:t>
            </w:r>
          </w:p>
        </w:tc>
      </w:tr>
      <w:tr w:rsidR="00657184" w:rsidRPr="00E44776" w14:paraId="67C437D0"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73BC6E9C" w14:textId="77777777" w:rsidR="00657184" w:rsidRPr="00E44776" w:rsidRDefault="00657184" w:rsidP="00657184">
            <w:pPr>
              <w:pStyle w:val="Tabletext0"/>
              <w:tabs>
                <w:tab w:val="left" w:pos="37"/>
              </w:tabs>
              <w:ind w:left="37"/>
              <w:rPr>
                <w:szCs w:val="20"/>
              </w:rPr>
            </w:pPr>
            <w:r w:rsidRPr="00E44776">
              <w:rPr>
                <w:szCs w:val="20"/>
              </w:rPr>
              <w:t>Relapsed/refractory disease increased to 0.71</w:t>
            </w:r>
          </w:p>
        </w:tc>
        <w:tc>
          <w:tcPr>
            <w:tcW w:w="1488" w:type="dxa"/>
            <w:tcBorders>
              <w:top w:val="single" w:sz="4" w:space="0" w:color="auto"/>
              <w:left w:val="single" w:sz="4" w:space="0" w:color="auto"/>
              <w:bottom w:val="single" w:sz="4" w:space="0" w:color="auto"/>
              <w:right w:val="single" w:sz="4" w:space="0" w:color="auto"/>
            </w:tcBorders>
          </w:tcPr>
          <w:p w14:paraId="1EEC4186" w14:textId="5E15F603"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86"/>
                <w14:textFill>
                  <w14:solidFill>
                    <w14:srgbClr w14:val="000000">
                      <w14:alpha w14:val="100000"/>
                    </w14:srgbClr>
                  </w14:solidFill>
                </w14:textFill>
              </w:rPr>
              <w:t>||</w:t>
            </w:r>
            <w:r w:rsidR="00777DAE" w:rsidRPr="00FC7B41">
              <w:rPr>
                <w:color w:val="000000"/>
                <w:spacing w:val="1"/>
                <w:shd w:val="solid" w:color="000000" w:fill="000000"/>
                <w:fitText w:val="230" w:id="-1280031986"/>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689A660D" w14:textId="77777777" w:rsidR="00657184" w:rsidRPr="00E44776" w:rsidRDefault="00657184" w:rsidP="00657184">
            <w:pPr>
              <w:pStyle w:val="Tabletext0"/>
              <w:jc w:val="center"/>
            </w:pPr>
            <w:r w:rsidRPr="00E44776">
              <w:t>0.932</w:t>
            </w:r>
          </w:p>
        </w:tc>
        <w:tc>
          <w:tcPr>
            <w:tcW w:w="1023" w:type="dxa"/>
            <w:tcBorders>
              <w:top w:val="single" w:sz="4" w:space="0" w:color="auto"/>
              <w:left w:val="single" w:sz="4" w:space="0" w:color="auto"/>
              <w:bottom w:val="single" w:sz="4" w:space="0" w:color="auto"/>
              <w:right w:val="single" w:sz="4" w:space="0" w:color="auto"/>
            </w:tcBorders>
          </w:tcPr>
          <w:p w14:paraId="0649FFA8" w14:textId="045DE329"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85"/>
                <w14:textFill>
                  <w14:solidFill>
                    <w14:srgbClr w14:val="000000">
                      <w14:alpha w14:val="100000"/>
                    </w14:srgbClr>
                  </w14:solidFill>
                </w14:textFill>
              </w:rPr>
              <w:t>|||</w:t>
            </w:r>
            <w:r w:rsidR="00777DAE" w:rsidRPr="00FC7B41">
              <w:rPr>
                <w:color w:val="000000"/>
                <w:spacing w:val="2"/>
                <w:shd w:val="solid" w:color="000000" w:fill="000000"/>
                <w:fitText w:val="310" w:id="-1280031985"/>
                <w14:textFill>
                  <w14:solidFill>
                    <w14:srgbClr w14:val="000000">
                      <w14:alpha w14:val="100000"/>
                    </w14:srgbClr>
                  </w14:solidFill>
                </w14:textFill>
              </w:rPr>
              <w:t>|</w:t>
            </w:r>
            <w:r w:rsidR="00836112">
              <w:rPr>
                <w:vertAlign w:val="superscript"/>
              </w:rPr>
              <w:t>1</w:t>
            </w:r>
          </w:p>
        </w:tc>
        <w:tc>
          <w:tcPr>
            <w:tcW w:w="1024" w:type="dxa"/>
            <w:tcBorders>
              <w:top w:val="single" w:sz="4" w:space="0" w:color="auto"/>
              <w:left w:val="single" w:sz="4" w:space="0" w:color="auto"/>
              <w:bottom w:val="single" w:sz="4" w:space="0" w:color="auto"/>
              <w:right w:val="single" w:sz="4" w:space="0" w:color="auto"/>
            </w:tcBorders>
          </w:tcPr>
          <w:p w14:paraId="5FE177F7" w14:textId="77777777" w:rsidR="00657184" w:rsidRPr="00E44776" w:rsidRDefault="00657184" w:rsidP="00657184">
            <w:pPr>
              <w:pStyle w:val="Tabletext0"/>
              <w:jc w:val="center"/>
            </w:pPr>
            <w:r w:rsidRPr="00E44776">
              <w:t>6%</w:t>
            </w:r>
          </w:p>
        </w:tc>
      </w:tr>
      <w:tr w:rsidR="00657184" w:rsidRPr="00E44776" w14:paraId="412FAF51"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6D9E14C8" w14:textId="77777777" w:rsidR="00657184" w:rsidRPr="00E44776" w:rsidRDefault="00657184" w:rsidP="00657184">
            <w:pPr>
              <w:pStyle w:val="Tabletext0"/>
              <w:tabs>
                <w:tab w:val="left" w:pos="37"/>
              </w:tabs>
              <w:ind w:left="37"/>
              <w:rPr>
                <w:szCs w:val="20"/>
              </w:rPr>
            </w:pPr>
            <w:r w:rsidRPr="00E44776">
              <w:rPr>
                <w:szCs w:val="20"/>
              </w:rPr>
              <w:t>Relapsed/refractory disease decreased to 0.61</w:t>
            </w:r>
          </w:p>
        </w:tc>
        <w:tc>
          <w:tcPr>
            <w:tcW w:w="1488" w:type="dxa"/>
            <w:tcBorders>
              <w:top w:val="single" w:sz="4" w:space="0" w:color="auto"/>
              <w:left w:val="single" w:sz="4" w:space="0" w:color="auto"/>
              <w:bottom w:val="single" w:sz="4" w:space="0" w:color="auto"/>
              <w:right w:val="single" w:sz="4" w:space="0" w:color="auto"/>
            </w:tcBorders>
          </w:tcPr>
          <w:p w14:paraId="64901DE9" w14:textId="44E296F7" w:rsidR="00657184" w:rsidRPr="00E44776" w:rsidRDefault="00657184" w:rsidP="00657184">
            <w:pPr>
              <w:pStyle w:val="Tabletext0"/>
              <w:jc w:val="center"/>
            </w:pPr>
            <w:r w:rsidRPr="00E44776">
              <w:t>$</w:t>
            </w:r>
            <w:r w:rsidR="00777DAE" w:rsidRPr="00FC7B41">
              <w:rPr>
                <w:color w:val="000000"/>
                <w:spacing w:val="51"/>
                <w:shd w:val="solid" w:color="000000" w:fill="000000"/>
                <w:fitText w:val="230" w:id="-1280031984"/>
                <w14:textFill>
                  <w14:solidFill>
                    <w14:srgbClr w14:val="000000">
                      <w14:alpha w14:val="100000"/>
                    </w14:srgbClr>
                  </w14:solidFill>
                </w14:textFill>
              </w:rPr>
              <w:t>||</w:t>
            </w:r>
            <w:r w:rsidR="00777DAE" w:rsidRPr="00FC7B41">
              <w:rPr>
                <w:color w:val="000000"/>
                <w:spacing w:val="1"/>
                <w:shd w:val="solid" w:color="000000" w:fill="000000"/>
                <w:fitText w:val="230" w:id="-1280031984"/>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07D86B29" w14:textId="77777777" w:rsidR="00657184" w:rsidRPr="00E44776" w:rsidRDefault="00657184" w:rsidP="00657184">
            <w:pPr>
              <w:pStyle w:val="Tabletext0"/>
              <w:jc w:val="center"/>
            </w:pPr>
            <w:r w:rsidRPr="00E44776">
              <w:t>1.039</w:t>
            </w:r>
          </w:p>
        </w:tc>
        <w:tc>
          <w:tcPr>
            <w:tcW w:w="1023" w:type="dxa"/>
            <w:tcBorders>
              <w:top w:val="single" w:sz="4" w:space="0" w:color="auto"/>
              <w:left w:val="single" w:sz="4" w:space="0" w:color="auto"/>
              <w:bottom w:val="single" w:sz="4" w:space="0" w:color="auto"/>
              <w:right w:val="single" w:sz="4" w:space="0" w:color="auto"/>
            </w:tcBorders>
          </w:tcPr>
          <w:p w14:paraId="1493AC82" w14:textId="0DBB7EB7"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2000"/>
                <w14:textFill>
                  <w14:solidFill>
                    <w14:srgbClr w14:val="000000">
                      <w14:alpha w14:val="100000"/>
                    </w14:srgbClr>
                  </w14:solidFill>
                </w14:textFill>
              </w:rPr>
              <w:t>|||</w:t>
            </w:r>
            <w:r w:rsidR="00777DAE" w:rsidRPr="00FC7B41">
              <w:rPr>
                <w:color w:val="000000"/>
                <w:spacing w:val="2"/>
                <w:shd w:val="solid" w:color="000000" w:fill="000000"/>
                <w:fitText w:val="310" w:id="-1280032000"/>
                <w14:textFill>
                  <w14:solidFill>
                    <w14:srgbClr w14:val="000000">
                      <w14:alpha w14:val="100000"/>
                    </w14:srgbClr>
                  </w14:solidFill>
                </w14:textFill>
              </w:rPr>
              <w:t>|</w:t>
            </w:r>
            <w:r w:rsidR="00836112">
              <w:rPr>
                <w:vertAlign w:val="superscript"/>
              </w:rPr>
              <w:t>6</w:t>
            </w:r>
          </w:p>
        </w:tc>
        <w:tc>
          <w:tcPr>
            <w:tcW w:w="1024" w:type="dxa"/>
            <w:tcBorders>
              <w:top w:val="single" w:sz="4" w:space="0" w:color="auto"/>
              <w:left w:val="single" w:sz="4" w:space="0" w:color="auto"/>
              <w:bottom w:val="single" w:sz="4" w:space="0" w:color="auto"/>
              <w:right w:val="single" w:sz="4" w:space="0" w:color="auto"/>
            </w:tcBorders>
          </w:tcPr>
          <w:p w14:paraId="004DBBF1" w14:textId="77777777" w:rsidR="00657184" w:rsidRPr="00E44776" w:rsidRDefault="00657184" w:rsidP="00657184">
            <w:pPr>
              <w:pStyle w:val="Tabletext0"/>
              <w:jc w:val="center"/>
            </w:pPr>
            <w:r w:rsidRPr="00E44776">
              <w:t>-5%</w:t>
            </w:r>
          </w:p>
        </w:tc>
      </w:tr>
      <w:tr w:rsidR="00657184" w:rsidRPr="00E44776" w14:paraId="1DFA4E24"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hideMark/>
          </w:tcPr>
          <w:p w14:paraId="5D659B0E" w14:textId="77777777" w:rsidR="00657184" w:rsidRPr="00E44776" w:rsidRDefault="00657184" w:rsidP="00657184">
            <w:pPr>
              <w:pStyle w:val="Tabletext0"/>
              <w:tabs>
                <w:tab w:val="left" w:pos="37"/>
              </w:tabs>
              <w:rPr>
                <w:b/>
                <w:szCs w:val="20"/>
              </w:rPr>
            </w:pPr>
            <w:r w:rsidRPr="00E44776">
              <w:rPr>
                <w:b/>
                <w:szCs w:val="20"/>
              </w:rPr>
              <w:t>Other costs (base case: health state, adverse event and TLS prophylaxis costs included)</w:t>
            </w:r>
          </w:p>
        </w:tc>
      </w:tr>
      <w:tr w:rsidR="00657184" w:rsidRPr="00E44776" w14:paraId="32EEB0A6" w14:textId="77777777" w:rsidTr="00A57E5C">
        <w:trPr>
          <w:cantSplit/>
        </w:trPr>
        <w:tc>
          <w:tcPr>
            <w:tcW w:w="4224" w:type="dxa"/>
            <w:tcBorders>
              <w:top w:val="single" w:sz="4" w:space="0" w:color="auto"/>
              <w:left w:val="single" w:sz="4" w:space="0" w:color="auto"/>
              <w:bottom w:val="single" w:sz="4" w:space="0" w:color="auto"/>
              <w:right w:val="single" w:sz="4" w:space="0" w:color="auto"/>
            </w:tcBorders>
            <w:hideMark/>
          </w:tcPr>
          <w:p w14:paraId="47C0FAAB" w14:textId="77777777" w:rsidR="00657184" w:rsidRPr="00E44776" w:rsidRDefault="00657184" w:rsidP="00657184">
            <w:pPr>
              <w:pStyle w:val="Tabletext0"/>
              <w:tabs>
                <w:tab w:val="left" w:pos="37"/>
              </w:tabs>
              <w:ind w:left="37"/>
              <w:rPr>
                <w:szCs w:val="20"/>
              </w:rPr>
            </w:pPr>
            <w:r w:rsidRPr="00E44776">
              <w:rPr>
                <w:szCs w:val="20"/>
              </w:rPr>
              <w:t>Health state costs removed</w:t>
            </w:r>
          </w:p>
        </w:tc>
        <w:tc>
          <w:tcPr>
            <w:tcW w:w="1488" w:type="dxa"/>
            <w:tcBorders>
              <w:top w:val="single" w:sz="4" w:space="0" w:color="auto"/>
              <w:left w:val="single" w:sz="4" w:space="0" w:color="auto"/>
              <w:bottom w:val="single" w:sz="4" w:space="0" w:color="auto"/>
              <w:right w:val="single" w:sz="4" w:space="0" w:color="auto"/>
            </w:tcBorders>
            <w:vAlign w:val="center"/>
          </w:tcPr>
          <w:p w14:paraId="515D3ACD" w14:textId="0E32EDA2" w:rsidR="00657184" w:rsidRPr="00E44776" w:rsidRDefault="00657184" w:rsidP="00657184">
            <w:pPr>
              <w:pStyle w:val="Tabletext0"/>
              <w:jc w:val="center"/>
              <w:rPr>
                <w:szCs w:val="22"/>
              </w:rPr>
            </w:pPr>
            <w:r w:rsidRPr="00E44776">
              <w:rPr>
                <w:szCs w:val="22"/>
              </w:rPr>
              <w:t>$</w:t>
            </w:r>
            <w:r w:rsidR="00777DAE" w:rsidRPr="00FC7B41">
              <w:rPr>
                <w:color w:val="000000"/>
                <w:spacing w:val="51"/>
                <w:szCs w:val="22"/>
                <w:shd w:val="solid" w:color="000000" w:fill="000000"/>
                <w:fitText w:val="230" w:id="-1280031999"/>
                <w14:textFill>
                  <w14:solidFill>
                    <w14:srgbClr w14:val="000000">
                      <w14:alpha w14:val="100000"/>
                    </w14:srgbClr>
                  </w14:solidFill>
                </w14:textFill>
              </w:rPr>
              <w:t>||</w:t>
            </w:r>
            <w:r w:rsidR="00777DAE" w:rsidRPr="00FC7B41">
              <w:rPr>
                <w:color w:val="000000"/>
                <w:spacing w:val="1"/>
                <w:szCs w:val="22"/>
                <w:shd w:val="solid" w:color="000000" w:fill="000000"/>
                <w:fitText w:val="230" w:id="-1280031999"/>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00A5ABA9" w14:textId="77777777" w:rsidR="00657184" w:rsidRPr="00E44776" w:rsidRDefault="00657184" w:rsidP="00657184">
            <w:pPr>
              <w:pStyle w:val="Tabletext0"/>
              <w:jc w:val="center"/>
            </w:pPr>
            <w:r w:rsidRPr="00E44776">
              <w:t>0.986</w:t>
            </w:r>
          </w:p>
        </w:tc>
        <w:tc>
          <w:tcPr>
            <w:tcW w:w="1023" w:type="dxa"/>
            <w:tcBorders>
              <w:top w:val="single" w:sz="4" w:space="0" w:color="auto"/>
              <w:left w:val="single" w:sz="4" w:space="0" w:color="auto"/>
              <w:bottom w:val="single" w:sz="4" w:space="0" w:color="auto"/>
              <w:right w:val="single" w:sz="4" w:space="0" w:color="auto"/>
            </w:tcBorders>
            <w:vAlign w:val="center"/>
          </w:tcPr>
          <w:p w14:paraId="6EB7160F" w14:textId="4A88E73E"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98"/>
                <w14:textFill>
                  <w14:solidFill>
                    <w14:srgbClr w14:val="000000">
                      <w14:alpha w14:val="100000"/>
                    </w14:srgbClr>
                  </w14:solidFill>
                </w14:textFill>
              </w:rPr>
              <w:t>|||</w:t>
            </w:r>
            <w:r w:rsidR="00777DAE" w:rsidRPr="00FC7B41">
              <w:rPr>
                <w:color w:val="000000"/>
                <w:spacing w:val="2"/>
                <w:shd w:val="solid" w:color="000000" w:fill="000000"/>
                <w:fitText w:val="310" w:id="-1280031998"/>
                <w14:textFill>
                  <w14:solidFill>
                    <w14:srgbClr w14:val="000000">
                      <w14:alpha w14:val="100000"/>
                    </w14:srgbClr>
                  </w14:solidFill>
                </w14:textFill>
              </w:rPr>
              <w:t>|</w:t>
            </w:r>
            <w:r w:rsidR="00836112">
              <w:rPr>
                <w:vertAlign w:val="superscript"/>
              </w:rPr>
              <w:t>1</w:t>
            </w:r>
          </w:p>
        </w:tc>
        <w:tc>
          <w:tcPr>
            <w:tcW w:w="1024" w:type="dxa"/>
            <w:tcBorders>
              <w:top w:val="single" w:sz="4" w:space="0" w:color="auto"/>
              <w:left w:val="single" w:sz="4" w:space="0" w:color="auto"/>
              <w:bottom w:val="single" w:sz="4" w:space="0" w:color="auto"/>
              <w:right w:val="single" w:sz="4" w:space="0" w:color="auto"/>
            </w:tcBorders>
          </w:tcPr>
          <w:p w14:paraId="00D628FA" w14:textId="77777777" w:rsidR="00657184" w:rsidRPr="00E44776" w:rsidRDefault="00657184" w:rsidP="00657184">
            <w:pPr>
              <w:pStyle w:val="Tabletext0"/>
              <w:jc w:val="center"/>
            </w:pPr>
            <w:r w:rsidRPr="00E44776">
              <w:t>9%</w:t>
            </w:r>
          </w:p>
        </w:tc>
      </w:tr>
      <w:tr w:rsidR="00657184" w:rsidRPr="00E44776" w14:paraId="49E69C12" w14:textId="77777777" w:rsidTr="00A57E5C">
        <w:trPr>
          <w:cantSplit/>
        </w:trPr>
        <w:tc>
          <w:tcPr>
            <w:tcW w:w="4224" w:type="dxa"/>
            <w:tcBorders>
              <w:top w:val="single" w:sz="4" w:space="0" w:color="auto"/>
              <w:left w:val="single" w:sz="4" w:space="0" w:color="auto"/>
              <w:bottom w:val="single" w:sz="4" w:space="0" w:color="auto"/>
              <w:right w:val="single" w:sz="4" w:space="0" w:color="auto"/>
            </w:tcBorders>
            <w:hideMark/>
          </w:tcPr>
          <w:p w14:paraId="0CF41459" w14:textId="3C4A88C7" w:rsidR="00657184" w:rsidRPr="00E44776" w:rsidRDefault="00657184" w:rsidP="00657184">
            <w:pPr>
              <w:pStyle w:val="Tabletext0"/>
              <w:tabs>
                <w:tab w:val="left" w:pos="37"/>
              </w:tabs>
              <w:ind w:left="37"/>
              <w:rPr>
                <w:szCs w:val="20"/>
              </w:rPr>
            </w:pPr>
            <w:r w:rsidRPr="00E44776">
              <w:rPr>
                <w:szCs w:val="20"/>
              </w:rPr>
              <w:t>Adverse event costs removed</w:t>
            </w:r>
          </w:p>
        </w:tc>
        <w:tc>
          <w:tcPr>
            <w:tcW w:w="1488" w:type="dxa"/>
            <w:tcBorders>
              <w:top w:val="single" w:sz="4" w:space="0" w:color="auto"/>
              <w:left w:val="single" w:sz="4" w:space="0" w:color="auto"/>
              <w:bottom w:val="single" w:sz="4" w:space="0" w:color="auto"/>
              <w:right w:val="single" w:sz="4" w:space="0" w:color="auto"/>
            </w:tcBorders>
            <w:vAlign w:val="center"/>
          </w:tcPr>
          <w:p w14:paraId="0ABD559B" w14:textId="3C33EB16" w:rsidR="00657184" w:rsidRPr="00E44776" w:rsidRDefault="00657184" w:rsidP="00657184">
            <w:pPr>
              <w:pStyle w:val="Tabletext0"/>
              <w:jc w:val="center"/>
              <w:rPr>
                <w:szCs w:val="22"/>
              </w:rPr>
            </w:pPr>
            <w:r w:rsidRPr="00E44776">
              <w:rPr>
                <w:szCs w:val="22"/>
              </w:rPr>
              <w:t>$</w:t>
            </w:r>
            <w:r w:rsidR="00777DAE" w:rsidRPr="00FC7B41">
              <w:rPr>
                <w:color w:val="000000"/>
                <w:spacing w:val="51"/>
                <w:szCs w:val="22"/>
                <w:shd w:val="solid" w:color="000000" w:fill="000000"/>
                <w:fitText w:val="230" w:id="-1280031997"/>
                <w14:textFill>
                  <w14:solidFill>
                    <w14:srgbClr w14:val="000000">
                      <w14:alpha w14:val="100000"/>
                    </w14:srgbClr>
                  </w14:solidFill>
                </w14:textFill>
              </w:rPr>
              <w:t>||</w:t>
            </w:r>
            <w:r w:rsidR="00777DAE" w:rsidRPr="00FC7B41">
              <w:rPr>
                <w:color w:val="000000"/>
                <w:spacing w:val="1"/>
                <w:szCs w:val="22"/>
                <w:shd w:val="solid" w:color="000000" w:fill="000000"/>
                <w:fitText w:val="230" w:id="-1280031997"/>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1C89C26C" w14:textId="77777777" w:rsidR="00657184" w:rsidRPr="00E44776" w:rsidRDefault="00657184" w:rsidP="00657184">
            <w:pPr>
              <w:pStyle w:val="Tabletext0"/>
              <w:jc w:val="center"/>
            </w:pPr>
            <w:r w:rsidRPr="00E44776">
              <w:t>0.986</w:t>
            </w:r>
          </w:p>
        </w:tc>
        <w:tc>
          <w:tcPr>
            <w:tcW w:w="1023" w:type="dxa"/>
            <w:tcBorders>
              <w:top w:val="single" w:sz="4" w:space="0" w:color="auto"/>
              <w:left w:val="single" w:sz="4" w:space="0" w:color="auto"/>
              <w:bottom w:val="single" w:sz="4" w:space="0" w:color="auto"/>
              <w:right w:val="single" w:sz="4" w:space="0" w:color="auto"/>
            </w:tcBorders>
            <w:vAlign w:val="center"/>
          </w:tcPr>
          <w:p w14:paraId="6BF47C07" w14:textId="3B0F5D0B"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96"/>
                <w14:textFill>
                  <w14:solidFill>
                    <w14:srgbClr w14:val="000000">
                      <w14:alpha w14:val="100000"/>
                    </w14:srgbClr>
                  </w14:solidFill>
                </w14:textFill>
              </w:rPr>
              <w:t>|||</w:t>
            </w:r>
            <w:r w:rsidR="00777DAE" w:rsidRPr="00FC7B41">
              <w:rPr>
                <w:color w:val="000000"/>
                <w:spacing w:val="2"/>
                <w:shd w:val="solid" w:color="000000" w:fill="000000"/>
                <w:fitText w:val="310" w:id="-1280031996"/>
                <w14:textFill>
                  <w14:solidFill>
                    <w14:srgbClr w14:val="000000">
                      <w14:alpha w14:val="100000"/>
                    </w14:srgbClr>
                  </w14:solidFill>
                </w14:textFill>
              </w:rPr>
              <w:t>|</w:t>
            </w:r>
            <w:r w:rsidR="00836112">
              <w:rPr>
                <w:vertAlign w:val="superscript"/>
              </w:rPr>
              <w:t>1</w:t>
            </w:r>
          </w:p>
        </w:tc>
        <w:tc>
          <w:tcPr>
            <w:tcW w:w="1024" w:type="dxa"/>
            <w:tcBorders>
              <w:top w:val="single" w:sz="4" w:space="0" w:color="auto"/>
              <w:left w:val="single" w:sz="4" w:space="0" w:color="auto"/>
              <w:bottom w:val="single" w:sz="4" w:space="0" w:color="auto"/>
              <w:right w:val="single" w:sz="4" w:space="0" w:color="auto"/>
            </w:tcBorders>
          </w:tcPr>
          <w:p w14:paraId="1D470DBC" w14:textId="77777777" w:rsidR="00657184" w:rsidRPr="00E44776" w:rsidRDefault="00657184" w:rsidP="00657184">
            <w:pPr>
              <w:pStyle w:val="Tabletext0"/>
              <w:jc w:val="center"/>
            </w:pPr>
            <w:r w:rsidRPr="00E44776">
              <w:t>4%</w:t>
            </w:r>
          </w:p>
        </w:tc>
      </w:tr>
      <w:tr w:rsidR="00657184" w:rsidRPr="00E44776" w14:paraId="0DE7DA88" w14:textId="77777777" w:rsidTr="00A57E5C">
        <w:trPr>
          <w:cantSplit/>
        </w:trPr>
        <w:tc>
          <w:tcPr>
            <w:tcW w:w="4224" w:type="dxa"/>
            <w:tcBorders>
              <w:top w:val="single" w:sz="4" w:space="0" w:color="auto"/>
              <w:left w:val="single" w:sz="4" w:space="0" w:color="auto"/>
              <w:bottom w:val="single" w:sz="4" w:space="0" w:color="auto"/>
              <w:right w:val="single" w:sz="4" w:space="0" w:color="auto"/>
            </w:tcBorders>
          </w:tcPr>
          <w:p w14:paraId="2EFE2FEA" w14:textId="77777777" w:rsidR="00657184" w:rsidRPr="00E44776" w:rsidRDefault="00657184" w:rsidP="00657184">
            <w:pPr>
              <w:pStyle w:val="Tabletext0"/>
              <w:tabs>
                <w:tab w:val="left" w:pos="37"/>
              </w:tabs>
              <w:ind w:left="37"/>
              <w:rPr>
                <w:szCs w:val="20"/>
              </w:rPr>
            </w:pPr>
            <w:r w:rsidRPr="00E44776">
              <w:rPr>
                <w:szCs w:val="20"/>
              </w:rPr>
              <w:t>First-line TLS prophylaxis costs removed</w:t>
            </w:r>
          </w:p>
        </w:tc>
        <w:tc>
          <w:tcPr>
            <w:tcW w:w="1488" w:type="dxa"/>
            <w:tcBorders>
              <w:top w:val="single" w:sz="4" w:space="0" w:color="auto"/>
              <w:left w:val="single" w:sz="4" w:space="0" w:color="auto"/>
              <w:bottom w:val="single" w:sz="4" w:space="0" w:color="auto"/>
              <w:right w:val="single" w:sz="4" w:space="0" w:color="auto"/>
            </w:tcBorders>
            <w:vAlign w:val="center"/>
          </w:tcPr>
          <w:p w14:paraId="6880E186" w14:textId="40E4936F" w:rsidR="00657184" w:rsidRPr="00E44776" w:rsidRDefault="00657184" w:rsidP="00657184">
            <w:pPr>
              <w:pStyle w:val="Tabletext0"/>
              <w:jc w:val="center"/>
              <w:rPr>
                <w:szCs w:val="22"/>
              </w:rPr>
            </w:pPr>
            <w:r w:rsidRPr="00E44776">
              <w:rPr>
                <w:szCs w:val="22"/>
              </w:rPr>
              <w:t>$</w:t>
            </w:r>
            <w:r w:rsidR="00777DAE" w:rsidRPr="00FC7B41">
              <w:rPr>
                <w:color w:val="000000"/>
                <w:spacing w:val="51"/>
                <w:szCs w:val="22"/>
                <w:shd w:val="solid" w:color="000000" w:fill="000000"/>
                <w:fitText w:val="230" w:id="-1280031995"/>
                <w14:textFill>
                  <w14:solidFill>
                    <w14:srgbClr w14:val="000000">
                      <w14:alpha w14:val="100000"/>
                    </w14:srgbClr>
                  </w14:solidFill>
                </w14:textFill>
              </w:rPr>
              <w:t>||</w:t>
            </w:r>
            <w:r w:rsidR="00777DAE" w:rsidRPr="00FC7B41">
              <w:rPr>
                <w:color w:val="000000"/>
                <w:spacing w:val="1"/>
                <w:szCs w:val="22"/>
                <w:shd w:val="solid" w:color="000000" w:fill="000000"/>
                <w:fitText w:val="230" w:id="-1280031995"/>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3358B064" w14:textId="77777777" w:rsidR="00657184" w:rsidRPr="00E44776" w:rsidRDefault="00657184" w:rsidP="00657184">
            <w:pPr>
              <w:pStyle w:val="Tabletext0"/>
              <w:jc w:val="center"/>
            </w:pPr>
            <w:r w:rsidRPr="00E44776">
              <w:t>0.986</w:t>
            </w:r>
          </w:p>
        </w:tc>
        <w:tc>
          <w:tcPr>
            <w:tcW w:w="1023" w:type="dxa"/>
            <w:tcBorders>
              <w:top w:val="single" w:sz="4" w:space="0" w:color="auto"/>
              <w:left w:val="single" w:sz="4" w:space="0" w:color="auto"/>
              <w:bottom w:val="single" w:sz="4" w:space="0" w:color="auto"/>
              <w:right w:val="single" w:sz="4" w:space="0" w:color="auto"/>
            </w:tcBorders>
            <w:vAlign w:val="center"/>
          </w:tcPr>
          <w:p w14:paraId="6C73B694" w14:textId="5362FB17" w:rsidR="00657184" w:rsidRPr="0030608C" w:rsidRDefault="00657184" w:rsidP="00657184">
            <w:pPr>
              <w:pStyle w:val="Tabletext0"/>
              <w:jc w:val="center"/>
              <w:rPr>
                <w:vertAlign w:val="superscript"/>
              </w:rPr>
            </w:pPr>
            <w:r w:rsidRPr="00E44776">
              <w:t>$</w:t>
            </w:r>
            <w:r w:rsidR="00777DAE" w:rsidRPr="00FC7B41">
              <w:rPr>
                <w:color w:val="000000"/>
                <w:spacing w:val="46"/>
                <w:shd w:val="solid" w:color="000000" w:fill="000000"/>
                <w:fitText w:val="310" w:id="-1280031994"/>
                <w14:textFill>
                  <w14:solidFill>
                    <w14:srgbClr w14:val="000000">
                      <w14:alpha w14:val="100000"/>
                    </w14:srgbClr>
                  </w14:solidFill>
                </w14:textFill>
              </w:rPr>
              <w:t>|||</w:t>
            </w:r>
            <w:r w:rsidR="00777DAE" w:rsidRPr="00FC7B41">
              <w:rPr>
                <w:color w:val="000000"/>
                <w:spacing w:val="2"/>
                <w:shd w:val="solid" w:color="000000" w:fill="000000"/>
                <w:fitText w:val="310" w:id="-1280031994"/>
                <w14:textFill>
                  <w14:solidFill>
                    <w14:srgbClr w14:val="000000">
                      <w14:alpha w14:val="100000"/>
                    </w14:srgbClr>
                  </w14:solidFill>
                </w14:textFill>
              </w:rPr>
              <w:t>|</w:t>
            </w:r>
            <w:r w:rsidR="00836112">
              <w:rPr>
                <w:vertAlign w:val="superscript"/>
              </w:rPr>
              <w:t>1</w:t>
            </w:r>
          </w:p>
        </w:tc>
        <w:tc>
          <w:tcPr>
            <w:tcW w:w="1024" w:type="dxa"/>
            <w:tcBorders>
              <w:top w:val="single" w:sz="4" w:space="0" w:color="auto"/>
              <w:left w:val="single" w:sz="4" w:space="0" w:color="auto"/>
              <w:bottom w:val="single" w:sz="4" w:space="0" w:color="auto"/>
              <w:right w:val="single" w:sz="4" w:space="0" w:color="auto"/>
            </w:tcBorders>
          </w:tcPr>
          <w:p w14:paraId="2E304C32" w14:textId="77777777" w:rsidR="00657184" w:rsidRPr="00E44776" w:rsidRDefault="00657184" w:rsidP="00657184">
            <w:pPr>
              <w:pStyle w:val="Tabletext0"/>
              <w:jc w:val="center"/>
            </w:pPr>
            <w:r w:rsidRPr="00E44776">
              <w:t>7%</w:t>
            </w:r>
          </w:p>
        </w:tc>
      </w:tr>
      <w:tr w:rsidR="00657184" w:rsidRPr="00E44776" w14:paraId="4EA4811D" w14:textId="77777777" w:rsidTr="00A57E5C">
        <w:trPr>
          <w:cantSplit/>
        </w:trPr>
        <w:tc>
          <w:tcPr>
            <w:tcW w:w="9248" w:type="dxa"/>
            <w:gridSpan w:val="5"/>
            <w:tcBorders>
              <w:top w:val="single" w:sz="4" w:space="0" w:color="auto"/>
              <w:left w:val="single" w:sz="4" w:space="0" w:color="auto"/>
              <w:bottom w:val="single" w:sz="4" w:space="0" w:color="auto"/>
              <w:right w:val="single" w:sz="4" w:space="0" w:color="auto"/>
            </w:tcBorders>
            <w:hideMark/>
          </w:tcPr>
          <w:p w14:paraId="21121B0D" w14:textId="77777777" w:rsidR="00657184" w:rsidRPr="00E44776" w:rsidRDefault="00657184" w:rsidP="00657184">
            <w:pPr>
              <w:pStyle w:val="Tabletext0"/>
              <w:tabs>
                <w:tab w:val="left" w:pos="142"/>
              </w:tabs>
              <w:rPr>
                <w:b/>
                <w:szCs w:val="20"/>
              </w:rPr>
            </w:pPr>
            <w:r w:rsidRPr="00E44776">
              <w:rPr>
                <w:b/>
                <w:szCs w:val="20"/>
              </w:rPr>
              <w:t>Discount rate (base case: 5% for benefits and costs)</w:t>
            </w:r>
          </w:p>
        </w:tc>
      </w:tr>
      <w:tr w:rsidR="00657184" w:rsidRPr="00E44776" w14:paraId="60C4ACAC" w14:textId="77777777" w:rsidTr="00A57E5C">
        <w:trPr>
          <w:cantSplit/>
          <w:trHeight w:val="123"/>
        </w:trPr>
        <w:tc>
          <w:tcPr>
            <w:tcW w:w="4224" w:type="dxa"/>
            <w:tcBorders>
              <w:top w:val="single" w:sz="4" w:space="0" w:color="auto"/>
              <w:left w:val="single" w:sz="4" w:space="0" w:color="auto"/>
              <w:bottom w:val="single" w:sz="4" w:space="0" w:color="auto"/>
              <w:right w:val="single" w:sz="4" w:space="0" w:color="auto"/>
            </w:tcBorders>
            <w:hideMark/>
          </w:tcPr>
          <w:p w14:paraId="17FA02A4" w14:textId="77777777" w:rsidR="00657184" w:rsidRPr="00E44776" w:rsidRDefault="00657184" w:rsidP="00657184">
            <w:pPr>
              <w:pStyle w:val="Tabletext0"/>
              <w:tabs>
                <w:tab w:val="left" w:pos="142"/>
              </w:tabs>
            </w:pPr>
            <w:r w:rsidRPr="00E44776">
              <w:rPr>
                <w:szCs w:val="20"/>
              </w:rPr>
              <w:t>0% for costs and benefits</w:t>
            </w:r>
          </w:p>
        </w:tc>
        <w:tc>
          <w:tcPr>
            <w:tcW w:w="1488" w:type="dxa"/>
            <w:tcBorders>
              <w:top w:val="single" w:sz="4" w:space="0" w:color="auto"/>
              <w:left w:val="single" w:sz="4" w:space="0" w:color="auto"/>
              <w:bottom w:val="single" w:sz="4" w:space="0" w:color="auto"/>
              <w:right w:val="single" w:sz="4" w:space="0" w:color="auto"/>
            </w:tcBorders>
          </w:tcPr>
          <w:p w14:paraId="6D43FD88" w14:textId="35AC70FE" w:rsidR="00657184" w:rsidRPr="00E44776" w:rsidRDefault="00657184" w:rsidP="00657184">
            <w:pPr>
              <w:pStyle w:val="Tabletext0"/>
              <w:jc w:val="center"/>
              <w:rPr>
                <w:highlight w:val="yellow"/>
              </w:rPr>
            </w:pPr>
            <w:r w:rsidRPr="00E44776">
              <w:t>$</w:t>
            </w:r>
            <w:r w:rsidR="00777DAE" w:rsidRPr="00FC7B41">
              <w:rPr>
                <w:color w:val="000000"/>
                <w:spacing w:val="51"/>
                <w:shd w:val="solid" w:color="000000" w:fill="000000"/>
                <w:fitText w:val="230" w:id="-1280031993"/>
                <w14:textFill>
                  <w14:solidFill>
                    <w14:srgbClr w14:val="000000">
                      <w14:alpha w14:val="100000"/>
                    </w14:srgbClr>
                  </w14:solidFill>
                </w14:textFill>
              </w:rPr>
              <w:t>||</w:t>
            </w:r>
            <w:r w:rsidR="00777DAE" w:rsidRPr="00FC7B41">
              <w:rPr>
                <w:color w:val="000000"/>
                <w:spacing w:val="1"/>
                <w:shd w:val="solid" w:color="000000" w:fill="000000"/>
                <w:fitText w:val="230" w:id="-1280031993"/>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64622DD6" w14:textId="77777777" w:rsidR="00657184" w:rsidRPr="00E44776" w:rsidRDefault="00657184" w:rsidP="00657184">
            <w:pPr>
              <w:pStyle w:val="Tabletext0"/>
              <w:jc w:val="center"/>
              <w:rPr>
                <w:highlight w:val="yellow"/>
              </w:rPr>
            </w:pPr>
            <w:r w:rsidRPr="00E44776">
              <w:t>1.441</w:t>
            </w:r>
          </w:p>
        </w:tc>
        <w:tc>
          <w:tcPr>
            <w:tcW w:w="1023" w:type="dxa"/>
            <w:tcBorders>
              <w:top w:val="single" w:sz="4" w:space="0" w:color="auto"/>
              <w:left w:val="single" w:sz="4" w:space="0" w:color="auto"/>
              <w:bottom w:val="single" w:sz="4" w:space="0" w:color="auto"/>
              <w:right w:val="single" w:sz="4" w:space="0" w:color="auto"/>
            </w:tcBorders>
          </w:tcPr>
          <w:p w14:paraId="25854615" w14:textId="7FD8454B" w:rsidR="00657184" w:rsidRPr="0030608C" w:rsidRDefault="00657184" w:rsidP="00657184">
            <w:pPr>
              <w:pStyle w:val="Tabletext0"/>
              <w:jc w:val="center"/>
              <w:rPr>
                <w:highlight w:val="yellow"/>
                <w:vertAlign w:val="superscript"/>
              </w:rPr>
            </w:pPr>
            <w:r w:rsidRPr="00E44776">
              <w:t>$</w:t>
            </w:r>
            <w:r w:rsidR="00777DAE" w:rsidRPr="00FC7B41">
              <w:rPr>
                <w:color w:val="000000"/>
                <w:spacing w:val="46"/>
                <w:shd w:val="solid" w:color="000000" w:fill="000000"/>
                <w:fitText w:val="310" w:id="-1280031992"/>
                <w14:textFill>
                  <w14:solidFill>
                    <w14:srgbClr w14:val="000000">
                      <w14:alpha w14:val="100000"/>
                    </w14:srgbClr>
                  </w14:solidFill>
                </w14:textFill>
              </w:rPr>
              <w:t>|||</w:t>
            </w:r>
            <w:r w:rsidR="00777DAE" w:rsidRPr="00FC7B41">
              <w:rPr>
                <w:color w:val="000000"/>
                <w:spacing w:val="2"/>
                <w:shd w:val="solid" w:color="000000" w:fill="000000"/>
                <w:fitText w:val="310" w:id="-1280031992"/>
                <w14:textFill>
                  <w14:solidFill>
                    <w14:srgbClr w14:val="000000">
                      <w14:alpha w14:val="100000"/>
                    </w14:srgbClr>
                  </w14:solidFill>
                </w14:textFill>
              </w:rPr>
              <w:t>|</w:t>
            </w:r>
            <w:r w:rsidR="00836112" w:rsidRPr="0030608C">
              <w:rPr>
                <w:vertAlign w:val="superscript"/>
              </w:rPr>
              <w:t>4</w:t>
            </w:r>
          </w:p>
        </w:tc>
        <w:tc>
          <w:tcPr>
            <w:tcW w:w="1024" w:type="dxa"/>
            <w:tcBorders>
              <w:top w:val="single" w:sz="4" w:space="0" w:color="auto"/>
              <w:left w:val="single" w:sz="4" w:space="0" w:color="auto"/>
              <w:bottom w:val="single" w:sz="4" w:space="0" w:color="auto"/>
              <w:right w:val="single" w:sz="4" w:space="0" w:color="auto"/>
            </w:tcBorders>
          </w:tcPr>
          <w:p w14:paraId="04DE5738" w14:textId="77777777" w:rsidR="00657184" w:rsidRPr="00E44776" w:rsidRDefault="00657184" w:rsidP="00657184">
            <w:pPr>
              <w:pStyle w:val="Tabletext0"/>
              <w:jc w:val="center"/>
            </w:pPr>
            <w:r w:rsidRPr="00E44776">
              <w:t>-29%</w:t>
            </w:r>
          </w:p>
        </w:tc>
      </w:tr>
      <w:tr w:rsidR="00657184" w:rsidRPr="00E44776" w14:paraId="4613E24A" w14:textId="77777777" w:rsidTr="00A57E5C">
        <w:trPr>
          <w:cantSplit/>
        </w:trPr>
        <w:tc>
          <w:tcPr>
            <w:tcW w:w="4224" w:type="dxa"/>
            <w:tcBorders>
              <w:top w:val="single" w:sz="4" w:space="0" w:color="auto"/>
              <w:left w:val="single" w:sz="4" w:space="0" w:color="auto"/>
              <w:bottom w:val="single" w:sz="4" w:space="0" w:color="auto"/>
              <w:right w:val="single" w:sz="4" w:space="0" w:color="auto"/>
            </w:tcBorders>
            <w:hideMark/>
          </w:tcPr>
          <w:p w14:paraId="74213E90" w14:textId="77777777" w:rsidR="00657184" w:rsidRPr="00E44776" w:rsidRDefault="00657184" w:rsidP="00657184">
            <w:pPr>
              <w:pStyle w:val="Tabletext0"/>
              <w:tabs>
                <w:tab w:val="left" w:pos="142"/>
              </w:tabs>
            </w:pPr>
            <w:r w:rsidRPr="00E44776">
              <w:rPr>
                <w:szCs w:val="20"/>
              </w:rPr>
              <w:t>3.5% for costs and benefits</w:t>
            </w:r>
          </w:p>
        </w:tc>
        <w:tc>
          <w:tcPr>
            <w:tcW w:w="1488" w:type="dxa"/>
            <w:tcBorders>
              <w:top w:val="single" w:sz="4" w:space="0" w:color="auto"/>
              <w:left w:val="nil"/>
              <w:bottom w:val="single" w:sz="4" w:space="0" w:color="auto"/>
              <w:right w:val="single" w:sz="4" w:space="0" w:color="auto"/>
            </w:tcBorders>
          </w:tcPr>
          <w:p w14:paraId="3A6A12B9" w14:textId="609FCFFB" w:rsidR="00657184" w:rsidRPr="00E44776" w:rsidRDefault="00657184" w:rsidP="00657184">
            <w:pPr>
              <w:pStyle w:val="Tabletext0"/>
              <w:jc w:val="center"/>
              <w:rPr>
                <w:highlight w:val="yellow"/>
              </w:rPr>
            </w:pPr>
            <w:r w:rsidRPr="00E44776">
              <w:t>$</w:t>
            </w:r>
            <w:r w:rsidR="00777DAE" w:rsidRPr="00FC7B41">
              <w:rPr>
                <w:color w:val="000000"/>
                <w:spacing w:val="51"/>
                <w:shd w:val="solid" w:color="000000" w:fill="000000"/>
                <w:fitText w:val="230" w:id="-1280031991"/>
                <w14:textFill>
                  <w14:solidFill>
                    <w14:srgbClr w14:val="000000">
                      <w14:alpha w14:val="100000"/>
                    </w14:srgbClr>
                  </w14:solidFill>
                </w14:textFill>
              </w:rPr>
              <w:t>||</w:t>
            </w:r>
            <w:r w:rsidR="00777DAE" w:rsidRPr="00FC7B41">
              <w:rPr>
                <w:color w:val="000000"/>
                <w:spacing w:val="1"/>
                <w:shd w:val="solid" w:color="000000" w:fill="000000"/>
                <w:fitText w:val="230" w:id="-1280031991"/>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tcPr>
          <w:p w14:paraId="125D1927" w14:textId="77777777" w:rsidR="00657184" w:rsidRPr="00E44776" w:rsidRDefault="00657184" w:rsidP="00657184">
            <w:pPr>
              <w:pStyle w:val="Tabletext0"/>
              <w:jc w:val="center"/>
              <w:rPr>
                <w:highlight w:val="yellow"/>
              </w:rPr>
            </w:pPr>
            <w:r w:rsidRPr="00E44776">
              <w:t>1.098</w:t>
            </w:r>
          </w:p>
        </w:tc>
        <w:tc>
          <w:tcPr>
            <w:tcW w:w="1023" w:type="dxa"/>
            <w:tcBorders>
              <w:top w:val="single" w:sz="4" w:space="0" w:color="auto"/>
              <w:left w:val="single" w:sz="4" w:space="0" w:color="auto"/>
              <w:bottom w:val="single" w:sz="4" w:space="0" w:color="auto"/>
              <w:right w:val="single" w:sz="4" w:space="0" w:color="auto"/>
            </w:tcBorders>
          </w:tcPr>
          <w:p w14:paraId="189AADC2" w14:textId="26CF94ED" w:rsidR="00657184" w:rsidRPr="0030608C" w:rsidRDefault="00657184" w:rsidP="00657184">
            <w:pPr>
              <w:pStyle w:val="Tabletext0"/>
              <w:jc w:val="center"/>
              <w:rPr>
                <w:highlight w:val="yellow"/>
                <w:vertAlign w:val="superscript"/>
              </w:rPr>
            </w:pPr>
            <w:r w:rsidRPr="00E44776">
              <w:t>$</w:t>
            </w:r>
            <w:r w:rsidR="00777DAE" w:rsidRPr="00FC7B41">
              <w:rPr>
                <w:color w:val="000000"/>
                <w:spacing w:val="46"/>
                <w:shd w:val="solid" w:color="000000" w:fill="000000"/>
                <w:fitText w:val="310" w:id="-1280031990"/>
                <w14:textFill>
                  <w14:solidFill>
                    <w14:srgbClr w14:val="000000">
                      <w14:alpha w14:val="100000"/>
                    </w14:srgbClr>
                  </w14:solidFill>
                </w14:textFill>
              </w:rPr>
              <w:t>|||</w:t>
            </w:r>
            <w:r w:rsidR="00777DAE" w:rsidRPr="00FC7B41">
              <w:rPr>
                <w:color w:val="000000"/>
                <w:spacing w:val="2"/>
                <w:shd w:val="solid" w:color="000000" w:fill="000000"/>
                <w:fitText w:val="310" w:id="-1280031990"/>
                <w14:textFill>
                  <w14:solidFill>
                    <w14:srgbClr w14:val="000000">
                      <w14:alpha w14:val="100000"/>
                    </w14:srgbClr>
                  </w14:solidFill>
                </w14:textFill>
              </w:rPr>
              <w:t>|</w:t>
            </w:r>
            <w:r w:rsidR="00836112" w:rsidRPr="0030608C">
              <w:rPr>
                <w:vertAlign w:val="superscript"/>
              </w:rPr>
              <w:t>6</w:t>
            </w:r>
          </w:p>
        </w:tc>
        <w:tc>
          <w:tcPr>
            <w:tcW w:w="1024" w:type="dxa"/>
            <w:tcBorders>
              <w:top w:val="single" w:sz="4" w:space="0" w:color="auto"/>
              <w:left w:val="single" w:sz="4" w:space="0" w:color="auto"/>
              <w:bottom w:val="single" w:sz="4" w:space="0" w:color="auto"/>
              <w:right w:val="single" w:sz="4" w:space="0" w:color="auto"/>
            </w:tcBorders>
          </w:tcPr>
          <w:p w14:paraId="0108B4FC" w14:textId="77777777" w:rsidR="00657184" w:rsidRPr="00E44776" w:rsidRDefault="00657184" w:rsidP="00657184">
            <w:pPr>
              <w:pStyle w:val="Tabletext0"/>
              <w:jc w:val="center"/>
            </w:pPr>
            <w:r w:rsidRPr="00E44776">
              <w:t>-9%</w:t>
            </w:r>
          </w:p>
        </w:tc>
      </w:tr>
      <w:tr w:rsidR="00584B70" w:rsidRPr="00E44776" w14:paraId="240E89AA" w14:textId="77777777" w:rsidTr="00584B70">
        <w:trPr>
          <w:cantSplit/>
        </w:trPr>
        <w:tc>
          <w:tcPr>
            <w:tcW w:w="9248" w:type="dxa"/>
            <w:gridSpan w:val="5"/>
            <w:tcBorders>
              <w:top w:val="single" w:sz="4" w:space="0" w:color="auto"/>
              <w:left w:val="single" w:sz="4" w:space="0" w:color="auto"/>
              <w:bottom w:val="single" w:sz="4" w:space="0" w:color="auto"/>
              <w:right w:val="single" w:sz="4" w:space="0" w:color="auto"/>
            </w:tcBorders>
          </w:tcPr>
          <w:p w14:paraId="3082C6BA" w14:textId="1DA61C97" w:rsidR="00584B70" w:rsidRPr="00E44776" w:rsidRDefault="00584B70" w:rsidP="00D1585D">
            <w:pPr>
              <w:pStyle w:val="Tabletext0"/>
              <w:rPr>
                <w:b/>
                <w:bCs/>
              </w:rPr>
            </w:pPr>
            <w:r w:rsidRPr="00E44776">
              <w:rPr>
                <w:b/>
                <w:bCs/>
              </w:rPr>
              <w:t>Multivariate sensitivity analyses</w:t>
            </w:r>
          </w:p>
        </w:tc>
      </w:tr>
      <w:tr w:rsidR="009F4B5B" w:rsidRPr="00E44776" w14:paraId="5FA5B42E" w14:textId="77777777" w:rsidTr="00962466">
        <w:trPr>
          <w:cantSplit/>
        </w:trPr>
        <w:tc>
          <w:tcPr>
            <w:tcW w:w="4224" w:type="dxa"/>
            <w:tcBorders>
              <w:top w:val="single" w:sz="4" w:space="0" w:color="auto"/>
              <w:left w:val="single" w:sz="4" w:space="0" w:color="auto"/>
              <w:bottom w:val="single" w:sz="4" w:space="0" w:color="auto"/>
              <w:right w:val="single" w:sz="4" w:space="0" w:color="auto"/>
            </w:tcBorders>
          </w:tcPr>
          <w:p w14:paraId="18FBFA31" w14:textId="20DA9473" w:rsidR="009F4B5B" w:rsidRPr="00E44776" w:rsidRDefault="009F4B5B" w:rsidP="009F4B5B">
            <w:pPr>
              <w:pStyle w:val="Tabletext0"/>
              <w:tabs>
                <w:tab w:val="left" w:pos="142"/>
              </w:tabs>
              <w:rPr>
                <w:szCs w:val="20"/>
              </w:rPr>
            </w:pPr>
            <w:r w:rsidRPr="00E44776">
              <w:rPr>
                <w:szCs w:val="20"/>
              </w:rPr>
              <w:t xml:space="preserve"> </w:t>
            </w:r>
            <w:r w:rsidRPr="00E44776">
              <w:rPr>
                <w:b/>
                <w:bCs/>
                <w:szCs w:val="20"/>
              </w:rPr>
              <w:t>A + B</w:t>
            </w:r>
            <w:r w:rsidRPr="00E44776">
              <w:rPr>
                <w:szCs w:val="20"/>
              </w:rPr>
              <w:t xml:space="preserve"> + no acalabrutinib RSA rebates applied</w:t>
            </w:r>
          </w:p>
          <w:p w14:paraId="5CC40C28" w14:textId="5DEA58ED" w:rsidR="009F4B5B" w:rsidRPr="00E44776" w:rsidRDefault="009F4B5B" w:rsidP="009F4B5B">
            <w:pPr>
              <w:pStyle w:val="Tabletext0"/>
              <w:tabs>
                <w:tab w:val="left" w:pos="142"/>
              </w:tabs>
              <w:rPr>
                <w:szCs w:val="20"/>
              </w:rPr>
            </w:pPr>
            <w:r w:rsidRPr="00E44776">
              <w:rPr>
                <w:szCs w:val="20"/>
              </w:rPr>
              <w:t>(i.e.</w:t>
            </w:r>
            <w:r w:rsidR="006227EF" w:rsidRPr="00E44776">
              <w:rPr>
                <w:szCs w:val="20"/>
              </w:rPr>
              <w:t xml:space="preserve">, </w:t>
            </w:r>
            <w:r w:rsidRPr="00E44776">
              <w:rPr>
                <w:szCs w:val="20"/>
              </w:rPr>
              <w:t>10</w:t>
            </w:r>
            <w:r w:rsidR="006227EF" w:rsidRPr="00E44776">
              <w:rPr>
                <w:szCs w:val="20"/>
              </w:rPr>
              <w:t>-y</w:t>
            </w:r>
            <w:r w:rsidRPr="00E44776">
              <w:rPr>
                <w:szCs w:val="20"/>
              </w:rPr>
              <w:t>ear time horizon plus HRs converge between 5 and 10 years plus no RSA rebates for acalabrutinib)</w:t>
            </w:r>
          </w:p>
        </w:tc>
        <w:tc>
          <w:tcPr>
            <w:tcW w:w="1488" w:type="dxa"/>
            <w:tcBorders>
              <w:top w:val="single" w:sz="4" w:space="0" w:color="auto"/>
              <w:left w:val="nil"/>
              <w:bottom w:val="single" w:sz="4" w:space="0" w:color="auto"/>
              <w:right w:val="single" w:sz="4" w:space="0" w:color="auto"/>
            </w:tcBorders>
            <w:vAlign w:val="center"/>
          </w:tcPr>
          <w:p w14:paraId="68134CB8" w14:textId="6EC30FC2" w:rsidR="009F4B5B" w:rsidRPr="00E44776" w:rsidRDefault="009F4B5B" w:rsidP="009F4B5B">
            <w:pPr>
              <w:pStyle w:val="Tabletext0"/>
              <w:jc w:val="center"/>
            </w:pPr>
            <w:r w:rsidRPr="00E44776">
              <w:rPr>
                <w:rFonts w:eastAsiaTheme="minorHAnsi"/>
                <w:lang w:eastAsia="en-US"/>
              </w:rPr>
              <w:t>$</w:t>
            </w:r>
            <w:r w:rsidR="00777DAE" w:rsidRPr="00FC7B41">
              <w:rPr>
                <w:rFonts w:eastAsiaTheme="minorHAnsi"/>
                <w:color w:val="000000"/>
                <w:spacing w:val="51"/>
                <w:shd w:val="solid" w:color="000000" w:fill="000000"/>
                <w:fitText w:val="230" w:id="-1280031989"/>
                <w:lang w:eastAsia="en-US"/>
                <w14:textFill>
                  <w14:solidFill>
                    <w14:srgbClr w14:val="000000">
                      <w14:alpha w14:val="100000"/>
                    </w14:srgbClr>
                  </w14:solidFill>
                </w14:textFill>
              </w:rPr>
              <w:t>||</w:t>
            </w:r>
            <w:r w:rsidR="00777DAE" w:rsidRPr="00FC7B41">
              <w:rPr>
                <w:rFonts w:eastAsiaTheme="minorHAnsi"/>
                <w:color w:val="000000"/>
                <w:spacing w:val="1"/>
                <w:shd w:val="solid" w:color="000000" w:fill="000000"/>
                <w:fitText w:val="230" w:id="-1280031989"/>
                <w:lang w:eastAsia="en-US"/>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47732827" w14:textId="4DA75243" w:rsidR="009F4B5B" w:rsidRPr="00E44776" w:rsidRDefault="009F4B5B" w:rsidP="009F4B5B">
            <w:pPr>
              <w:pStyle w:val="Tabletext0"/>
              <w:jc w:val="center"/>
            </w:pPr>
            <w:r w:rsidRPr="00E44776">
              <w:rPr>
                <w:rFonts w:eastAsiaTheme="minorHAnsi"/>
                <w:lang w:eastAsia="en-US"/>
              </w:rPr>
              <w:t>0.618</w:t>
            </w:r>
          </w:p>
        </w:tc>
        <w:tc>
          <w:tcPr>
            <w:tcW w:w="1023" w:type="dxa"/>
            <w:tcBorders>
              <w:top w:val="single" w:sz="4" w:space="0" w:color="auto"/>
              <w:left w:val="single" w:sz="4" w:space="0" w:color="auto"/>
              <w:bottom w:val="single" w:sz="4" w:space="0" w:color="auto"/>
              <w:right w:val="single" w:sz="4" w:space="0" w:color="auto"/>
            </w:tcBorders>
            <w:vAlign w:val="center"/>
          </w:tcPr>
          <w:p w14:paraId="27D83CEE" w14:textId="31F6139D" w:rsidR="009F4B5B" w:rsidRPr="0030608C" w:rsidRDefault="009F4B5B" w:rsidP="009F4B5B">
            <w:pPr>
              <w:pStyle w:val="Tabletext0"/>
              <w:jc w:val="center"/>
              <w:rPr>
                <w:vertAlign w:val="superscript"/>
              </w:rPr>
            </w:pPr>
            <w:r w:rsidRPr="00E44776">
              <w:rPr>
                <w:rFonts w:eastAsiaTheme="minorHAnsi"/>
                <w:lang w:eastAsia="en-US"/>
              </w:rPr>
              <w:t>$</w:t>
            </w:r>
            <w:r w:rsidR="00777DAE" w:rsidRPr="00FC7B41">
              <w:rPr>
                <w:rFonts w:eastAsiaTheme="minorHAnsi"/>
                <w:color w:val="000000"/>
                <w:spacing w:val="46"/>
                <w:shd w:val="solid" w:color="000000" w:fill="000000"/>
                <w:fitText w:val="310" w:id="-1280031988"/>
                <w:lang w:eastAsia="en-US"/>
                <w14:textFill>
                  <w14:solidFill>
                    <w14:srgbClr w14:val="000000">
                      <w14:alpha w14:val="100000"/>
                    </w14:srgbClr>
                  </w14:solidFill>
                </w14:textFill>
              </w:rPr>
              <w:t>|||</w:t>
            </w:r>
            <w:r w:rsidR="00777DAE" w:rsidRPr="00FC7B41">
              <w:rPr>
                <w:rFonts w:eastAsiaTheme="minorHAnsi"/>
                <w:color w:val="000000"/>
                <w:spacing w:val="2"/>
                <w:shd w:val="solid" w:color="000000" w:fill="000000"/>
                <w:fitText w:val="310" w:id="-1280031988"/>
                <w:lang w:eastAsia="en-US"/>
                <w14:textFill>
                  <w14:solidFill>
                    <w14:srgbClr w14:val="000000">
                      <w14:alpha w14:val="100000"/>
                    </w14:srgbClr>
                  </w14:solidFill>
                </w14:textFill>
              </w:rPr>
              <w:t>|</w:t>
            </w:r>
            <w:r w:rsidR="00836112">
              <w:rPr>
                <w:rFonts w:eastAsiaTheme="minorHAnsi"/>
                <w:vertAlign w:val="superscript"/>
                <w:lang w:eastAsia="en-US"/>
              </w:rPr>
              <w:t>7</w:t>
            </w:r>
          </w:p>
        </w:tc>
        <w:tc>
          <w:tcPr>
            <w:tcW w:w="1024" w:type="dxa"/>
            <w:tcBorders>
              <w:top w:val="single" w:sz="4" w:space="0" w:color="auto"/>
              <w:left w:val="single" w:sz="4" w:space="0" w:color="auto"/>
              <w:bottom w:val="single" w:sz="4" w:space="0" w:color="auto"/>
              <w:right w:val="single" w:sz="4" w:space="0" w:color="auto"/>
            </w:tcBorders>
            <w:vAlign w:val="center"/>
          </w:tcPr>
          <w:p w14:paraId="2DA64B5B" w14:textId="0542BB0F" w:rsidR="009F4B5B" w:rsidRPr="00E44776" w:rsidRDefault="009F4B5B" w:rsidP="009F4B5B">
            <w:pPr>
              <w:pStyle w:val="Tabletext0"/>
              <w:jc w:val="center"/>
              <w:rPr>
                <w:rFonts w:eastAsiaTheme="minorHAnsi"/>
                <w:lang w:eastAsia="en-US"/>
              </w:rPr>
            </w:pPr>
            <w:r w:rsidRPr="00E44776">
              <w:rPr>
                <w:rFonts w:eastAsiaTheme="minorHAnsi"/>
                <w:lang w:eastAsia="en-US"/>
              </w:rPr>
              <w:t>331%</w:t>
            </w:r>
          </w:p>
        </w:tc>
      </w:tr>
      <w:tr w:rsidR="009F4B5B" w:rsidRPr="00E44776" w14:paraId="136AA936" w14:textId="77777777" w:rsidTr="00962466">
        <w:trPr>
          <w:cantSplit/>
        </w:trPr>
        <w:tc>
          <w:tcPr>
            <w:tcW w:w="4224" w:type="dxa"/>
            <w:tcBorders>
              <w:top w:val="single" w:sz="4" w:space="0" w:color="auto"/>
              <w:left w:val="single" w:sz="4" w:space="0" w:color="auto"/>
              <w:bottom w:val="single" w:sz="4" w:space="0" w:color="auto"/>
              <w:right w:val="single" w:sz="4" w:space="0" w:color="auto"/>
            </w:tcBorders>
          </w:tcPr>
          <w:p w14:paraId="39E21F2A" w14:textId="6B76B635" w:rsidR="009F4B5B" w:rsidRPr="00E44776" w:rsidRDefault="009F4B5B" w:rsidP="009F4B5B">
            <w:pPr>
              <w:pStyle w:val="Tabletext0"/>
              <w:tabs>
                <w:tab w:val="left" w:pos="142"/>
              </w:tabs>
              <w:rPr>
                <w:szCs w:val="20"/>
              </w:rPr>
            </w:pPr>
            <w:r w:rsidRPr="00E44776">
              <w:rPr>
                <w:szCs w:val="20"/>
              </w:rPr>
              <w:t xml:space="preserve"> </w:t>
            </w:r>
            <w:r w:rsidRPr="00E44776">
              <w:rPr>
                <w:b/>
                <w:bCs/>
                <w:szCs w:val="20"/>
              </w:rPr>
              <w:t xml:space="preserve">A </w:t>
            </w:r>
            <w:r w:rsidRPr="00E44776">
              <w:rPr>
                <w:szCs w:val="20"/>
              </w:rPr>
              <w:t>+ no acalabrutinib RSA rebates applied</w:t>
            </w:r>
          </w:p>
          <w:p w14:paraId="72FE258B" w14:textId="5DD66181" w:rsidR="009F4B5B" w:rsidRPr="00E44776" w:rsidRDefault="009F4B5B" w:rsidP="009F4B5B">
            <w:pPr>
              <w:pStyle w:val="Tabletext0"/>
              <w:tabs>
                <w:tab w:val="left" w:pos="142"/>
              </w:tabs>
              <w:rPr>
                <w:szCs w:val="20"/>
              </w:rPr>
            </w:pPr>
            <w:r w:rsidRPr="00E44776">
              <w:rPr>
                <w:szCs w:val="20"/>
              </w:rPr>
              <w:t>(i.e.</w:t>
            </w:r>
            <w:r w:rsidR="006227EF" w:rsidRPr="00E44776">
              <w:rPr>
                <w:szCs w:val="20"/>
              </w:rPr>
              <w:t>,</w:t>
            </w:r>
            <w:r w:rsidRPr="00E44776">
              <w:rPr>
                <w:szCs w:val="20"/>
              </w:rPr>
              <w:t xml:space="preserve"> 10</w:t>
            </w:r>
            <w:r w:rsidR="006227EF" w:rsidRPr="00E44776">
              <w:rPr>
                <w:szCs w:val="20"/>
              </w:rPr>
              <w:t>-</w:t>
            </w:r>
            <w:r w:rsidRPr="00E44776">
              <w:rPr>
                <w:szCs w:val="20"/>
              </w:rPr>
              <w:t>year time horizon plus no RSA rebates for acalabrutinib)</w:t>
            </w:r>
          </w:p>
        </w:tc>
        <w:tc>
          <w:tcPr>
            <w:tcW w:w="1488" w:type="dxa"/>
            <w:tcBorders>
              <w:top w:val="single" w:sz="4" w:space="0" w:color="auto"/>
              <w:left w:val="nil"/>
              <w:bottom w:val="single" w:sz="4" w:space="0" w:color="auto"/>
              <w:right w:val="single" w:sz="4" w:space="0" w:color="auto"/>
            </w:tcBorders>
            <w:vAlign w:val="center"/>
          </w:tcPr>
          <w:p w14:paraId="1AF347B9" w14:textId="264AB1C8" w:rsidR="009F4B5B" w:rsidRPr="00E44776" w:rsidRDefault="009F4B5B" w:rsidP="009F4B5B">
            <w:pPr>
              <w:pStyle w:val="Tabletext0"/>
              <w:jc w:val="center"/>
            </w:pPr>
            <w:r w:rsidRPr="00E44776">
              <w:rPr>
                <w:rFonts w:eastAsiaTheme="minorHAnsi"/>
                <w:lang w:eastAsia="en-US"/>
              </w:rPr>
              <w:t>$</w:t>
            </w:r>
            <w:r w:rsidR="00777DAE" w:rsidRPr="00FC7B41">
              <w:rPr>
                <w:rFonts w:eastAsiaTheme="minorHAnsi"/>
                <w:color w:val="000000"/>
                <w:spacing w:val="51"/>
                <w:shd w:val="solid" w:color="000000" w:fill="000000"/>
                <w:fitText w:val="230" w:id="-1280031987"/>
                <w:lang w:eastAsia="en-US"/>
                <w14:textFill>
                  <w14:solidFill>
                    <w14:srgbClr w14:val="000000">
                      <w14:alpha w14:val="100000"/>
                    </w14:srgbClr>
                  </w14:solidFill>
                </w14:textFill>
              </w:rPr>
              <w:t>||</w:t>
            </w:r>
            <w:r w:rsidR="00777DAE" w:rsidRPr="00FC7B41">
              <w:rPr>
                <w:rFonts w:eastAsiaTheme="minorHAnsi"/>
                <w:color w:val="000000"/>
                <w:spacing w:val="1"/>
                <w:shd w:val="solid" w:color="000000" w:fill="000000"/>
                <w:fitText w:val="230" w:id="-1280031987"/>
                <w:lang w:eastAsia="en-US"/>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0213525D" w14:textId="75D8DD2F" w:rsidR="009F4B5B" w:rsidRPr="00E44776" w:rsidRDefault="009F4B5B" w:rsidP="009F4B5B">
            <w:pPr>
              <w:pStyle w:val="Tabletext0"/>
              <w:jc w:val="center"/>
            </w:pPr>
            <w:r w:rsidRPr="00E44776">
              <w:rPr>
                <w:rFonts w:eastAsiaTheme="minorHAnsi"/>
                <w:lang w:eastAsia="en-US"/>
              </w:rPr>
              <w:t>0.657</w:t>
            </w:r>
          </w:p>
        </w:tc>
        <w:tc>
          <w:tcPr>
            <w:tcW w:w="1023" w:type="dxa"/>
            <w:tcBorders>
              <w:top w:val="single" w:sz="4" w:space="0" w:color="auto"/>
              <w:left w:val="single" w:sz="4" w:space="0" w:color="auto"/>
              <w:bottom w:val="single" w:sz="4" w:space="0" w:color="auto"/>
              <w:right w:val="single" w:sz="4" w:space="0" w:color="auto"/>
            </w:tcBorders>
            <w:vAlign w:val="center"/>
          </w:tcPr>
          <w:p w14:paraId="3A4B5835" w14:textId="3F483076" w:rsidR="009F4B5B" w:rsidRPr="0030608C" w:rsidRDefault="009F4B5B" w:rsidP="009F4B5B">
            <w:pPr>
              <w:pStyle w:val="Tabletext0"/>
              <w:jc w:val="center"/>
              <w:rPr>
                <w:vertAlign w:val="superscript"/>
              </w:rPr>
            </w:pPr>
            <w:r w:rsidRPr="00E44776">
              <w:rPr>
                <w:rFonts w:eastAsiaTheme="minorHAnsi"/>
                <w:lang w:eastAsia="en-US"/>
              </w:rPr>
              <w:t>$</w:t>
            </w:r>
            <w:r w:rsidR="00777DAE" w:rsidRPr="00FC7B41">
              <w:rPr>
                <w:rFonts w:eastAsiaTheme="minorHAnsi"/>
                <w:color w:val="000000"/>
                <w:spacing w:val="46"/>
                <w:shd w:val="solid" w:color="000000" w:fill="000000"/>
                <w:fitText w:val="310" w:id="-1280031986"/>
                <w:lang w:eastAsia="en-US"/>
                <w14:textFill>
                  <w14:solidFill>
                    <w14:srgbClr w14:val="000000">
                      <w14:alpha w14:val="100000"/>
                    </w14:srgbClr>
                  </w14:solidFill>
                </w14:textFill>
              </w:rPr>
              <w:t>|||</w:t>
            </w:r>
            <w:r w:rsidR="00777DAE" w:rsidRPr="00FC7B41">
              <w:rPr>
                <w:rFonts w:eastAsiaTheme="minorHAnsi"/>
                <w:color w:val="000000"/>
                <w:spacing w:val="2"/>
                <w:shd w:val="solid" w:color="000000" w:fill="000000"/>
                <w:fitText w:val="310" w:id="-1280031986"/>
                <w:lang w:eastAsia="en-US"/>
                <w14:textFill>
                  <w14:solidFill>
                    <w14:srgbClr w14:val="000000">
                      <w14:alpha w14:val="100000"/>
                    </w14:srgbClr>
                  </w14:solidFill>
                </w14:textFill>
              </w:rPr>
              <w:t>|</w:t>
            </w:r>
            <w:r w:rsidR="00836112">
              <w:rPr>
                <w:rFonts w:eastAsiaTheme="minorHAnsi"/>
                <w:vertAlign w:val="superscript"/>
                <w:lang w:eastAsia="en-US"/>
              </w:rPr>
              <w:t>7</w:t>
            </w:r>
          </w:p>
        </w:tc>
        <w:tc>
          <w:tcPr>
            <w:tcW w:w="1024" w:type="dxa"/>
            <w:tcBorders>
              <w:top w:val="single" w:sz="4" w:space="0" w:color="auto"/>
              <w:left w:val="single" w:sz="4" w:space="0" w:color="auto"/>
              <w:bottom w:val="single" w:sz="4" w:space="0" w:color="auto"/>
              <w:right w:val="single" w:sz="4" w:space="0" w:color="auto"/>
            </w:tcBorders>
            <w:vAlign w:val="center"/>
          </w:tcPr>
          <w:p w14:paraId="7783B95A" w14:textId="1340044A" w:rsidR="009F4B5B" w:rsidRPr="00E44776" w:rsidRDefault="009F4B5B" w:rsidP="009F4B5B">
            <w:pPr>
              <w:pStyle w:val="Tabletext0"/>
              <w:jc w:val="center"/>
              <w:rPr>
                <w:rFonts w:eastAsiaTheme="minorHAnsi"/>
                <w:lang w:eastAsia="en-US"/>
              </w:rPr>
            </w:pPr>
            <w:r w:rsidRPr="00E44776">
              <w:rPr>
                <w:rFonts w:eastAsiaTheme="minorHAnsi"/>
                <w:lang w:eastAsia="en-US"/>
              </w:rPr>
              <w:t>290%</w:t>
            </w:r>
          </w:p>
        </w:tc>
      </w:tr>
      <w:tr w:rsidR="009F4B5B" w:rsidRPr="00E44776" w14:paraId="446B8268" w14:textId="77777777" w:rsidTr="00962466">
        <w:trPr>
          <w:cantSplit/>
        </w:trPr>
        <w:tc>
          <w:tcPr>
            <w:tcW w:w="4224" w:type="dxa"/>
            <w:tcBorders>
              <w:top w:val="single" w:sz="4" w:space="0" w:color="auto"/>
              <w:left w:val="single" w:sz="4" w:space="0" w:color="auto"/>
              <w:bottom w:val="single" w:sz="4" w:space="0" w:color="auto"/>
              <w:right w:val="single" w:sz="4" w:space="0" w:color="auto"/>
            </w:tcBorders>
          </w:tcPr>
          <w:p w14:paraId="3AB59176" w14:textId="77777777" w:rsidR="009F4B5B" w:rsidRPr="00E44776" w:rsidRDefault="009F4B5B" w:rsidP="009F4B5B">
            <w:pPr>
              <w:pStyle w:val="Tabletext0"/>
              <w:tabs>
                <w:tab w:val="left" w:pos="142"/>
              </w:tabs>
              <w:rPr>
                <w:szCs w:val="20"/>
              </w:rPr>
            </w:pPr>
            <w:r w:rsidRPr="00E44776">
              <w:rPr>
                <w:b/>
                <w:bCs/>
                <w:szCs w:val="20"/>
              </w:rPr>
              <w:t>B</w:t>
            </w:r>
            <w:r w:rsidRPr="00E44776">
              <w:rPr>
                <w:szCs w:val="20"/>
              </w:rPr>
              <w:t xml:space="preserve"> + no acalabrutinib RSA rebates applied</w:t>
            </w:r>
          </w:p>
          <w:p w14:paraId="460DA68E" w14:textId="259AB69A" w:rsidR="009F4B5B" w:rsidRPr="00E44776" w:rsidRDefault="009F4B5B" w:rsidP="009F4B5B">
            <w:pPr>
              <w:pStyle w:val="Tabletext0"/>
              <w:tabs>
                <w:tab w:val="left" w:pos="142"/>
              </w:tabs>
              <w:rPr>
                <w:szCs w:val="20"/>
              </w:rPr>
            </w:pPr>
            <w:r w:rsidRPr="00E44776">
              <w:rPr>
                <w:szCs w:val="20"/>
              </w:rPr>
              <w:t>(i.e.</w:t>
            </w:r>
            <w:r w:rsidR="006227EF" w:rsidRPr="00E44776">
              <w:rPr>
                <w:szCs w:val="20"/>
              </w:rPr>
              <w:t>,</w:t>
            </w:r>
            <w:r w:rsidRPr="00E44776">
              <w:rPr>
                <w:szCs w:val="20"/>
              </w:rPr>
              <w:t xml:space="preserve"> HRs converge between 5 and 10 years plus no RSA rebates for acalabrutinib</w:t>
            </w:r>
            <w:r w:rsidR="006227EF" w:rsidRPr="00E44776">
              <w:rPr>
                <w:szCs w:val="20"/>
              </w:rPr>
              <w:t>)</w:t>
            </w:r>
          </w:p>
        </w:tc>
        <w:tc>
          <w:tcPr>
            <w:tcW w:w="1488" w:type="dxa"/>
            <w:tcBorders>
              <w:top w:val="single" w:sz="4" w:space="0" w:color="auto"/>
              <w:left w:val="nil"/>
              <w:bottom w:val="single" w:sz="4" w:space="0" w:color="auto"/>
              <w:right w:val="single" w:sz="4" w:space="0" w:color="auto"/>
            </w:tcBorders>
            <w:vAlign w:val="center"/>
          </w:tcPr>
          <w:p w14:paraId="14BB66AA" w14:textId="7E7FC68F" w:rsidR="009F4B5B" w:rsidRPr="00E44776" w:rsidRDefault="009F4B5B" w:rsidP="009F4B5B">
            <w:pPr>
              <w:pStyle w:val="Tabletext0"/>
              <w:jc w:val="center"/>
            </w:pPr>
            <w:r w:rsidRPr="00E44776">
              <w:rPr>
                <w:rFonts w:eastAsiaTheme="minorHAnsi"/>
                <w:lang w:eastAsia="en-US"/>
              </w:rPr>
              <w:t>$</w:t>
            </w:r>
            <w:r w:rsidR="00777DAE" w:rsidRPr="00FC7B41">
              <w:rPr>
                <w:rFonts w:eastAsiaTheme="minorHAnsi"/>
                <w:color w:val="000000"/>
                <w:spacing w:val="51"/>
                <w:shd w:val="solid" w:color="000000" w:fill="000000"/>
                <w:fitText w:val="230" w:id="-1280031985"/>
                <w:lang w:eastAsia="en-US"/>
                <w14:textFill>
                  <w14:solidFill>
                    <w14:srgbClr w14:val="000000">
                      <w14:alpha w14:val="100000"/>
                    </w14:srgbClr>
                  </w14:solidFill>
                </w14:textFill>
              </w:rPr>
              <w:t>||</w:t>
            </w:r>
            <w:r w:rsidR="00777DAE" w:rsidRPr="00FC7B41">
              <w:rPr>
                <w:rFonts w:eastAsiaTheme="minorHAnsi"/>
                <w:color w:val="000000"/>
                <w:spacing w:val="1"/>
                <w:shd w:val="solid" w:color="000000" w:fill="000000"/>
                <w:fitText w:val="230" w:id="-1280031985"/>
                <w:lang w:eastAsia="en-US"/>
                <w14:textFill>
                  <w14:solidFill>
                    <w14:srgbClr w14:val="000000">
                      <w14:alpha w14:val="100000"/>
                    </w14:srgbClr>
                  </w14:solidFill>
                </w14:textFill>
              </w:rPr>
              <w:t>|</w:t>
            </w:r>
          </w:p>
        </w:tc>
        <w:tc>
          <w:tcPr>
            <w:tcW w:w="1489" w:type="dxa"/>
            <w:tcBorders>
              <w:top w:val="single" w:sz="4" w:space="0" w:color="auto"/>
              <w:left w:val="single" w:sz="4" w:space="0" w:color="auto"/>
              <w:bottom w:val="single" w:sz="4" w:space="0" w:color="auto"/>
              <w:right w:val="single" w:sz="4" w:space="0" w:color="auto"/>
            </w:tcBorders>
            <w:vAlign w:val="center"/>
          </w:tcPr>
          <w:p w14:paraId="745E34DD" w14:textId="1ACCB333" w:rsidR="009F4B5B" w:rsidRPr="00E44776" w:rsidRDefault="009F4B5B" w:rsidP="009F4B5B">
            <w:pPr>
              <w:pStyle w:val="Tabletext0"/>
              <w:jc w:val="center"/>
            </w:pPr>
            <w:r w:rsidRPr="00E44776">
              <w:rPr>
                <w:rFonts w:eastAsiaTheme="minorHAnsi"/>
                <w:lang w:eastAsia="en-US"/>
              </w:rPr>
              <w:t>0.846</w:t>
            </w:r>
          </w:p>
        </w:tc>
        <w:tc>
          <w:tcPr>
            <w:tcW w:w="1023" w:type="dxa"/>
            <w:tcBorders>
              <w:top w:val="single" w:sz="4" w:space="0" w:color="auto"/>
              <w:left w:val="single" w:sz="4" w:space="0" w:color="auto"/>
              <w:bottom w:val="single" w:sz="4" w:space="0" w:color="auto"/>
              <w:right w:val="single" w:sz="4" w:space="0" w:color="auto"/>
            </w:tcBorders>
            <w:vAlign w:val="center"/>
          </w:tcPr>
          <w:p w14:paraId="5D1EE976" w14:textId="4D89372C" w:rsidR="009F4B5B" w:rsidRPr="0030608C" w:rsidRDefault="009F4B5B" w:rsidP="009F4B5B">
            <w:pPr>
              <w:pStyle w:val="Tabletext0"/>
              <w:jc w:val="center"/>
              <w:rPr>
                <w:vertAlign w:val="superscript"/>
              </w:rPr>
            </w:pPr>
            <w:r w:rsidRPr="00E44776">
              <w:rPr>
                <w:rFonts w:eastAsiaTheme="minorHAnsi"/>
                <w:lang w:eastAsia="en-US"/>
              </w:rPr>
              <w:t>$</w:t>
            </w:r>
            <w:r w:rsidR="00777DAE" w:rsidRPr="00FC7B41">
              <w:rPr>
                <w:rFonts w:eastAsiaTheme="minorHAnsi"/>
                <w:color w:val="000000"/>
                <w:spacing w:val="46"/>
                <w:shd w:val="solid" w:color="000000" w:fill="000000"/>
                <w:fitText w:val="310" w:id="-1280031984"/>
                <w:lang w:eastAsia="en-US"/>
                <w14:textFill>
                  <w14:solidFill>
                    <w14:srgbClr w14:val="000000">
                      <w14:alpha w14:val="100000"/>
                    </w14:srgbClr>
                  </w14:solidFill>
                </w14:textFill>
              </w:rPr>
              <w:t>|||</w:t>
            </w:r>
            <w:r w:rsidR="00777DAE" w:rsidRPr="00FC7B41">
              <w:rPr>
                <w:rFonts w:eastAsiaTheme="minorHAnsi"/>
                <w:color w:val="000000"/>
                <w:spacing w:val="2"/>
                <w:shd w:val="solid" w:color="000000" w:fill="000000"/>
                <w:fitText w:val="310" w:id="-1280031984"/>
                <w:lang w:eastAsia="en-US"/>
                <w14:textFill>
                  <w14:solidFill>
                    <w14:srgbClr w14:val="000000">
                      <w14:alpha w14:val="100000"/>
                    </w14:srgbClr>
                  </w14:solidFill>
                </w14:textFill>
              </w:rPr>
              <w:t>|</w:t>
            </w:r>
            <w:r w:rsidR="00836112">
              <w:rPr>
                <w:rFonts w:eastAsiaTheme="minorHAnsi"/>
                <w:vertAlign w:val="superscript"/>
                <w:lang w:eastAsia="en-US"/>
              </w:rPr>
              <w:t>7</w:t>
            </w:r>
          </w:p>
        </w:tc>
        <w:tc>
          <w:tcPr>
            <w:tcW w:w="1024" w:type="dxa"/>
            <w:tcBorders>
              <w:top w:val="single" w:sz="4" w:space="0" w:color="auto"/>
              <w:left w:val="single" w:sz="4" w:space="0" w:color="auto"/>
              <w:bottom w:val="single" w:sz="4" w:space="0" w:color="auto"/>
              <w:right w:val="single" w:sz="4" w:space="0" w:color="auto"/>
            </w:tcBorders>
            <w:vAlign w:val="center"/>
          </w:tcPr>
          <w:p w14:paraId="05EF325B" w14:textId="19F13CDD" w:rsidR="009F4B5B" w:rsidRPr="00E44776" w:rsidRDefault="009F4B5B" w:rsidP="009F4B5B">
            <w:pPr>
              <w:pStyle w:val="Tabletext0"/>
              <w:jc w:val="center"/>
              <w:rPr>
                <w:rFonts w:eastAsiaTheme="minorHAnsi"/>
                <w:lang w:eastAsia="en-US"/>
              </w:rPr>
            </w:pPr>
            <w:r w:rsidRPr="00E44776">
              <w:rPr>
                <w:rFonts w:eastAsiaTheme="minorHAnsi"/>
                <w:lang w:eastAsia="en-US"/>
              </w:rPr>
              <w:t>301%</w:t>
            </w:r>
          </w:p>
        </w:tc>
      </w:tr>
    </w:tbl>
    <w:p w14:paraId="4B569879" w14:textId="77777777" w:rsidR="008D2097" w:rsidRPr="00E44776" w:rsidRDefault="008D2097" w:rsidP="008D2097">
      <w:pPr>
        <w:pStyle w:val="TableFooter"/>
      </w:pPr>
      <w:r w:rsidRPr="00E44776">
        <w:t>Source: Compiled using the ‘Section 3 CEA model’ Excel Workbook.</w:t>
      </w:r>
    </w:p>
    <w:p w14:paraId="1A9ED87A" w14:textId="48719831" w:rsidR="00B2411E" w:rsidRPr="00E44776" w:rsidRDefault="00B2411E" w:rsidP="00B2411E">
      <w:pPr>
        <w:pStyle w:val="TableFooter"/>
      </w:pPr>
      <w:r w:rsidRPr="00E44776">
        <w:t>AEMP = approved ex-manufacturer price, CI = confidence interval, DPMA = dispensed price for maximum amount, DPMQ = dispensed price for maximum quantity, MAIC = matching adjusted indirect comparison, OS = overall survival, PFS = progression-free survival, TLS = tumour lysis syndrome, TTNT = time to next treatment</w:t>
      </w:r>
    </w:p>
    <w:p w14:paraId="48E86BF6" w14:textId="7DD67F52" w:rsidR="00D67E2B" w:rsidRPr="00E44776" w:rsidRDefault="00D67E2B" w:rsidP="00B2411E">
      <w:pPr>
        <w:pStyle w:val="TableFooter"/>
      </w:pPr>
      <w:r w:rsidRPr="00E44776">
        <w:rPr>
          <w:vertAlign w:val="superscript"/>
        </w:rPr>
        <w:t>a</w:t>
      </w:r>
      <w:r w:rsidRPr="00E44776">
        <w:t xml:space="preserve"> Use of alternative PFS extrapolations in the model also resulted in corresponding changes to the selected time to treatment discontinuation and time to next treatment extrapolations to prevent curve crossing.</w:t>
      </w:r>
    </w:p>
    <w:p w14:paraId="76916362" w14:textId="5FA4E99F" w:rsidR="00406493" w:rsidRPr="00E44776" w:rsidRDefault="00406493" w:rsidP="00B2411E">
      <w:pPr>
        <w:pStyle w:val="TableFooter"/>
      </w:pPr>
      <w:r w:rsidRPr="00E44776">
        <w:rPr>
          <w:vertAlign w:val="superscript"/>
        </w:rPr>
        <w:t>b</w:t>
      </w:r>
      <w:r w:rsidRPr="00E44776">
        <w:t xml:space="preserve"> In the relapsed/refractory setting, both ibrutinib and venetoclax+rituximab were assumed to have a ‘subsidised treatment cap’ of </w:t>
      </w:r>
      <w:r w:rsidR="00FC10F6" w:rsidRPr="00E44776">
        <w:t>22</w:t>
      </w:r>
      <w:r w:rsidRPr="00E44776">
        <w:t xml:space="preserve"> months, resulting in mean durations of </w:t>
      </w:r>
      <w:r w:rsidR="00FC10F6" w:rsidRPr="00E44776">
        <w:t>19.5</w:t>
      </w:r>
      <w:r w:rsidRPr="00E44776">
        <w:t xml:space="preserve"> months and </w:t>
      </w:r>
      <w:r w:rsidR="00FC10F6" w:rsidRPr="00E44776">
        <w:t>20</w:t>
      </w:r>
      <w:r w:rsidRPr="00E44776">
        <w:t xml:space="preserve"> months, respectively.</w:t>
      </w:r>
    </w:p>
    <w:p w14:paraId="515E1D28" w14:textId="0F314245" w:rsidR="00FC10F6" w:rsidRDefault="00FC10F6" w:rsidP="00FC10F6">
      <w:pPr>
        <w:pStyle w:val="TableFooter"/>
      </w:pPr>
      <w:r w:rsidRPr="00E44776">
        <w:rPr>
          <w:vertAlign w:val="superscript"/>
        </w:rPr>
        <w:t>c</w:t>
      </w:r>
      <w:r w:rsidRPr="00E44776">
        <w:t xml:space="preserve"> In the relapsed/refractory setting, both ibrutinib and venetoclax+rituximab were assumed to have a ‘subsidised treatment cap’ of 39 months, resulting in mean durations of 30.1 months and 30 months, respectively.</w:t>
      </w:r>
    </w:p>
    <w:p w14:paraId="6FC7FDB9" w14:textId="665D85EF" w:rsidR="00B705A3" w:rsidRDefault="00B705A3" w:rsidP="00FC10F6">
      <w:pPr>
        <w:pStyle w:val="TableFooter"/>
      </w:pPr>
    </w:p>
    <w:p w14:paraId="3A0CF865" w14:textId="77777777" w:rsidR="00836112" w:rsidRPr="00836112" w:rsidRDefault="00836112" w:rsidP="00836112">
      <w:pPr>
        <w:rPr>
          <w:rFonts w:ascii="Arial Narrow" w:hAnsi="Arial Narrow"/>
          <w:i/>
          <w:sz w:val="18"/>
          <w:szCs w:val="18"/>
        </w:rPr>
      </w:pPr>
      <w:r w:rsidRPr="00836112">
        <w:rPr>
          <w:rFonts w:ascii="Arial Narrow" w:hAnsi="Arial Narrow"/>
          <w:i/>
          <w:sz w:val="18"/>
          <w:szCs w:val="18"/>
        </w:rPr>
        <w:t xml:space="preserve">The redacted values correspond to the following ranges: </w:t>
      </w:r>
    </w:p>
    <w:p w14:paraId="16906CC0" w14:textId="2150A713" w:rsidR="00836112" w:rsidRPr="0030608C" w:rsidRDefault="00836112" w:rsidP="00836112">
      <w:pPr>
        <w:ind w:right="147"/>
        <w:rPr>
          <w:rFonts w:ascii="Arial Narrow" w:hAnsi="Arial Narrow"/>
          <w:i/>
          <w:color w:val="333333"/>
          <w:sz w:val="18"/>
          <w:szCs w:val="18"/>
        </w:rPr>
      </w:pPr>
      <w:r w:rsidRPr="0030608C">
        <w:rPr>
          <w:rFonts w:ascii="Arial Narrow" w:hAnsi="Arial Narrow"/>
          <w:i/>
          <w:color w:val="333333"/>
          <w:sz w:val="18"/>
          <w:szCs w:val="18"/>
          <w:vertAlign w:val="superscript"/>
        </w:rPr>
        <w:t>1</w:t>
      </w:r>
      <w:r w:rsidRPr="0030608C">
        <w:rPr>
          <w:rFonts w:ascii="Arial Narrow" w:hAnsi="Arial Narrow"/>
          <w:i/>
          <w:color w:val="333333"/>
          <w:sz w:val="18"/>
          <w:szCs w:val="18"/>
        </w:rPr>
        <w:t xml:space="preserve">$55,000 to &lt; $75,000 </w:t>
      </w:r>
    </w:p>
    <w:p w14:paraId="26397C47" w14:textId="1A43BE2D" w:rsidR="00836112" w:rsidRPr="0030608C" w:rsidRDefault="00836112" w:rsidP="00836112">
      <w:pPr>
        <w:ind w:right="147"/>
        <w:rPr>
          <w:rFonts w:ascii="Arial Narrow" w:hAnsi="Arial Narrow"/>
          <w:i/>
          <w:color w:val="333333"/>
          <w:sz w:val="18"/>
          <w:szCs w:val="18"/>
        </w:rPr>
      </w:pPr>
      <w:r w:rsidRPr="0030608C">
        <w:rPr>
          <w:rFonts w:ascii="Arial Narrow" w:hAnsi="Arial Narrow"/>
          <w:i/>
          <w:color w:val="333333"/>
          <w:sz w:val="18"/>
          <w:szCs w:val="18"/>
          <w:vertAlign w:val="superscript"/>
        </w:rPr>
        <w:t>2</w:t>
      </w:r>
      <w:r w:rsidRPr="0030608C">
        <w:rPr>
          <w:rFonts w:ascii="Arial Narrow" w:hAnsi="Arial Narrow"/>
          <w:i/>
          <w:color w:val="333333"/>
          <w:sz w:val="18"/>
          <w:szCs w:val="18"/>
        </w:rPr>
        <w:t>$75,000 to &lt; $95,000</w:t>
      </w:r>
    </w:p>
    <w:p w14:paraId="0B839F23" w14:textId="3DF09934" w:rsidR="00836112" w:rsidRPr="0030608C" w:rsidRDefault="00836112" w:rsidP="00836112">
      <w:pPr>
        <w:ind w:right="147"/>
        <w:rPr>
          <w:rFonts w:ascii="Arial Narrow" w:hAnsi="Arial Narrow"/>
          <w:i/>
          <w:color w:val="333333"/>
          <w:sz w:val="18"/>
          <w:szCs w:val="18"/>
        </w:rPr>
      </w:pPr>
      <w:r w:rsidRPr="0030608C">
        <w:rPr>
          <w:rFonts w:ascii="Arial Narrow" w:hAnsi="Arial Narrow"/>
          <w:i/>
          <w:color w:val="333333"/>
          <w:sz w:val="18"/>
          <w:szCs w:val="18"/>
          <w:vertAlign w:val="superscript"/>
        </w:rPr>
        <w:t>3</w:t>
      </w:r>
      <w:r w:rsidRPr="0030608C">
        <w:rPr>
          <w:rFonts w:ascii="Arial Narrow" w:hAnsi="Arial Narrow"/>
          <w:i/>
          <w:color w:val="333333"/>
          <w:sz w:val="18"/>
          <w:szCs w:val="18"/>
        </w:rPr>
        <w:t>$135,000 to &lt; $155,000</w:t>
      </w:r>
    </w:p>
    <w:p w14:paraId="68E4EFC0" w14:textId="58793BB5" w:rsidR="00836112" w:rsidRPr="0030608C" w:rsidRDefault="00836112" w:rsidP="00836112">
      <w:pPr>
        <w:ind w:right="147"/>
        <w:rPr>
          <w:rFonts w:ascii="Arial Narrow" w:hAnsi="Arial Narrow"/>
          <w:i/>
          <w:color w:val="333333"/>
          <w:sz w:val="18"/>
          <w:szCs w:val="18"/>
        </w:rPr>
      </w:pPr>
      <w:r w:rsidRPr="0030608C">
        <w:rPr>
          <w:rFonts w:ascii="Arial Narrow" w:hAnsi="Arial Narrow"/>
          <w:i/>
          <w:color w:val="333333"/>
          <w:sz w:val="18"/>
          <w:szCs w:val="18"/>
          <w:vertAlign w:val="superscript"/>
        </w:rPr>
        <w:t>4</w:t>
      </w:r>
      <w:r w:rsidRPr="0030608C">
        <w:rPr>
          <w:rFonts w:ascii="Arial Narrow" w:hAnsi="Arial Narrow"/>
          <w:i/>
          <w:color w:val="333333"/>
          <w:sz w:val="18"/>
          <w:szCs w:val="18"/>
        </w:rPr>
        <w:t>$35,000 to &lt; $45,000</w:t>
      </w:r>
    </w:p>
    <w:p w14:paraId="47845F82" w14:textId="4F077A94" w:rsidR="00836112" w:rsidRPr="0030608C" w:rsidRDefault="00836112" w:rsidP="00836112">
      <w:pPr>
        <w:ind w:right="147"/>
        <w:rPr>
          <w:rFonts w:ascii="Arial Narrow" w:hAnsi="Arial Narrow"/>
          <w:i/>
          <w:color w:val="333333"/>
          <w:sz w:val="18"/>
          <w:szCs w:val="18"/>
        </w:rPr>
      </w:pPr>
      <w:r w:rsidRPr="0030608C">
        <w:rPr>
          <w:rFonts w:ascii="Arial Narrow" w:hAnsi="Arial Narrow"/>
          <w:i/>
          <w:color w:val="333333"/>
          <w:sz w:val="18"/>
          <w:szCs w:val="18"/>
          <w:vertAlign w:val="superscript"/>
        </w:rPr>
        <w:t>5</w:t>
      </w:r>
      <w:r w:rsidRPr="0030608C">
        <w:rPr>
          <w:rFonts w:ascii="Arial Narrow" w:hAnsi="Arial Narrow"/>
          <w:i/>
          <w:color w:val="333333"/>
          <w:sz w:val="18"/>
          <w:szCs w:val="18"/>
        </w:rPr>
        <w:t>$25,000 to &lt; $35,000</w:t>
      </w:r>
    </w:p>
    <w:p w14:paraId="63DBAA7A" w14:textId="1CEAA381" w:rsidR="00836112" w:rsidRPr="0030608C" w:rsidRDefault="00836112" w:rsidP="00836112">
      <w:pPr>
        <w:ind w:right="147"/>
        <w:rPr>
          <w:rFonts w:ascii="Arial Narrow" w:hAnsi="Arial Narrow"/>
          <w:i/>
          <w:color w:val="333333"/>
          <w:sz w:val="18"/>
          <w:szCs w:val="18"/>
        </w:rPr>
      </w:pPr>
      <w:r w:rsidRPr="0030608C">
        <w:rPr>
          <w:rFonts w:ascii="Arial Narrow" w:hAnsi="Arial Narrow"/>
          <w:i/>
          <w:color w:val="333333"/>
          <w:sz w:val="18"/>
          <w:szCs w:val="18"/>
          <w:vertAlign w:val="superscript"/>
        </w:rPr>
        <w:t>6</w:t>
      </w:r>
      <w:r w:rsidRPr="0030608C">
        <w:rPr>
          <w:rFonts w:ascii="Arial Narrow" w:hAnsi="Arial Narrow"/>
          <w:i/>
          <w:color w:val="333333"/>
          <w:sz w:val="18"/>
          <w:szCs w:val="18"/>
        </w:rPr>
        <w:t>$45,000 to &lt; $55,000</w:t>
      </w:r>
    </w:p>
    <w:p w14:paraId="2CE81909" w14:textId="78534734" w:rsidR="00B705A3" w:rsidRPr="0030608C" w:rsidRDefault="00836112" w:rsidP="0030608C">
      <w:pPr>
        <w:ind w:right="147"/>
        <w:rPr>
          <w:i/>
          <w:color w:val="333333"/>
          <w:szCs w:val="18"/>
        </w:rPr>
      </w:pPr>
      <w:r w:rsidRPr="0030608C">
        <w:rPr>
          <w:rFonts w:ascii="Arial Narrow" w:hAnsi="Arial Narrow"/>
          <w:i/>
          <w:color w:val="333333"/>
          <w:sz w:val="18"/>
          <w:szCs w:val="18"/>
          <w:vertAlign w:val="superscript"/>
        </w:rPr>
        <w:t>7</w:t>
      </w:r>
      <w:r w:rsidRPr="0030608C">
        <w:rPr>
          <w:rFonts w:ascii="Arial Narrow" w:hAnsi="Arial Narrow"/>
          <w:i/>
          <w:color w:val="333333"/>
          <w:sz w:val="18"/>
          <w:szCs w:val="18"/>
        </w:rPr>
        <w:t>$155,000 to &lt; $255,000</w:t>
      </w:r>
    </w:p>
    <w:p w14:paraId="687AFD8E" w14:textId="77777777" w:rsidR="00FC10F6" w:rsidRPr="00E44776" w:rsidRDefault="00FC10F6" w:rsidP="00B2411E">
      <w:pPr>
        <w:pStyle w:val="TableFooter"/>
      </w:pPr>
    </w:p>
    <w:p w14:paraId="06ECB8AE" w14:textId="22381908" w:rsidR="0080674F" w:rsidRPr="00E44776" w:rsidRDefault="008D2097" w:rsidP="00B2411E">
      <w:pPr>
        <w:pStyle w:val="COMexecsumnumberedpara"/>
      </w:pPr>
      <w:r w:rsidRPr="00E44776">
        <w:t>The model was most sensitive to the choice of time horizon, the discount rate, the assumed hazard ratios for progression-free survival, overall survival and time to next treatment, and removal of the acalabrutinib cap at 60 months.</w:t>
      </w:r>
    </w:p>
    <w:p w14:paraId="5D24FEAD" w14:textId="73311AA0" w:rsidR="00584B70" w:rsidRPr="00E44776" w:rsidRDefault="00584B70" w:rsidP="00B2411E">
      <w:pPr>
        <w:pStyle w:val="COMexecsumnumberedpara"/>
      </w:pPr>
      <w:bookmarkStart w:id="96" w:name="_Ref116029861"/>
      <w:r w:rsidRPr="00E44776">
        <w:t xml:space="preserve">The ESC noted the results of a multivariate sensitivity analysis </w:t>
      </w:r>
      <w:r w:rsidR="00BA1661" w:rsidRPr="00E44776">
        <w:t>incorporating</w:t>
      </w:r>
      <w:r w:rsidRPr="00E44776">
        <w:t>:</w:t>
      </w:r>
      <w:bookmarkEnd w:id="96"/>
    </w:p>
    <w:p w14:paraId="1BDD740F" w14:textId="243F88AA" w:rsidR="00584B70" w:rsidRPr="00E44776" w:rsidRDefault="00584B70" w:rsidP="00D1585D">
      <w:pPr>
        <w:pStyle w:val="ListBullet"/>
        <w:numPr>
          <w:ilvl w:val="0"/>
          <w:numId w:val="14"/>
        </w:numPr>
        <w:ind w:left="1077" w:hanging="357"/>
      </w:pPr>
      <w:r w:rsidRPr="00E44776">
        <w:t>a 10</w:t>
      </w:r>
      <w:r w:rsidR="00520D67" w:rsidRPr="00E44776">
        <w:t>-</w:t>
      </w:r>
      <w:r w:rsidRPr="00E44776">
        <w:t xml:space="preserve">year time horizon, and </w:t>
      </w:r>
    </w:p>
    <w:p w14:paraId="51680B7D" w14:textId="47BA5046" w:rsidR="00584B70" w:rsidRPr="00E44776" w:rsidRDefault="00BA1661" w:rsidP="00D1585D">
      <w:pPr>
        <w:pStyle w:val="ListBullet"/>
        <w:numPr>
          <w:ilvl w:val="0"/>
          <w:numId w:val="14"/>
        </w:numPr>
        <w:ind w:left="1077" w:hanging="357"/>
      </w:pPr>
      <w:r w:rsidRPr="00E44776">
        <w:t xml:space="preserve">convergence of </w:t>
      </w:r>
      <w:r w:rsidR="00584B70" w:rsidRPr="00E44776">
        <w:t xml:space="preserve">PFS, OS, TTNT </w:t>
      </w:r>
      <w:r w:rsidR="00D9577F" w:rsidRPr="00E44776">
        <w:t>hazard ratios</w:t>
      </w:r>
      <w:r w:rsidR="00584B70" w:rsidRPr="00E44776">
        <w:t xml:space="preserve"> between 5 years and 10 years; and</w:t>
      </w:r>
    </w:p>
    <w:p w14:paraId="1E6ED2AE" w14:textId="565BEC13" w:rsidR="00584B70" w:rsidRPr="00E44776" w:rsidRDefault="00BA1661" w:rsidP="0030608C">
      <w:pPr>
        <w:pStyle w:val="ListBullet"/>
        <w:numPr>
          <w:ilvl w:val="0"/>
          <w:numId w:val="14"/>
        </w:numPr>
        <w:ind w:left="1077" w:hanging="357"/>
      </w:pPr>
      <w:r w:rsidRPr="00E44776">
        <w:t>without the</w:t>
      </w:r>
      <w:r w:rsidR="00584B70" w:rsidRPr="00E44776">
        <w:t xml:space="preserve"> RSA rebates for acalabrutinib (i.e.</w:t>
      </w:r>
      <w:r w:rsidR="00FA2D4B" w:rsidRPr="00E44776">
        <w:t>,</w:t>
      </w:r>
      <w:r w:rsidR="00584B70" w:rsidRPr="00E44776">
        <w:t xml:space="preserve"> acalabrutinib drug costs</w:t>
      </w:r>
      <w:r w:rsidRPr="00E44776">
        <w:t xml:space="preserve"> were applied</w:t>
      </w:r>
      <w:r w:rsidR="00584B70" w:rsidRPr="00E44776">
        <w:t xml:space="preserve"> beyond 60 months)</w:t>
      </w:r>
    </w:p>
    <w:p w14:paraId="5FE736D9" w14:textId="1C0887F4" w:rsidR="00BA1661" w:rsidRPr="00652AD4" w:rsidRDefault="00BA1661" w:rsidP="0030608C">
      <w:pPr>
        <w:pStyle w:val="COMexecsumnumberedpara"/>
        <w:numPr>
          <w:ilvl w:val="0"/>
          <w:numId w:val="14"/>
        </w:numPr>
      </w:pPr>
      <w:r w:rsidRPr="00652AD4">
        <w:t xml:space="preserve">increased the ICER from </w:t>
      </w:r>
      <w:r w:rsidR="00701FCF" w:rsidRPr="00701FCF">
        <w:t>$45,000 to &lt; $55,000</w:t>
      </w:r>
      <w:r w:rsidR="00701FCF">
        <w:t xml:space="preserve"> </w:t>
      </w:r>
      <w:r w:rsidRPr="00652AD4">
        <w:t xml:space="preserve">per QALY to </w:t>
      </w:r>
      <w:r w:rsidR="00701FCF" w:rsidRPr="00701FCF">
        <w:t>$155,000 to &lt; $255,000</w:t>
      </w:r>
      <w:r w:rsidR="00701FCF">
        <w:t xml:space="preserve"> </w:t>
      </w:r>
      <w:r w:rsidRPr="00652AD4">
        <w:t xml:space="preserve">per QALY. </w:t>
      </w:r>
    </w:p>
    <w:p w14:paraId="5399600D" w14:textId="5A046457" w:rsidR="00E558EE" w:rsidRPr="00652AD4" w:rsidRDefault="00E558EE" w:rsidP="00652AD4">
      <w:pPr>
        <w:pStyle w:val="COMexecsumnumberedpara"/>
      </w:pPr>
      <w:r w:rsidRPr="00CB3D19">
        <w:t>The pre-PBAC response argued that the application of a shorter time horizon and convergence of hazard ratios, which had been applied in previous submissions of fixed duration regimens in first-line CLL, was inappropriate as acalabrutinib + obinutuzumab is a treat to progression regimen</w:t>
      </w:r>
      <w:r w:rsidR="00A141CE">
        <w:t xml:space="preserve"> (e.g.</w:t>
      </w:r>
      <w:r w:rsidRPr="00A141CE">
        <w:t xml:space="preserve"> 77% of patients remain on </w:t>
      </w:r>
      <w:r w:rsidR="00E33A1E" w:rsidRPr="00652AD4">
        <w:t>acalabrutinib</w:t>
      </w:r>
      <w:r w:rsidRPr="00652AD4">
        <w:t xml:space="preserve"> treatment </w:t>
      </w:r>
      <w:r w:rsidR="00A141CE">
        <w:t>at 5 years)</w:t>
      </w:r>
      <w:r w:rsidRPr="00652AD4">
        <w:t>.</w:t>
      </w:r>
    </w:p>
    <w:p w14:paraId="472842D7" w14:textId="7952C98D" w:rsidR="00C25D9C" w:rsidRPr="00E44776" w:rsidRDefault="00C25D9C" w:rsidP="00BB732D">
      <w:pPr>
        <w:pStyle w:val="COMH2-non-numbered"/>
        <w:rPr>
          <w:iCs/>
        </w:rPr>
      </w:pPr>
      <w:bookmarkStart w:id="97" w:name="_Toc22897646"/>
      <w:bookmarkStart w:id="98" w:name="_Toc114048854"/>
      <w:bookmarkEnd w:id="92"/>
      <w:r w:rsidRPr="00E44776">
        <w:rPr>
          <w:iCs/>
        </w:rPr>
        <w:t>Drug cost/patient</w:t>
      </w:r>
      <w:bookmarkEnd w:id="97"/>
      <w:bookmarkEnd w:id="98"/>
      <w:r w:rsidR="00DA59E4">
        <w:rPr>
          <w:iCs/>
        </w:rPr>
        <w:t>/course</w:t>
      </w:r>
    </w:p>
    <w:bookmarkStart w:id="99" w:name="_Ref104805102"/>
    <w:p w14:paraId="64BF1AA7" w14:textId="355A3CAC" w:rsidR="001B5853" w:rsidRPr="00E44776" w:rsidRDefault="00584C9D" w:rsidP="00CD15AF">
      <w:pPr>
        <w:pStyle w:val="COMexecsumnumberedpara"/>
      </w:pPr>
      <w:r w:rsidRPr="00E44776">
        <w:fldChar w:fldCharType="begin" w:fldLock="1"/>
      </w:r>
      <w:r w:rsidRPr="00E44776">
        <w:instrText xml:space="preserve"> REF _Ref113468896 \h </w:instrText>
      </w:r>
      <w:r w:rsidR="00E44776" w:rsidRPr="00E44776">
        <w:instrText xml:space="preserve"> \* MERGEFORMAT </w:instrText>
      </w:r>
      <w:r w:rsidRPr="00E44776">
        <w:fldChar w:fldCharType="separate"/>
      </w:r>
      <w:r w:rsidR="00CB2B8B" w:rsidRPr="00E44776">
        <w:t xml:space="preserve">Table </w:t>
      </w:r>
      <w:r w:rsidR="00CB2B8B">
        <w:rPr>
          <w:noProof/>
        </w:rPr>
        <w:t>16</w:t>
      </w:r>
      <w:r w:rsidRPr="00E44776">
        <w:fldChar w:fldCharType="end"/>
      </w:r>
      <w:r w:rsidR="002F0EB7" w:rsidRPr="00E44776">
        <w:t xml:space="preserve"> presents a comparison of drug costs for acalabrutinib + obinutuzumab and venetoclax + obinutuzumab included in the economic model and financial estimates.</w:t>
      </w:r>
      <w:r w:rsidR="00092CD0" w:rsidRPr="00E44776">
        <w:t xml:space="preserve"> </w:t>
      </w:r>
      <w:r w:rsidR="001B5853" w:rsidRPr="00E44776">
        <w:t>The estimated drug cost for acalabrutinib was $</w:t>
      </w:r>
      <w:r w:rsidR="00777DAE" w:rsidRPr="00B53F47">
        <w:rPr>
          <w:color w:val="000000"/>
          <w:w w:val="15"/>
          <w:shd w:val="solid" w:color="000000" w:fill="000000"/>
          <w:fitText w:val="-20" w:id="-1280032000"/>
          <w14:textFill>
            <w14:solidFill>
              <w14:srgbClr w14:val="000000">
                <w14:alpha w14:val="100000"/>
              </w14:srgbClr>
            </w14:solidFill>
          </w14:textFill>
        </w:rPr>
        <w:t xml:space="preserve">|  </w:t>
      </w:r>
      <w:r w:rsidR="00777DAE" w:rsidRPr="00B53F47">
        <w:rPr>
          <w:color w:val="000000"/>
          <w:spacing w:val="-69"/>
          <w:w w:val="15"/>
          <w:shd w:val="solid" w:color="000000" w:fill="000000"/>
          <w:fitText w:val="-20" w:id="-1280032000"/>
          <w14:textFill>
            <w14:solidFill>
              <w14:srgbClr w14:val="000000">
                <w14:alpha w14:val="100000"/>
              </w14:srgbClr>
            </w14:solidFill>
          </w14:textFill>
        </w:rPr>
        <w:t>|</w:t>
      </w:r>
      <w:r w:rsidR="001B5853" w:rsidRPr="00E44776">
        <w:t xml:space="preserve"> per patient per year. The resubmission estimated a maximum cost of $</w:t>
      </w:r>
      <w:r w:rsidR="00777DAE" w:rsidRPr="00B53F47">
        <w:rPr>
          <w:color w:val="000000"/>
          <w:w w:val="15"/>
          <w:shd w:val="solid" w:color="000000" w:fill="000000"/>
          <w:fitText w:val="-20" w:id="-1280031999"/>
          <w14:textFill>
            <w14:solidFill>
              <w14:srgbClr w14:val="000000">
                <w14:alpha w14:val="100000"/>
              </w14:srgbClr>
            </w14:solidFill>
          </w14:textFill>
        </w:rPr>
        <w:t xml:space="preserve">|  </w:t>
      </w:r>
      <w:r w:rsidR="00777DAE" w:rsidRPr="00B53F47">
        <w:rPr>
          <w:color w:val="000000"/>
          <w:spacing w:val="-69"/>
          <w:w w:val="15"/>
          <w:shd w:val="solid" w:color="000000" w:fill="000000"/>
          <w:fitText w:val="-20" w:id="-1280031999"/>
          <w14:textFill>
            <w14:solidFill>
              <w14:srgbClr w14:val="000000">
                <w14:alpha w14:val="100000"/>
              </w14:srgbClr>
            </w14:solidFill>
          </w14:textFill>
        </w:rPr>
        <w:t>|</w:t>
      </w:r>
      <w:r w:rsidR="001B5853" w:rsidRPr="00E44776">
        <w:t xml:space="preserve"> per patient for acalabrutinib based on </w:t>
      </w:r>
      <w:r w:rsidR="000B045C" w:rsidRPr="00E44776">
        <w:t>the proposed</w:t>
      </w:r>
      <w:r w:rsidR="001B5853" w:rsidRPr="00E44776">
        <w:t xml:space="preserve"> risk-sharing arrangement cap of 60 months.</w:t>
      </w:r>
      <w:r w:rsidR="00B21B5C" w:rsidRPr="00E44776">
        <w:t xml:space="preserve"> The average cost per patient estimated in the economic model with the RSA was </w:t>
      </w:r>
      <w:r w:rsidR="007B4529" w:rsidRPr="00E44776">
        <w:t>$</w:t>
      </w:r>
      <w:r w:rsidR="00777DAE" w:rsidRPr="00B53F47">
        <w:rPr>
          <w:color w:val="000000"/>
          <w:w w:val="15"/>
          <w:shd w:val="solid" w:color="000000" w:fill="000000"/>
          <w:fitText w:val="-20" w:id="-1280031998"/>
          <w14:textFill>
            <w14:solidFill>
              <w14:srgbClr w14:val="000000">
                <w14:alpha w14:val="100000"/>
              </w14:srgbClr>
            </w14:solidFill>
          </w14:textFill>
        </w:rPr>
        <w:t xml:space="preserve">|  </w:t>
      </w:r>
      <w:r w:rsidR="00777DAE" w:rsidRPr="00B53F47">
        <w:rPr>
          <w:color w:val="000000"/>
          <w:spacing w:val="-69"/>
          <w:w w:val="15"/>
          <w:shd w:val="solid" w:color="000000" w:fill="000000"/>
          <w:fitText w:val="-20" w:id="-1280031998"/>
          <w14:textFill>
            <w14:solidFill>
              <w14:srgbClr w14:val="000000">
                <w14:alpha w14:val="100000"/>
              </w14:srgbClr>
            </w14:solidFill>
          </w14:textFill>
        </w:rPr>
        <w:t>|</w:t>
      </w:r>
      <w:r w:rsidR="007B4529" w:rsidRPr="00E44776">
        <w:t xml:space="preserve"> </w:t>
      </w:r>
      <w:r w:rsidR="00B21B5C" w:rsidRPr="00E44776">
        <w:t>(</w:t>
      </w:r>
      <w:r w:rsidR="007B4529" w:rsidRPr="00E44776">
        <w:t>un</w:t>
      </w:r>
      <w:r w:rsidR="00B21B5C" w:rsidRPr="00E44776">
        <w:t xml:space="preserve">discounted) (average duration of treatment of 49.8 months), and without the RSA was </w:t>
      </w:r>
      <w:r w:rsidR="002F5C3F" w:rsidRPr="00E44776">
        <w:t>$</w:t>
      </w:r>
      <w:r w:rsidR="00777DAE" w:rsidRPr="00B53F47">
        <w:rPr>
          <w:color w:val="000000"/>
          <w:w w:val="15"/>
          <w:shd w:val="solid" w:color="000000" w:fill="000000"/>
          <w:fitText w:val="-20" w:id="-1280031997"/>
          <w14:textFill>
            <w14:solidFill>
              <w14:srgbClr w14:val="000000">
                <w14:alpha w14:val="100000"/>
              </w14:srgbClr>
            </w14:solidFill>
          </w14:textFill>
        </w:rPr>
        <w:t xml:space="preserve">|  </w:t>
      </w:r>
      <w:r w:rsidR="00777DAE" w:rsidRPr="00B53F47">
        <w:rPr>
          <w:color w:val="000000"/>
          <w:spacing w:val="-69"/>
          <w:w w:val="15"/>
          <w:shd w:val="solid" w:color="000000" w:fill="000000"/>
          <w:fitText w:val="-20" w:id="-1280031997"/>
          <w14:textFill>
            <w14:solidFill>
              <w14:srgbClr w14:val="000000">
                <w14:alpha w14:val="100000"/>
              </w14:srgbClr>
            </w14:solidFill>
          </w14:textFill>
        </w:rPr>
        <w:t>|</w:t>
      </w:r>
      <w:r w:rsidR="002F5C3F" w:rsidRPr="00E44776">
        <w:t xml:space="preserve"> (</w:t>
      </w:r>
      <w:r w:rsidR="007B4529" w:rsidRPr="00E44776">
        <w:t>un</w:t>
      </w:r>
      <w:r w:rsidR="002F5C3F" w:rsidRPr="00E44776">
        <w:t>discounted) (average duration of treatment of 104 months).</w:t>
      </w:r>
      <w:r w:rsidR="007B4529" w:rsidRPr="00E44776">
        <w:t xml:space="preserve"> The average cost per patient was substantially more for acalabrutinib + obinutuzumab than for venetoclax + obinutuzumab ($</w:t>
      </w:r>
      <w:r w:rsidR="00777DAE" w:rsidRPr="00B53F47">
        <w:rPr>
          <w:color w:val="000000"/>
          <w:w w:val="15"/>
          <w:shd w:val="solid" w:color="000000" w:fill="000000"/>
          <w:fitText w:val="-20" w:id="-1280031996"/>
          <w14:textFill>
            <w14:solidFill>
              <w14:srgbClr w14:val="000000">
                <w14:alpha w14:val="100000"/>
              </w14:srgbClr>
            </w14:solidFill>
          </w14:textFill>
        </w:rPr>
        <w:t xml:space="preserve">|  </w:t>
      </w:r>
      <w:r w:rsidR="00777DAE" w:rsidRPr="00B53F47">
        <w:rPr>
          <w:color w:val="000000"/>
          <w:spacing w:val="-69"/>
          <w:w w:val="15"/>
          <w:shd w:val="solid" w:color="000000" w:fill="000000"/>
          <w:fitText w:val="-20" w:id="-1280031996"/>
          <w14:textFill>
            <w14:solidFill>
              <w14:srgbClr w14:val="000000">
                <w14:alpha w14:val="100000"/>
              </w14:srgbClr>
            </w14:solidFill>
          </w14:textFill>
        </w:rPr>
        <w:t>|</w:t>
      </w:r>
      <w:r w:rsidR="007B4529" w:rsidRPr="00E44776">
        <w:t xml:space="preserve"> versus $</w:t>
      </w:r>
      <w:r w:rsidR="0060482A" w:rsidRPr="00B53F47">
        <w:rPr>
          <w:w w:val="15"/>
          <w:shd w:val="solid" w:color="000000" w:fill="000000"/>
          <w:fitText w:val="-20" w:id="-1272711424"/>
          <w14:textFill>
            <w14:solidFill>
              <w14:srgbClr w14:val="000000">
                <w14:alpha w14:val="100000"/>
              </w14:srgbClr>
            </w14:solidFill>
          </w14:textFill>
        </w:rPr>
        <w:t xml:space="preserve">|  </w:t>
      </w:r>
      <w:r w:rsidR="0060482A" w:rsidRPr="00B53F47">
        <w:rPr>
          <w:spacing w:val="-69"/>
          <w:w w:val="15"/>
          <w:shd w:val="solid" w:color="000000" w:fill="000000"/>
          <w:fitText w:val="-20" w:id="-1272711424"/>
          <w14:textFill>
            <w14:solidFill>
              <w14:srgbClr w14:val="000000">
                <w14:alpha w14:val="100000"/>
              </w14:srgbClr>
            </w14:solidFill>
          </w14:textFill>
        </w:rPr>
        <w:t>|</w:t>
      </w:r>
      <w:r w:rsidR="007B4529" w:rsidRPr="00E44776">
        <w:t>, respectively, including obinutuzumab costs).</w:t>
      </w:r>
    </w:p>
    <w:p w14:paraId="73CF674D" w14:textId="6D28E116" w:rsidR="000B045C" w:rsidRPr="00E44776" w:rsidRDefault="000B045C" w:rsidP="00CD15AF">
      <w:pPr>
        <w:pStyle w:val="COMexecsumnumberedpara"/>
      </w:pPr>
      <w:r w:rsidRPr="00E44776">
        <w:t xml:space="preserve">These results were based on the resubmission’s estimates of the effective prices of other CLL therapies. </w:t>
      </w:r>
    </w:p>
    <w:p w14:paraId="69D628C7" w14:textId="22352B80" w:rsidR="00493C66" w:rsidRPr="00E44776" w:rsidRDefault="00493C66" w:rsidP="00493C66">
      <w:pPr>
        <w:pStyle w:val="COMtablefigcaption"/>
      </w:pPr>
      <w:bookmarkStart w:id="100" w:name="_Ref113468896"/>
      <w:bookmarkStart w:id="101" w:name="_Ref124347055"/>
      <w:bookmarkStart w:id="102" w:name="_Hlk116309764"/>
      <w:bookmarkStart w:id="103" w:name="_Hlk113349556"/>
      <w:r w:rsidRPr="00E44776">
        <w:lastRenderedPageBreak/>
        <w:t xml:space="preserve">Table </w:t>
      </w:r>
      <w:r w:rsidR="00B53F47">
        <w:fldChar w:fldCharType="begin" w:fldLock="1"/>
      </w:r>
      <w:r w:rsidR="00B53F47">
        <w:instrText xml:space="preserve"> SEQ Table \* ARABIC </w:instrText>
      </w:r>
      <w:r w:rsidR="00B53F47">
        <w:fldChar w:fldCharType="separate"/>
      </w:r>
      <w:r w:rsidR="00CB2B8B">
        <w:rPr>
          <w:noProof/>
        </w:rPr>
        <w:t>16</w:t>
      </w:r>
      <w:r w:rsidR="00B53F47">
        <w:rPr>
          <w:noProof/>
        </w:rPr>
        <w:fldChar w:fldCharType="end"/>
      </w:r>
      <w:bookmarkEnd w:id="100"/>
      <w:r w:rsidRPr="00E44776">
        <w:t>: Drug cost per patient for proposed and comparator drugs</w:t>
      </w:r>
      <w:bookmarkEnd w:id="101"/>
    </w:p>
    <w:tbl>
      <w:tblPr>
        <w:tblStyle w:val="TableGrid"/>
        <w:tblW w:w="5000" w:type="pct"/>
        <w:tblCellMar>
          <w:left w:w="28" w:type="dxa"/>
          <w:right w:w="28" w:type="dxa"/>
        </w:tblCellMar>
        <w:tblLook w:val="04A0" w:firstRow="1" w:lastRow="0" w:firstColumn="1" w:lastColumn="0" w:noHBand="0" w:noVBand="1"/>
      </w:tblPr>
      <w:tblGrid>
        <w:gridCol w:w="2123"/>
        <w:gridCol w:w="2268"/>
        <w:gridCol w:w="2268"/>
        <w:gridCol w:w="2358"/>
      </w:tblGrid>
      <w:tr w:rsidR="0025362D" w:rsidRPr="00E44776" w14:paraId="745A8D12" w14:textId="77777777" w:rsidTr="00CD15AF">
        <w:tc>
          <w:tcPr>
            <w:tcW w:w="2122" w:type="dxa"/>
          </w:tcPr>
          <w:p w14:paraId="57E757B9" w14:textId="77777777" w:rsidR="00493C66" w:rsidRPr="00E44776" w:rsidRDefault="00493C66" w:rsidP="00013B37">
            <w:pPr>
              <w:keepNext/>
              <w:rPr>
                <w:rFonts w:ascii="Arial Narrow" w:hAnsi="Arial Narrow"/>
                <w:sz w:val="20"/>
                <w:szCs w:val="20"/>
              </w:rPr>
            </w:pPr>
          </w:p>
        </w:tc>
        <w:tc>
          <w:tcPr>
            <w:tcW w:w="2268" w:type="dxa"/>
            <w:vAlign w:val="center"/>
          </w:tcPr>
          <w:p w14:paraId="611D3098" w14:textId="77777777" w:rsidR="00493C66" w:rsidRPr="00E44776" w:rsidRDefault="00493C66" w:rsidP="00013B37">
            <w:pPr>
              <w:keepNext/>
              <w:jc w:val="center"/>
              <w:rPr>
                <w:rFonts w:ascii="Arial Narrow" w:hAnsi="Arial Narrow"/>
                <w:b/>
                <w:bCs/>
                <w:sz w:val="20"/>
                <w:szCs w:val="20"/>
              </w:rPr>
            </w:pPr>
            <w:r w:rsidRPr="00E44776">
              <w:rPr>
                <w:rFonts w:ascii="Arial Narrow" w:hAnsi="Arial Narrow"/>
                <w:b/>
                <w:bCs/>
                <w:sz w:val="20"/>
                <w:szCs w:val="20"/>
              </w:rPr>
              <w:t>Clinical study</w:t>
            </w:r>
          </w:p>
        </w:tc>
        <w:tc>
          <w:tcPr>
            <w:tcW w:w="2268" w:type="dxa"/>
            <w:vAlign w:val="center"/>
          </w:tcPr>
          <w:p w14:paraId="37DE0FA3" w14:textId="77777777" w:rsidR="00493C66" w:rsidRPr="00E44776" w:rsidRDefault="00493C66" w:rsidP="00013B37">
            <w:pPr>
              <w:keepNext/>
              <w:jc w:val="center"/>
              <w:rPr>
                <w:rFonts w:ascii="Arial Narrow" w:hAnsi="Arial Narrow"/>
                <w:b/>
                <w:bCs/>
                <w:sz w:val="20"/>
                <w:szCs w:val="20"/>
              </w:rPr>
            </w:pPr>
            <w:r w:rsidRPr="00E44776">
              <w:rPr>
                <w:rFonts w:ascii="Arial Narrow" w:hAnsi="Arial Narrow"/>
                <w:b/>
                <w:bCs/>
                <w:sz w:val="20"/>
                <w:szCs w:val="20"/>
              </w:rPr>
              <w:t>Economic model</w:t>
            </w:r>
          </w:p>
        </w:tc>
        <w:tc>
          <w:tcPr>
            <w:tcW w:w="2358" w:type="dxa"/>
            <w:vAlign w:val="center"/>
          </w:tcPr>
          <w:p w14:paraId="5D0AA094" w14:textId="77777777" w:rsidR="00493C66" w:rsidRPr="00E44776" w:rsidRDefault="00493C66" w:rsidP="00013B37">
            <w:pPr>
              <w:keepNext/>
              <w:jc w:val="center"/>
              <w:rPr>
                <w:rFonts w:ascii="Arial Narrow" w:hAnsi="Arial Narrow"/>
                <w:b/>
                <w:bCs/>
                <w:sz w:val="20"/>
                <w:szCs w:val="20"/>
              </w:rPr>
            </w:pPr>
            <w:r w:rsidRPr="00E44776">
              <w:rPr>
                <w:rFonts w:ascii="Arial Narrow" w:hAnsi="Arial Narrow"/>
                <w:b/>
                <w:bCs/>
                <w:sz w:val="20"/>
                <w:szCs w:val="20"/>
              </w:rPr>
              <w:t>Financial estimates</w:t>
            </w:r>
          </w:p>
        </w:tc>
      </w:tr>
      <w:tr w:rsidR="0025362D" w:rsidRPr="00E44776" w14:paraId="296CCCF3" w14:textId="77777777" w:rsidTr="00CD15AF">
        <w:tc>
          <w:tcPr>
            <w:tcW w:w="9016" w:type="dxa"/>
            <w:gridSpan w:val="4"/>
            <w:vAlign w:val="center"/>
          </w:tcPr>
          <w:p w14:paraId="6F8A550A" w14:textId="77777777" w:rsidR="00493C66" w:rsidRPr="00E44776" w:rsidRDefault="00493C66" w:rsidP="00013B37">
            <w:pPr>
              <w:keepNext/>
              <w:jc w:val="left"/>
              <w:rPr>
                <w:rFonts w:ascii="Arial Narrow" w:hAnsi="Arial Narrow"/>
                <w:b/>
                <w:bCs/>
                <w:sz w:val="20"/>
                <w:szCs w:val="20"/>
              </w:rPr>
            </w:pPr>
            <w:r w:rsidRPr="00E44776">
              <w:rPr>
                <w:rFonts w:ascii="Arial Narrow" w:hAnsi="Arial Narrow"/>
                <w:b/>
                <w:bCs/>
                <w:sz w:val="20"/>
                <w:szCs w:val="20"/>
              </w:rPr>
              <w:t>Acalabrutinib + obinutuzumab</w:t>
            </w:r>
          </w:p>
        </w:tc>
      </w:tr>
      <w:tr w:rsidR="0025362D" w:rsidRPr="00E44776" w14:paraId="5593790C" w14:textId="77777777" w:rsidTr="00CD15AF">
        <w:tc>
          <w:tcPr>
            <w:tcW w:w="9016" w:type="dxa"/>
            <w:gridSpan w:val="4"/>
            <w:vAlign w:val="center"/>
          </w:tcPr>
          <w:p w14:paraId="3216AC9E" w14:textId="77777777" w:rsidR="00493C66" w:rsidRPr="00E44776" w:rsidRDefault="00493C66" w:rsidP="00013B37">
            <w:pPr>
              <w:keepNext/>
              <w:jc w:val="left"/>
              <w:rPr>
                <w:rFonts w:ascii="Arial Narrow" w:hAnsi="Arial Narrow"/>
                <w:b/>
                <w:bCs/>
                <w:smallCaps/>
                <w:sz w:val="20"/>
                <w:szCs w:val="20"/>
              </w:rPr>
            </w:pPr>
            <w:r w:rsidRPr="00E44776">
              <w:rPr>
                <w:rFonts w:ascii="Arial Narrow" w:hAnsi="Arial Narrow"/>
                <w:b/>
                <w:bCs/>
                <w:smallCaps/>
                <w:sz w:val="20"/>
                <w:szCs w:val="20"/>
              </w:rPr>
              <w:t>Acalabrutinib</w:t>
            </w:r>
          </w:p>
        </w:tc>
      </w:tr>
      <w:tr w:rsidR="0025362D" w:rsidRPr="00E44776" w14:paraId="23189A93" w14:textId="77777777" w:rsidTr="00CD15AF">
        <w:tc>
          <w:tcPr>
            <w:tcW w:w="2122" w:type="dxa"/>
            <w:vAlign w:val="center"/>
          </w:tcPr>
          <w:p w14:paraId="44541931" w14:textId="77777777" w:rsidR="00493C66" w:rsidRPr="00E44776" w:rsidRDefault="00493C66" w:rsidP="00013B37">
            <w:pPr>
              <w:keepNext/>
              <w:jc w:val="left"/>
              <w:rPr>
                <w:rFonts w:ascii="Arial Narrow" w:hAnsi="Arial Narrow"/>
                <w:sz w:val="20"/>
                <w:szCs w:val="20"/>
              </w:rPr>
            </w:pPr>
            <w:r w:rsidRPr="00E44776">
              <w:rPr>
                <w:rFonts w:ascii="Arial Narrow" w:hAnsi="Arial Narrow"/>
                <w:sz w:val="20"/>
                <w:szCs w:val="20"/>
              </w:rPr>
              <w:t>Cost per script (proposed DPMQ)</w:t>
            </w:r>
          </w:p>
        </w:tc>
        <w:tc>
          <w:tcPr>
            <w:tcW w:w="2268" w:type="dxa"/>
            <w:vAlign w:val="center"/>
          </w:tcPr>
          <w:p w14:paraId="69574045"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w:t>
            </w:r>
          </w:p>
        </w:tc>
        <w:tc>
          <w:tcPr>
            <w:tcW w:w="2268" w:type="dxa"/>
            <w:vAlign w:val="center"/>
          </w:tcPr>
          <w:p w14:paraId="53497E3E" w14:textId="7D0E657A"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w:t>
            </w:r>
            <w:r w:rsidR="00777DAE" w:rsidRPr="00777DAE">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58" w:type="dxa"/>
            <w:vAlign w:val="center"/>
          </w:tcPr>
          <w:p w14:paraId="457CEEEF" w14:textId="13AB2076"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w:t>
            </w:r>
            <w:r w:rsidR="00777DAE" w:rsidRPr="00777DAE">
              <w:rPr>
                <w:rFonts w:ascii="Arial Narrow" w:hAnsi="Arial Narrow"/>
                <w:color w:val="000000"/>
                <w:sz w:val="20"/>
                <w:szCs w:val="20"/>
                <w:shd w:val="solid" w:color="000000" w:fill="000000"/>
                <w14:textFill>
                  <w14:solidFill>
                    <w14:srgbClr w14:val="000000">
                      <w14:alpha w14:val="100000"/>
                    </w14:srgbClr>
                  </w14:solidFill>
                </w14:textFill>
              </w:rPr>
              <w:t>|</w:t>
            </w:r>
          </w:p>
        </w:tc>
      </w:tr>
      <w:tr w:rsidR="0025362D" w:rsidRPr="00E44776" w14:paraId="7B155DFC" w14:textId="77777777" w:rsidTr="00CD15AF">
        <w:tc>
          <w:tcPr>
            <w:tcW w:w="2122" w:type="dxa"/>
            <w:shd w:val="clear" w:color="auto" w:fill="auto"/>
            <w:vAlign w:val="center"/>
          </w:tcPr>
          <w:p w14:paraId="1119743A" w14:textId="77777777" w:rsidR="00493C66" w:rsidRPr="00E44776" w:rsidRDefault="00493C66" w:rsidP="00013B37">
            <w:pPr>
              <w:keepNext/>
              <w:jc w:val="left"/>
              <w:rPr>
                <w:rFonts w:ascii="Arial Narrow" w:hAnsi="Arial Narrow"/>
                <w:sz w:val="20"/>
                <w:szCs w:val="20"/>
                <w:highlight w:val="yellow"/>
              </w:rPr>
            </w:pPr>
            <w:r w:rsidRPr="00E44776">
              <w:rPr>
                <w:rFonts w:ascii="Arial Narrow" w:hAnsi="Arial Narrow"/>
                <w:sz w:val="20"/>
                <w:szCs w:val="20"/>
              </w:rPr>
              <w:t>Adherence</w:t>
            </w:r>
          </w:p>
        </w:tc>
        <w:tc>
          <w:tcPr>
            <w:tcW w:w="2268" w:type="dxa"/>
            <w:vAlign w:val="center"/>
          </w:tcPr>
          <w:p w14:paraId="188C93CA" w14:textId="7777777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Mean dose intensity (ELEVATE-TN): 94.6%</w:t>
            </w:r>
          </w:p>
        </w:tc>
        <w:tc>
          <w:tcPr>
            <w:tcW w:w="2268" w:type="dxa"/>
            <w:vAlign w:val="center"/>
          </w:tcPr>
          <w:p w14:paraId="640E6121"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12.33 scripts (13.036</w:t>
            </w:r>
            <w:r w:rsidRPr="00E44776">
              <w:rPr>
                <w:rFonts w:ascii="Arial Narrow" w:hAnsi="Arial Narrow"/>
                <w:sz w:val="20"/>
                <w:szCs w:val="20"/>
                <w:vertAlign w:val="superscript"/>
              </w:rPr>
              <w:t>a</w:t>
            </w:r>
            <w:r w:rsidRPr="00E44776">
              <w:rPr>
                <w:rFonts w:ascii="Arial Narrow" w:hAnsi="Arial Narrow"/>
                <w:sz w:val="20"/>
                <w:szCs w:val="20"/>
              </w:rPr>
              <w:t xml:space="preserve"> scripts x 94.6% dose intensity)</w:t>
            </w:r>
          </w:p>
        </w:tc>
        <w:tc>
          <w:tcPr>
            <w:tcW w:w="2358" w:type="dxa"/>
            <w:vAlign w:val="center"/>
          </w:tcPr>
          <w:p w14:paraId="16B12A66" w14:textId="7777777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12.34 scripts (13.044</w:t>
            </w:r>
            <w:r w:rsidRPr="00E44776">
              <w:rPr>
                <w:rFonts w:ascii="Arial Narrow" w:hAnsi="Arial Narrow"/>
                <w:sz w:val="20"/>
                <w:szCs w:val="20"/>
                <w:vertAlign w:val="superscript"/>
              </w:rPr>
              <w:t>a</w:t>
            </w:r>
            <w:r w:rsidRPr="00E44776">
              <w:rPr>
                <w:rFonts w:ascii="Arial Narrow" w:hAnsi="Arial Narrow"/>
                <w:sz w:val="20"/>
                <w:szCs w:val="20"/>
              </w:rPr>
              <w:t xml:space="preserve"> scripts × 94.6% dose intensity)</w:t>
            </w:r>
          </w:p>
        </w:tc>
      </w:tr>
      <w:tr w:rsidR="0025362D" w:rsidRPr="00E44776" w14:paraId="3E566A18" w14:textId="77777777" w:rsidTr="00CD15AF">
        <w:trPr>
          <w:trHeight w:val="148"/>
        </w:trPr>
        <w:tc>
          <w:tcPr>
            <w:tcW w:w="2122" w:type="dxa"/>
            <w:vAlign w:val="center"/>
          </w:tcPr>
          <w:p w14:paraId="0FBE4E59" w14:textId="77777777" w:rsidR="00493C66" w:rsidRPr="00E44776" w:rsidRDefault="00493C66" w:rsidP="00013B37">
            <w:pPr>
              <w:keepNext/>
              <w:jc w:val="left"/>
              <w:rPr>
                <w:rFonts w:ascii="Arial Narrow" w:hAnsi="Arial Narrow"/>
                <w:sz w:val="20"/>
                <w:szCs w:val="20"/>
              </w:rPr>
            </w:pPr>
            <w:r w:rsidRPr="00E44776">
              <w:rPr>
                <w:rFonts w:ascii="Arial Narrow" w:hAnsi="Arial Narrow"/>
                <w:sz w:val="20"/>
                <w:szCs w:val="20"/>
              </w:rPr>
              <w:t>Cost per year</w:t>
            </w:r>
          </w:p>
        </w:tc>
        <w:tc>
          <w:tcPr>
            <w:tcW w:w="2268" w:type="dxa"/>
            <w:vAlign w:val="center"/>
          </w:tcPr>
          <w:p w14:paraId="12D06295" w14:textId="7777777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w:t>
            </w:r>
          </w:p>
        </w:tc>
        <w:tc>
          <w:tcPr>
            <w:tcW w:w="2268" w:type="dxa"/>
            <w:vAlign w:val="center"/>
          </w:tcPr>
          <w:p w14:paraId="5F62B516" w14:textId="5BB001B4"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1-5: $</w:t>
            </w:r>
            <w:r w:rsidR="00777DAE" w:rsidRPr="00FC7B41">
              <w:rPr>
                <w:rFonts w:ascii="Arial Narrow" w:hAnsi="Arial Narrow" w:hint="eastAsia"/>
                <w:color w:val="000000"/>
                <w:w w:val="27"/>
                <w:sz w:val="20"/>
                <w:szCs w:val="20"/>
                <w:shd w:val="solid" w:color="000000" w:fill="000000"/>
                <w:fitText w:val="120" w:id="-1280031995"/>
                <w14:textFill>
                  <w14:solidFill>
                    <w14:srgbClr w14:val="000000">
                      <w14:alpha w14:val="100000"/>
                    </w14:srgbClr>
                  </w14:solidFill>
                </w14:textFill>
              </w:rPr>
              <w:t xml:space="preserve">　</w:t>
            </w:r>
            <w:r w:rsidR="00777DAE" w:rsidRPr="00FC7B41">
              <w:rPr>
                <w:rFonts w:ascii="Arial Narrow" w:hAnsi="Arial Narrow"/>
                <w:color w:val="000000"/>
                <w:w w:val="27"/>
                <w:sz w:val="20"/>
                <w:szCs w:val="20"/>
                <w:shd w:val="solid" w:color="000000" w:fill="000000"/>
                <w:fitText w:val="120" w:id="-1280031995"/>
                <w14:textFill>
                  <w14:solidFill>
                    <w14:srgbClr w14:val="000000">
                      <w14:alpha w14:val="100000"/>
                    </w14:srgbClr>
                  </w14:solidFill>
                </w14:textFill>
              </w:rPr>
              <w:t>|</w:t>
            </w:r>
            <w:r w:rsidR="00777DAE" w:rsidRPr="00FC7B41">
              <w:rPr>
                <w:rFonts w:ascii="Arial Narrow" w:hAnsi="Arial Narrow" w:hint="eastAsia"/>
                <w:color w:val="000000"/>
                <w:w w:val="27"/>
                <w:sz w:val="20"/>
                <w:szCs w:val="20"/>
                <w:shd w:val="solid" w:color="000000" w:fill="000000"/>
                <w:fitText w:val="120" w:id="-1280031995"/>
                <w14:textFill>
                  <w14:solidFill>
                    <w14:srgbClr w14:val="000000">
                      <w14:alpha w14:val="100000"/>
                    </w14:srgbClr>
                  </w14:solidFill>
                </w14:textFill>
              </w:rPr>
              <w:t xml:space="preserve">　</w:t>
            </w:r>
          </w:p>
          <w:p w14:paraId="68C9E75B" w14:textId="58F4EAF2"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6+: $</w:t>
            </w:r>
            <w:r w:rsidR="00777DAE" w:rsidRPr="00FC7B41">
              <w:rPr>
                <w:rFonts w:ascii="Arial Narrow" w:hAnsi="Arial Narrow" w:hint="eastAsia"/>
                <w:color w:val="000000"/>
                <w:w w:val="24"/>
                <w:sz w:val="20"/>
                <w:szCs w:val="20"/>
                <w:shd w:val="solid" w:color="000000" w:fill="000000"/>
                <w:fitText w:val="110" w:id="-1280031994"/>
                <w14:textFill>
                  <w14:solidFill>
                    <w14:srgbClr w14:val="000000">
                      <w14:alpha w14:val="100000"/>
                    </w14:srgbClr>
                  </w14:solidFill>
                </w14:textFill>
              </w:rPr>
              <w:t xml:space="preserve">　</w:t>
            </w:r>
            <w:r w:rsidR="00777DAE" w:rsidRPr="00FC7B41">
              <w:rPr>
                <w:rFonts w:ascii="Arial Narrow" w:hAnsi="Arial Narrow"/>
                <w:color w:val="000000"/>
                <w:w w:val="24"/>
                <w:sz w:val="20"/>
                <w:szCs w:val="20"/>
                <w:shd w:val="solid" w:color="000000" w:fill="000000"/>
                <w:fitText w:val="110" w:id="-1280031994"/>
                <w14:textFill>
                  <w14:solidFill>
                    <w14:srgbClr w14:val="000000">
                      <w14:alpha w14:val="100000"/>
                    </w14:srgbClr>
                  </w14:solidFill>
                </w14:textFill>
              </w:rPr>
              <w:t>|</w:t>
            </w:r>
            <w:r w:rsidR="00777DAE" w:rsidRPr="00FC7B41">
              <w:rPr>
                <w:rFonts w:ascii="Arial Narrow" w:hAnsi="Arial Narrow" w:hint="eastAsia"/>
                <w:color w:val="000000"/>
                <w:w w:val="24"/>
                <w:sz w:val="20"/>
                <w:szCs w:val="20"/>
                <w:shd w:val="solid" w:color="000000" w:fill="000000"/>
                <w:fitText w:val="110" w:id="-1280031994"/>
                <w14:textFill>
                  <w14:solidFill>
                    <w14:srgbClr w14:val="000000">
                      <w14:alpha w14:val="100000"/>
                    </w14:srgbClr>
                  </w14:solidFill>
                </w14:textFill>
              </w:rPr>
              <w:t xml:space="preserve">　</w:t>
            </w:r>
          </w:p>
        </w:tc>
        <w:tc>
          <w:tcPr>
            <w:tcW w:w="2358" w:type="dxa"/>
            <w:vAlign w:val="center"/>
          </w:tcPr>
          <w:p w14:paraId="24BD6A26" w14:textId="5288A17D"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w:t>
            </w:r>
            <w:r w:rsidR="00777DAE" w:rsidRPr="00777DAE">
              <w:rPr>
                <w:rFonts w:ascii="Arial Narrow" w:hAnsi="Arial Narrow"/>
                <w:color w:val="000000"/>
                <w:sz w:val="20"/>
                <w:szCs w:val="20"/>
                <w:shd w:val="solid" w:color="000000" w:fill="000000"/>
                <w14:textFill>
                  <w14:solidFill>
                    <w14:srgbClr w14:val="000000">
                      <w14:alpha w14:val="100000"/>
                    </w14:srgbClr>
                  </w14:solidFill>
                </w14:textFill>
              </w:rPr>
              <w:t>|</w:t>
            </w:r>
          </w:p>
        </w:tc>
      </w:tr>
      <w:tr w:rsidR="0025362D" w:rsidRPr="00E44776" w14:paraId="5EE85179" w14:textId="77777777" w:rsidTr="00CD15AF">
        <w:tc>
          <w:tcPr>
            <w:tcW w:w="2122" w:type="dxa"/>
            <w:vAlign w:val="center"/>
          </w:tcPr>
          <w:p w14:paraId="731A572D" w14:textId="64B42F30" w:rsidR="00493C66" w:rsidRPr="00E44776" w:rsidRDefault="00493C66" w:rsidP="00013B37">
            <w:pPr>
              <w:keepNext/>
              <w:jc w:val="left"/>
              <w:rPr>
                <w:rFonts w:ascii="Arial Narrow" w:hAnsi="Arial Narrow"/>
                <w:sz w:val="20"/>
                <w:szCs w:val="20"/>
                <w:highlight w:val="yellow"/>
                <w:vertAlign w:val="superscript"/>
              </w:rPr>
            </w:pPr>
            <w:r w:rsidRPr="00E44776">
              <w:rPr>
                <w:rFonts w:ascii="Arial Narrow" w:hAnsi="Arial Narrow"/>
                <w:sz w:val="20"/>
                <w:szCs w:val="20"/>
              </w:rPr>
              <w:t>Proportion of patients on treatment (persistence)</w:t>
            </w:r>
            <w:r w:rsidR="0052769D" w:rsidRPr="00E44776">
              <w:rPr>
                <w:rFonts w:ascii="Arial Narrow" w:hAnsi="Arial Narrow"/>
                <w:sz w:val="20"/>
                <w:szCs w:val="20"/>
                <w:vertAlign w:val="superscript"/>
              </w:rPr>
              <w:t>b</w:t>
            </w:r>
          </w:p>
        </w:tc>
        <w:tc>
          <w:tcPr>
            <w:tcW w:w="2268" w:type="dxa"/>
            <w:vAlign w:val="center"/>
          </w:tcPr>
          <w:p w14:paraId="548F592D" w14:textId="342420EE" w:rsidR="00493C66" w:rsidRPr="00E44776" w:rsidRDefault="00493C66" w:rsidP="00013B37">
            <w:pPr>
              <w:keepNext/>
              <w:jc w:val="center"/>
              <w:rPr>
                <w:rFonts w:ascii="Arial Narrow" w:hAnsi="Arial Narrow"/>
                <w:sz w:val="20"/>
                <w:szCs w:val="20"/>
                <w:vertAlign w:val="superscript"/>
              </w:rPr>
            </w:pPr>
            <w:r w:rsidRPr="00E44776">
              <w:rPr>
                <w:rFonts w:ascii="Arial Narrow" w:hAnsi="Arial Narrow"/>
                <w:sz w:val="20"/>
                <w:szCs w:val="20"/>
              </w:rPr>
              <w:t>Year 1: 85.6%</w:t>
            </w:r>
            <w:r w:rsidR="0052769D" w:rsidRPr="00E44776">
              <w:rPr>
                <w:rFonts w:ascii="Arial Narrow" w:hAnsi="Arial Narrow"/>
                <w:sz w:val="20"/>
                <w:szCs w:val="20"/>
                <w:vertAlign w:val="superscript"/>
              </w:rPr>
              <w:t>c</w:t>
            </w:r>
          </w:p>
          <w:p w14:paraId="1A5CE8B2" w14:textId="2B21693F" w:rsidR="00493C66" w:rsidRPr="00E44776" w:rsidRDefault="00493C66" w:rsidP="00013B37">
            <w:pPr>
              <w:keepNext/>
              <w:jc w:val="center"/>
              <w:rPr>
                <w:rFonts w:ascii="Arial Narrow" w:hAnsi="Arial Narrow"/>
                <w:sz w:val="20"/>
                <w:szCs w:val="20"/>
                <w:vertAlign w:val="superscript"/>
              </w:rPr>
            </w:pPr>
            <w:r w:rsidRPr="00E44776">
              <w:rPr>
                <w:rFonts w:ascii="Arial Narrow" w:hAnsi="Arial Narrow"/>
                <w:sz w:val="20"/>
                <w:szCs w:val="20"/>
              </w:rPr>
              <w:t>Year 2: 82.3%</w:t>
            </w:r>
            <w:r w:rsidR="0052769D" w:rsidRPr="00E44776">
              <w:rPr>
                <w:rFonts w:ascii="Arial Narrow" w:hAnsi="Arial Narrow"/>
                <w:sz w:val="20"/>
                <w:szCs w:val="20"/>
                <w:vertAlign w:val="superscript"/>
              </w:rPr>
              <w:t>c</w:t>
            </w:r>
          </w:p>
          <w:p w14:paraId="7957A3DE" w14:textId="1E4A06CB" w:rsidR="00493C66" w:rsidRPr="00E44776" w:rsidRDefault="00493C66" w:rsidP="00013B37">
            <w:pPr>
              <w:keepNext/>
              <w:jc w:val="center"/>
              <w:rPr>
                <w:rFonts w:ascii="Arial Narrow" w:hAnsi="Arial Narrow"/>
                <w:sz w:val="20"/>
                <w:szCs w:val="20"/>
                <w:vertAlign w:val="superscript"/>
              </w:rPr>
            </w:pPr>
            <w:r w:rsidRPr="00E44776">
              <w:rPr>
                <w:rFonts w:ascii="Arial Narrow" w:hAnsi="Arial Narrow"/>
                <w:sz w:val="20"/>
                <w:szCs w:val="20"/>
              </w:rPr>
              <w:t>Year 3: 77.9%</w:t>
            </w:r>
            <w:r w:rsidR="0052769D" w:rsidRPr="00E44776">
              <w:rPr>
                <w:rFonts w:ascii="Arial Narrow" w:hAnsi="Arial Narrow"/>
                <w:sz w:val="20"/>
                <w:szCs w:val="20"/>
                <w:vertAlign w:val="superscript"/>
              </w:rPr>
              <w:t>c</w:t>
            </w:r>
          </w:p>
          <w:p w14:paraId="3236661F" w14:textId="1FDDB702" w:rsidR="00493C66" w:rsidRPr="00E44776" w:rsidRDefault="00493C66" w:rsidP="00013B37">
            <w:pPr>
              <w:keepNext/>
              <w:jc w:val="center"/>
              <w:rPr>
                <w:rFonts w:ascii="Arial Narrow" w:hAnsi="Arial Narrow"/>
                <w:sz w:val="20"/>
                <w:szCs w:val="20"/>
                <w:vertAlign w:val="superscript"/>
              </w:rPr>
            </w:pPr>
            <w:r w:rsidRPr="00E44776">
              <w:rPr>
                <w:rFonts w:ascii="Arial Narrow" w:hAnsi="Arial Narrow"/>
                <w:sz w:val="20"/>
                <w:szCs w:val="20"/>
              </w:rPr>
              <w:t>Year 4: 77.0%</w:t>
            </w:r>
            <w:r w:rsidR="0052769D" w:rsidRPr="00E44776">
              <w:rPr>
                <w:rFonts w:ascii="Arial Narrow" w:hAnsi="Arial Narrow"/>
                <w:sz w:val="20"/>
                <w:szCs w:val="20"/>
                <w:vertAlign w:val="superscript"/>
              </w:rPr>
              <w:t>c</w:t>
            </w:r>
          </w:p>
          <w:p w14:paraId="6BF89172"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5: NA</w:t>
            </w:r>
          </w:p>
          <w:p w14:paraId="39F0A89E" w14:textId="7777777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Year 6: NA</w:t>
            </w:r>
          </w:p>
        </w:tc>
        <w:tc>
          <w:tcPr>
            <w:tcW w:w="2268" w:type="dxa"/>
            <w:vAlign w:val="center"/>
          </w:tcPr>
          <w:p w14:paraId="608185F2"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1: 95.2%</w:t>
            </w:r>
          </w:p>
          <w:p w14:paraId="63FC78DE"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2: 86.0%</w:t>
            </w:r>
          </w:p>
          <w:p w14:paraId="67B5C253"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3: 82.6%</w:t>
            </w:r>
          </w:p>
          <w:p w14:paraId="42ECD6A6"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4: 78.1%</w:t>
            </w:r>
          </w:p>
          <w:p w14:paraId="12F378BF"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5: 73.1%</w:t>
            </w:r>
          </w:p>
          <w:p w14:paraId="216BF415" w14:textId="77777777" w:rsidR="00493C66" w:rsidRPr="00E44776" w:rsidRDefault="00493C66" w:rsidP="00013B37">
            <w:pPr>
              <w:keepNext/>
              <w:jc w:val="center"/>
              <w:rPr>
                <w:rFonts w:ascii="Arial Narrow" w:hAnsi="Arial Narrow"/>
                <w:sz w:val="20"/>
                <w:szCs w:val="20"/>
                <w:highlight w:val="yellow"/>
                <w:vertAlign w:val="superscript"/>
              </w:rPr>
            </w:pPr>
            <w:r w:rsidRPr="00E44776">
              <w:rPr>
                <w:rFonts w:ascii="Arial Narrow" w:hAnsi="Arial Narrow"/>
                <w:sz w:val="20"/>
                <w:szCs w:val="20"/>
              </w:rPr>
              <w:t>Year 6: 67.1%</w:t>
            </w:r>
          </w:p>
        </w:tc>
        <w:tc>
          <w:tcPr>
            <w:tcW w:w="2358" w:type="dxa"/>
            <w:vAlign w:val="center"/>
          </w:tcPr>
          <w:p w14:paraId="457F820D"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1: 100%</w:t>
            </w:r>
          </w:p>
          <w:p w14:paraId="47ACFDF2"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2: 93.61%</w:t>
            </w:r>
          </w:p>
          <w:p w14:paraId="529702DB"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3: 87.63%</w:t>
            </w:r>
          </w:p>
          <w:p w14:paraId="06557284"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4: 82.03%</w:t>
            </w:r>
          </w:p>
          <w:p w14:paraId="1716D519"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Year 5: 76.79%</w:t>
            </w:r>
          </w:p>
          <w:p w14:paraId="61F9DAD3" w14:textId="51A818EA" w:rsidR="00493C66" w:rsidRPr="00E44776" w:rsidRDefault="00493C66" w:rsidP="00013B37">
            <w:pPr>
              <w:keepNext/>
              <w:jc w:val="center"/>
              <w:rPr>
                <w:rFonts w:ascii="Arial Narrow" w:hAnsi="Arial Narrow"/>
                <w:sz w:val="20"/>
                <w:szCs w:val="20"/>
                <w:highlight w:val="yellow"/>
                <w:vertAlign w:val="superscript"/>
              </w:rPr>
            </w:pPr>
            <w:r w:rsidRPr="00E44776">
              <w:rPr>
                <w:rFonts w:ascii="Arial Narrow" w:hAnsi="Arial Narrow"/>
                <w:sz w:val="20"/>
                <w:szCs w:val="20"/>
              </w:rPr>
              <w:t>Year 6: 0%</w:t>
            </w:r>
            <w:r w:rsidR="0052769D" w:rsidRPr="00E44776">
              <w:rPr>
                <w:rFonts w:ascii="Arial Narrow" w:hAnsi="Arial Narrow"/>
                <w:sz w:val="20"/>
                <w:szCs w:val="20"/>
                <w:vertAlign w:val="superscript"/>
              </w:rPr>
              <w:t>d</w:t>
            </w:r>
          </w:p>
        </w:tc>
      </w:tr>
      <w:tr w:rsidR="00575591" w:rsidRPr="00E44776" w14:paraId="3F8BD62F" w14:textId="77777777" w:rsidTr="00CD15AF">
        <w:tc>
          <w:tcPr>
            <w:tcW w:w="2122" w:type="dxa"/>
            <w:vAlign w:val="center"/>
          </w:tcPr>
          <w:p w14:paraId="313F2385" w14:textId="60DA4071" w:rsidR="00575591" w:rsidRPr="00E44776" w:rsidRDefault="00575591" w:rsidP="00013B37">
            <w:pPr>
              <w:keepNext/>
              <w:jc w:val="left"/>
              <w:rPr>
                <w:rFonts w:ascii="Arial Narrow" w:hAnsi="Arial Narrow"/>
                <w:sz w:val="20"/>
                <w:szCs w:val="20"/>
              </w:rPr>
            </w:pPr>
            <w:r w:rsidRPr="00E44776">
              <w:rPr>
                <w:rFonts w:ascii="Arial Narrow" w:hAnsi="Arial Narrow"/>
                <w:sz w:val="20"/>
                <w:szCs w:val="20"/>
              </w:rPr>
              <w:t>Average cost per course</w:t>
            </w:r>
            <w:r w:rsidR="007B4529" w:rsidRPr="00E44776">
              <w:rPr>
                <w:rFonts w:ascii="Arial Narrow" w:hAnsi="Arial Narrow"/>
                <w:sz w:val="20"/>
                <w:szCs w:val="20"/>
              </w:rPr>
              <w:t xml:space="preserve"> of acalabrutinib </w:t>
            </w:r>
          </w:p>
        </w:tc>
        <w:tc>
          <w:tcPr>
            <w:tcW w:w="2268" w:type="dxa"/>
            <w:vAlign w:val="center"/>
          </w:tcPr>
          <w:p w14:paraId="5E4284A0" w14:textId="27DE1867" w:rsidR="00575591" w:rsidRPr="00E44776" w:rsidRDefault="006B20D4" w:rsidP="00013B37">
            <w:pPr>
              <w:keepNext/>
              <w:jc w:val="center"/>
              <w:rPr>
                <w:rFonts w:ascii="Arial Narrow" w:hAnsi="Arial Narrow"/>
                <w:sz w:val="20"/>
                <w:szCs w:val="20"/>
              </w:rPr>
            </w:pPr>
            <w:r w:rsidRPr="00E44776">
              <w:rPr>
                <w:rFonts w:ascii="Arial Narrow" w:hAnsi="Arial Narrow"/>
                <w:sz w:val="20"/>
                <w:szCs w:val="20"/>
              </w:rPr>
              <w:t>-</w:t>
            </w:r>
          </w:p>
        </w:tc>
        <w:tc>
          <w:tcPr>
            <w:tcW w:w="2268" w:type="dxa"/>
            <w:vAlign w:val="center"/>
          </w:tcPr>
          <w:p w14:paraId="73FECB88" w14:textId="079E3221" w:rsidR="00575591" w:rsidRPr="00E44776" w:rsidRDefault="006770EB" w:rsidP="00013B37">
            <w:pPr>
              <w:keepNext/>
              <w:jc w:val="center"/>
              <w:rPr>
                <w:rFonts w:ascii="Arial Narrow" w:hAnsi="Arial Narrow"/>
                <w:sz w:val="20"/>
                <w:szCs w:val="20"/>
              </w:rPr>
            </w:pPr>
            <w:r w:rsidRPr="00E44776">
              <w:rPr>
                <w:rFonts w:ascii="Arial Narrow" w:hAnsi="Arial Narrow"/>
                <w:sz w:val="20"/>
                <w:szCs w:val="20"/>
              </w:rPr>
              <w:t>$</w:t>
            </w:r>
            <w:r w:rsidR="00777DAE" w:rsidRPr="00FC7B41">
              <w:rPr>
                <w:rFonts w:ascii="Arial Narrow" w:hAnsi="Arial Narrow"/>
                <w:color w:val="000000"/>
                <w:spacing w:val="74"/>
                <w:sz w:val="20"/>
                <w:szCs w:val="20"/>
                <w:shd w:val="solid" w:color="000000" w:fill="000000"/>
                <w:fitText w:val="160" w:id="-1280031993"/>
                <w14:textFill>
                  <w14:solidFill>
                    <w14:srgbClr w14:val="000000">
                      <w14:alpha w14:val="100000"/>
                    </w14:srgbClr>
                  </w14:solidFill>
                </w14:textFill>
              </w:rPr>
              <w:t>|</w:t>
            </w:r>
            <w:r w:rsidR="00777DAE" w:rsidRPr="00FC7B41">
              <w:rPr>
                <w:rFonts w:ascii="Arial Narrow" w:hAnsi="Arial Narrow"/>
                <w:color w:val="000000"/>
                <w:sz w:val="20"/>
                <w:szCs w:val="20"/>
                <w:shd w:val="solid" w:color="000000" w:fill="000000"/>
                <w:fitText w:val="160" w:id="-1280031993"/>
                <w14:textFill>
                  <w14:solidFill>
                    <w14:srgbClr w14:val="000000">
                      <w14:alpha w14:val="100000"/>
                    </w14:srgbClr>
                  </w14:solidFill>
                </w14:textFill>
              </w:rPr>
              <w:t>|</w:t>
            </w:r>
            <w:r w:rsidR="002903D5" w:rsidRPr="00E44776">
              <w:rPr>
                <w:rFonts w:ascii="Arial Narrow" w:hAnsi="Arial Narrow"/>
                <w:sz w:val="20"/>
                <w:szCs w:val="20"/>
              </w:rPr>
              <w:t xml:space="preserve"> with RSA</w:t>
            </w:r>
            <w:r w:rsidR="009B2A7C">
              <w:rPr>
                <w:rFonts w:ascii="Arial Narrow" w:hAnsi="Arial Narrow"/>
                <w:sz w:val="20"/>
                <w:szCs w:val="20"/>
              </w:rPr>
              <w:t>;</w:t>
            </w:r>
          </w:p>
          <w:p w14:paraId="7CA9C06C" w14:textId="587C98F1" w:rsidR="002903D5" w:rsidRPr="00E44776" w:rsidRDefault="002903D5" w:rsidP="00013B37">
            <w:pPr>
              <w:keepNext/>
              <w:jc w:val="center"/>
              <w:rPr>
                <w:rFonts w:ascii="Arial Narrow" w:hAnsi="Arial Narrow"/>
                <w:sz w:val="20"/>
                <w:szCs w:val="20"/>
              </w:rPr>
            </w:pPr>
            <w:r w:rsidRPr="00E44776">
              <w:rPr>
                <w:rFonts w:ascii="Arial Narrow" w:hAnsi="Arial Narrow"/>
                <w:sz w:val="20"/>
                <w:szCs w:val="20"/>
              </w:rPr>
              <w:t>$</w:t>
            </w:r>
            <w:r w:rsidR="00777DAE" w:rsidRPr="00FC7B41">
              <w:rPr>
                <w:rFonts w:ascii="Arial Narrow" w:hAnsi="Arial Narrow"/>
                <w:color w:val="000000"/>
                <w:spacing w:val="164"/>
                <w:sz w:val="20"/>
                <w:szCs w:val="20"/>
                <w:shd w:val="solid" w:color="000000" w:fill="000000"/>
                <w:fitText w:val="250" w:id="-1280031992"/>
                <w14:textFill>
                  <w14:solidFill>
                    <w14:srgbClr w14:val="000000">
                      <w14:alpha w14:val="100000"/>
                    </w14:srgbClr>
                  </w14:solidFill>
                </w14:textFill>
              </w:rPr>
              <w:t>|</w:t>
            </w:r>
            <w:r w:rsidR="00777DAE" w:rsidRPr="00FC7B41">
              <w:rPr>
                <w:rFonts w:ascii="Arial Narrow" w:hAnsi="Arial Narrow"/>
                <w:color w:val="000000"/>
                <w:sz w:val="20"/>
                <w:szCs w:val="20"/>
                <w:shd w:val="solid" w:color="000000" w:fill="000000"/>
                <w:fitText w:val="250" w:id="-1280031992"/>
                <w14:textFill>
                  <w14:solidFill>
                    <w14:srgbClr w14:val="000000">
                      <w14:alpha w14:val="100000"/>
                    </w14:srgbClr>
                  </w14:solidFill>
                </w14:textFill>
              </w:rPr>
              <w:t>|</w:t>
            </w:r>
            <w:r w:rsidRPr="00E44776">
              <w:rPr>
                <w:rFonts w:ascii="Arial Narrow" w:hAnsi="Arial Narrow"/>
                <w:sz w:val="20"/>
                <w:szCs w:val="20"/>
              </w:rPr>
              <w:t xml:space="preserve"> without RSA</w:t>
            </w:r>
          </w:p>
          <w:p w14:paraId="38E6C9C3" w14:textId="7D4AD5E0" w:rsidR="007B4529" w:rsidRPr="00E44776" w:rsidRDefault="007B4529" w:rsidP="00013B37">
            <w:pPr>
              <w:keepNext/>
              <w:jc w:val="center"/>
              <w:rPr>
                <w:rFonts w:ascii="Arial Narrow" w:hAnsi="Arial Narrow"/>
                <w:sz w:val="20"/>
                <w:szCs w:val="20"/>
              </w:rPr>
            </w:pPr>
            <w:r w:rsidRPr="00E44776">
              <w:rPr>
                <w:rFonts w:ascii="Arial Narrow" w:hAnsi="Arial Narrow"/>
                <w:sz w:val="20"/>
                <w:szCs w:val="20"/>
              </w:rPr>
              <w:t>undiscounted</w:t>
            </w:r>
          </w:p>
        </w:tc>
        <w:tc>
          <w:tcPr>
            <w:tcW w:w="2358" w:type="dxa"/>
            <w:vAlign w:val="center"/>
          </w:tcPr>
          <w:p w14:paraId="793C53E9" w14:textId="567A4B61" w:rsidR="00575591" w:rsidRPr="00E44776" w:rsidRDefault="00A939BF" w:rsidP="00013B37">
            <w:pPr>
              <w:keepNext/>
              <w:jc w:val="center"/>
              <w:rPr>
                <w:rFonts w:ascii="Arial Narrow" w:hAnsi="Arial Narrow"/>
                <w:sz w:val="20"/>
                <w:szCs w:val="20"/>
              </w:rPr>
            </w:pPr>
            <w:r w:rsidRPr="00E44776">
              <w:rPr>
                <w:rFonts w:ascii="Arial Narrow" w:hAnsi="Arial Narrow"/>
                <w:sz w:val="20"/>
                <w:szCs w:val="20"/>
              </w:rPr>
              <w:t>$</w:t>
            </w:r>
            <w:r w:rsidR="00777DAE" w:rsidRPr="00FC7B41">
              <w:rPr>
                <w:rFonts w:ascii="Arial Narrow" w:hAnsi="Arial Narrow" w:hint="eastAsia"/>
                <w:color w:val="000000"/>
                <w:w w:val="20"/>
                <w:sz w:val="20"/>
                <w:szCs w:val="20"/>
                <w:shd w:val="solid" w:color="000000" w:fill="000000"/>
                <w:fitText w:val="90" w:id="-1280031991"/>
                <w14:textFill>
                  <w14:solidFill>
                    <w14:srgbClr w14:val="000000">
                      <w14:alpha w14:val="100000"/>
                    </w14:srgbClr>
                  </w14:solidFill>
                </w14:textFill>
              </w:rPr>
              <w:t xml:space="preserve">　</w:t>
            </w:r>
            <w:r w:rsidR="00777DAE" w:rsidRPr="00FC7B41">
              <w:rPr>
                <w:rFonts w:ascii="Arial Narrow" w:hAnsi="Arial Narrow"/>
                <w:color w:val="000000"/>
                <w:w w:val="20"/>
                <w:sz w:val="20"/>
                <w:szCs w:val="20"/>
                <w:shd w:val="solid" w:color="000000" w:fill="000000"/>
                <w:fitText w:val="90" w:id="-1280031991"/>
                <w14:textFill>
                  <w14:solidFill>
                    <w14:srgbClr w14:val="000000">
                      <w14:alpha w14:val="100000"/>
                    </w14:srgbClr>
                  </w14:solidFill>
                </w14:textFill>
              </w:rPr>
              <w:t>|</w:t>
            </w:r>
            <w:r w:rsidR="00777DAE" w:rsidRPr="00FC7B41">
              <w:rPr>
                <w:rFonts w:ascii="Arial Narrow" w:hAnsi="Arial Narrow" w:hint="eastAsia"/>
                <w:color w:val="000000"/>
                <w:spacing w:val="3"/>
                <w:w w:val="20"/>
                <w:sz w:val="20"/>
                <w:szCs w:val="20"/>
                <w:shd w:val="solid" w:color="000000" w:fill="000000"/>
                <w:fitText w:val="90" w:id="-1280031991"/>
                <w14:textFill>
                  <w14:solidFill>
                    <w14:srgbClr w14:val="000000">
                      <w14:alpha w14:val="100000"/>
                    </w14:srgbClr>
                  </w14:solidFill>
                </w14:textFill>
              </w:rPr>
              <w:t xml:space="preserve">　</w:t>
            </w:r>
            <w:r w:rsidRPr="00E44776">
              <w:rPr>
                <w:rFonts w:ascii="Arial Narrow" w:hAnsi="Arial Narrow"/>
                <w:sz w:val="20"/>
                <w:szCs w:val="20"/>
              </w:rPr>
              <w:t xml:space="preserve"> with RSA</w:t>
            </w:r>
          </w:p>
          <w:p w14:paraId="08D71D4D" w14:textId="03E16715" w:rsidR="00A939BF" w:rsidRPr="00E44776" w:rsidRDefault="00A939BF" w:rsidP="00013B37">
            <w:pPr>
              <w:keepNext/>
              <w:jc w:val="center"/>
              <w:rPr>
                <w:rFonts w:ascii="Arial Narrow" w:hAnsi="Arial Narrow"/>
                <w:sz w:val="20"/>
                <w:szCs w:val="20"/>
              </w:rPr>
            </w:pPr>
          </w:p>
        </w:tc>
      </w:tr>
      <w:bookmarkEnd w:id="102"/>
      <w:tr w:rsidR="0025362D" w:rsidRPr="00E44776" w14:paraId="097DE245" w14:textId="77777777" w:rsidTr="00CD15AF">
        <w:tc>
          <w:tcPr>
            <w:tcW w:w="9016" w:type="dxa"/>
            <w:gridSpan w:val="4"/>
            <w:vAlign w:val="center"/>
          </w:tcPr>
          <w:p w14:paraId="1F8B5A8C" w14:textId="77777777" w:rsidR="00493C66" w:rsidRPr="00E44776" w:rsidRDefault="00493C66" w:rsidP="00013B37">
            <w:pPr>
              <w:keepNext/>
              <w:jc w:val="left"/>
              <w:rPr>
                <w:rFonts w:ascii="Arial Narrow" w:hAnsi="Arial Narrow"/>
                <w:sz w:val="20"/>
                <w:szCs w:val="20"/>
                <w:highlight w:val="yellow"/>
              </w:rPr>
            </w:pPr>
            <w:r w:rsidRPr="00E44776">
              <w:rPr>
                <w:rFonts w:ascii="Arial Narrow" w:hAnsi="Arial Narrow"/>
                <w:b/>
                <w:bCs/>
                <w:smallCaps/>
                <w:sz w:val="20"/>
                <w:szCs w:val="20"/>
              </w:rPr>
              <w:t>Obinutuzumab</w:t>
            </w:r>
          </w:p>
        </w:tc>
      </w:tr>
      <w:tr w:rsidR="0025362D" w:rsidRPr="00E44776" w14:paraId="2E7DF5C0" w14:textId="77777777" w:rsidTr="00CD15AF">
        <w:tc>
          <w:tcPr>
            <w:tcW w:w="2122" w:type="dxa"/>
            <w:vAlign w:val="center"/>
          </w:tcPr>
          <w:p w14:paraId="45BA2A3D" w14:textId="302D982E" w:rsidR="00493C66" w:rsidRPr="00E44776" w:rsidRDefault="00493C66" w:rsidP="00013B37">
            <w:pPr>
              <w:keepNext/>
              <w:jc w:val="left"/>
              <w:rPr>
                <w:rFonts w:ascii="Arial Narrow" w:hAnsi="Arial Narrow"/>
                <w:sz w:val="20"/>
                <w:szCs w:val="20"/>
              </w:rPr>
            </w:pPr>
            <w:r w:rsidRPr="00E44776">
              <w:rPr>
                <w:rFonts w:ascii="Arial Narrow" w:hAnsi="Arial Narrow"/>
                <w:sz w:val="20"/>
                <w:szCs w:val="20"/>
              </w:rPr>
              <w:t>Cost per script (</w:t>
            </w:r>
            <w:r w:rsidR="00991E61" w:rsidRPr="00E44776">
              <w:rPr>
                <w:rFonts w:ascii="Arial Narrow" w:hAnsi="Arial Narrow"/>
                <w:sz w:val="20"/>
                <w:szCs w:val="20"/>
              </w:rPr>
              <w:t>estimated</w:t>
            </w:r>
            <w:r w:rsidRPr="00E44776">
              <w:rPr>
                <w:rFonts w:ascii="Arial Narrow" w:hAnsi="Arial Narrow"/>
                <w:sz w:val="20"/>
                <w:szCs w:val="20"/>
              </w:rPr>
              <w:t xml:space="preserve"> effective weighted DPMA)</w:t>
            </w:r>
          </w:p>
        </w:tc>
        <w:tc>
          <w:tcPr>
            <w:tcW w:w="2268" w:type="dxa"/>
            <w:vAlign w:val="center"/>
          </w:tcPr>
          <w:p w14:paraId="11F32E52" w14:textId="7777777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w:t>
            </w:r>
          </w:p>
        </w:tc>
        <w:tc>
          <w:tcPr>
            <w:tcW w:w="2268" w:type="dxa"/>
            <w:vAlign w:val="center"/>
          </w:tcPr>
          <w:p w14:paraId="3944B032" w14:textId="23BAC6D3" w:rsidR="00493C66" w:rsidRPr="00E44776" w:rsidRDefault="00493C66" w:rsidP="00013B37">
            <w:pPr>
              <w:keepNext/>
              <w:jc w:val="center"/>
              <w:rPr>
                <w:rFonts w:ascii="Arial Narrow" w:hAnsi="Arial Narrow"/>
                <w:sz w:val="20"/>
                <w:szCs w:val="20"/>
                <w:highlight w:val="yellow"/>
                <w:vertAlign w:val="superscript"/>
              </w:rPr>
            </w:pPr>
            <w:r w:rsidRPr="00E44776">
              <w:rPr>
                <w:rFonts w:ascii="Arial Narrow" w:hAnsi="Arial Narrow"/>
                <w:sz w:val="20"/>
                <w:szCs w:val="20"/>
              </w:rPr>
              <w:t>$</w:t>
            </w:r>
            <w:r w:rsidR="00C60038" w:rsidRPr="00C60038">
              <w:rPr>
                <w:rFonts w:ascii="Arial Narrow" w:hAnsi="Arial Narrow"/>
                <w:color w:val="000000"/>
                <w:sz w:val="20"/>
                <w:szCs w:val="20"/>
                <w:shd w:val="solid" w:color="000000" w:fill="000000"/>
                <w14:textFill>
                  <w14:solidFill>
                    <w14:srgbClr w14:val="000000">
                      <w14:alpha w14:val="100000"/>
                    </w14:srgbClr>
                  </w14:solidFill>
                </w14:textFill>
              </w:rPr>
              <w:t>|</w:t>
            </w:r>
            <w:r w:rsidR="0052769D" w:rsidRPr="0035681E">
              <w:rPr>
                <w:rFonts w:ascii="Arial Narrow" w:hAnsi="Arial Narrow"/>
                <w:sz w:val="20"/>
                <w:szCs w:val="20"/>
                <w:vertAlign w:val="superscript"/>
              </w:rPr>
              <w:t>e</w:t>
            </w:r>
          </w:p>
        </w:tc>
        <w:tc>
          <w:tcPr>
            <w:tcW w:w="2358" w:type="dxa"/>
            <w:vAlign w:val="center"/>
          </w:tcPr>
          <w:p w14:paraId="1B282EAE" w14:textId="22CD83B3" w:rsidR="00493C66" w:rsidRPr="00E44776" w:rsidRDefault="00493C66" w:rsidP="00013B37">
            <w:pPr>
              <w:keepNext/>
              <w:jc w:val="center"/>
              <w:rPr>
                <w:rFonts w:ascii="Arial Narrow" w:hAnsi="Arial Narrow"/>
                <w:sz w:val="20"/>
                <w:szCs w:val="20"/>
                <w:highlight w:val="yellow"/>
                <w:vertAlign w:val="superscript"/>
              </w:rPr>
            </w:pPr>
            <w:r w:rsidRPr="00E44776">
              <w:rPr>
                <w:rFonts w:ascii="Arial Narrow" w:hAnsi="Arial Narrow"/>
                <w:sz w:val="20"/>
                <w:szCs w:val="20"/>
              </w:rPr>
              <w:t>$</w:t>
            </w:r>
            <w:r w:rsidR="00C60038" w:rsidRPr="00C60038">
              <w:rPr>
                <w:rFonts w:ascii="Arial Narrow" w:hAnsi="Arial Narrow"/>
                <w:color w:val="000000"/>
                <w:sz w:val="20"/>
                <w:szCs w:val="20"/>
                <w:shd w:val="solid" w:color="000000" w:fill="000000"/>
                <w14:textFill>
                  <w14:solidFill>
                    <w14:srgbClr w14:val="000000">
                      <w14:alpha w14:val="100000"/>
                    </w14:srgbClr>
                  </w14:solidFill>
                </w14:textFill>
              </w:rPr>
              <w:t>|</w:t>
            </w:r>
            <w:r w:rsidR="0052769D" w:rsidRPr="0035681E">
              <w:rPr>
                <w:rFonts w:ascii="Arial Narrow" w:hAnsi="Arial Narrow"/>
                <w:sz w:val="20"/>
                <w:szCs w:val="20"/>
                <w:vertAlign w:val="superscript"/>
              </w:rPr>
              <w:t>f</w:t>
            </w:r>
          </w:p>
        </w:tc>
      </w:tr>
      <w:tr w:rsidR="0025362D" w:rsidRPr="00E44776" w14:paraId="3F64738D" w14:textId="77777777" w:rsidTr="00CD15AF">
        <w:tc>
          <w:tcPr>
            <w:tcW w:w="2122" w:type="dxa"/>
            <w:vAlign w:val="center"/>
          </w:tcPr>
          <w:p w14:paraId="0A65039E" w14:textId="77777777" w:rsidR="00493C66" w:rsidRPr="00E44776" w:rsidRDefault="00493C66" w:rsidP="00013B37">
            <w:pPr>
              <w:keepNext/>
              <w:jc w:val="left"/>
              <w:rPr>
                <w:rFonts w:ascii="Arial Narrow" w:hAnsi="Arial Narrow"/>
                <w:sz w:val="20"/>
                <w:szCs w:val="20"/>
                <w:highlight w:val="yellow"/>
              </w:rPr>
            </w:pPr>
            <w:r w:rsidRPr="00E44776">
              <w:rPr>
                <w:rFonts w:ascii="Arial Narrow" w:hAnsi="Arial Narrow"/>
                <w:sz w:val="20"/>
                <w:szCs w:val="20"/>
              </w:rPr>
              <w:t>Compliance</w:t>
            </w:r>
          </w:p>
        </w:tc>
        <w:tc>
          <w:tcPr>
            <w:tcW w:w="2268" w:type="dxa"/>
            <w:vAlign w:val="center"/>
          </w:tcPr>
          <w:p w14:paraId="60488728" w14:textId="4CA84E19" w:rsidR="00493C66" w:rsidRPr="00E44776" w:rsidRDefault="00493C66" w:rsidP="00013B37">
            <w:pPr>
              <w:keepNext/>
              <w:jc w:val="center"/>
              <w:rPr>
                <w:rFonts w:ascii="Arial Narrow" w:hAnsi="Arial Narrow"/>
                <w:sz w:val="20"/>
                <w:szCs w:val="20"/>
                <w:vertAlign w:val="superscript"/>
              </w:rPr>
            </w:pPr>
            <w:r w:rsidRPr="00E44776">
              <w:rPr>
                <w:rFonts w:ascii="Arial Narrow" w:hAnsi="Arial Narrow"/>
                <w:sz w:val="20"/>
                <w:szCs w:val="20"/>
              </w:rPr>
              <w:t>7.559 scripts/course</w:t>
            </w:r>
            <w:r w:rsidR="0052769D" w:rsidRPr="00E44776">
              <w:rPr>
                <w:rFonts w:ascii="Arial Narrow" w:hAnsi="Arial Narrow"/>
                <w:sz w:val="20"/>
                <w:szCs w:val="20"/>
                <w:vertAlign w:val="superscript"/>
              </w:rPr>
              <w:t>g</w:t>
            </w:r>
          </w:p>
        </w:tc>
        <w:tc>
          <w:tcPr>
            <w:tcW w:w="2268" w:type="dxa"/>
            <w:vAlign w:val="center"/>
          </w:tcPr>
          <w:p w14:paraId="597603AA"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8 scripts (based on 8 scripts x 100% dose intensity)</w:t>
            </w:r>
          </w:p>
        </w:tc>
        <w:tc>
          <w:tcPr>
            <w:tcW w:w="2358" w:type="dxa"/>
            <w:vAlign w:val="center"/>
          </w:tcPr>
          <w:p w14:paraId="1F776D72" w14:textId="7003698C" w:rsidR="00493C66" w:rsidRPr="00E44776" w:rsidRDefault="00493C66" w:rsidP="00013B37">
            <w:pPr>
              <w:keepNext/>
              <w:jc w:val="center"/>
              <w:rPr>
                <w:rFonts w:ascii="Arial Narrow" w:hAnsi="Arial Narrow"/>
                <w:sz w:val="20"/>
                <w:szCs w:val="20"/>
                <w:vertAlign w:val="superscript"/>
              </w:rPr>
            </w:pPr>
            <w:r w:rsidRPr="00E44776">
              <w:rPr>
                <w:rFonts w:ascii="Arial Narrow" w:hAnsi="Arial Narrow"/>
                <w:sz w:val="20"/>
                <w:szCs w:val="20"/>
              </w:rPr>
              <w:t>7.50 scripts (8.00 scripts x 93.8% dose intensity)</w:t>
            </w:r>
            <w:r w:rsidR="0052769D" w:rsidRPr="00E44776">
              <w:rPr>
                <w:rFonts w:ascii="Arial Narrow" w:hAnsi="Arial Narrow"/>
                <w:sz w:val="20"/>
                <w:szCs w:val="20"/>
                <w:vertAlign w:val="superscript"/>
              </w:rPr>
              <w:t>h</w:t>
            </w:r>
          </w:p>
        </w:tc>
      </w:tr>
      <w:tr w:rsidR="0025362D" w:rsidRPr="00E44776" w14:paraId="0275DB84" w14:textId="77777777" w:rsidTr="00CD15AF">
        <w:tc>
          <w:tcPr>
            <w:tcW w:w="2122" w:type="dxa"/>
            <w:vAlign w:val="center"/>
          </w:tcPr>
          <w:p w14:paraId="17E4EBDA" w14:textId="77777777" w:rsidR="00493C66" w:rsidRPr="00E44776" w:rsidRDefault="00493C66" w:rsidP="00013B37">
            <w:pPr>
              <w:keepNext/>
              <w:jc w:val="left"/>
              <w:rPr>
                <w:rFonts w:ascii="Arial Narrow" w:hAnsi="Arial Narrow"/>
                <w:sz w:val="20"/>
                <w:szCs w:val="20"/>
              </w:rPr>
            </w:pPr>
            <w:r w:rsidRPr="00E44776">
              <w:rPr>
                <w:rFonts w:ascii="Arial Narrow" w:hAnsi="Arial Narrow"/>
                <w:sz w:val="20"/>
                <w:szCs w:val="20"/>
              </w:rPr>
              <w:t>Cost per course</w:t>
            </w:r>
          </w:p>
        </w:tc>
        <w:tc>
          <w:tcPr>
            <w:tcW w:w="2268" w:type="dxa"/>
            <w:vAlign w:val="center"/>
          </w:tcPr>
          <w:p w14:paraId="4438C04B"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w:t>
            </w:r>
          </w:p>
        </w:tc>
        <w:tc>
          <w:tcPr>
            <w:tcW w:w="2268" w:type="dxa"/>
            <w:vAlign w:val="center"/>
          </w:tcPr>
          <w:p w14:paraId="5035DCA1" w14:textId="6E3C29C5"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w:t>
            </w:r>
            <w:r w:rsidR="00C60038" w:rsidRPr="00C60038">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58" w:type="dxa"/>
            <w:vAlign w:val="center"/>
          </w:tcPr>
          <w:p w14:paraId="3D5DEF18" w14:textId="74546554"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w:t>
            </w:r>
            <w:r w:rsidR="00C60038" w:rsidRPr="00C60038">
              <w:rPr>
                <w:rFonts w:ascii="Arial Narrow" w:hAnsi="Arial Narrow"/>
                <w:color w:val="000000"/>
                <w:sz w:val="20"/>
                <w:szCs w:val="20"/>
                <w:shd w:val="solid" w:color="000000" w:fill="000000"/>
                <w14:textFill>
                  <w14:solidFill>
                    <w14:srgbClr w14:val="000000">
                      <w14:alpha w14:val="100000"/>
                    </w14:srgbClr>
                  </w14:solidFill>
                </w14:textFill>
              </w:rPr>
              <w:t>|</w:t>
            </w:r>
          </w:p>
        </w:tc>
      </w:tr>
      <w:tr w:rsidR="0025362D" w:rsidRPr="00E44776" w14:paraId="1DEB3512" w14:textId="77777777" w:rsidTr="00CD15AF">
        <w:tc>
          <w:tcPr>
            <w:tcW w:w="9016" w:type="dxa"/>
            <w:gridSpan w:val="4"/>
            <w:vAlign w:val="center"/>
          </w:tcPr>
          <w:p w14:paraId="3A74CE09" w14:textId="77777777" w:rsidR="00493C66" w:rsidRPr="00E44776" w:rsidRDefault="00493C66" w:rsidP="00013B37">
            <w:pPr>
              <w:keepNext/>
              <w:jc w:val="left"/>
              <w:rPr>
                <w:rFonts w:ascii="Arial Narrow" w:hAnsi="Arial Narrow"/>
                <w:b/>
                <w:bCs/>
                <w:sz w:val="20"/>
                <w:szCs w:val="20"/>
              </w:rPr>
            </w:pPr>
            <w:r w:rsidRPr="00E44776">
              <w:rPr>
                <w:rFonts w:ascii="Arial Narrow" w:hAnsi="Arial Narrow"/>
                <w:b/>
                <w:bCs/>
                <w:sz w:val="20"/>
                <w:szCs w:val="20"/>
              </w:rPr>
              <w:t>Venetoclax + obinutuzumab</w:t>
            </w:r>
          </w:p>
        </w:tc>
      </w:tr>
      <w:tr w:rsidR="0025362D" w:rsidRPr="00E44776" w14:paraId="682C8F66" w14:textId="77777777" w:rsidTr="00CD15AF">
        <w:tc>
          <w:tcPr>
            <w:tcW w:w="9016" w:type="dxa"/>
            <w:gridSpan w:val="4"/>
            <w:vAlign w:val="center"/>
          </w:tcPr>
          <w:p w14:paraId="5DAB9372" w14:textId="77777777" w:rsidR="00493C66" w:rsidRPr="00E44776" w:rsidRDefault="00493C66" w:rsidP="00013B37">
            <w:pPr>
              <w:keepNext/>
              <w:jc w:val="left"/>
              <w:rPr>
                <w:rFonts w:ascii="Arial Narrow" w:hAnsi="Arial Narrow"/>
                <w:b/>
                <w:bCs/>
                <w:smallCaps/>
                <w:sz w:val="20"/>
                <w:szCs w:val="20"/>
                <w:highlight w:val="yellow"/>
              </w:rPr>
            </w:pPr>
            <w:r w:rsidRPr="00E44776">
              <w:rPr>
                <w:rFonts w:ascii="Arial Narrow" w:hAnsi="Arial Narrow"/>
                <w:b/>
                <w:bCs/>
                <w:smallCaps/>
                <w:sz w:val="20"/>
                <w:szCs w:val="20"/>
              </w:rPr>
              <w:t>venetoclax</w:t>
            </w:r>
          </w:p>
        </w:tc>
      </w:tr>
      <w:tr w:rsidR="0025362D" w:rsidRPr="00E44776" w14:paraId="6A823CBC" w14:textId="77777777" w:rsidTr="00CD15AF">
        <w:tc>
          <w:tcPr>
            <w:tcW w:w="2122" w:type="dxa"/>
            <w:vAlign w:val="center"/>
          </w:tcPr>
          <w:p w14:paraId="4F429885" w14:textId="77777777" w:rsidR="00493C66" w:rsidRPr="00E44776" w:rsidRDefault="00493C66" w:rsidP="00013B37">
            <w:pPr>
              <w:keepNext/>
              <w:jc w:val="left"/>
              <w:rPr>
                <w:rFonts w:ascii="Arial Narrow" w:hAnsi="Arial Narrow"/>
                <w:sz w:val="20"/>
                <w:szCs w:val="20"/>
                <w:highlight w:val="yellow"/>
              </w:rPr>
            </w:pPr>
            <w:r w:rsidRPr="00E44776">
              <w:rPr>
                <w:rFonts w:ascii="Arial Narrow" w:hAnsi="Arial Narrow"/>
                <w:sz w:val="20"/>
                <w:szCs w:val="20"/>
              </w:rPr>
              <w:t>Cost per script (estimated effective DPMQ)</w:t>
            </w:r>
          </w:p>
        </w:tc>
        <w:tc>
          <w:tcPr>
            <w:tcW w:w="2268" w:type="dxa"/>
            <w:vAlign w:val="center"/>
          </w:tcPr>
          <w:p w14:paraId="48E2064D" w14:textId="7777777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w:t>
            </w:r>
          </w:p>
        </w:tc>
        <w:tc>
          <w:tcPr>
            <w:tcW w:w="2268" w:type="dxa"/>
            <w:vAlign w:val="center"/>
          </w:tcPr>
          <w:p w14:paraId="2218859A" w14:textId="6426D1D5"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Continuing pack: $</w:t>
            </w:r>
            <w:r w:rsidR="00C60038" w:rsidRPr="00FC7B41">
              <w:rPr>
                <w:rFonts w:ascii="Arial Narrow" w:hAnsi="Arial Narrow"/>
                <w:color w:val="000000"/>
                <w:spacing w:val="34"/>
                <w:sz w:val="20"/>
                <w:szCs w:val="20"/>
                <w:shd w:val="solid" w:color="000000" w:fill="000000"/>
                <w:fitText w:val="430" w:id="-1280023808"/>
                <w14:textFill>
                  <w14:solidFill>
                    <w14:srgbClr w14:val="000000">
                      <w14:alpha w14:val="100000"/>
                    </w14:srgbClr>
                  </w14:solidFill>
                </w14:textFill>
              </w:rPr>
              <w:t>|||||</w:t>
            </w:r>
            <w:r w:rsidR="00C60038" w:rsidRPr="00FC7B41">
              <w:rPr>
                <w:rFonts w:ascii="Arial Narrow" w:hAnsi="Arial Narrow"/>
                <w:color w:val="000000"/>
                <w:spacing w:val="5"/>
                <w:sz w:val="20"/>
                <w:szCs w:val="20"/>
                <w:shd w:val="solid" w:color="000000" w:fill="000000"/>
                <w:fitText w:val="430" w:id="-1280023808"/>
                <w14:textFill>
                  <w14:solidFill>
                    <w14:srgbClr w14:val="000000">
                      <w14:alpha w14:val="100000"/>
                    </w14:srgbClr>
                  </w14:solidFill>
                </w14:textFill>
              </w:rPr>
              <w:t>|</w:t>
            </w:r>
          </w:p>
        </w:tc>
        <w:tc>
          <w:tcPr>
            <w:tcW w:w="2358" w:type="dxa"/>
            <w:vAlign w:val="center"/>
          </w:tcPr>
          <w:p w14:paraId="21CA1F51" w14:textId="2F2AB7FE"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Starter pack: $</w:t>
            </w:r>
            <w:r w:rsidR="00C60038" w:rsidRPr="00FC7B41">
              <w:rPr>
                <w:rFonts w:ascii="Arial Narrow" w:hAnsi="Arial Narrow"/>
                <w:color w:val="000000"/>
                <w:spacing w:val="154"/>
                <w:sz w:val="20"/>
                <w:szCs w:val="20"/>
                <w:shd w:val="solid" w:color="000000" w:fill="000000"/>
                <w:fitText w:val="240" w:id="-1280023807"/>
                <w14:textFill>
                  <w14:solidFill>
                    <w14:srgbClr w14:val="000000">
                      <w14:alpha w14:val="100000"/>
                    </w14:srgbClr>
                  </w14:solidFill>
                </w14:textFill>
              </w:rPr>
              <w:t>|</w:t>
            </w:r>
            <w:r w:rsidR="00C60038" w:rsidRPr="00FC7B41">
              <w:rPr>
                <w:rFonts w:ascii="Arial Narrow" w:hAnsi="Arial Narrow"/>
                <w:color w:val="000000"/>
                <w:sz w:val="20"/>
                <w:szCs w:val="20"/>
                <w:shd w:val="solid" w:color="000000" w:fill="000000"/>
                <w:fitText w:val="240" w:id="-1280023807"/>
                <w14:textFill>
                  <w14:solidFill>
                    <w14:srgbClr w14:val="000000">
                      <w14:alpha w14:val="100000"/>
                    </w14:srgbClr>
                  </w14:solidFill>
                </w14:textFill>
              </w:rPr>
              <w:t>|</w:t>
            </w:r>
          </w:p>
          <w:p w14:paraId="62202D02" w14:textId="6C4AFD58"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Continuing pack: $</w:t>
            </w:r>
            <w:r w:rsidR="00C60038" w:rsidRPr="00FC7B41">
              <w:rPr>
                <w:rFonts w:ascii="Arial Narrow" w:hAnsi="Arial Narrow"/>
                <w:color w:val="000000"/>
                <w:spacing w:val="76"/>
                <w:sz w:val="20"/>
                <w:szCs w:val="20"/>
                <w:shd w:val="solid" w:color="000000" w:fill="000000"/>
                <w:fitText w:val="400" w:id="-1280023806"/>
                <w14:textFill>
                  <w14:solidFill>
                    <w14:srgbClr w14:val="000000">
                      <w14:alpha w14:val="100000"/>
                    </w14:srgbClr>
                  </w14:solidFill>
                </w14:textFill>
              </w:rPr>
              <w:t>|||</w:t>
            </w:r>
            <w:r w:rsidR="00C60038" w:rsidRPr="00FC7B41">
              <w:rPr>
                <w:rFonts w:ascii="Arial Narrow" w:hAnsi="Arial Narrow"/>
                <w:color w:val="000000"/>
                <w:spacing w:val="2"/>
                <w:sz w:val="20"/>
                <w:szCs w:val="20"/>
                <w:shd w:val="solid" w:color="000000" w:fill="000000"/>
                <w:fitText w:val="400" w:id="-1280023806"/>
                <w14:textFill>
                  <w14:solidFill>
                    <w14:srgbClr w14:val="000000">
                      <w14:alpha w14:val="100000"/>
                    </w14:srgbClr>
                  </w14:solidFill>
                </w14:textFill>
              </w:rPr>
              <w:t>|</w:t>
            </w:r>
          </w:p>
        </w:tc>
      </w:tr>
      <w:tr w:rsidR="0025362D" w:rsidRPr="00E44776" w14:paraId="474010D1" w14:textId="77777777" w:rsidTr="00CD15AF">
        <w:tc>
          <w:tcPr>
            <w:tcW w:w="2122" w:type="dxa"/>
            <w:vAlign w:val="center"/>
          </w:tcPr>
          <w:p w14:paraId="42A4E85D" w14:textId="77777777" w:rsidR="00493C66" w:rsidRPr="00E44776" w:rsidRDefault="00493C66" w:rsidP="00013B37">
            <w:pPr>
              <w:keepNext/>
              <w:jc w:val="left"/>
              <w:rPr>
                <w:rFonts w:ascii="Arial Narrow" w:hAnsi="Arial Narrow"/>
                <w:sz w:val="20"/>
                <w:szCs w:val="20"/>
                <w:vertAlign w:val="superscript"/>
              </w:rPr>
            </w:pPr>
            <w:r w:rsidRPr="00E44776">
              <w:rPr>
                <w:rFonts w:ascii="Arial Narrow" w:hAnsi="Arial Narrow"/>
                <w:sz w:val="20"/>
                <w:szCs w:val="20"/>
              </w:rPr>
              <w:t>Compliance</w:t>
            </w:r>
          </w:p>
        </w:tc>
        <w:tc>
          <w:tcPr>
            <w:tcW w:w="2268" w:type="dxa"/>
            <w:vAlign w:val="center"/>
          </w:tcPr>
          <w:p w14:paraId="4B7318D1" w14:textId="7777777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Mean treatment duration (CLL-14): 288.1 days</w:t>
            </w:r>
          </w:p>
        </w:tc>
        <w:tc>
          <w:tcPr>
            <w:tcW w:w="2268" w:type="dxa"/>
            <w:vAlign w:val="center"/>
          </w:tcPr>
          <w:p w14:paraId="198BEC62" w14:textId="482A15DB" w:rsidR="00493C66" w:rsidRPr="00E44776" w:rsidRDefault="00493C66" w:rsidP="00013B37">
            <w:pPr>
              <w:keepNext/>
              <w:jc w:val="center"/>
              <w:rPr>
                <w:rFonts w:ascii="Arial Narrow" w:hAnsi="Arial Narrow"/>
                <w:sz w:val="20"/>
                <w:szCs w:val="20"/>
                <w:vertAlign w:val="superscript"/>
              </w:rPr>
            </w:pPr>
            <w:r w:rsidRPr="00E44776">
              <w:rPr>
                <w:rFonts w:ascii="Arial Narrow" w:hAnsi="Arial Narrow"/>
                <w:sz w:val="20"/>
                <w:szCs w:val="20"/>
              </w:rPr>
              <w:t>Starter pack: 0 scripts</w:t>
            </w:r>
            <w:r w:rsidR="0052769D" w:rsidRPr="00E44776">
              <w:rPr>
                <w:rFonts w:ascii="Arial Narrow" w:hAnsi="Arial Narrow"/>
                <w:sz w:val="20"/>
                <w:szCs w:val="20"/>
                <w:vertAlign w:val="superscript"/>
              </w:rPr>
              <w:t>i</w:t>
            </w:r>
          </w:p>
          <w:p w14:paraId="27F83901" w14:textId="5505B4DD" w:rsidR="00493C66" w:rsidRPr="00E44776" w:rsidRDefault="00493C66" w:rsidP="00013B37">
            <w:pPr>
              <w:keepNext/>
              <w:jc w:val="center"/>
              <w:rPr>
                <w:rFonts w:ascii="Arial Narrow" w:hAnsi="Arial Narrow"/>
                <w:sz w:val="20"/>
                <w:szCs w:val="20"/>
                <w:highlight w:val="yellow"/>
                <w:vertAlign w:val="superscript"/>
              </w:rPr>
            </w:pPr>
            <w:r w:rsidRPr="00E44776">
              <w:rPr>
                <w:rFonts w:ascii="Arial Narrow" w:hAnsi="Arial Narrow"/>
                <w:sz w:val="20"/>
                <w:szCs w:val="20"/>
              </w:rPr>
              <w:t>Continuing pack: 9.61 scripts</w:t>
            </w:r>
            <w:r w:rsidR="0052769D" w:rsidRPr="00E44776">
              <w:rPr>
                <w:rFonts w:ascii="Arial Narrow" w:hAnsi="Arial Narrow"/>
                <w:sz w:val="20"/>
                <w:szCs w:val="20"/>
                <w:vertAlign w:val="superscript"/>
              </w:rPr>
              <w:t>i</w:t>
            </w:r>
          </w:p>
        </w:tc>
        <w:tc>
          <w:tcPr>
            <w:tcW w:w="2358" w:type="dxa"/>
            <w:vAlign w:val="center"/>
          </w:tcPr>
          <w:p w14:paraId="78AFA730"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Starter pack: 1 script</w:t>
            </w:r>
          </w:p>
          <w:p w14:paraId="05ADD5C0" w14:textId="7777777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Continuing pack: 8.67 scripts</w:t>
            </w:r>
          </w:p>
        </w:tc>
      </w:tr>
      <w:tr w:rsidR="0025362D" w:rsidRPr="00E44776" w14:paraId="6CDE68A4" w14:textId="77777777" w:rsidTr="00CD15AF">
        <w:tc>
          <w:tcPr>
            <w:tcW w:w="2122" w:type="dxa"/>
            <w:vAlign w:val="center"/>
          </w:tcPr>
          <w:p w14:paraId="584CAF91" w14:textId="77777777" w:rsidR="00493C66" w:rsidRPr="00E44776" w:rsidRDefault="00493C66" w:rsidP="00013B37">
            <w:pPr>
              <w:keepNext/>
              <w:jc w:val="left"/>
              <w:rPr>
                <w:rFonts w:ascii="Arial Narrow" w:hAnsi="Arial Narrow"/>
                <w:sz w:val="20"/>
                <w:szCs w:val="20"/>
              </w:rPr>
            </w:pPr>
            <w:r w:rsidRPr="00E44776">
              <w:rPr>
                <w:rFonts w:ascii="Arial Narrow" w:hAnsi="Arial Narrow"/>
                <w:sz w:val="20"/>
                <w:szCs w:val="20"/>
              </w:rPr>
              <w:t>Cost per course</w:t>
            </w:r>
          </w:p>
        </w:tc>
        <w:tc>
          <w:tcPr>
            <w:tcW w:w="2268" w:type="dxa"/>
            <w:vAlign w:val="center"/>
          </w:tcPr>
          <w:p w14:paraId="10F84231"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w:t>
            </w:r>
          </w:p>
        </w:tc>
        <w:tc>
          <w:tcPr>
            <w:tcW w:w="2268" w:type="dxa"/>
            <w:vAlign w:val="center"/>
          </w:tcPr>
          <w:p w14:paraId="1F101696" w14:textId="5A228F45"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w:t>
            </w:r>
            <w:r w:rsidR="00C60038" w:rsidRPr="00C60038">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58" w:type="dxa"/>
            <w:vAlign w:val="center"/>
          </w:tcPr>
          <w:p w14:paraId="473F4897" w14:textId="1E15546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w:t>
            </w:r>
            <w:r w:rsidR="00C60038" w:rsidRPr="00C60038">
              <w:rPr>
                <w:rFonts w:ascii="Arial Narrow" w:hAnsi="Arial Narrow"/>
                <w:color w:val="000000"/>
                <w:sz w:val="20"/>
                <w:szCs w:val="20"/>
                <w:shd w:val="solid" w:color="000000" w:fill="000000"/>
                <w14:textFill>
                  <w14:solidFill>
                    <w14:srgbClr w14:val="000000">
                      <w14:alpha w14:val="100000"/>
                    </w14:srgbClr>
                  </w14:solidFill>
                </w14:textFill>
              </w:rPr>
              <w:t>|</w:t>
            </w:r>
          </w:p>
        </w:tc>
      </w:tr>
      <w:tr w:rsidR="0025362D" w:rsidRPr="00E44776" w14:paraId="4C287196" w14:textId="77777777" w:rsidTr="00CD15AF">
        <w:tc>
          <w:tcPr>
            <w:tcW w:w="9016" w:type="dxa"/>
            <w:gridSpan w:val="4"/>
            <w:vAlign w:val="center"/>
          </w:tcPr>
          <w:p w14:paraId="1CFE2CD4" w14:textId="77777777" w:rsidR="00493C66" w:rsidRPr="00E44776" w:rsidRDefault="00493C66" w:rsidP="00013B37">
            <w:pPr>
              <w:keepNext/>
              <w:jc w:val="left"/>
              <w:rPr>
                <w:rFonts w:ascii="Arial Narrow" w:hAnsi="Arial Narrow"/>
                <w:b/>
                <w:bCs/>
                <w:smallCaps/>
                <w:sz w:val="20"/>
                <w:szCs w:val="20"/>
                <w:highlight w:val="yellow"/>
              </w:rPr>
            </w:pPr>
            <w:r w:rsidRPr="00E44776">
              <w:rPr>
                <w:rFonts w:ascii="Arial Narrow" w:hAnsi="Arial Narrow"/>
                <w:b/>
                <w:bCs/>
                <w:smallCaps/>
                <w:sz w:val="20"/>
                <w:szCs w:val="20"/>
              </w:rPr>
              <w:t>obinutuzumab</w:t>
            </w:r>
          </w:p>
        </w:tc>
      </w:tr>
      <w:tr w:rsidR="0025362D" w:rsidRPr="00E44776" w14:paraId="6D8CFB96" w14:textId="77777777" w:rsidTr="00CD15AF">
        <w:tc>
          <w:tcPr>
            <w:tcW w:w="2122" w:type="dxa"/>
            <w:vAlign w:val="center"/>
          </w:tcPr>
          <w:p w14:paraId="54995B1F" w14:textId="2D2C0621" w:rsidR="00493C66" w:rsidRPr="00E44776" w:rsidRDefault="00493C66" w:rsidP="00013B37">
            <w:pPr>
              <w:keepNext/>
              <w:jc w:val="left"/>
              <w:rPr>
                <w:rFonts w:ascii="Arial Narrow" w:hAnsi="Arial Narrow"/>
                <w:sz w:val="20"/>
                <w:szCs w:val="20"/>
                <w:highlight w:val="yellow"/>
              </w:rPr>
            </w:pPr>
            <w:r w:rsidRPr="00E44776">
              <w:rPr>
                <w:rFonts w:ascii="Arial Narrow" w:hAnsi="Arial Narrow"/>
                <w:sz w:val="20"/>
                <w:szCs w:val="20"/>
              </w:rPr>
              <w:t>Cost per script (</w:t>
            </w:r>
            <w:r w:rsidR="00991E61" w:rsidRPr="00E44776">
              <w:rPr>
                <w:rFonts w:ascii="Arial Narrow" w:hAnsi="Arial Narrow"/>
                <w:sz w:val="20"/>
                <w:szCs w:val="20"/>
              </w:rPr>
              <w:t>estimated</w:t>
            </w:r>
            <w:r w:rsidRPr="00E44776">
              <w:rPr>
                <w:rFonts w:ascii="Arial Narrow" w:hAnsi="Arial Narrow"/>
                <w:sz w:val="20"/>
                <w:szCs w:val="20"/>
              </w:rPr>
              <w:t xml:space="preserve"> effective weighted DPMA)</w:t>
            </w:r>
          </w:p>
        </w:tc>
        <w:tc>
          <w:tcPr>
            <w:tcW w:w="2268" w:type="dxa"/>
            <w:vAlign w:val="center"/>
          </w:tcPr>
          <w:p w14:paraId="1A499FDD"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w:t>
            </w:r>
          </w:p>
        </w:tc>
        <w:tc>
          <w:tcPr>
            <w:tcW w:w="2268" w:type="dxa"/>
            <w:vAlign w:val="center"/>
          </w:tcPr>
          <w:p w14:paraId="15868E78" w14:textId="15092ED4" w:rsidR="00493C66" w:rsidRPr="00E44776" w:rsidRDefault="00493C66" w:rsidP="00013B37">
            <w:pPr>
              <w:keepNext/>
              <w:jc w:val="center"/>
              <w:rPr>
                <w:rFonts w:ascii="Arial Narrow" w:hAnsi="Arial Narrow"/>
                <w:sz w:val="20"/>
                <w:szCs w:val="20"/>
                <w:highlight w:val="yellow"/>
                <w:vertAlign w:val="superscript"/>
              </w:rPr>
            </w:pPr>
            <w:r w:rsidRPr="00E44776">
              <w:rPr>
                <w:rFonts w:ascii="Arial Narrow" w:hAnsi="Arial Narrow"/>
                <w:sz w:val="20"/>
                <w:szCs w:val="20"/>
              </w:rPr>
              <w:t>$</w:t>
            </w:r>
            <w:r w:rsidR="00C60038" w:rsidRPr="00C60038">
              <w:rPr>
                <w:rFonts w:ascii="Arial Narrow" w:hAnsi="Arial Narrow"/>
                <w:color w:val="000000"/>
                <w:sz w:val="20"/>
                <w:szCs w:val="20"/>
                <w:shd w:val="solid" w:color="000000" w:fill="000000"/>
                <w14:textFill>
                  <w14:solidFill>
                    <w14:srgbClr w14:val="000000">
                      <w14:alpha w14:val="100000"/>
                    </w14:srgbClr>
                  </w14:solidFill>
                </w14:textFill>
              </w:rPr>
              <w:t>|</w:t>
            </w:r>
            <w:r w:rsidR="0052769D" w:rsidRPr="0035681E">
              <w:rPr>
                <w:rFonts w:ascii="Arial Narrow" w:hAnsi="Arial Narrow"/>
                <w:sz w:val="20"/>
                <w:szCs w:val="20"/>
                <w:vertAlign w:val="superscript"/>
              </w:rPr>
              <w:t>e</w:t>
            </w:r>
          </w:p>
        </w:tc>
        <w:tc>
          <w:tcPr>
            <w:tcW w:w="2358" w:type="dxa"/>
            <w:vAlign w:val="center"/>
          </w:tcPr>
          <w:p w14:paraId="66145960" w14:textId="6F9CEFD1" w:rsidR="00493C66" w:rsidRPr="00E44776" w:rsidRDefault="00493C66" w:rsidP="00013B37">
            <w:pPr>
              <w:keepNext/>
              <w:jc w:val="center"/>
              <w:rPr>
                <w:rFonts w:ascii="Arial Narrow" w:hAnsi="Arial Narrow"/>
                <w:sz w:val="20"/>
                <w:szCs w:val="20"/>
                <w:highlight w:val="yellow"/>
                <w:vertAlign w:val="superscript"/>
              </w:rPr>
            </w:pPr>
            <w:r w:rsidRPr="00E44776">
              <w:rPr>
                <w:rFonts w:ascii="Arial Narrow" w:hAnsi="Arial Narrow"/>
                <w:sz w:val="20"/>
                <w:szCs w:val="20"/>
              </w:rPr>
              <w:t>$</w:t>
            </w:r>
            <w:r w:rsidR="00C60038" w:rsidRPr="00C60038">
              <w:rPr>
                <w:rFonts w:ascii="Arial Narrow" w:hAnsi="Arial Narrow"/>
                <w:color w:val="000000"/>
                <w:sz w:val="20"/>
                <w:szCs w:val="20"/>
                <w:shd w:val="solid" w:color="000000" w:fill="000000"/>
                <w14:textFill>
                  <w14:solidFill>
                    <w14:srgbClr w14:val="000000">
                      <w14:alpha w14:val="100000"/>
                    </w14:srgbClr>
                  </w14:solidFill>
                </w14:textFill>
              </w:rPr>
              <w:t>|</w:t>
            </w:r>
            <w:r w:rsidR="0052769D" w:rsidRPr="0035681E">
              <w:rPr>
                <w:rFonts w:ascii="Arial Narrow" w:hAnsi="Arial Narrow"/>
                <w:sz w:val="20"/>
                <w:szCs w:val="20"/>
                <w:vertAlign w:val="superscript"/>
              </w:rPr>
              <w:t>f</w:t>
            </w:r>
          </w:p>
        </w:tc>
      </w:tr>
      <w:tr w:rsidR="0025362D" w:rsidRPr="00E44776" w14:paraId="207ED273" w14:textId="77777777" w:rsidTr="00CD15AF">
        <w:tc>
          <w:tcPr>
            <w:tcW w:w="2122" w:type="dxa"/>
            <w:vAlign w:val="center"/>
          </w:tcPr>
          <w:p w14:paraId="11B52A61" w14:textId="6477C9CD" w:rsidR="00493C66" w:rsidRPr="00E44776" w:rsidRDefault="00FC2E88" w:rsidP="00013B37">
            <w:pPr>
              <w:keepNext/>
              <w:jc w:val="left"/>
              <w:rPr>
                <w:rFonts w:ascii="Arial Narrow" w:hAnsi="Arial Narrow"/>
                <w:sz w:val="20"/>
                <w:szCs w:val="20"/>
                <w:highlight w:val="yellow"/>
              </w:rPr>
            </w:pPr>
            <w:r w:rsidRPr="00E44776">
              <w:rPr>
                <w:rFonts w:ascii="Arial Narrow" w:hAnsi="Arial Narrow"/>
                <w:sz w:val="20"/>
                <w:szCs w:val="20"/>
              </w:rPr>
              <w:t>Compliance</w:t>
            </w:r>
          </w:p>
        </w:tc>
        <w:tc>
          <w:tcPr>
            <w:tcW w:w="2268" w:type="dxa"/>
            <w:vAlign w:val="center"/>
          </w:tcPr>
          <w:p w14:paraId="6E278BE6"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7.355 scripts/course</w:t>
            </w:r>
          </w:p>
        </w:tc>
        <w:tc>
          <w:tcPr>
            <w:tcW w:w="2268" w:type="dxa"/>
            <w:vAlign w:val="center"/>
          </w:tcPr>
          <w:p w14:paraId="7E2EED63" w14:textId="7777777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8 scripts (8 scripts x 100% dose intensity)</w:t>
            </w:r>
          </w:p>
        </w:tc>
        <w:tc>
          <w:tcPr>
            <w:tcW w:w="2358" w:type="dxa"/>
            <w:vAlign w:val="center"/>
          </w:tcPr>
          <w:p w14:paraId="6955F276" w14:textId="77777777"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7.35 scripts (7.35 scripts x 100% dose intensity)</w:t>
            </w:r>
          </w:p>
        </w:tc>
      </w:tr>
      <w:tr w:rsidR="0025362D" w:rsidRPr="00E44776" w14:paraId="58AB496F" w14:textId="77777777" w:rsidTr="00CD15AF">
        <w:tc>
          <w:tcPr>
            <w:tcW w:w="2122" w:type="dxa"/>
            <w:vAlign w:val="center"/>
          </w:tcPr>
          <w:p w14:paraId="381227B2" w14:textId="77777777" w:rsidR="00493C66" w:rsidRPr="00E44776" w:rsidRDefault="00493C66" w:rsidP="00013B37">
            <w:pPr>
              <w:keepNext/>
              <w:jc w:val="left"/>
              <w:rPr>
                <w:rFonts w:ascii="Arial Narrow" w:hAnsi="Arial Narrow"/>
                <w:sz w:val="20"/>
                <w:szCs w:val="20"/>
                <w:highlight w:val="yellow"/>
              </w:rPr>
            </w:pPr>
            <w:r w:rsidRPr="00E44776">
              <w:rPr>
                <w:rFonts w:ascii="Arial Narrow" w:hAnsi="Arial Narrow"/>
                <w:sz w:val="20"/>
                <w:szCs w:val="20"/>
              </w:rPr>
              <w:t>Cost per course</w:t>
            </w:r>
          </w:p>
        </w:tc>
        <w:tc>
          <w:tcPr>
            <w:tcW w:w="2268" w:type="dxa"/>
            <w:vAlign w:val="center"/>
          </w:tcPr>
          <w:p w14:paraId="2B89B241" w14:textId="77777777" w:rsidR="00493C66" w:rsidRPr="00E44776" w:rsidRDefault="00493C66" w:rsidP="00013B37">
            <w:pPr>
              <w:keepNext/>
              <w:jc w:val="center"/>
              <w:rPr>
                <w:rFonts w:ascii="Arial Narrow" w:hAnsi="Arial Narrow"/>
                <w:sz w:val="20"/>
                <w:szCs w:val="20"/>
              </w:rPr>
            </w:pPr>
            <w:r w:rsidRPr="00E44776">
              <w:rPr>
                <w:rFonts w:ascii="Arial Narrow" w:hAnsi="Arial Narrow"/>
                <w:sz w:val="20"/>
                <w:szCs w:val="20"/>
              </w:rPr>
              <w:t>-</w:t>
            </w:r>
          </w:p>
        </w:tc>
        <w:tc>
          <w:tcPr>
            <w:tcW w:w="2268" w:type="dxa"/>
            <w:vAlign w:val="center"/>
          </w:tcPr>
          <w:p w14:paraId="5C88323E" w14:textId="13808466"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w:t>
            </w:r>
            <w:r w:rsidR="00C60038" w:rsidRPr="00C60038">
              <w:rPr>
                <w:rFonts w:ascii="Arial Narrow" w:hAnsi="Arial Narrow"/>
                <w:color w:val="000000"/>
                <w:sz w:val="20"/>
                <w:szCs w:val="20"/>
                <w:shd w:val="solid" w:color="000000" w:fill="000000"/>
                <w14:textFill>
                  <w14:solidFill>
                    <w14:srgbClr w14:val="000000">
                      <w14:alpha w14:val="100000"/>
                    </w14:srgbClr>
                  </w14:solidFill>
                </w14:textFill>
              </w:rPr>
              <w:t>|</w:t>
            </w:r>
          </w:p>
        </w:tc>
        <w:tc>
          <w:tcPr>
            <w:tcW w:w="2358" w:type="dxa"/>
            <w:vAlign w:val="center"/>
          </w:tcPr>
          <w:p w14:paraId="6FFC4B10" w14:textId="7960A02A" w:rsidR="00493C66" w:rsidRPr="00E44776" w:rsidRDefault="00493C66" w:rsidP="00013B37">
            <w:pPr>
              <w:keepNext/>
              <w:jc w:val="center"/>
              <w:rPr>
                <w:rFonts w:ascii="Arial Narrow" w:hAnsi="Arial Narrow"/>
                <w:sz w:val="20"/>
                <w:szCs w:val="20"/>
                <w:highlight w:val="yellow"/>
              </w:rPr>
            </w:pPr>
            <w:r w:rsidRPr="00E44776">
              <w:rPr>
                <w:rFonts w:ascii="Arial Narrow" w:hAnsi="Arial Narrow"/>
                <w:sz w:val="20"/>
                <w:szCs w:val="20"/>
              </w:rPr>
              <w:t>$</w:t>
            </w:r>
            <w:r w:rsidR="00C60038" w:rsidRPr="00C60038">
              <w:rPr>
                <w:rFonts w:ascii="Arial Narrow" w:hAnsi="Arial Narrow"/>
                <w:color w:val="000000"/>
                <w:sz w:val="20"/>
                <w:szCs w:val="20"/>
                <w:shd w:val="solid" w:color="000000" w:fill="000000"/>
                <w14:textFill>
                  <w14:solidFill>
                    <w14:srgbClr w14:val="000000">
                      <w14:alpha w14:val="100000"/>
                    </w14:srgbClr>
                  </w14:solidFill>
                </w14:textFill>
              </w:rPr>
              <w:t>|</w:t>
            </w:r>
          </w:p>
        </w:tc>
      </w:tr>
    </w:tbl>
    <w:p w14:paraId="5D1189DA" w14:textId="0BAF8969" w:rsidR="00493C66" w:rsidRPr="00E44776" w:rsidRDefault="00493C66" w:rsidP="00493C66">
      <w:pPr>
        <w:rPr>
          <w:rFonts w:ascii="Arial Narrow" w:hAnsi="Arial Narrow"/>
          <w:sz w:val="18"/>
          <w:szCs w:val="18"/>
        </w:rPr>
      </w:pPr>
      <w:r w:rsidRPr="00E44776">
        <w:rPr>
          <w:rFonts w:ascii="Arial Narrow" w:hAnsi="Arial Narrow"/>
          <w:sz w:val="18"/>
          <w:szCs w:val="18"/>
        </w:rPr>
        <w:t>Source:</w:t>
      </w:r>
      <w:r w:rsidR="0020694B" w:rsidRPr="00E44776">
        <w:rPr>
          <w:rFonts w:ascii="Arial Narrow" w:hAnsi="Arial Narrow"/>
          <w:sz w:val="18"/>
          <w:szCs w:val="18"/>
        </w:rPr>
        <w:t xml:space="preserve"> Compiled using the ‘Section 3 CEA model’ </w:t>
      </w:r>
      <w:r w:rsidR="00FC2E88" w:rsidRPr="00E44776">
        <w:rPr>
          <w:rFonts w:ascii="Arial Narrow" w:hAnsi="Arial Narrow"/>
          <w:sz w:val="18"/>
          <w:szCs w:val="18"/>
        </w:rPr>
        <w:t xml:space="preserve">and </w:t>
      </w:r>
      <w:r w:rsidR="00F66A4C" w:rsidRPr="00E44776">
        <w:rPr>
          <w:rFonts w:ascii="Arial Narrow" w:hAnsi="Arial Narrow"/>
          <w:sz w:val="18"/>
          <w:szCs w:val="18"/>
        </w:rPr>
        <w:t>‘4A_Epidemiology Model’ Excel workbook</w:t>
      </w:r>
      <w:r w:rsidR="00FC2E88" w:rsidRPr="00E44776">
        <w:rPr>
          <w:rFonts w:ascii="Arial Narrow" w:hAnsi="Arial Narrow"/>
          <w:sz w:val="18"/>
          <w:szCs w:val="18"/>
        </w:rPr>
        <w:t>s.</w:t>
      </w:r>
    </w:p>
    <w:p w14:paraId="04E2623D" w14:textId="77777777" w:rsidR="00493C66" w:rsidRPr="00E44776" w:rsidRDefault="00493C66" w:rsidP="00493C66">
      <w:pPr>
        <w:rPr>
          <w:rFonts w:ascii="Arial Narrow" w:hAnsi="Arial Narrow"/>
          <w:sz w:val="18"/>
          <w:szCs w:val="18"/>
        </w:rPr>
      </w:pPr>
      <w:r w:rsidRPr="00E44776">
        <w:rPr>
          <w:rFonts w:ascii="Arial Narrow" w:hAnsi="Arial Narrow"/>
          <w:sz w:val="18"/>
          <w:szCs w:val="18"/>
          <w:vertAlign w:val="superscript"/>
        </w:rPr>
        <w:t>a</w:t>
      </w:r>
      <w:r w:rsidRPr="00E44776">
        <w:rPr>
          <w:rFonts w:ascii="Arial Narrow" w:hAnsi="Arial Narrow"/>
          <w:sz w:val="18"/>
          <w:szCs w:val="18"/>
        </w:rPr>
        <w:t xml:space="preserve"> Calculated as 13.036 scripts based on 365 days per year (365/28) and 13.044 scripts based on 365.25 days per year (365.25/28).</w:t>
      </w:r>
    </w:p>
    <w:p w14:paraId="7BDF832A" w14:textId="1FD8C27B" w:rsidR="00493C66" w:rsidRPr="00E44776" w:rsidRDefault="0052769D" w:rsidP="00493C66">
      <w:pPr>
        <w:rPr>
          <w:rFonts w:ascii="Arial Narrow" w:hAnsi="Arial Narrow"/>
          <w:sz w:val="18"/>
          <w:szCs w:val="18"/>
        </w:rPr>
      </w:pPr>
      <w:r w:rsidRPr="00E44776">
        <w:rPr>
          <w:rFonts w:ascii="Arial Narrow" w:hAnsi="Arial Narrow"/>
          <w:sz w:val="18"/>
          <w:szCs w:val="18"/>
          <w:vertAlign w:val="superscript"/>
        </w:rPr>
        <w:t>b</w:t>
      </w:r>
      <w:r w:rsidR="00493C66" w:rsidRPr="00E44776">
        <w:rPr>
          <w:rFonts w:ascii="Arial Narrow" w:hAnsi="Arial Narrow"/>
          <w:sz w:val="18"/>
          <w:szCs w:val="18"/>
        </w:rPr>
        <w:t xml:space="preserve"> Average utilisation in each year of treatment.</w:t>
      </w:r>
    </w:p>
    <w:p w14:paraId="48B7EDA0" w14:textId="3F612C8E" w:rsidR="00493C66" w:rsidRPr="00E44776" w:rsidRDefault="0052769D" w:rsidP="00493C66">
      <w:pPr>
        <w:rPr>
          <w:rFonts w:ascii="Arial Narrow" w:hAnsi="Arial Narrow"/>
          <w:sz w:val="18"/>
          <w:szCs w:val="18"/>
        </w:rPr>
      </w:pPr>
      <w:r w:rsidRPr="00E44776">
        <w:rPr>
          <w:rFonts w:ascii="Arial Narrow" w:hAnsi="Arial Narrow"/>
          <w:sz w:val="18"/>
          <w:szCs w:val="18"/>
          <w:vertAlign w:val="superscript"/>
        </w:rPr>
        <w:t>c</w:t>
      </w:r>
      <w:r w:rsidR="00493C66" w:rsidRPr="00E44776">
        <w:rPr>
          <w:rFonts w:ascii="Arial Narrow" w:hAnsi="Arial Narrow"/>
          <w:sz w:val="18"/>
          <w:szCs w:val="18"/>
        </w:rPr>
        <w:t xml:space="preserve"> Based on Kaplan-Meier data for the ELEVATE-TN in the ‘KM data’ tab of the ‘Section 3 CEA model’ Excel workbook.</w:t>
      </w:r>
    </w:p>
    <w:p w14:paraId="5323E745" w14:textId="55A7D3CB" w:rsidR="00493C66" w:rsidRPr="00E44776" w:rsidRDefault="0052769D" w:rsidP="00493C66">
      <w:pPr>
        <w:rPr>
          <w:rFonts w:ascii="Arial Narrow" w:hAnsi="Arial Narrow"/>
          <w:sz w:val="18"/>
          <w:szCs w:val="18"/>
        </w:rPr>
      </w:pPr>
      <w:r w:rsidRPr="00E44776">
        <w:rPr>
          <w:rFonts w:ascii="Arial Narrow" w:hAnsi="Arial Narrow"/>
          <w:sz w:val="18"/>
          <w:szCs w:val="18"/>
          <w:vertAlign w:val="superscript"/>
        </w:rPr>
        <w:t>d</w:t>
      </w:r>
      <w:r w:rsidR="00493C66" w:rsidRPr="00E44776">
        <w:rPr>
          <w:rFonts w:ascii="Arial Narrow" w:hAnsi="Arial Narrow"/>
          <w:sz w:val="18"/>
          <w:szCs w:val="18"/>
        </w:rPr>
        <w:t xml:space="preserve"> Assumed no treated patients beyond Year 5 to reflect impact of the proposed risk-sharing arrangement.</w:t>
      </w:r>
    </w:p>
    <w:p w14:paraId="236C1B3C" w14:textId="36F0CCF6" w:rsidR="00493C66" w:rsidRPr="00E44776" w:rsidRDefault="0052769D" w:rsidP="00493C66">
      <w:pPr>
        <w:rPr>
          <w:rFonts w:ascii="Arial Narrow" w:hAnsi="Arial Narrow"/>
          <w:sz w:val="18"/>
          <w:szCs w:val="18"/>
        </w:rPr>
      </w:pPr>
      <w:r w:rsidRPr="00E44776">
        <w:rPr>
          <w:rFonts w:ascii="Arial Narrow" w:hAnsi="Arial Narrow"/>
          <w:sz w:val="18"/>
          <w:szCs w:val="18"/>
          <w:vertAlign w:val="superscript"/>
        </w:rPr>
        <w:t>e</w:t>
      </w:r>
      <w:r w:rsidR="00493C66" w:rsidRPr="00E44776">
        <w:rPr>
          <w:rFonts w:ascii="Arial Narrow" w:hAnsi="Arial Narrow"/>
          <w:sz w:val="18"/>
          <w:szCs w:val="18"/>
        </w:rPr>
        <w:t xml:space="preserve"> </w:t>
      </w:r>
      <w:r w:rsidR="00FC2E88" w:rsidRPr="00E44776">
        <w:rPr>
          <w:rFonts w:ascii="Arial Narrow" w:hAnsi="Arial Narrow"/>
          <w:sz w:val="18"/>
          <w:szCs w:val="18"/>
        </w:rPr>
        <w:t>Estimated effective DPMA w</w:t>
      </w:r>
      <w:r w:rsidR="00493C66" w:rsidRPr="00E44776">
        <w:rPr>
          <w:rFonts w:ascii="Arial Narrow" w:hAnsi="Arial Narrow"/>
          <w:sz w:val="18"/>
          <w:szCs w:val="18"/>
        </w:rPr>
        <w:t>eighted based on a 49%/51% public/private hospital split.</w:t>
      </w:r>
    </w:p>
    <w:p w14:paraId="055D861F" w14:textId="1920D418" w:rsidR="00493C66" w:rsidRPr="00E44776" w:rsidRDefault="0052769D" w:rsidP="00493C66">
      <w:pPr>
        <w:rPr>
          <w:rFonts w:ascii="Arial Narrow" w:hAnsi="Arial Narrow"/>
          <w:sz w:val="18"/>
          <w:szCs w:val="18"/>
        </w:rPr>
      </w:pPr>
      <w:r w:rsidRPr="00E44776">
        <w:rPr>
          <w:rFonts w:ascii="Arial Narrow" w:hAnsi="Arial Narrow"/>
          <w:sz w:val="18"/>
          <w:szCs w:val="18"/>
          <w:vertAlign w:val="superscript"/>
        </w:rPr>
        <w:t>f</w:t>
      </w:r>
      <w:r w:rsidR="00493C66" w:rsidRPr="00E44776">
        <w:rPr>
          <w:rFonts w:ascii="Arial Narrow" w:hAnsi="Arial Narrow"/>
          <w:sz w:val="18"/>
          <w:szCs w:val="18"/>
        </w:rPr>
        <w:t xml:space="preserve"> </w:t>
      </w:r>
      <w:r w:rsidR="00FC2E88" w:rsidRPr="00E44776">
        <w:rPr>
          <w:rFonts w:ascii="Arial Narrow" w:hAnsi="Arial Narrow"/>
          <w:sz w:val="18"/>
          <w:szCs w:val="18"/>
        </w:rPr>
        <w:t>Estimated effective DPMA w</w:t>
      </w:r>
      <w:r w:rsidR="00493C66" w:rsidRPr="00E44776">
        <w:rPr>
          <w:rFonts w:ascii="Arial Narrow" w:hAnsi="Arial Narrow"/>
          <w:sz w:val="18"/>
          <w:szCs w:val="18"/>
        </w:rPr>
        <w:t>eighted based on a 28.4%/71.6% public/private hospital split.</w:t>
      </w:r>
    </w:p>
    <w:p w14:paraId="6FEF0503" w14:textId="60161695" w:rsidR="00493C66" w:rsidRPr="00E44776" w:rsidRDefault="0052769D" w:rsidP="00493C66">
      <w:pPr>
        <w:rPr>
          <w:rFonts w:ascii="Arial Narrow" w:hAnsi="Arial Narrow"/>
          <w:sz w:val="18"/>
          <w:szCs w:val="18"/>
        </w:rPr>
      </w:pPr>
      <w:r w:rsidRPr="00E44776">
        <w:rPr>
          <w:rFonts w:ascii="Arial Narrow" w:hAnsi="Arial Narrow"/>
          <w:sz w:val="18"/>
          <w:szCs w:val="18"/>
          <w:vertAlign w:val="superscript"/>
        </w:rPr>
        <w:t>g</w:t>
      </w:r>
      <w:r w:rsidR="00493C66" w:rsidRPr="00E44776">
        <w:rPr>
          <w:rFonts w:ascii="Arial Narrow" w:hAnsi="Arial Narrow"/>
          <w:sz w:val="18"/>
          <w:szCs w:val="18"/>
        </w:rPr>
        <w:t xml:space="preserve"> Mean cumulative dose reported in the acalabrutinib + obinutuzumab arm of the ELEVATE-TN trial divided by the recommended obinutuzumab dose (1,000 mg).</w:t>
      </w:r>
    </w:p>
    <w:p w14:paraId="3FA0354F" w14:textId="074FF723" w:rsidR="00493C66" w:rsidRPr="00E44776" w:rsidRDefault="0052769D" w:rsidP="00493C66">
      <w:pPr>
        <w:rPr>
          <w:rFonts w:ascii="Arial Narrow" w:hAnsi="Arial Narrow"/>
          <w:sz w:val="18"/>
          <w:szCs w:val="18"/>
        </w:rPr>
      </w:pPr>
      <w:r w:rsidRPr="00E44776">
        <w:rPr>
          <w:rFonts w:ascii="Arial Narrow" w:hAnsi="Arial Narrow"/>
          <w:sz w:val="18"/>
          <w:szCs w:val="18"/>
          <w:vertAlign w:val="superscript"/>
        </w:rPr>
        <w:t>h</w:t>
      </w:r>
      <w:r w:rsidR="00493C66" w:rsidRPr="00E44776">
        <w:rPr>
          <w:rFonts w:ascii="Arial Narrow" w:hAnsi="Arial Narrow"/>
          <w:sz w:val="18"/>
          <w:szCs w:val="18"/>
        </w:rPr>
        <w:t xml:space="preserve"> The applied dose intensity for obinutuzumab when used with acalabrutinib (93.8%) was the dose intensity for the CHL + OBI arm of the ELEVATE-TN trial rather than ACAL + OBI arm (94.5%).</w:t>
      </w:r>
    </w:p>
    <w:p w14:paraId="0029DCDD" w14:textId="072498D0" w:rsidR="00493C66" w:rsidRPr="00E44776" w:rsidRDefault="0052769D" w:rsidP="00493C66">
      <w:pPr>
        <w:rPr>
          <w:rFonts w:ascii="Arial Narrow" w:hAnsi="Arial Narrow"/>
          <w:sz w:val="18"/>
          <w:szCs w:val="18"/>
        </w:rPr>
      </w:pPr>
      <w:r w:rsidRPr="00E44776">
        <w:rPr>
          <w:rFonts w:ascii="Arial Narrow" w:hAnsi="Arial Narrow"/>
          <w:sz w:val="18"/>
          <w:szCs w:val="18"/>
          <w:vertAlign w:val="superscript"/>
        </w:rPr>
        <w:t>i</w:t>
      </w:r>
      <w:r w:rsidR="00493C66" w:rsidRPr="00E44776">
        <w:rPr>
          <w:rFonts w:ascii="Arial Narrow" w:hAnsi="Arial Narrow"/>
          <w:sz w:val="18"/>
          <w:szCs w:val="18"/>
        </w:rPr>
        <w:t xml:space="preserve"> </w:t>
      </w:r>
      <w:r w:rsidR="00FC2E88" w:rsidRPr="00E44776">
        <w:rPr>
          <w:rFonts w:ascii="Arial Narrow" w:hAnsi="Arial Narrow"/>
          <w:sz w:val="18"/>
          <w:szCs w:val="18"/>
        </w:rPr>
        <w:t xml:space="preserve">Estimated based on mean venetoclax treatment duration of 288.1 days in the CLl-14 trial. </w:t>
      </w:r>
      <w:r w:rsidR="00493C66" w:rsidRPr="00E44776">
        <w:rPr>
          <w:rFonts w:ascii="Arial Narrow" w:hAnsi="Arial Narrow"/>
          <w:sz w:val="18"/>
          <w:szCs w:val="18"/>
        </w:rPr>
        <w:t>The resubmission inappropriately assumed that all venetoclax scripts were continuing scripts, which overestimated the cost of venetoclax.</w:t>
      </w:r>
      <w:bookmarkEnd w:id="103"/>
    </w:p>
    <w:p w14:paraId="338015CE" w14:textId="097D2EC9" w:rsidR="006A7D91" w:rsidRPr="00E44776" w:rsidRDefault="006A7D91" w:rsidP="006A7D91">
      <w:pPr>
        <w:pStyle w:val="COMH2-non-numbered"/>
        <w:rPr>
          <w:iCs/>
        </w:rPr>
      </w:pPr>
      <w:bookmarkStart w:id="104" w:name="_Toc22897647"/>
      <w:bookmarkStart w:id="105" w:name="_Toc107927633"/>
      <w:bookmarkStart w:id="106" w:name="_Toc114048855"/>
      <w:bookmarkEnd w:id="99"/>
      <w:r w:rsidRPr="00E44776">
        <w:rPr>
          <w:iCs/>
        </w:rPr>
        <w:lastRenderedPageBreak/>
        <w:t>Estimated PBS usage &amp; financial implications</w:t>
      </w:r>
      <w:bookmarkEnd w:id="104"/>
      <w:bookmarkEnd w:id="105"/>
      <w:bookmarkEnd w:id="106"/>
    </w:p>
    <w:p w14:paraId="53D15ADF" w14:textId="14F387E6" w:rsidR="006A7D91" w:rsidRPr="00E44776" w:rsidRDefault="006A7D91" w:rsidP="006A7D91">
      <w:pPr>
        <w:pStyle w:val="COMexecsumnumberedpara"/>
      </w:pPr>
      <w:r w:rsidRPr="00E44776">
        <w:t>This resubmission w</w:t>
      </w:r>
      <w:r w:rsidR="00662B96" w:rsidRPr="00E44776">
        <w:t xml:space="preserve">as not </w:t>
      </w:r>
      <w:r w:rsidRPr="00E44776">
        <w:t xml:space="preserve">considered by DUSC. The resubmission used a mixed epidemiological/market share approach to estimate the utilisation and financial impacts associated with the PBS listing of acalabrutinib + obinutuzumab for patients with previously untreated CLL/SLL who are unsuitable for treatment with fludarabine-based chemoimmunotherapy. </w:t>
      </w:r>
      <w:r w:rsidR="00E00CC5" w:rsidRPr="00E44776">
        <w:t>No estimates for the number of grandfathered patients were provided in the resubmission.</w:t>
      </w:r>
    </w:p>
    <w:p w14:paraId="21981174" w14:textId="4E520E9B" w:rsidR="006A7D91" w:rsidRPr="00E44776" w:rsidRDefault="006A7D91" w:rsidP="006A7D91">
      <w:pPr>
        <w:pStyle w:val="COMexecsumnumberedpara"/>
      </w:pPr>
      <w:r w:rsidRPr="00E44776">
        <w:t xml:space="preserve">The sources of data used in the financial estimates are presented in </w:t>
      </w:r>
      <w:r w:rsidR="006C6872" w:rsidRPr="00E44776">
        <w:fldChar w:fldCharType="begin" w:fldLock="1"/>
      </w:r>
      <w:r w:rsidR="006C6872" w:rsidRPr="00E44776">
        <w:instrText xml:space="preserve"> REF _Ref104805262 \h </w:instrText>
      </w:r>
      <w:r w:rsidR="00E44776" w:rsidRPr="00E44776">
        <w:instrText xml:space="preserve"> \* MERGEFORMAT </w:instrText>
      </w:r>
      <w:r w:rsidR="006C6872" w:rsidRPr="00E44776">
        <w:fldChar w:fldCharType="separate"/>
      </w:r>
      <w:r w:rsidR="00CB2B8B" w:rsidRPr="00E44776">
        <w:t xml:space="preserve">Table </w:t>
      </w:r>
      <w:r w:rsidR="00CB2B8B">
        <w:rPr>
          <w:noProof/>
        </w:rPr>
        <w:t>17</w:t>
      </w:r>
      <w:r w:rsidR="006C6872" w:rsidRPr="00E44776">
        <w:fldChar w:fldCharType="end"/>
      </w:r>
      <w:r w:rsidRPr="00E44776">
        <w:t>.</w:t>
      </w:r>
    </w:p>
    <w:p w14:paraId="61E24CF4" w14:textId="68EF93C7" w:rsidR="006A7D91" w:rsidRPr="00E44776" w:rsidRDefault="006A7D91" w:rsidP="006A7D91">
      <w:pPr>
        <w:pStyle w:val="COMtablefigcaption"/>
      </w:pPr>
      <w:bookmarkStart w:id="107" w:name="_Ref104805262"/>
      <w:bookmarkStart w:id="108" w:name="_Ref111296051"/>
      <w:r w:rsidRPr="00E44776">
        <w:t xml:space="preserve">Table </w:t>
      </w:r>
      <w:r w:rsidR="00B53F47">
        <w:fldChar w:fldCharType="begin" w:fldLock="1"/>
      </w:r>
      <w:r w:rsidR="00B53F47">
        <w:instrText xml:space="preserve"> SEQ Table \* ARABIC </w:instrText>
      </w:r>
      <w:r w:rsidR="00B53F47">
        <w:fldChar w:fldCharType="separate"/>
      </w:r>
      <w:r w:rsidR="00CB2B8B">
        <w:rPr>
          <w:noProof/>
        </w:rPr>
        <w:t>17</w:t>
      </w:r>
      <w:r w:rsidR="00B53F47">
        <w:rPr>
          <w:noProof/>
        </w:rPr>
        <w:fldChar w:fldCharType="end"/>
      </w:r>
      <w:bookmarkEnd w:id="107"/>
      <w:r w:rsidRPr="00E44776">
        <w:t>: Key inputs for financial estimates</w:t>
      </w:r>
      <w:bookmarkEnd w:id="108"/>
    </w:p>
    <w:tbl>
      <w:tblPr>
        <w:tblW w:w="8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7: Key inputs for financial estimates"/>
      </w:tblPr>
      <w:tblGrid>
        <w:gridCol w:w="1710"/>
        <w:gridCol w:w="3257"/>
        <w:gridCol w:w="4018"/>
      </w:tblGrid>
      <w:tr w:rsidR="006A7D91" w:rsidRPr="00E44776" w14:paraId="184E5CC4" w14:textId="77777777" w:rsidTr="00662EF2">
        <w:trPr>
          <w:tblHeader/>
        </w:trPr>
        <w:tc>
          <w:tcPr>
            <w:tcW w:w="1710" w:type="dxa"/>
            <w:shd w:val="clear" w:color="auto" w:fill="auto"/>
            <w:hideMark/>
          </w:tcPr>
          <w:p w14:paraId="41AF2739" w14:textId="77777777" w:rsidR="006A7D91" w:rsidRPr="00E44776" w:rsidRDefault="006A7D91" w:rsidP="00662EF2">
            <w:pPr>
              <w:pStyle w:val="COMTabletext"/>
              <w:keepNext w:val="0"/>
              <w:rPr>
                <w:rFonts w:ascii="Times New Roman" w:hAnsi="Times New Roman"/>
                <w:b/>
                <w:bCs w:val="0"/>
              </w:rPr>
            </w:pPr>
            <w:r w:rsidRPr="00E44776">
              <w:rPr>
                <w:b/>
                <w:bCs w:val="0"/>
              </w:rPr>
              <w:t>Parameter </w:t>
            </w:r>
          </w:p>
        </w:tc>
        <w:tc>
          <w:tcPr>
            <w:tcW w:w="3257" w:type="dxa"/>
            <w:shd w:val="clear" w:color="auto" w:fill="auto"/>
            <w:vAlign w:val="center"/>
            <w:hideMark/>
          </w:tcPr>
          <w:p w14:paraId="778095D6" w14:textId="0407F3FD" w:rsidR="006A7D91" w:rsidRPr="00E44776" w:rsidRDefault="006A7D91" w:rsidP="00662EF2">
            <w:pPr>
              <w:pStyle w:val="COMTabletext"/>
              <w:keepNext w:val="0"/>
              <w:jc w:val="center"/>
              <w:rPr>
                <w:rFonts w:ascii="Times New Roman" w:hAnsi="Times New Roman"/>
                <w:b/>
                <w:bCs w:val="0"/>
              </w:rPr>
            </w:pPr>
            <w:r w:rsidRPr="00E44776">
              <w:rPr>
                <w:b/>
                <w:bCs w:val="0"/>
              </w:rPr>
              <w:t>Value applied and source</w:t>
            </w:r>
          </w:p>
        </w:tc>
        <w:tc>
          <w:tcPr>
            <w:tcW w:w="4018" w:type="dxa"/>
            <w:shd w:val="clear" w:color="auto" w:fill="auto"/>
            <w:vAlign w:val="center"/>
            <w:hideMark/>
          </w:tcPr>
          <w:p w14:paraId="1B0134AC" w14:textId="4027F22C" w:rsidR="006A7D91" w:rsidRPr="00E44776" w:rsidRDefault="006A7D91" w:rsidP="00662EF2">
            <w:pPr>
              <w:pStyle w:val="COMTabletext"/>
              <w:keepNext w:val="0"/>
              <w:jc w:val="center"/>
              <w:rPr>
                <w:rFonts w:ascii="Times New Roman" w:hAnsi="Times New Roman"/>
                <w:b/>
                <w:bCs w:val="0"/>
              </w:rPr>
            </w:pPr>
            <w:r w:rsidRPr="00E44776">
              <w:rPr>
                <w:b/>
                <w:bCs w:val="0"/>
              </w:rPr>
              <w:t>Comment</w:t>
            </w:r>
          </w:p>
        </w:tc>
      </w:tr>
      <w:tr w:rsidR="006A7D91" w:rsidRPr="00E44776" w14:paraId="5FCF88A1" w14:textId="77777777" w:rsidTr="00662EF2">
        <w:tc>
          <w:tcPr>
            <w:tcW w:w="1710" w:type="dxa"/>
            <w:shd w:val="clear" w:color="auto" w:fill="auto"/>
            <w:hideMark/>
          </w:tcPr>
          <w:p w14:paraId="11497A1D" w14:textId="77777777" w:rsidR="006A7D91" w:rsidRPr="00E44776" w:rsidRDefault="006A7D91" w:rsidP="00662EF2">
            <w:pPr>
              <w:pStyle w:val="COMTabletext"/>
              <w:keepNext w:val="0"/>
              <w:rPr>
                <w:rFonts w:ascii="Times New Roman" w:hAnsi="Times New Roman"/>
              </w:rPr>
            </w:pPr>
            <w:r w:rsidRPr="00E44776">
              <w:t>Incident CLL patients </w:t>
            </w:r>
          </w:p>
        </w:tc>
        <w:tc>
          <w:tcPr>
            <w:tcW w:w="3257" w:type="dxa"/>
            <w:shd w:val="clear" w:color="auto" w:fill="auto"/>
            <w:hideMark/>
          </w:tcPr>
          <w:p w14:paraId="4ADE52C5" w14:textId="77777777" w:rsidR="006A7D91" w:rsidRPr="00E44776" w:rsidRDefault="006A7D91" w:rsidP="00662EF2">
            <w:pPr>
              <w:pStyle w:val="COMTabletext"/>
              <w:keepNext w:val="0"/>
              <w:rPr>
                <w:rFonts w:ascii="Times New Roman" w:hAnsi="Times New Roman"/>
              </w:rPr>
            </w:pPr>
            <w:r w:rsidRPr="00E44776">
              <w:t>Incidence of 8.6/100,000 (crude rate; 2021 AIHW estimate) applied to ABS Australian population projections (Series B 3222.0). </w:t>
            </w:r>
          </w:p>
        </w:tc>
        <w:tc>
          <w:tcPr>
            <w:tcW w:w="4018" w:type="dxa"/>
            <w:shd w:val="clear" w:color="auto" w:fill="auto"/>
            <w:hideMark/>
          </w:tcPr>
          <w:p w14:paraId="4E1A3E29" w14:textId="46EE64ED" w:rsidR="006A7D91" w:rsidRPr="00E44776" w:rsidRDefault="00792B22" w:rsidP="00662EF2">
            <w:pPr>
              <w:pStyle w:val="COMTabletext"/>
              <w:keepNext w:val="0"/>
            </w:pPr>
            <w:r w:rsidRPr="00E44776">
              <w:t xml:space="preserve">The </w:t>
            </w:r>
            <w:r w:rsidR="006B20D4" w:rsidRPr="00E44776">
              <w:t xml:space="preserve">evaluation noted that the </w:t>
            </w:r>
            <w:r w:rsidRPr="00E44776">
              <w:t>estimated crude incidence rates for CLL in the AIHW cancer data have been updated to 9.1/100,000, and 9.4/100,000 for 2021 and 2022 respectively. The AIHW data also suggests a trend towards increasing incidence over time.</w:t>
            </w:r>
            <w:r w:rsidR="00BE1762" w:rsidRPr="00E44776">
              <w:t xml:space="preserve"> The resubmission did not account for patients with SLL.</w:t>
            </w:r>
            <w:r w:rsidR="006B20D4" w:rsidRPr="00E44776">
              <w:t xml:space="preserve"> The PSCR updated the incidence rate to 9.4/100,000 in line with the most recent AIHW data. </w:t>
            </w:r>
          </w:p>
        </w:tc>
      </w:tr>
      <w:tr w:rsidR="006A7D91" w:rsidRPr="00E44776" w14:paraId="45530F5F" w14:textId="77777777" w:rsidTr="00662EF2">
        <w:tc>
          <w:tcPr>
            <w:tcW w:w="1710" w:type="dxa"/>
            <w:shd w:val="clear" w:color="auto" w:fill="auto"/>
            <w:hideMark/>
          </w:tcPr>
          <w:p w14:paraId="37B96B3F" w14:textId="77777777" w:rsidR="006A7D91" w:rsidRPr="00E44776" w:rsidRDefault="006A7D91" w:rsidP="00662EF2">
            <w:pPr>
              <w:pStyle w:val="COMTabletext"/>
              <w:keepNext w:val="0"/>
              <w:rPr>
                <w:rFonts w:ascii="Times New Roman" w:hAnsi="Times New Roman"/>
              </w:rPr>
            </w:pPr>
            <w:r w:rsidRPr="00E44776">
              <w:t>Proportion initiating treatment </w:t>
            </w:r>
          </w:p>
        </w:tc>
        <w:tc>
          <w:tcPr>
            <w:tcW w:w="3257" w:type="dxa"/>
            <w:shd w:val="clear" w:color="auto" w:fill="auto"/>
            <w:hideMark/>
          </w:tcPr>
          <w:p w14:paraId="5F5412CC" w14:textId="77777777" w:rsidR="006A7D91" w:rsidRPr="00E44776" w:rsidRDefault="006A7D91" w:rsidP="00662EF2">
            <w:pPr>
              <w:pStyle w:val="COMTabletext"/>
              <w:keepNext w:val="0"/>
              <w:rPr>
                <w:rFonts w:ascii="Times New Roman" w:hAnsi="Times New Roman"/>
              </w:rPr>
            </w:pPr>
            <w:r w:rsidRPr="00E44776">
              <w:t>Assumed that 30% initiate treatment in year of diagnosis, and 7.5% initiate in years 2, 3, 4 and 5 following CLL diagnosis. Based on venetoclax PSD July 2020 (sponsor assumption). </w:t>
            </w:r>
          </w:p>
        </w:tc>
        <w:tc>
          <w:tcPr>
            <w:tcW w:w="4018" w:type="dxa"/>
            <w:shd w:val="clear" w:color="auto" w:fill="auto"/>
            <w:hideMark/>
          </w:tcPr>
          <w:p w14:paraId="3761FDD1" w14:textId="6A35BB2C" w:rsidR="006A7D91" w:rsidRPr="00E44776" w:rsidRDefault="00792B22" w:rsidP="00662EF2">
            <w:pPr>
              <w:pStyle w:val="COMTabletext"/>
              <w:keepNext w:val="0"/>
              <w:rPr>
                <w:rFonts w:ascii="Times New Roman" w:hAnsi="Times New Roman"/>
              </w:rPr>
            </w:pPr>
            <w:r w:rsidRPr="00E44776">
              <w:t>Unchanged from the November 2021 resubmission. No additional justification provided.</w:t>
            </w:r>
          </w:p>
        </w:tc>
      </w:tr>
      <w:tr w:rsidR="006A7D91" w:rsidRPr="00E44776" w14:paraId="23C68C26" w14:textId="77777777" w:rsidTr="00662EF2">
        <w:tc>
          <w:tcPr>
            <w:tcW w:w="1710" w:type="dxa"/>
            <w:shd w:val="clear" w:color="auto" w:fill="auto"/>
            <w:hideMark/>
          </w:tcPr>
          <w:p w14:paraId="1E817E30" w14:textId="77777777" w:rsidR="006A7D91" w:rsidRPr="00E44776" w:rsidRDefault="006A7D91" w:rsidP="00662EF2">
            <w:pPr>
              <w:pStyle w:val="COMTabletext"/>
              <w:keepNext w:val="0"/>
              <w:rPr>
                <w:rFonts w:ascii="Times New Roman" w:hAnsi="Times New Roman"/>
              </w:rPr>
            </w:pPr>
            <w:r w:rsidRPr="00E44776">
              <w:t>Proportion of first-line eligible patients who are unsuitable for fludarabine-based chemoimmunotherapy</w:t>
            </w:r>
          </w:p>
        </w:tc>
        <w:tc>
          <w:tcPr>
            <w:tcW w:w="3257" w:type="dxa"/>
            <w:shd w:val="clear" w:color="auto" w:fill="auto"/>
            <w:hideMark/>
          </w:tcPr>
          <w:p w14:paraId="68D2C6A2" w14:textId="77777777" w:rsidR="006A7D91" w:rsidRPr="00E44776" w:rsidRDefault="006A7D91" w:rsidP="00662EF2">
            <w:pPr>
              <w:pStyle w:val="COMTabletext"/>
              <w:keepNext w:val="0"/>
              <w:rPr>
                <w:rFonts w:ascii="Times New Roman" w:hAnsi="Times New Roman"/>
              </w:rPr>
            </w:pPr>
            <w:r w:rsidRPr="00E44776">
              <w:t>65%. Based on venetoclax PSD July 2020 (clinician advice). </w:t>
            </w:r>
          </w:p>
        </w:tc>
        <w:tc>
          <w:tcPr>
            <w:tcW w:w="4018" w:type="dxa"/>
            <w:shd w:val="clear" w:color="auto" w:fill="auto"/>
            <w:hideMark/>
          </w:tcPr>
          <w:p w14:paraId="791B34D3" w14:textId="260E216C" w:rsidR="006A7D91" w:rsidRPr="00E44776" w:rsidRDefault="00792B22" w:rsidP="00662EF2">
            <w:pPr>
              <w:pStyle w:val="COMTabletext"/>
              <w:keepNext w:val="0"/>
              <w:rPr>
                <w:rFonts w:ascii="Times New Roman" w:hAnsi="Times New Roman"/>
              </w:rPr>
            </w:pPr>
            <w:r w:rsidRPr="00E44776">
              <w:t xml:space="preserve">Unchanged from the November 2021 resubmission. </w:t>
            </w:r>
            <w:r w:rsidR="00F97CD4">
              <w:t xml:space="preserve">The PBAC considered that, in clinical practice, </w:t>
            </w:r>
            <w:r w:rsidR="00F97CD4" w:rsidRPr="00F97CD4">
              <w:t xml:space="preserve">almost all patients </w:t>
            </w:r>
            <w:r w:rsidR="00F97CD4">
              <w:t>would be considered to be</w:t>
            </w:r>
            <w:r w:rsidR="00F97CD4" w:rsidRPr="00F97CD4">
              <w:t xml:space="preserve"> </w:t>
            </w:r>
            <w:r w:rsidR="00F97CD4">
              <w:t>u</w:t>
            </w:r>
            <w:r w:rsidR="00F97CD4" w:rsidRPr="00E44776">
              <w:t>nsuitable for fludarabine-based chemoimmunotherapy</w:t>
            </w:r>
            <w:r w:rsidR="00F97CD4" w:rsidRPr="00F97CD4">
              <w:t xml:space="preserve"> given FCR is poorly tolerated and associated with a risk of cytopenia and secondary malignancies</w:t>
            </w:r>
            <w:r w:rsidR="00F97CD4">
              <w:t>.</w:t>
            </w:r>
          </w:p>
        </w:tc>
      </w:tr>
      <w:tr w:rsidR="006A7D91" w:rsidRPr="00E44776" w14:paraId="3E1FE273" w14:textId="77777777" w:rsidTr="00662EF2">
        <w:tc>
          <w:tcPr>
            <w:tcW w:w="1710" w:type="dxa"/>
            <w:shd w:val="clear" w:color="auto" w:fill="auto"/>
          </w:tcPr>
          <w:p w14:paraId="12FB4D46" w14:textId="77777777" w:rsidR="006A7D91" w:rsidRPr="00E44776" w:rsidRDefault="006A7D91" w:rsidP="00662EF2">
            <w:pPr>
              <w:pStyle w:val="COMTabletext"/>
              <w:keepNext w:val="0"/>
            </w:pPr>
            <w:r w:rsidRPr="00E44776">
              <w:t>Current market share of venetoclax + obinutuzumab</w:t>
            </w:r>
          </w:p>
        </w:tc>
        <w:tc>
          <w:tcPr>
            <w:tcW w:w="3257" w:type="dxa"/>
            <w:shd w:val="clear" w:color="auto" w:fill="auto"/>
          </w:tcPr>
          <w:p w14:paraId="4DD02423" w14:textId="77777777" w:rsidR="006A7D91" w:rsidRPr="00E44776" w:rsidRDefault="006A7D91" w:rsidP="00662EF2">
            <w:pPr>
              <w:pStyle w:val="COMTabletext"/>
              <w:keepNext w:val="0"/>
            </w:pPr>
            <w:r w:rsidRPr="00E44776">
              <w:t>90%. Based on venetoclax PSD July 2020.</w:t>
            </w:r>
          </w:p>
        </w:tc>
        <w:tc>
          <w:tcPr>
            <w:tcW w:w="4018" w:type="dxa"/>
            <w:shd w:val="clear" w:color="auto" w:fill="auto"/>
          </w:tcPr>
          <w:p w14:paraId="450724E9" w14:textId="3AAF3853" w:rsidR="006A7D91" w:rsidRPr="00E44776" w:rsidRDefault="002E23DB" w:rsidP="00662EF2">
            <w:pPr>
              <w:pStyle w:val="COMTabletext"/>
              <w:keepNext w:val="0"/>
            </w:pPr>
            <w:r w:rsidRPr="00E44776">
              <w:t>Th</w:t>
            </w:r>
            <w:r w:rsidR="000B382C">
              <w:t>e evaluation and the ESC considered th</w:t>
            </w:r>
            <w:r w:rsidRPr="00E44776">
              <w:t>is assumption was uncertain. The resubmission did not account for potential substitution of acalabrutinib for chlorambucil + obinutuzumab.</w:t>
            </w:r>
          </w:p>
        </w:tc>
      </w:tr>
      <w:tr w:rsidR="006A7D91" w:rsidRPr="00E44776" w14:paraId="077DD403" w14:textId="77777777" w:rsidTr="00662EF2">
        <w:tc>
          <w:tcPr>
            <w:tcW w:w="1710" w:type="dxa"/>
            <w:shd w:val="clear" w:color="auto" w:fill="auto"/>
            <w:hideMark/>
          </w:tcPr>
          <w:p w14:paraId="683F2D84" w14:textId="77777777" w:rsidR="006A7D91" w:rsidRPr="00E44776" w:rsidRDefault="006A7D91" w:rsidP="00662EF2">
            <w:pPr>
              <w:pStyle w:val="COMTabletext"/>
              <w:keepNext w:val="0"/>
              <w:rPr>
                <w:rFonts w:ascii="Times New Roman" w:hAnsi="Times New Roman"/>
              </w:rPr>
            </w:pPr>
            <w:r w:rsidRPr="00E44776">
              <w:t>Uptake/replacement rate of acalabrutinib + obinutuzumab for venetoclax + obinutuzumab </w:t>
            </w:r>
          </w:p>
        </w:tc>
        <w:tc>
          <w:tcPr>
            <w:tcW w:w="3257" w:type="dxa"/>
            <w:shd w:val="clear" w:color="auto" w:fill="auto"/>
            <w:hideMark/>
          </w:tcPr>
          <w:p w14:paraId="5AC215B1" w14:textId="77777777" w:rsidR="006A7D91" w:rsidRPr="00E44776" w:rsidRDefault="006A7D91" w:rsidP="00662EF2">
            <w:pPr>
              <w:pStyle w:val="COMTabletext"/>
              <w:keepNext w:val="0"/>
              <w:rPr>
                <w:rFonts w:ascii="Times New Roman" w:hAnsi="Times New Roman"/>
              </w:rPr>
            </w:pPr>
            <w:r w:rsidRPr="00E44776">
              <w:t>30% in Year 1 to 60% in Year 4 onwards. Sponsor assumption. </w:t>
            </w:r>
          </w:p>
        </w:tc>
        <w:tc>
          <w:tcPr>
            <w:tcW w:w="4018" w:type="dxa"/>
            <w:shd w:val="clear" w:color="auto" w:fill="auto"/>
            <w:hideMark/>
          </w:tcPr>
          <w:p w14:paraId="62C700FD" w14:textId="7B8B7D97" w:rsidR="006A7D91" w:rsidRPr="00E44776" w:rsidRDefault="002E23DB" w:rsidP="00662EF2">
            <w:pPr>
              <w:pStyle w:val="COMTabletext"/>
              <w:keepNext w:val="0"/>
              <w:rPr>
                <w:rFonts w:ascii="Times New Roman" w:hAnsi="Times New Roman"/>
              </w:rPr>
            </w:pPr>
            <w:r w:rsidRPr="00E44776">
              <w:t>Uptake/replacement rates were considered uncertain. Acalabrutinib + obinutuzumab uptake rates may be higher than estimated in the resubmission due to longer progression-free survival for acalabrutinib + obinutuzumab compared to fixed duration venetoclax + obinutuzumab.</w:t>
            </w:r>
          </w:p>
        </w:tc>
      </w:tr>
      <w:tr w:rsidR="000D2C35" w:rsidRPr="00E44776" w14:paraId="221EECF1" w14:textId="77777777" w:rsidTr="00662EF2">
        <w:tc>
          <w:tcPr>
            <w:tcW w:w="1710" w:type="dxa"/>
            <w:shd w:val="clear" w:color="auto" w:fill="auto"/>
          </w:tcPr>
          <w:p w14:paraId="6EE3E43D" w14:textId="21AAD865" w:rsidR="000D2C35" w:rsidRPr="00E44776" w:rsidRDefault="000D2C35" w:rsidP="00662EF2">
            <w:pPr>
              <w:pStyle w:val="COMTabletext"/>
              <w:keepNext w:val="0"/>
            </w:pPr>
            <w:r w:rsidRPr="00E44776">
              <w:t>Choice of subsequent therapy</w:t>
            </w:r>
          </w:p>
        </w:tc>
        <w:tc>
          <w:tcPr>
            <w:tcW w:w="3257" w:type="dxa"/>
            <w:shd w:val="clear" w:color="auto" w:fill="auto"/>
          </w:tcPr>
          <w:p w14:paraId="37B7E3AF" w14:textId="424BF82E" w:rsidR="000D2C35" w:rsidRPr="00E44776" w:rsidRDefault="000D2C35" w:rsidP="00662EF2">
            <w:pPr>
              <w:pStyle w:val="COMTabletext"/>
              <w:keepNext w:val="0"/>
            </w:pPr>
            <w:r w:rsidRPr="00E44776">
              <w:t xml:space="preserve">Assumed that patients </w:t>
            </w:r>
            <w:r w:rsidR="00C1627C" w:rsidRPr="00E44776">
              <w:t xml:space="preserve">treated with first-line ACAL + OBI will receive VEN + RIT (90%) or IDEL with </w:t>
            </w:r>
            <w:r w:rsidR="0093299F" w:rsidRPr="00E44776">
              <w:t>RIT</w:t>
            </w:r>
            <w:r w:rsidR="00C1627C" w:rsidRPr="00E44776">
              <w:t xml:space="preserve"> (10%). Assumed that patients treated with first-line venetoclax + obinutuzumab will receive </w:t>
            </w:r>
            <w:r w:rsidR="0093299F" w:rsidRPr="00E44776">
              <w:t>IBR</w:t>
            </w:r>
            <w:r w:rsidR="00C1627C" w:rsidRPr="00E44776">
              <w:t xml:space="preserve"> (85.2%) or ACAL</w:t>
            </w:r>
            <w:r w:rsidR="0093299F" w:rsidRPr="00E44776">
              <w:t xml:space="preserve"> (14.8%).</w:t>
            </w:r>
          </w:p>
        </w:tc>
        <w:tc>
          <w:tcPr>
            <w:tcW w:w="4018" w:type="dxa"/>
            <w:shd w:val="clear" w:color="auto" w:fill="auto"/>
          </w:tcPr>
          <w:p w14:paraId="24A67D3A" w14:textId="2541CD46" w:rsidR="000D2C35" w:rsidRPr="00E44776" w:rsidRDefault="0093299F" w:rsidP="00662EF2">
            <w:pPr>
              <w:pStyle w:val="COMTabletext"/>
              <w:keepNext w:val="0"/>
            </w:pPr>
            <w:r w:rsidRPr="00E44776">
              <w:t>The assumptions were generally consistent with assumed subsequent treatments for the economic model.</w:t>
            </w:r>
          </w:p>
        </w:tc>
      </w:tr>
      <w:tr w:rsidR="006A7D91" w:rsidRPr="00E44776" w14:paraId="4E19F8FC" w14:textId="77777777" w:rsidTr="00662EF2">
        <w:tc>
          <w:tcPr>
            <w:tcW w:w="1710" w:type="dxa"/>
            <w:shd w:val="clear" w:color="auto" w:fill="auto"/>
          </w:tcPr>
          <w:p w14:paraId="013B325D" w14:textId="57A5C074" w:rsidR="006A7D91" w:rsidRPr="00E44776" w:rsidRDefault="007C1614" w:rsidP="00662EF2">
            <w:pPr>
              <w:pStyle w:val="COMTabletext"/>
              <w:keepNext w:val="0"/>
            </w:pPr>
            <w:r w:rsidRPr="00E44776">
              <w:t>First-line ACAL scripts per year</w:t>
            </w:r>
          </w:p>
        </w:tc>
        <w:tc>
          <w:tcPr>
            <w:tcW w:w="3257" w:type="dxa"/>
            <w:shd w:val="clear" w:color="auto" w:fill="auto"/>
          </w:tcPr>
          <w:p w14:paraId="5707C0E6" w14:textId="718C98DC" w:rsidR="006A7D91" w:rsidRPr="00E44776" w:rsidRDefault="007C1614" w:rsidP="00662EF2">
            <w:pPr>
              <w:pStyle w:val="COMTabletext"/>
              <w:keepNext w:val="0"/>
            </w:pPr>
            <w:r w:rsidRPr="00E44776">
              <w:t>12.34. Based on the number of scripts required for a full year of treatment, multiplied by the relative dose intensity of co-administered ACAL in the ACAL + OBI arm of ELEVATE-TN (13.04; 94.6%)</w:t>
            </w:r>
            <w:r w:rsidR="0078084A" w:rsidRPr="00E44776">
              <w:t>.</w:t>
            </w:r>
          </w:p>
        </w:tc>
        <w:tc>
          <w:tcPr>
            <w:tcW w:w="4018" w:type="dxa"/>
            <w:shd w:val="clear" w:color="auto" w:fill="auto"/>
          </w:tcPr>
          <w:p w14:paraId="5F800A5A" w14:textId="38037610" w:rsidR="006A7D91" w:rsidRPr="00E44776" w:rsidRDefault="007C1614" w:rsidP="00662EF2">
            <w:pPr>
              <w:pStyle w:val="COMTabletext"/>
              <w:keepNext w:val="0"/>
            </w:pPr>
            <w:r w:rsidRPr="00E44776">
              <w:t>It may not be reasonable to assume use in Australian clinical practice will be equivalent to use in the ELEVATE-TN trial.</w:t>
            </w:r>
          </w:p>
        </w:tc>
      </w:tr>
      <w:tr w:rsidR="00DA6479" w:rsidRPr="00E44776" w14:paraId="2BEC61C3" w14:textId="77777777" w:rsidTr="00662EF2">
        <w:tc>
          <w:tcPr>
            <w:tcW w:w="1710" w:type="dxa"/>
            <w:shd w:val="clear" w:color="auto" w:fill="auto"/>
          </w:tcPr>
          <w:p w14:paraId="5571B0AA" w14:textId="1687C39E" w:rsidR="00DA6479" w:rsidRPr="00E44776" w:rsidRDefault="00DA6479" w:rsidP="00DA6479">
            <w:pPr>
              <w:pStyle w:val="COMTabletext"/>
              <w:keepNext w:val="0"/>
            </w:pPr>
            <w:bookmarkStart w:id="109" w:name="_Hlk111458757"/>
            <w:r w:rsidRPr="00E44776">
              <w:lastRenderedPageBreak/>
              <w:t>First-line OBI scripts</w:t>
            </w:r>
            <w:r w:rsidR="00661396" w:rsidRPr="00E44776">
              <w:t xml:space="preserve"> (ACAL + OBI)</w:t>
            </w:r>
            <w:bookmarkEnd w:id="109"/>
          </w:p>
        </w:tc>
        <w:tc>
          <w:tcPr>
            <w:tcW w:w="3257" w:type="dxa"/>
          </w:tcPr>
          <w:p w14:paraId="059350CA" w14:textId="02CDFF8D" w:rsidR="00DA6479" w:rsidRPr="00E44776" w:rsidRDefault="00AD1EC6" w:rsidP="00DA6479">
            <w:pPr>
              <w:pStyle w:val="COMTabletext"/>
              <w:keepNext w:val="0"/>
            </w:pPr>
            <w:bookmarkStart w:id="110" w:name="_Hlk111458749"/>
            <w:r w:rsidRPr="00E44776">
              <w:t>7.50</w:t>
            </w:r>
            <w:bookmarkEnd w:id="110"/>
            <w:r w:rsidR="00DA6479" w:rsidRPr="00E44776">
              <w:t xml:space="preserve">. Based on the </w:t>
            </w:r>
            <w:r w:rsidR="0032229E" w:rsidRPr="00E44776">
              <w:t xml:space="preserve">planned number of OBI  administrations in the ELEVATE-TN trial adjusted for </w:t>
            </w:r>
            <w:r w:rsidR="00DA6479" w:rsidRPr="00E44776">
              <w:t>dose intensity (</w:t>
            </w:r>
            <w:r w:rsidR="0032229E" w:rsidRPr="00E44776">
              <w:t xml:space="preserve">8 administrations; </w:t>
            </w:r>
            <w:r w:rsidR="00DA6479" w:rsidRPr="00E44776">
              <w:t>93.8%</w:t>
            </w:r>
            <w:r w:rsidR="0032229E" w:rsidRPr="00E44776">
              <w:t xml:space="preserve"> dose intensity</w:t>
            </w:r>
            <w:r w:rsidR="00DA6479" w:rsidRPr="00E44776">
              <w:t>).</w:t>
            </w:r>
          </w:p>
        </w:tc>
        <w:tc>
          <w:tcPr>
            <w:tcW w:w="4018" w:type="dxa"/>
          </w:tcPr>
          <w:p w14:paraId="7F8EFF7D" w14:textId="33D181F7" w:rsidR="00DA6479" w:rsidRPr="00E44776" w:rsidRDefault="00DA6479" w:rsidP="00DA6479">
            <w:pPr>
              <w:pStyle w:val="COMTabletext"/>
              <w:keepNext w:val="0"/>
            </w:pPr>
            <w:r w:rsidRPr="00E44776">
              <w:rPr>
                <w:szCs w:val="20"/>
              </w:rPr>
              <w:t>The applied dose intensity (93.8%) was the dose intensity for the CHL + OBI arm of the ELEVATE-TN trial rather than ACAL + OBI arm (94.5%).</w:t>
            </w:r>
          </w:p>
        </w:tc>
      </w:tr>
      <w:tr w:rsidR="006A7D91" w:rsidRPr="00E44776" w14:paraId="0A2E5D94" w14:textId="77777777" w:rsidTr="00662EF2">
        <w:tc>
          <w:tcPr>
            <w:tcW w:w="1710" w:type="dxa"/>
            <w:shd w:val="clear" w:color="auto" w:fill="auto"/>
            <w:hideMark/>
          </w:tcPr>
          <w:p w14:paraId="266F395A" w14:textId="66D49FE3" w:rsidR="006A7D91" w:rsidRPr="00E44776" w:rsidRDefault="00D47CB8" w:rsidP="00662EF2">
            <w:pPr>
              <w:pStyle w:val="COMTabletext"/>
              <w:keepNext w:val="0"/>
              <w:rPr>
                <w:rFonts w:ascii="Times New Roman" w:hAnsi="Times New Roman"/>
              </w:rPr>
            </w:pPr>
            <w:r w:rsidRPr="00E44776">
              <w:t>Displaced first-line venetoclax scripts</w:t>
            </w:r>
          </w:p>
        </w:tc>
        <w:tc>
          <w:tcPr>
            <w:tcW w:w="3257" w:type="dxa"/>
            <w:shd w:val="clear" w:color="auto" w:fill="auto"/>
            <w:hideMark/>
          </w:tcPr>
          <w:p w14:paraId="13F7FE6D" w14:textId="77A03673" w:rsidR="006A7D91" w:rsidRPr="00E44776" w:rsidRDefault="00D47CB8" w:rsidP="00662EF2">
            <w:pPr>
              <w:pStyle w:val="COMTabletext"/>
              <w:keepNext w:val="0"/>
              <w:rPr>
                <w:rFonts w:ascii="Times New Roman" w:hAnsi="Times New Roman"/>
              </w:rPr>
            </w:pPr>
            <w:r w:rsidRPr="00E44776">
              <w:t>Estimated displaced VEN scripts based on the decline of VEN + OBI scripts in proportion to the treatment uptake of ACAL + OBI. Average number of scripts per course of VEN when used in combination with OBI was 9.67 scripts (Table 7 venetoclax PSD July 2020)</w:t>
            </w:r>
            <w:r w:rsidR="0078084A" w:rsidRPr="00E44776">
              <w:t>.</w:t>
            </w:r>
          </w:p>
        </w:tc>
        <w:tc>
          <w:tcPr>
            <w:tcW w:w="4018" w:type="dxa"/>
            <w:shd w:val="clear" w:color="auto" w:fill="auto"/>
            <w:hideMark/>
          </w:tcPr>
          <w:p w14:paraId="2BE84F13" w14:textId="5E2474B5" w:rsidR="006A7D91" w:rsidRPr="00E44776" w:rsidRDefault="00A26A34" w:rsidP="00662EF2">
            <w:pPr>
              <w:pStyle w:val="COMTabletext"/>
              <w:keepNext w:val="0"/>
            </w:pPr>
            <w:r w:rsidRPr="00E44776">
              <w:t>The resubmission inappropriately included 13.04 starter pack scripts per patient rather than one. The estimated scripts per course was based on the mean treatment duration for venetoclax and did not appear to include adjustment for dose intensity. It may not be reasonable to include a dose intensity adjustment for acalabrutinib and not venetoclax.</w:t>
            </w:r>
          </w:p>
        </w:tc>
      </w:tr>
      <w:tr w:rsidR="00661396" w:rsidRPr="00E44776" w14:paraId="43DE6CA5" w14:textId="77777777" w:rsidTr="00662EF2">
        <w:tc>
          <w:tcPr>
            <w:tcW w:w="1710" w:type="dxa"/>
            <w:shd w:val="clear" w:color="auto" w:fill="auto"/>
          </w:tcPr>
          <w:p w14:paraId="7D6730EB" w14:textId="373945CB" w:rsidR="00661396" w:rsidRPr="00E44776" w:rsidRDefault="00661396" w:rsidP="00662EF2">
            <w:pPr>
              <w:pStyle w:val="COMTabletext"/>
              <w:keepNext w:val="0"/>
            </w:pPr>
            <w:r w:rsidRPr="00E44776">
              <w:t>First-line OBI scripts (VEN + OBI)</w:t>
            </w:r>
          </w:p>
        </w:tc>
        <w:tc>
          <w:tcPr>
            <w:tcW w:w="3257" w:type="dxa"/>
            <w:shd w:val="clear" w:color="auto" w:fill="auto"/>
          </w:tcPr>
          <w:p w14:paraId="7ACCA5EC" w14:textId="725767D2" w:rsidR="00661396" w:rsidRPr="00E44776" w:rsidRDefault="00630B36" w:rsidP="00662EF2">
            <w:pPr>
              <w:pStyle w:val="COMTabletext"/>
              <w:keepNext w:val="0"/>
            </w:pPr>
            <w:r w:rsidRPr="00E44776">
              <w:t>7.35. Based on the number of OBI scripts per course in the CLL-14 trial reported in Table 7 of the July 2020 venetoclax PSD.</w:t>
            </w:r>
          </w:p>
        </w:tc>
        <w:tc>
          <w:tcPr>
            <w:tcW w:w="4018" w:type="dxa"/>
            <w:shd w:val="clear" w:color="auto" w:fill="auto"/>
          </w:tcPr>
          <w:p w14:paraId="180646FF" w14:textId="72E87A3C" w:rsidR="00661396" w:rsidRPr="00E44776" w:rsidRDefault="008A089F" w:rsidP="00662EF2">
            <w:pPr>
              <w:pStyle w:val="COMTabletext"/>
              <w:keepNext w:val="0"/>
            </w:pPr>
            <w:r w:rsidRPr="00E44776">
              <w:t>The number of OBI administrations</w:t>
            </w:r>
            <w:r w:rsidR="002B1C72" w:rsidRPr="00E44776">
              <w:t xml:space="preserve"> (7.35)</w:t>
            </w:r>
            <w:r w:rsidRPr="00E44776">
              <w:t xml:space="preserve"> was lower than assumed for patients treated with ACAL + OBI</w:t>
            </w:r>
            <w:r w:rsidR="002B1C72" w:rsidRPr="00E44776">
              <w:t xml:space="preserve"> (7.50)</w:t>
            </w:r>
            <w:r w:rsidRPr="00E44776">
              <w:t>.</w:t>
            </w:r>
          </w:p>
        </w:tc>
      </w:tr>
      <w:tr w:rsidR="0078084A" w:rsidRPr="00E44776" w14:paraId="13B779E8" w14:textId="56957740" w:rsidTr="00C83C0D">
        <w:trPr>
          <w:trHeight w:val="70"/>
        </w:trPr>
        <w:tc>
          <w:tcPr>
            <w:tcW w:w="1710" w:type="dxa"/>
            <w:shd w:val="clear" w:color="auto" w:fill="auto"/>
          </w:tcPr>
          <w:p w14:paraId="57A9F956" w14:textId="4C908273" w:rsidR="0078084A" w:rsidRPr="00E44776" w:rsidRDefault="00C83C0D" w:rsidP="00662EF2">
            <w:pPr>
              <w:pStyle w:val="COMTabletext"/>
              <w:keepNext w:val="0"/>
            </w:pPr>
            <w:r w:rsidRPr="00E44776">
              <w:t>Drug prices</w:t>
            </w:r>
          </w:p>
        </w:tc>
        <w:tc>
          <w:tcPr>
            <w:tcW w:w="3257" w:type="dxa"/>
            <w:shd w:val="clear" w:color="auto" w:fill="auto"/>
          </w:tcPr>
          <w:p w14:paraId="2ECF4437" w14:textId="377DB39F" w:rsidR="0078084A" w:rsidRPr="00E44776" w:rsidRDefault="00C83C0D" w:rsidP="00662EF2">
            <w:pPr>
              <w:pStyle w:val="COMTabletext"/>
              <w:keepNext w:val="0"/>
            </w:pPr>
            <w:r w:rsidRPr="00E44776">
              <w:t>Venetoclax, acalabrutinib, obinutuzumab, idelalisib, and ibrutinib are subject to special pricing arrangements. The effective price of ibrutinib is known to the sponsor. Effective prices for obinutuzumab and idelalisib were estimated by assuming a 50% discount to their published ex-manufacturer prices. The effective price of venetoclax was estimated by assuming a 29.68% discount to the published ex-manufacturer prices.</w:t>
            </w:r>
          </w:p>
        </w:tc>
        <w:tc>
          <w:tcPr>
            <w:tcW w:w="4018" w:type="dxa"/>
            <w:shd w:val="clear" w:color="auto" w:fill="auto"/>
          </w:tcPr>
          <w:p w14:paraId="6078C201" w14:textId="636BD6F0" w:rsidR="0078084A" w:rsidRPr="00E44776" w:rsidRDefault="0078084A" w:rsidP="00C83C0D">
            <w:pPr>
              <w:pStyle w:val="COMTabletext"/>
              <w:keepNext w:val="0"/>
            </w:pPr>
          </w:p>
        </w:tc>
      </w:tr>
    </w:tbl>
    <w:p w14:paraId="2B4442CE" w14:textId="3B21A714" w:rsidR="008223C5" w:rsidRPr="00E44776" w:rsidRDefault="008223C5" w:rsidP="008223C5">
      <w:pPr>
        <w:pStyle w:val="COMTablefooter"/>
      </w:pPr>
      <w:r w:rsidRPr="00E44776">
        <w:t>Source: Section 4 of the resubmission.</w:t>
      </w:r>
    </w:p>
    <w:p w14:paraId="4ECB1B2A" w14:textId="4A8FA728" w:rsidR="006A7D91" w:rsidRPr="00E44776" w:rsidRDefault="008223C5" w:rsidP="008223C5">
      <w:pPr>
        <w:pStyle w:val="COMTablefooter"/>
      </w:pPr>
      <w:r w:rsidRPr="00E44776">
        <w:t>ABS = Australian Bureau of Statistics, ACAL = acalabrutinib, AIHW = Australian Institute of Health and Welfare CLL = chronic lymphocytic leukaemia, IBR = ibrutinib, IDEL= idelalisib, OBI = obinutuzumab, PFS = progression-free survival,</w:t>
      </w:r>
      <w:r w:rsidR="005F4F13">
        <w:t xml:space="preserve"> PSCR = Pre-Sub-Committee Response,</w:t>
      </w:r>
      <w:r w:rsidRPr="00E44776">
        <w:t xml:space="preserve"> PSD = Public Summary Document, RIT = rituximab, R/R = relapsed/refractory, RSA = risk-sharing agreement, VEN = venetoclax</w:t>
      </w:r>
    </w:p>
    <w:p w14:paraId="60DE0268" w14:textId="11FB2A29" w:rsidR="006A7D91" w:rsidRPr="00E44776" w:rsidRDefault="0009236C" w:rsidP="006A7D91">
      <w:pPr>
        <w:pStyle w:val="COMexecsumnumberedpara"/>
      </w:pPr>
      <w:r w:rsidRPr="00E44776">
        <w:t>T</w:t>
      </w:r>
      <w:r w:rsidR="006A7D91" w:rsidRPr="00E44776">
        <w:t>he estimated net cost to the PBS/RPBS of listing acalabrutinib + obinutuzumab</w:t>
      </w:r>
      <w:r w:rsidRPr="00E44776">
        <w:t xml:space="preserve"> is presented in</w:t>
      </w:r>
      <w:r w:rsidR="006C6872" w:rsidRPr="00E44776">
        <w:t xml:space="preserve"> </w:t>
      </w:r>
      <w:r w:rsidR="006C6872" w:rsidRPr="00E44776">
        <w:fldChar w:fldCharType="begin" w:fldLock="1"/>
      </w:r>
      <w:r w:rsidR="006C6872" w:rsidRPr="00E44776">
        <w:instrText xml:space="preserve"> REF _Ref111476080 \h </w:instrText>
      </w:r>
      <w:r w:rsidR="00E44776" w:rsidRPr="00E44776">
        <w:instrText xml:space="preserve"> \* MERGEFORMAT </w:instrText>
      </w:r>
      <w:r w:rsidR="006C6872" w:rsidRPr="00E44776">
        <w:fldChar w:fldCharType="separate"/>
      </w:r>
      <w:r w:rsidR="00CB2B8B" w:rsidRPr="00E44776">
        <w:t xml:space="preserve">Table </w:t>
      </w:r>
      <w:r w:rsidR="00CB2B8B">
        <w:rPr>
          <w:noProof/>
        </w:rPr>
        <w:t>18</w:t>
      </w:r>
      <w:r w:rsidR="006C6872" w:rsidRPr="00E44776">
        <w:fldChar w:fldCharType="end"/>
      </w:r>
      <w:r w:rsidR="00827009">
        <w:t xml:space="preserve"> (based on </w:t>
      </w:r>
      <w:r w:rsidR="002633E4" w:rsidRPr="002633E4">
        <w:t>the resubmission’s estimates of the effective prices of other CLL therapies</w:t>
      </w:r>
      <w:r w:rsidR="002633E4">
        <w:t xml:space="preserve">). </w:t>
      </w:r>
    </w:p>
    <w:p w14:paraId="400F3C0E" w14:textId="33DC280A" w:rsidR="006A7D91" w:rsidRPr="00E44776" w:rsidRDefault="006869AB" w:rsidP="0009236C">
      <w:pPr>
        <w:pStyle w:val="TableFigureCaption"/>
        <w:rPr>
          <w:rFonts w:ascii="Segoe UI" w:hAnsi="Segoe UI"/>
          <w:sz w:val="18"/>
          <w:szCs w:val="18"/>
        </w:rPr>
      </w:pPr>
      <w:bookmarkStart w:id="111" w:name="_Ref111476080"/>
      <w:bookmarkStart w:id="112" w:name="_Ref111296064"/>
      <w:r w:rsidRPr="00E44776">
        <w:lastRenderedPageBreak/>
        <w:t xml:space="preserve">Table </w:t>
      </w:r>
      <w:r w:rsidR="00B53F47">
        <w:fldChar w:fldCharType="begin" w:fldLock="1"/>
      </w:r>
      <w:r w:rsidR="00B53F47">
        <w:instrText xml:space="preserve"> SEQ Table \* ARABIC </w:instrText>
      </w:r>
      <w:r w:rsidR="00B53F47">
        <w:fldChar w:fldCharType="separate"/>
      </w:r>
      <w:r w:rsidR="00CB2B8B">
        <w:rPr>
          <w:noProof/>
        </w:rPr>
        <w:t>18</w:t>
      </w:r>
      <w:r w:rsidR="00B53F47">
        <w:rPr>
          <w:noProof/>
        </w:rPr>
        <w:fldChar w:fldCharType="end"/>
      </w:r>
      <w:bookmarkEnd w:id="111"/>
      <w:r w:rsidR="006A7D91" w:rsidRPr="00E44776">
        <w:t>: Estimated number of treated patients and the cost of acalabrutinib + obinutuzumab to the PBS/RPBS </w:t>
      </w:r>
      <w:bookmarkEnd w:id="112"/>
    </w:p>
    <w:tbl>
      <w:tblPr>
        <w:tblW w:w="9011" w:type="dxa"/>
        <w:tblBorders>
          <w:top w:val="outset" w:sz="6" w:space="0" w:color="auto"/>
          <w:left w:val="outset" w:sz="6" w:space="0" w:color="auto"/>
          <w:bottom w:val="outset" w:sz="6" w:space="0" w:color="auto"/>
          <w:right w:val="outset" w:sz="6" w:space="0" w:color="auto"/>
        </w:tblBorders>
        <w:tblCellMar>
          <w:left w:w="28" w:type="dxa"/>
          <w:right w:w="28" w:type="dxa"/>
        </w:tblCellMar>
        <w:tblLook w:val="04A0" w:firstRow="1" w:lastRow="0" w:firstColumn="1" w:lastColumn="0" w:noHBand="0" w:noVBand="1"/>
        <w:tblCaption w:val="Table 18: Estimated number of treated patients and the cost of acalabrutinib + obinutuzumab to the PBS/RPBS "/>
      </w:tblPr>
      <w:tblGrid>
        <w:gridCol w:w="2318"/>
        <w:gridCol w:w="1115"/>
        <w:gridCol w:w="1116"/>
        <w:gridCol w:w="1115"/>
        <w:gridCol w:w="1116"/>
        <w:gridCol w:w="1115"/>
        <w:gridCol w:w="1116"/>
      </w:tblGrid>
      <w:tr w:rsidR="00A97643" w:rsidRPr="00E44776" w14:paraId="327F9A6D" w14:textId="77777777" w:rsidTr="00FA2D4B">
        <w:tc>
          <w:tcPr>
            <w:tcW w:w="2318" w:type="dxa"/>
            <w:tcBorders>
              <w:top w:val="single" w:sz="4" w:space="0" w:color="auto"/>
              <w:left w:val="single" w:sz="6" w:space="0" w:color="auto"/>
              <w:bottom w:val="single" w:sz="6" w:space="0" w:color="auto"/>
              <w:right w:val="single" w:sz="6" w:space="0" w:color="auto"/>
            </w:tcBorders>
            <w:shd w:val="clear" w:color="auto" w:fill="auto"/>
            <w:hideMark/>
          </w:tcPr>
          <w:p w14:paraId="237FAA9F" w14:textId="77777777"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 </w:t>
            </w:r>
          </w:p>
        </w:tc>
        <w:tc>
          <w:tcPr>
            <w:tcW w:w="1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15ED0" w14:textId="77777777"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Year 1</w:t>
            </w:r>
            <w:r w:rsidRPr="00E44776">
              <w:rPr>
                <w:rFonts w:ascii="Arial Narrow" w:hAnsi="Arial Narrow" w:cs="Times New Roman"/>
                <w:sz w:val="20"/>
                <w:szCs w:val="20"/>
              </w:rPr>
              <w:t> </w:t>
            </w:r>
          </w:p>
        </w:tc>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F5596" w14:textId="77777777"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Year 2</w:t>
            </w:r>
            <w:r w:rsidRPr="00E44776">
              <w:rPr>
                <w:rFonts w:ascii="Arial Narrow" w:hAnsi="Arial Narrow" w:cs="Times New Roman"/>
                <w:sz w:val="20"/>
                <w:szCs w:val="20"/>
              </w:rPr>
              <w:t> </w:t>
            </w:r>
          </w:p>
        </w:tc>
        <w:tc>
          <w:tcPr>
            <w:tcW w:w="1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063376E" w14:textId="77777777"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Year 3</w:t>
            </w:r>
            <w:r w:rsidRPr="00E44776">
              <w:rPr>
                <w:rFonts w:ascii="Arial Narrow" w:hAnsi="Arial Narrow" w:cs="Times New Roman"/>
                <w:sz w:val="20"/>
                <w:szCs w:val="20"/>
              </w:rPr>
              <w:t> </w:t>
            </w:r>
          </w:p>
        </w:tc>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24BEF" w14:textId="77777777"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Year 4</w:t>
            </w:r>
            <w:r w:rsidRPr="00E44776">
              <w:rPr>
                <w:rFonts w:ascii="Arial Narrow" w:hAnsi="Arial Narrow" w:cs="Times New Roman"/>
                <w:sz w:val="20"/>
                <w:szCs w:val="20"/>
              </w:rPr>
              <w:t> </w:t>
            </w:r>
          </w:p>
        </w:tc>
        <w:tc>
          <w:tcPr>
            <w:tcW w:w="11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37C28D" w14:textId="77777777"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Year 5</w:t>
            </w:r>
            <w:r w:rsidRPr="00E44776">
              <w:rPr>
                <w:rFonts w:ascii="Arial Narrow" w:hAnsi="Arial Narrow" w:cs="Times New Roman"/>
                <w:sz w:val="20"/>
                <w:szCs w:val="20"/>
              </w:rPr>
              <w:t> </w:t>
            </w:r>
          </w:p>
        </w:tc>
        <w:tc>
          <w:tcPr>
            <w:tcW w:w="111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72F73F0" w14:textId="77777777"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Year 6</w:t>
            </w:r>
            <w:r w:rsidRPr="00E44776">
              <w:rPr>
                <w:rFonts w:ascii="Arial Narrow" w:hAnsi="Arial Narrow" w:cs="Times New Roman"/>
                <w:sz w:val="20"/>
                <w:szCs w:val="20"/>
              </w:rPr>
              <w:t> </w:t>
            </w:r>
          </w:p>
        </w:tc>
      </w:tr>
      <w:tr w:rsidR="006A7D91" w:rsidRPr="00E44776" w14:paraId="084651E0" w14:textId="77777777" w:rsidTr="00B71082">
        <w:tc>
          <w:tcPr>
            <w:tcW w:w="9011" w:type="dxa"/>
            <w:gridSpan w:val="7"/>
            <w:tcBorders>
              <w:top w:val="single" w:sz="6" w:space="0" w:color="auto"/>
              <w:left w:val="single" w:sz="6" w:space="0" w:color="auto"/>
              <w:bottom w:val="single" w:sz="6" w:space="0" w:color="auto"/>
              <w:right w:val="single" w:sz="6" w:space="0" w:color="auto"/>
            </w:tcBorders>
            <w:shd w:val="clear" w:color="auto" w:fill="auto"/>
            <w:hideMark/>
          </w:tcPr>
          <w:p w14:paraId="64541213" w14:textId="7105BE9D" w:rsidR="006A7D91" w:rsidRPr="00E44776" w:rsidRDefault="006A7D91" w:rsidP="00013B37">
            <w:pPr>
              <w:pStyle w:val="TableFigureCaption"/>
              <w:rPr>
                <w:rFonts w:ascii="Times New Roman" w:hAnsi="Times New Roman"/>
              </w:rPr>
            </w:pPr>
            <w:r w:rsidRPr="00E44776">
              <w:t xml:space="preserve">Total </w:t>
            </w:r>
            <w:r w:rsidR="00834BD5" w:rsidRPr="00E44776">
              <w:t xml:space="preserve">ACAL </w:t>
            </w:r>
            <w:r w:rsidRPr="00E44776">
              <w:t>+ OBI initiating patients </w:t>
            </w:r>
          </w:p>
        </w:tc>
      </w:tr>
      <w:tr w:rsidR="00A97643" w:rsidRPr="00E44776" w14:paraId="6FF73069" w14:textId="77777777" w:rsidTr="00B71082">
        <w:tc>
          <w:tcPr>
            <w:tcW w:w="2318" w:type="dxa"/>
            <w:tcBorders>
              <w:top w:val="single" w:sz="6" w:space="0" w:color="auto"/>
              <w:left w:val="single" w:sz="6" w:space="0" w:color="auto"/>
              <w:bottom w:val="single" w:sz="6" w:space="0" w:color="auto"/>
              <w:right w:val="single" w:sz="4" w:space="0" w:color="auto"/>
            </w:tcBorders>
            <w:shd w:val="clear" w:color="auto" w:fill="auto"/>
            <w:hideMark/>
          </w:tcPr>
          <w:p w14:paraId="6BE4E2E2" w14:textId="77777777"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CLL incidence (8.6/100,000)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0DD68" w14:textId="67EBC2D7"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0"/>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0"/>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B9AA870" w14:textId="4138DE1B"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9"/>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9"/>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73C995E" w14:textId="434288DA"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8"/>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8"/>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2AD48C55" w14:textId="22CD5341"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7"/>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7"/>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5" w:type="dxa"/>
            <w:tcBorders>
              <w:top w:val="single" w:sz="4" w:space="0" w:color="auto"/>
              <w:left w:val="nil"/>
              <w:bottom w:val="single" w:sz="4" w:space="0" w:color="auto"/>
              <w:right w:val="single" w:sz="4" w:space="0" w:color="auto"/>
            </w:tcBorders>
            <w:shd w:val="clear" w:color="auto" w:fill="auto"/>
            <w:vAlign w:val="center"/>
            <w:hideMark/>
          </w:tcPr>
          <w:p w14:paraId="371862E9" w14:textId="77AA832F"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6"/>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6"/>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nil"/>
              <w:bottom w:val="single" w:sz="4" w:space="0" w:color="auto"/>
              <w:right w:val="single" w:sz="4" w:space="0" w:color="auto"/>
            </w:tcBorders>
            <w:shd w:val="clear" w:color="auto" w:fill="auto"/>
            <w:vAlign w:val="center"/>
            <w:hideMark/>
          </w:tcPr>
          <w:p w14:paraId="3D9749CE" w14:textId="4FF368C0"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5"/>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5"/>
                <w14:textFill>
                  <w14:solidFill>
                    <w14:srgbClr w14:val="000000">
                      <w14:alpha w14:val="100000"/>
                    </w14:srgbClr>
                  </w14:solidFill>
                </w14:textFill>
              </w:rPr>
              <w:t>|</w:t>
            </w:r>
            <w:r w:rsidR="00AD310A">
              <w:rPr>
                <w:rFonts w:ascii="Arial Narrow" w:hAnsi="Arial Narrow"/>
                <w:sz w:val="20"/>
                <w:szCs w:val="20"/>
                <w:vertAlign w:val="superscript"/>
              </w:rPr>
              <w:t>1</w:t>
            </w:r>
          </w:p>
        </w:tc>
      </w:tr>
      <w:tr w:rsidR="00A97643" w:rsidRPr="00E44776" w14:paraId="088E6249" w14:textId="77777777" w:rsidTr="00B71082">
        <w:tc>
          <w:tcPr>
            <w:tcW w:w="2318" w:type="dxa"/>
            <w:tcBorders>
              <w:top w:val="single" w:sz="6" w:space="0" w:color="auto"/>
              <w:left w:val="single" w:sz="6" w:space="0" w:color="auto"/>
              <w:bottom w:val="single" w:sz="6" w:space="0" w:color="auto"/>
              <w:right w:val="single" w:sz="4" w:space="0" w:color="auto"/>
            </w:tcBorders>
            <w:shd w:val="clear" w:color="auto" w:fill="auto"/>
            <w:hideMark/>
          </w:tcPr>
          <w:p w14:paraId="4D530B92" w14:textId="77777777"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Total initiating patients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EFCAE4" w14:textId="60F5BCB7"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4"/>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4"/>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47410D" w14:textId="40DE76CC"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2000"/>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2000"/>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9780B7" w14:textId="1DF6D044"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9"/>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9"/>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31C305" w14:textId="05A4FCD4"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8"/>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8"/>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38F28" w14:textId="4FDA4555"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7"/>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7"/>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679A12" w14:textId="2FF2A31A"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6"/>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6"/>
                <w14:textFill>
                  <w14:solidFill>
                    <w14:srgbClr w14:val="000000">
                      <w14:alpha w14:val="100000"/>
                    </w14:srgbClr>
                  </w14:solidFill>
                </w14:textFill>
              </w:rPr>
              <w:t>|</w:t>
            </w:r>
            <w:r w:rsidR="00AD310A">
              <w:rPr>
                <w:rFonts w:ascii="Arial Narrow" w:hAnsi="Arial Narrow"/>
                <w:sz w:val="20"/>
                <w:szCs w:val="20"/>
                <w:vertAlign w:val="superscript"/>
              </w:rPr>
              <w:t>1</w:t>
            </w:r>
          </w:p>
        </w:tc>
      </w:tr>
      <w:tr w:rsidR="00A97643" w:rsidRPr="00E44776" w14:paraId="08EE7952" w14:textId="77777777" w:rsidTr="00B71082">
        <w:tc>
          <w:tcPr>
            <w:tcW w:w="2318" w:type="dxa"/>
            <w:tcBorders>
              <w:top w:val="single" w:sz="6" w:space="0" w:color="auto"/>
              <w:left w:val="single" w:sz="6" w:space="0" w:color="auto"/>
              <w:bottom w:val="single" w:sz="6" w:space="0" w:color="auto"/>
              <w:right w:val="single" w:sz="4" w:space="0" w:color="auto"/>
            </w:tcBorders>
            <w:shd w:val="clear" w:color="auto" w:fill="auto"/>
            <w:hideMark/>
          </w:tcPr>
          <w:p w14:paraId="595D3168" w14:textId="77777777"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Unfit for fludarabine (65%)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D4709" w14:textId="5EBB672A"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5"/>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5"/>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DAFF75" w14:textId="2B0E2C13"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4"/>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4"/>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870784" w14:textId="364A0902"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3"/>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3"/>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382EE3" w14:textId="4860865C"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2"/>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2"/>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6BB5CB" w14:textId="213B621D"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1"/>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1"/>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2A2C33" w14:textId="2F3C2578"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0"/>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0"/>
                <w14:textFill>
                  <w14:solidFill>
                    <w14:srgbClr w14:val="000000">
                      <w14:alpha w14:val="100000"/>
                    </w14:srgbClr>
                  </w14:solidFill>
                </w14:textFill>
              </w:rPr>
              <w:t>|</w:t>
            </w:r>
            <w:r w:rsidR="00AD310A">
              <w:rPr>
                <w:rFonts w:ascii="Arial Narrow" w:hAnsi="Arial Narrow"/>
                <w:sz w:val="20"/>
                <w:szCs w:val="20"/>
                <w:vertAlign w:val="superscript"/>
              </w:rPr>
              <w:t>1</w:t>
            </w:r>
          </w:p>
        </w:tc>
      </w:tr>
      <w:tr w:rsidR="00A97643" w:rsidRPr="00E44776" w14:paraId="5ADE785F" w14:textId="77777777" w:rsidTr="00B71082">
        <w:tc>
          <w:tcPr>
            <w:tcW w:w="2318" w:type="dxa"/>
            <w:tcBorders>
              <w:top w:val="single" w:sz="6" w:space="0" w:color="auto"/>
              <w:left w:val="single" w:sz="6" w:space="0" w:color="auto"/>
              <w:bottom w:val="single" w:sz="6" w:space="0" w:color="auto"/>
              <w:right w:val="single" w:sz="4" w:space="0" w:color="auto"/>
            </w:tcBorders>
            <w:shd w:val="clear" w:color="auto" w:fill="auto"/>
          </w:tcPr>
          <w:p w14:paraId="3FB0FBA2" w14:textId="77777777" w:rsidR="006A7D91" w:rsidRPr="00E44776" w:rsidRDefault="006A7D91" w:rsidP="00013B37">
            <w:pPr>
              <w:keepNext/>
              <w:jc w:val="left"/>
              <w:textAlignment w:val="baseline"/>
              <w:rPr>
                <w:rFonts w:ascii="Arial Narrow" w:hAnsi="Arial Narrow" w:cs="Times New Roman"/>
                <w:sz w:val="20"/>
                <w:szCs w:val="20"/>
              </w:rPr>
            </w:pPr>
            <w:r w:rsidRPr="00E44776">
              <w:rPr>
                <w:rFonts w:ascii="Arial Narrow" w:hAnsi="Arial Narrow" w:cs="Times New Roman"/>
                <w:sz w:val="20"/>
                <w:szCs w:val="20"/>
              </w:rPr>
              <w:t>Market share of VEN + OBI (90%)</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3B23C37" w14:textId="63D1A312"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89"/>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9"/>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67BCAC98" w14:textId="17763973"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88"/>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8"/>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C364046" w14:textId="725AEF73"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87"/>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7"/>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84C9D56" w14:textId="03B3341D"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86"/>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6"/>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E3CD944" w14:textId="240C897D"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85"/>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5"/>
                <w14:textFill>
                  <w14:solidFill>
                    <w14:srgbClr w14:val="000000">
                      <w14:alpha w14:val="100000"/>
                    </w14:srgbClr>
                  </w14:solidFill>
                </w14:textFill>
              </w:rPr>
              <w:t>|</w:t>
            </w:r>
            <w:r w:rsidR="00AD310A">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F67C431" w14:textId="56683BEF"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84"/>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4"/>
                <w14:textFill>
                  <w14:solidFill>
                    <w14:srgbClr w14:val="000000">
                      <w14:alpha w14:val="100000"/>
                    </w14:srgbClr>
                  </w14:solidFill>
                </w14:textFill>
              </w:rPr>
              <w:t>|</w:t>
            </w:r>
            <w:r w:rsidR="00AD310A">
              <w:rPr>
                <w:rFonts w:ascii="Arial Narrow" w:hAnsi="Arial Narrow"/>
                <w:sz w:val="20"/>
                <w:szCs w:val="20"/>
                <w:vertAlign w:val="superscript"/>
              </w:rPr>
              <w:t>1</w:t>
            </w:r>
          </w:p>
        </w:tc>
      </w:tr>
      <w:tr w:rsidR="00A97643" w:rsidRPr="00E44776" w14:paraId="36677A2C" w14:textId="77777777" w:rsidTr="00B71082">
        <w:tc>
          <w:tcPr>
            <w:tcW w:w="2318" w:type="dxa"/>
            <w:tcBorders>
              <w:top w:val="single" w:sz="6" w:space="0" w:color="auto"/>
              <w:left w:val="single" w:sz="6" w:space="0" w:color="auto"/>
              <w:bottom w:val="single" w:sz="6" w:space="0" w:color="auto"/>
              <w:right w:val="single" w:sz="4" w:space="0" w:color="auto"/>
            </w:tcBorders>
            <w:shd w:val="clear" w:color="auto" w:fill="auto"/>
          </w:tcPr>
          <w:p w14:paraId="23BCB5EC" w14:textId="1F52B8BD" w:rsidR="006A7D91" w:rsidRPr="00E44776" w:rsidRDefault="006A7D91" w:rsidP="00013B37">
            <w:pPr>
              <w:keepNext/>
              <w:jc w:val="left"/>
              <w:textAlignment w:val="baseline"/>
              <w:rPr>
                <w:rFonts w:ascii="Arial Narrow" w:hAnsi="Arial Narrow" w:cs="Times New Roman"/>
                <w:sz w:val="20"/>
                <w:szCs w:val="20"/>
              </w:rPr>
            </w:pPr>
            <w:r w:rsidRPr="00E44776">
              <w:rPr>
                <w:rFonts w:ascii="Arial Narrow" w:hAnsi="Arial Narrow" w:cs="Times New Roman"/>
                <w:sz w:val="20"/>
                <w:szCs w:val="20"/>
              </w:rPr>
              <w:t xml:space="preserve">Uptake/replacement rate of </w:t>
            </w:r>
            <w:r w:rsidR="00834BD5" w:rsidRPr="00E44776">
              <w:rPr>
                <w:rFonts w:ascii="Arial Narrow" w:hAnsi="Arial Narrow" w:cs="Times New Roman"/>
                <w:sz w:val="20"/>
                <w:szCs w:val="20"/>
              </w:rPr>
              <w:t xml:space="preserve">ACAL </w:t>
            </w:r>
            <w:r w:rsidRPr="00E44776">
              <w:rPr>
                <w:rFonts w:ascii="Arial Narrow" w:hAnsi="Arial Narrow" w:cs="Times New Roman"/>
                <w:sz w:val="20"/>
                <w:szCs w:val="20"/>
              </w:rPr>
              <w:t>+ OBI for VEN + OBI</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199BD74F" w14:textId="77777777" w:rsidR="006A7D91" w:rsidRPr="00E44776" w:rsidRDefault="006A7D91" w:rsidP="00013B37">
            <w:pPr>
              <w:keepNext/>
              <w:jc w:val="center"/>
              <w:textAlignment w:val="baseline"/>
              <w:rPr>
                <w:rFonts w:ascii="Arial Narrow" w:hAnsi="Arial Narrow"/>
                <w:sz w:val="20"/>
                <w:szCs w:val="20"/>
              </w:rPr>
            </w:pPr>
            <w:r w:rsidRPr="00E44776">
              <w:rPr>
                <w:rFonts w:ascii="Arial Narrow" w:hAnsi="Arial Narrow"/>
                <w:sz w:val="20"/>
                <w:szCs w:val="20"/>
              </w:rPr>
              <w:t>30%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0A9FAA80" w14:textId="77777777" w:rsidR="006A7D91" w:rsidRPr="00E44776" w:rsidRDefault="006A7D91" w:rsidP="00013B37">
            <w:pPr>
              <w:keepNext/>
              <w:jc w:val="center"/>
              <w:textAlignment w:val="baseline"/>
              <w:rPr>
                <w:rFonts w:ascii="Arial Narrow" w:hAnsi="Arial Narrow"/>
                <w:sz w:val="20"/>
                <w:szCs w:val="20"/>
              </w:rPr>
            </w:pPr>
            <w:r w:rsidRPr="00E44776">
              <w:rPr>
                <w:rFonts w:ascii="Arial Narrow" w:hAnsi="Arial Narrow"/>
                <w:sz w:val="20"/>
                <w:szCs w:val="20"/>
              </w:rPr>
              <w:t>40%</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A5C97D7" w14:textId="77777777" w:rsidR="006A7D91" w:rsidRPr="00E44776" w:rsidRDefault="006A7D91" w:rsidP="00013B37">
            <w:pPr>
              <w:keepNext/>
              <w:jc w:val="center"/>
              <w:textAlignment w:val="baseline"/>
              <w:rPr>
                <w:rFonts w:ascii="Arial Narrow" w:hAnsi="Arial Narrow"/>
                <w:sz w:val="20"/>
                <w:szCs w:val="20"/>
              </w:rPr>
            </w:pPr>
            <w:r w:rsidRPr="00E44776">
              <w:rPr>
                <w:rFonts w:ascii="Arial Narrow" w:hAnsi="Arial Narrow"/>
                <w:sz w:val="20"/>
                <w:szCs w:val="20"/>
              </w:rPr>
              <w:t>50%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D39D472" w14:textId="77777777" w:rsidR="006A7D91" w:rsidRPr="00E44776" w:rsidRDefault="006A7D91" w:rsidP="00013B37">
            <w:pPr>
              <w:keepNext/>
              <w:jc w:val="center"/>
              <w:textAlignment w:val="baseline"/>
              <w:rPr>
                <w:rFonts w:ascii="Arial Narrow" w:hAnsi="Arial Narrow"/>
                <w:sz w:val="20"/>
                <w:szCs w:val="20"/>
              </w:rPr>
            </w:pPr>
            <w:r w:rsidRPr="00E44776">
              <w:rPr>
                <w:rFonts w:ascii="Arial Narrow" w:hAnsi="Arial Narrow"/>
                <w:sz w:val="20"/>
                <w:szCs w:val="20"/>
              </w:rPr>
              <w:t>60%</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E97DBDF" w14:textId="77777777" w:rsidR="006A7D91" w:rsidRPr="00E44776" w:rsidRDefault="006A7D91" w:rsidP="00013B37">
            <w:pPr>
              <w:keepNext/>
              <w:jc w:val="center"/>
              <w:textAlignment w:val="baseline"/>
              <w:rPr>
                <w:rFonts w:ascii="Arial Narrow" w:hAnsi="Arial Narrow"/>
                <w:sz w:val="20"/>
                <w:szCs w:val="20"/>
              </w:rPr>
            </w:pPr>
            <w:r w:rsidRPr="00E44776">
              <w:rPr>
                <w:rFonts w:ascii="Arial Narrow" w:hAnsi="Arial Narrow"/>
                <w:sz w:val="20"/>
                <w:szCs w:val="20"/>
              </w:rPr>
              <w:t>60%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52DAFEA2" w14:textId="77777777" w:rsidR="006A7D91" w:rsidRPr="00E44776" w:rsidRDefault="006A7D91" w:rsidP="00013B37">
            <w:pPr>
              <w:keepNext/>
              <w:jc w:val="center"/>
              <w:textAlignment w:val="baseline"/>
              <w:rPr>
                <w:rFonts w:ascii="Arial Narrow" w:hAnsi="Arial Narrow"/>
                <w:sz w:val="20"/>
                <w:szCs w:val="20"/>
              </w:rPr>
            </w:pPr>
            <w:r w:rsidRPr="00E44776">
              <w:rPr>
                <w:rFonts w:ascii="Arial Narrow" w:hAnsi="Arial Narrow"/>
                <w:sz w:val="20"/>
                <w:szCs w:val="20"/>
              </w:rPr>
              <w:t>60%</w:t>
            </w:r>
          </w:p>
        </w:tc>
      </w:tr>
      <w:tr w:rsidR="00A97643" w:rsidRPr="00E44776" w14:paraId="47EC251F" w14:textId="77777777" w:rsidTr="00B71082">
        <w:tc>
          <w:tcPr>
            <w:tcW w:w="2318" w:type="dxa"/>
            <w:tcBorders>
              <w:top w:val="single" w:sz="6" w:space="0" w:color="auto"/>
              <w:left w:val="single" w:sz="6" w:space="0" w:color="auto"/>
              <w:bottom w:val="single" w:sz="6" w:space="0" w:color="auto"/>
              <w:right w:val="single" w:sz="4" w:space="0" w:color="auto"/>
            </w:tcBorders>
            <w:shd w:val="clear" w:color="auto" w:fill="auto"/>
          </w:tcPr>
          <w:p w14:paraId="3AC6C459" w14:textId="03934047" w:rsidR="006A7D91" w:rsidRPr="00E44776" w:rsidRDefault="006A7D91" w:rsidP="00013B37">
            <w:pPr>
              <w:keepNext/>
              <w:jc w:val="left"/>
              <w:textAlignment w:val="baseline"/>
              <w:rPr>
                <w:rFonts w:ascii="Arial Narrow" w:hAnsi="Arial Narrow" w:cs="Times New Roman"/>
                <w:sz w:val="20"/>
                <w:szCs w:val="20"/>
              </w:rPr>
            </w:pPr>
            <w:r w:rsidRPr="00E44776">
              <w:rPr>
                <w:rFonts w:ascii="Arial Narrow" w:hAnsi="Arial Narrow" w:cs="Times New Roman"/>
                <w:sz w:val="20"/>
                <w:szCs w:val="20"/>
              </w:rPr>
              <w:t xml:space="preserve">Number of patients electing treatment with </w:t>
            </w:r>
            <w:r w:rsidR="00834BD5" w:rsidRPr="00E44776">
              <w:rPr>
                <w:rFonts w:ascii="Arial Narrow" w:hAnsi="Arial Narrow" w:cs="Times New Roman"/>
                <w:sz w:val="20"/>
                <w:szCs w:val="20"/>
              </w:rPr>
              <w:t xml:space="preserve">ACAL </w:t>
            </w:r>
            <w:r w:rsidRPr="00E44776">
              <w:rPr>
                <w:rFonts w:ascii="Arial Narrow" w:hAnsi="Arial Narrow" w:cs="Times New Roman"/>
                <w:sz w:val="20"/>
                <w:szCs w:val="20"/>
              </w:rPr>
              <w:t>+ OBI</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7667666A" w14:textId="0FB721A4"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2000"/>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2000"/>
                <w14:textFill>
                  <w14:solidFill>
                    <w14:srgbClr w14:val="000000">
                      <w14:alpha w14:val="100000"/>
                    </w14:srgbClr>
                  </w14:solidFill>
                </w14:textFill>
              </w:rPr>
              <w:t>|</w:t>
            </w:r>
            <w:r w:rsidR="00AD310A">
              <w:rPr>
                <w:rFonts w:ascii="Arial Narrow" w:hAnsi="Arial Narrow"/>
                <w:sz w:val="20"/>
                <w:szCs w:val="20"/>
                <w:vertAlign w:val="superscript"/>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77D0F9C6" w14:textId="04D7847F"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99"/>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9"/>
                <w14:textFill>
                  <w14:solidFill>
                    <w14:srgbClr w14:val="000000">
                      <w14:alpha w14:val="100000"/>
                    </w14:srgbClr>
                  </w14:solidFill>
                </w14:textFill>
              </w:rPr>
              <w:t>|</w:t>
            </w:r>
            <w:r w:rsidR="003C21C0">
              <w:rPr>
                <w:rFonts w:ascii="Arial Narrow" w:hAnsi="Arial Narrow"/>
                <w:sz w:val="20"/>
                <w:szCs w:val="20"/>
                <w:vertAlign w:val="superscript"/>
              </w:rPr>
              <w:t>2</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270B1824" w14:textId="74072180"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98"/>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8"/>
                <w14:textFill>
                  <w14:solidFill>
                    <w14:srgbClr w14:val="000000">
                      <w14:alpha w14:val="100000"/>
                    </w14:srgbClr>
                  </w14:solidFill>
                </w14:textFill>
              </w:rPr>
              <w:t>|</w:t>
            </w:r>
            <w:r w:rsidR="003C21C0">
              <w:rPr>
                <w:rFonts w:ascii="Arial Narrow" w:hAnsi="Arial Narrow"/>
                <w:sz w:val="20"/>
                <w:szCs w:val="20"/>
                <w:vertAlign w:val="superscript"/>
              </w:rPr>
              <w:t>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6FA9F69D" w14:textId="7ECFC3DC"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97"/>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7"/>
                <w14:textFill>
                  <w14:solidFill>
                    <w14:srgbClr w14:val="000000">
                      <w14:alpha w14:val="100000"/>
                    </w14:srgbClr>
                  </w14:solidFill>
                </w14:textFill>
              </w:rPr>
              <w:t>|</w:t>
            </w:r>
            <w:r w:rsidR="003C21C0">
              <w:rPr>
                <w:rFonts w:ascii="Arial Narrow" w:hAnsi="Arial Narrow"/>
                <w:sz w:val="20"/>
                <w:szCs w:val="20"/>
                <w:vertAlign w:val="superscript"/>
              </w:rPr>
              <w:t>1</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6666E78F" w14:textId="1D3D2507"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96"/>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6"/>
                <w14:textFill>
                  <w14:solidFill>
                    <w14:srgbClr w14:val="000000">
                      <w14:alpha w14:val="100000"/>
                    </w14:srgbClr>
                  </w14:solidFill>
                </w14:textFill>
              </w:rPr>
              <w:t>|</w:t>
            </w:r>
            <w:r w:rsidR="003C21C0">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4CE42FA" w14:textId="72CBEAAE" w:rsidR="006A7D91" w:rsidRPr="00333F8C" w:rsidRDefault="00777DAE" w:rsidP="00013B37">
            <w:pPr>
              <w:keepNext/>
              <w:jc w:val="center"/>
              <w:textAlignment w:val="baseline"/>
              <w:rPr>
                <w:rFonts w:ascii="Arial Narrow" w:hAnsi="Arial Narrow"/>
                <w:sz w:val="20"/>
                <w:szCs w:val="20"/>
                <w:vertAlign w:val="superscript"/>
              </w:rPr>
            </w:pPr>
            <w:r w:rsidRPr="00FC7B41">
              <w:rPr>
                <w:rFonts w:ascii="Arial Narrow" w:hAnsi="Arial Narrow"/>
                <w:color w:val="000000"/>
                <w:spacing w:val="53"/>
                <w:sz w:val="20"/>
                <w:szCs w:val="20"/>
                <w:shd w:val="solid" w:color="000000" w:fill="000000"/>
                <w:fitText w:val="330" w:id="-1280031995"/>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5"/>
                <w14:textFill>
                  <w14:solidFill>
                    <w14:srgbClr w14:val="000000">
                      <w14:alpha w14:val="100000"/>
                    </w14:srgbClr>
                  </w14:solidFill>
                </w14:textFill>
              </w:rPr>
              <w:t>|</w:t>
            </w:r>
            <w:r w:rsidR="003C21C0">
              <w:rPr>
                <w:rFonts w:ascii="Arial Narrow" w:hAnsi="Arial Narrow"/>
                <w:sz w:val="20"/>
                <w:szCs w:val="20"/>
                <w:vertAlign w:val="superscript"/>
              </w:rPr>
              <w:t>1</w:t>
            </w:r>
          </w:p>
        </w:tc>
      </w:tr>
      <w:tr w:rsidR="00A97643" w:rsidRPr="00E44776" w14:paraId="23B48207" w14:textId="77777777" w:rsidTr="00B71082">
        <w:tc>
          <w:tcPr>
            <w:tcW w:w="2318" w:type="dxa"/>
            <w:tcBorders>
              <w:top w:val="single" w:sz="6" w:space="0" w:color="auto"/>
              <w:left w:val="single" w:sz="6" w:space="0" w:color="auto"/>
              <w:bottom w:val="single" w:sz="6" w:space="0" w:color="auto"/>
              <w:right w:val="single" w:sz="4" w:space="0" w:color="auto"/>
            </w:tcBorders>
            <w:shd w:val="clear" w:color="auto" w:fill="auto"/>
            <w:hideMark/>
          </w:tcPr>
          <w:p w14:paraId="7DF44437" w14:textId="6A850068"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 xml:space="preserve">Total </w:t>
            </w:r>
            <w:r w:rsidR="00834BD5" w:rsidRPr="00E44776">
              <w:rPr>
                <w:rFonts w:ascii="Arial Narrow" w:hAnsi="Arial Narrow" w:cs="Times New Roman"/>
                <w:sz w:val="20"/>
                <w:szCs w:val="20"/>
              </w:rPr>
              <w:t xml:space="preserve">ACAL </w:t>
            </w:r>
            <w:r w:rsidRPr="00E44776">
              <w:rPr>
                <w:rFonts w:ascii="Arial Narrow" w:hAnsi="Arial Narrow" w:cs="Times New Roman"/>
                <w:sz w:val="20"/>
                <w:szCs w:val="20"/>
              </w:rPr>
              <w:t>scripts (13.04/ year x 94.6% relative dose intensity) </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EE9E42C" w14:textId="084F6042"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4"/>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4"/>
                <w14:textFill>
                  <w14:solidFill>
                    <w14:srgbClr w14:val="000000">
                      <w14:alpha w14:val="100000"/>
                    </w14:srgbClr>
                  </w14:solidFill>
                </w14:textFill>
              </w:rPr>
              <w:t>|</w:t>
            </w:r>
            <w:r w:rsidR="003C21C0">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vAlign w:val="center"/>
            <w:hideMark/>
          </w:tcPr>
          <w:p w14:paraId="0DE33EEF" w14:textId="6FD23B0B"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3"/>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3"/>
                <w14:textFill>
                  <w14:solidFill>
                    <w14:srgbClr w14:val="000000">
                      <w14:alpha w14:val="100000"/>
                    </w14:srgbClr>
                  </w14:solidFill>
                </w14:textFill>
              </w:rPr>
              <w:t>|</w:t>
            </w:r>
            <w:r w:rsidR="003C21C0">
              <w:rPr>
                <w:rFonts w:ascii="Arial Narrow" w:hAnsi="Arial Narrow"/>
                <w:sz w:val="20"/>
                <w:szCs w:val="20"/>
                <w:vertAlign w:val="superscript"/>
              </w:rPr>
              <w:t>3</w:t>
            </w:r>
          </w:p>
        </w:tc>
        <w:tc>
          <w:tcPr>
            <w:tcW w:w="1115" w:type="dxa"/>
            <w:tcBorders>
              <w:top w:val="single" w:sz="4" w:space="0" w:color="auto"/>
              <w:left w:val="single" w:sz="4" w:space="0" w:color="auto"/>
              <w:bottom w:val="single" w:sz="4" w:space="0" w:color="auto"/>
              <w:right w:val="single" w:sz="4" w:space="0" w:color="auto"/>
            </w:tcBorders>
            <w:vAlign w:val="center"/>
            <w:hideMark/>
          </w:tcPr>
          <w:p w14:paraId="61F20D38" w14:textId="462288A4"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2"/>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2"/>
                <w14:textFill>
                  <w14:solidFill>
                    <w14:srgbClr w14:val="000000">
                      <w14:alpha w14:val="100000"/>
                    </w14:srgbClr>
                  </w14:solidFill>
                </w14:textFill>
              </w:rPr>
              <w:t>|</w:t>
            </w:r>
            <w:r w:rsidR="003C21C0">
              <w:rPr>
                <w:rFonts w:ascii="Arial Narrow" w:hAnsi="Arial Narrow"/>
                <w:sz w:val="20"/>
                <w:szCs w:val="20"/>
                <w:vertAlign w:val="superscript"/>
              </w:rPr>
              <w:t>4</w:t>
            </w:r>
          </w:p>
        </w:tc>
        <w:tc>
          <w:tcPr>
            <w:tcW w:w="1116" w:type="dxa"/>
            <w:tcBorders>
              <w:top w:val="single" w:sz="4" w:space="0" w:color="auto"/>
              <w:left w:val="single" w:sz="4" w:space="0" w:color="auto"/>
              <w:bottom w:val="single" w:sz="4" w:space="0" w:color="auto"/>
              <w:right w:val="single" w:sz="4" w:space="0" w:color="auto"/>
            </w:tcBorders>
            <w:vAlign w:val="center"/>
            <w:hideMark/>
          </w:tcPr>
          <w:p w14:paraId="1DF2189A" w14:textId="0AD5883B"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1"/>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1"/>
                <w14:textFill>
                  <w14:solidFill>
                    <w14:srgbClr w14:val="000000">
                      <w14:alpha w14:val="100000"/>
                    </w14:srgbClr>
                  </w14:solidFill>
                </w14:textFill>
              </w:rPr>
              <w:t>|</w:t>
            </w:r>
            <w:r w:rsidR="003C21C0">
              <w:rPr>
                <w:rFonts w:ascii="Arial Narrow" w:hAnsi="Arial Narrow"/>
                <w:sz w:val="20"/>
                <w:szCs w:val="20"/>
                <w:vertAlign w:val="superscript"/>
              </w:rPr>
              <w:t>4</w:t>
            </w:r>
          </w:p>
        </w:tc>
        <w:tc>
          <w:tcPr>
            <w:tcW w:w="1115" w:type="dxa"/>
            <w:tcBorders>
              <w:top w:val="single" w:sz="4" w:space="0" w:color="auto"/>
              <w:left w:val="single" w:sz="4" w:space="0" w:color="auto"/>
              <w:bottom w:val="single" w:sz="4" w:space="0" w:color="auto"/>
              <w:right w:val="single" w:sz="4" w:space="0" w:color="auto"/>
            </w:tcBorders>
            <w:vAlign w:val="center"/>
            <w:hideMark/>
          </w:tcPr>
          <w:p w14:paraId="6BA69E10" w14:textId="276DD2B0"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90"/>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90"/>
                <w14:textFill>
                  <w14:solidFill>
                    <w14:srgbClr w14:val="000000">
                      <w14:alpha w14:val="100000"/>
                    </w14:srgbClr>
                  </w14:solidFill>
                </w14:textFill>
              </w:rPr>
              <w:t>|</w:t>
            </w:r>
            <w:r w:rsidR="003C21C0">
              <w:rPr>
                <w:rFonts w:ascii="Arial Narrow" w:hAnsi="Arial Narrow"/>
                <w:sz w:val="20"/>
                <w:szCs w:val="20"/>
                <w:vertAlign w:val="superscript"/>
              </w:rPr>
              <w:t>5</w:t>
            </w:r>
          </w:p>
        </w:tc>
        <w:tc>
          <w:tcPr>
            <w:tcW w:w="1116" w:type="dxa"/>
            <w:tcBorders>
              <w:top w:val="single" w:sz="4" w:space="0" w:color="auto"/>
              <w:left w:val="single" w:sz="4" w:space="0" w:color="auto"/>
              <w:bottom w:val="single" w:sz="4" w:space="0" w:color="auto"/>
              <w:right w:val="single" w:sz="4" w:space="0" w:color="auto"/>
            </w:tcBorders>
            <w:vAlign w:val="center"/>
            <w:hideMark/>
          </w:tcPr>
          <w:p w14:paraId="720ACF02" w14:textId="4CF98EAF"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9"/>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9"/>
                <w14:textFill>
                  <w14:solidFill>
                    <w14:srgbClr w14:val="000000">
                      <w14:alpha w14:val="100000"/>
                    </w14:srgbClr>
                  </w14:solidFill>
                </w14:textFill>
              </w:rPr>
              <w:t>|</w:t>
            </w:r>
            <w:r w:rsidR="003C21C0">
              <w:rPr>
                <w:rFonts w:ascii="Arial Narrow" w:hAnsi="Arial Narrow"/>
                <w:sz w:val="20"/>
                <w:szCs w:val="20"/>
                <w:vertAlign w:val="superscript"/>
              </w:rPr>
              <w:t>5</w:t>
            </w:r>
          </w:p>
        </w:tc>
      </w:tr>
      <w:tr w:rsidR="00A97643" w:rsidRPr="00E44776" w14:paraId="2A71596A" w14:textId="77777777" w:rsidTr="00B71082">
        <w:tc>
          <w:tcPr>
            <w:tcW w:w="2318" w:type="dxa"/>
            <w:tcBorders>
              <w:top w:val="single" w:sz="6" w:space="0" w:color="auto"/>
              <w:left w:val="single" w:sz="6" w:space="0" w:color="auto"/>
              <w:bottom w:val="single" w:sz="6" w:space="0" w:color="auto"/>
              <w:right w:val="single" w:sz="4" w:space="0" w:color="auto"/>
            </w:tcBorders>
            <w:shd w:val="clear" w:color="auto" w:fill="auto"/>
          </w:tcPr>
          <w:p w14:paraId="3D575EFF" w14:textId="07DDB379" w:rsidR="006A7D91" w:rsidRPr="00E44776" w:rsidRDefault="006A7D91" w:rsidP="00013B37">
            <w:pPr>
              <w:keepNext/>
              <w:jc w:val="left"/>
              <w:textAlignment w:val="baseline"/>
              <w:rPr>
                <w:rFonts w:ascii="Arial Narrow" w:hAnsi="Arial Narrow" w:cs="Times New Roman"/>
                <w:sz w:val="20"/>
                <w:szCs w:val="20"/>
              </w:rPr>
            </w:pPr>
            <w:r w:rsidRPr="00E44776">
              <w:rPr>
                <w:rFonts w:ascii="Arial Narrow" w:hAnsi="Arial Narrow" w:cs="Times New Roman"/>
                <w:sz w:val="20"/>
                <w:szCs w:val="20"/>
              </w:rPr>
              <w:t>Total OBI scripts (17.39/year x 93.8% relative dose intensity) </w:t>
            </w:r>
          </w:p>
        </w:tc>
        <w:tc>
          <w:tcPr>
            <w:tcW w:w="1115" w:type="dxa"/>
            <w:tcBorders>
              <w:top w:val="single" w:sz="4" w:space="0" w:color="auto"/>
              <w:left w:val="single" w:sz="4" w:space="0" w:color="auto"/>
              <w:bottom w:val="single" w:sz="4" w:space="0" w:color="auto"/>
              <w:right w:val="single" w:sz="4" w:space="0" w:color="auto"/>
            </w:tcBorders>
            <w:vAlign w:val="center"/>
          </w:tcPr>
          <w:p w14:paraId="5BE4362D" w14:textId="7DBD6F5E"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8"/>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8"/>
                <w14:textFill>
                  <w14:solidFill>
                    <w14:srgbClr w14:val="000000">
                      <w14:alpha w14:val="100000"/>
                    </w14:srgbClr>
                  </w14:solidFill>
                </w14:textFill>
              </w:rPr>
              <w:t>|</w:t>
            </w:r>
            <w:r w:rsidR="003C21C0">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vAlign w:val="center"/>
          </w:tcPr>
          <w:p w14:paraId="5CFF3882" w14:textId="0DE889A5"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7"/>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7"/>
                <w14:textFill>
                  <w14:solidFill>
                    <w14:srgbClr w14:val="000000">
                      <w14:alpha w14:val="100000"/>
                    </w14:srgbClr>
                  </w14:solidFill>
                </w14:textFill>
              </w:rPr>
              <w:t>|</w:t>
            </w:r>
            <w:r w:rsidR="003C21C0">
              <w:rPr>
                <w:rFonts w:ascii="Arial Narrow" w:hAnsi="Arial Narrow"/>
                <w:sz w:val="20"/>
                <w:szCs w:val="20"/>
                <w:vertAlign w:val="superscript"/>
              </w:rPr>
              <w:t>1</w:t>
            </w:r>
          </w:p>
        </w:tc>
        <w:tc>
          <w:tcPr>
            <w:tcW w:w="1115" w:type="dxa"/>
            <w:tcBorders>
              <w:top w:val="single" w:sz="4" w:space="0" w:color="auto"/>
              <w:left w:val="single" w:sz="4" w:space="0" w:color="auto"/>
              <w:bottom w:val="single" w:sz="4" w:space="0" w:color="auto"/>
              <w:right w:val="single" w:sz="4" w:space="0" w:color="auto"/>
            </w:tcBorders>
            <w:vAlign w:val="center"/>
          </w:tcPr>
          <w:p w14:paraId="4627BD1A" w14:textId="476E5E67"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6"/>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6"/>
                <w14:textFill>
                  <w14:solidFill>
                    <w14:srgbClr w14:val="000000">
                      <w14:alpha w14:val="100000"/>
                    </w14:srgbClr>
                  </w14:solidFill>
                </w14:textFill>
              </w:rPr>
              <w:t>|</w:t>
            </w:r>
            <w:r w:rsidR="003C21C0">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vAlign w:val="center"/>
          </w:tcPr>
          <w:p w14:paraId="7D8E5B2B" w14:textId="0BE39E5D"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5"/>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5"/>
                <w14:textFill>
                  <w14:solidFill>
                    <w14:srgbClr w14:val="000000">
                      <w14:alpha w14:val="100000"/>
                    </w14:srgbClr>
                  </w14:solidFill>
                </w14:textFill>
              </w:rPr>
              <w:t>|</w:t>
            </w:r>
            <w:r w:rsidR="003C21C0">
              <w:rPr>
                <w:rFonts w:ascii="Arial Narrow" w:hAnsi="Arial Narrow"/>
                <w:sz w:val="20"/>
                <w:szCs w:val="20"/>
                <w:vertAlign w:val="superscript"/>
              </w:rPr>
              <w:t>1</w:t>
            </w:r>
          </w:p>
        </w:tc>
        <w:tc>
          <w:tcPr>
            <w:tcW w:w="1115" w:type="dxa"/>
            <w:tcBorders>
              <w:top w:val="single" w:sz="4" w:space="0" w:color="auto"/>
              <w:left w:val="single" w:sz="4" w:space="0" w:color="auto"/>
              <w:bottom w:val="single" w:sz="4" w:space="0" w:color="auto"/>
              <w:right w:val="single" w:sz="4" w:space="0" w:color="auto"/>
            </w:tcBorders>
            <w:vAlign w:val="center"/>
          </w:tcPr>
          <w:p w14:paraId="594C80D2" w14:textId="39EB4AAF"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1984"/>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1984"/>
                <w14:textFill>
                  <w14:solidFill>
                    <w14:srgbClr w14:val="000000">
                      <w14:alpha w14:val="100000"/>
                    </w14:srgbClr>
                  </w14:solidFill>
                </w14:textFill>
              </w:rPr>
              <w:t>|</w:t>
            </w:r>
            <w:r w:rsidR="003C21C0">
              <w:rPr>
                <w:rFonts w:ascii="Arial Narrow" w:hAnsi="Arial Narrow"/>
                <w:sz w:val="20"/>
                <w:szCs w:val="20"/>
                <w:vertAlign w:val="superscript"/>
              </w:rPr>
              <w:t>1</w:t>
            </w:r>
          </w:p>
        </w:tc>
        <w:tc>
          <w:tcPr>
            <w:tcW w:w="1116" w:type="dxa"/>
            <w:tcBorders>
              <w:top w:val="single" w:sz="4" w:space="0" w:color="auto"/>
              <w:left w:val="single" w:sz="4" w:space="0" w:color="auto"/>
              <w:bottom w:val="single" w:sz="4" w:space="0" w:color="auto"/>
              <w:right w:val="single" w:sz="4" w:space="0" w:color="auto"/>
            </w:tcBorders>
            <w:vAlign w:val="center"/>
          </w:tcPr>
          <w:p w14:paraId="66F6F066" w14:textId="15D940AA" w:rsidR="006A7D91" w:rsidRPr="00333F8C" w:rsidRDefault="00777DAE" w:rsidP="00013B37">
            <w:pPr>
              <w:keepNext/>
              <w:jc w:val="center"/>
              <w:textAlignment w:val="baseline"/>
              <w:rPr>
                <w:rFonts w:ascii="Arial Narrow" w:hAnsi="Arial Narrow" w:cs="Times New Roman"/>
                <w:sz w:val="20"/>
                <w:szCs w:val="20"/>
                <w:vertAlign w:val="superscript"/>
              </w:rPr>
            </w:pPr>
            <w:r w:rsidRPr="00FC7B41">
              <w:rPr>
                <w:rFonts w:ascii="Arial Narrow" w:hAnsi="Arial Narrow"/>
                <w:color w:val="000000"/>
                <w:spacing w:val="53"/>
                <w:sz w:val="20"/>
                <w:szCs w:val="20"/>
                <w:shd w:val="solid" w:color="000000" w:fill="000000"/>
                <w:fitText w:val="330" w:id="-1280032000"/>
                <w14:textFill>
                  <w14:solidFill>
                    <w14:srgbClr w14:val="000000">
                      <w14:alpha w14:val="100000"/>
                    </w14:srgbClr>
                  </w14:solidFill>
                </w14:textFill>
              </w:rPr>
              <w:t>|||</w:t>
            </w:r>
            <w:r w:rsidRPr="00FC7B41">
              <w:rPr>
                <w:rFonts w:ascii="Arial Narrow" w:hAnsi="Arial Narrow"/>
                <w:color w:val="000000"/>
                <w:spacing w:val="1"/>
                <w:sz w:val="20"/>
                <w:szCs w:val="20"/>
                <w:shd w:val="solid" w:color="000000" w:fill="000000"/>
                <w:fitText w:val="330" w:id="-1280032000"/>
                <w14:textFill>
                  <w14:solidFill>
                    <w14:srgbClr w14:val="000000">
                      <w14:alpha w14:val="100000"/>
                    </w14:srgbClr>
                  </w14:solidFill>
                </w14:textFill>
              </w:rPr>
              <w:t>|</w:t>
            </w:r>
            <w:r w:rsidR="003C21C0">
              <w:rPr>
                <w:rFonts w:ascii="Arial Narrow" w:hAnsi="Arial Narrow"/>
                <w:sz w:val="20"/>
                <w:szCs w:val="20"/>
                <w:vertAlign w:val="superscript"/>
              </w:rPr>
              <w:t>1</w:t>
            </w:r>
          </w:p>
        </w:tc>
      </w:tr>
      <w:tr w:rsidR="006A7D91" w:rsidRPr="00E44776" w14:paraId="1ECAB02A" w14:textId="77777777" w:rsidTr="00B71082">
        <w:tc>
          <w:tcPr>
            <w:tcW w:w="9011" w:type="dxa"/>
            <w:gridSpan w:val="7"/>
            <w:tcBorders>
              <w:top w:val="single" w:sz="6" w:space="0" w:color="auto"/>
              <w:left w:val="single" w:sz="6" w:space="0" w:color="auto"/>
              <w:bottom w:val="single" w:sz="6" w:space="0" w:color="auto"/>
              <w:right w:val="single" w:sz="6" w:space="0" w:color="auto"/>
            </w:tcBorders>
            <w:shd w:val="clear" w:color="auto" w:fill="auto"/>
            <w:hideMark/>
          </w:tcPr>
          <w:p w14:paraId="5980019C" w14:textId="77777777"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b/>
                <w:bCs/>
                <w:sz w:val="20"/>
                <w:szCs w:val="20"/>
              </w:rPr>
              <w:t>Estimated financial implications of acalabrutinib</w:t>
            </w:r>
            <w:r w:rsidRPr="00E44776">
              <w:rPr>
                <w:rFonts w:ascii="Arial Narrow" w:hAnsi="Arial Narrow" w:cs="Times New Roman"/>
                <w:sz w:val="20"/>
                <w:szCs w:val="20"/>
              </w:rPr>
              <w:t> </w:t>
            </w:r>
            <w:r w:rsidRPr="00E44776">
              <w:rPr>
                <w:rFonts w:ascii="Arial Narrow" w:hAnsi="Arial Narrow" w:cs="Times New Roman"/>
                <w:b/>
                <w:bCs/>
                <w:sz w:val="20"/>
                <w:szCs w:val="20"/>
              </w:rPr>
              <w:t>+ obinutuzumab</w:t>
            </w:r>
          </w:p>
        </w:tc>
      </w:tr>
      <w:tr w:rsidR="00A97643" w:rsidRPr="00E44776" w14:paraId="143EA90A"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60D503B6" w14:textId="01A68EBF"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 xml:space="preserve">Total </w:t>
            </w:r>
            <w:r w:rsidR="00834BD5" w:rsidRPr="00E44776">
              <w:rPr>
                <w:rFonts w:ascii="Arial Narrow" w:hAnsi="Arial Narrow" w:cs="Times New Roman"/>
                <w:sz w:val="20"/>
                <w:szCs w:val="20"/>
              </w:rPr>
              <w:t xml:space="preserve">ACAL </w:t>
            </w:r>
            <w:r w:rsidRPr="00E44776">
              <w:rPr>
                <w:rFonts w:ascii="Arial Narrow" w:hAnsi="Arial Narrow" w:cs="Times New Roman"/>
                <w:sz w:val="20"/>
                <w:szCs w:val="20"/>
              </w:rPr>
              <w:t>cost (</w:t>
            </w:r>
            <w:r w:rsidR="00D626A3" w:rsidRPr="00E44776">
              <w:rPr>
                <w:rFonts w:ascii="Arial Narrow" w:hAnsi="Arial Narrow" w:cs="Times New Roman"/>
                <w:sz w:val="20"/>
                <w:szCs w:val="20"/>
              </w:rPr>
              <w:t>$</w:t>
            </w:r>
            <w:r w:rsidR="00777DAE" w:rsidRPr="00FC7B41">
              <w:rPr>
                <w:rFonts w:ascii="Arial Narrow" w:hAnsi="Arial Narrow" w:cs="Times New Roman"/>
                <w:color w:val="000000"/>
                <w:spacing w:val="48"/>
                <w:sz w:val="20"/>
                <w:szCs w:val="20"/>
                <w:shd w:val="solid" w:color="000000" w:fill="000000"/>
                <w:fitText w:val="500" w:id="-1280031999"/>
                <w14:textFill>
                  <w14:solidFill>
                    <w14:srgbClr w14:val="000000">
                      <w14:alpha w14:val="100000"/>
                    </w14:srgbClr>
                  </w14:solidFill>
                </w14:textFill>
              </w:rPr>
              <w:t>|||||</w:t>
            </w:r>
            <w:r w:rsidR="00777DAE" w:rsidRPr="00FC7B41">
              <w:rPr>
                <w:rFonts w:ascii="Arial Narrow" w:hAnsi="Arial Narrow" w:cs="Times New Roman"/>
                <w:color w:val="000000"/>
                <w:spacing w:val="5"/>
                <w:sz w:val="20"/>
                <w:szCs w:val="20"/>
                <w:shd w:val="solid" w:color="000000" w:fill="000000"/>
                <w:fitText w:val="500" w:id="-1280031999"/>
                <w14:textFill>
                  <w14:solidFill>
                    <w14:srgbClr w14:val="000000">
                      <w14:alpha w14:val="100000"/>
                    </w14:srgbClr>
                  </w14:solidFill>
                </w14:textFill>
              </w:rPr>
              <w:t>|</w:t>
            </w:r>
            <w:r w:rsidR="00D626A3" w:rsidRPr="00E44776">
              <w:rPr>
                <w:rFonts w:ascii="Arial Narrow" w:hAnsi="Arial Narrow" w:cs="Times New Roman"/>
                <w:sz w:val="20"/>
                <w:szCs w:val="20"/>
              </w:rPr>
              <w:t xml:space="preserve"> </w:t>
            </w:r>
            <w:r w:rsidRPr="00E44776">
              <w:rPr>
                <w:rFonts w:ascii="Arial Narrow" w:hAnsi="Arial Narrow" w:cs="Times New Roman"/>
                <w:sz w:val="20"/>
                <w:szCs w:val="20"/>
              </w:rPr>
              <w:t>per script) less copayments </w:t>
            </w:r>
            <w:r w:rsidR="002E4817" w:rsidRPr="00E44776">
              <w:rPr>
                <w:rFonts w:ascii="Arial Narrow" w:hAnsi="Arial Narrow" w:cs="Times New Roman"/>
                <w:sz w:val="20"/>
                <w:szCs w:val="20"/>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FC4FC1" w14:textId="35B3A215"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998"/>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998"/>
                <w14:textFill>
                  <w14:solidFill>
                    <w14:srgbClr w14:val="000000">
                      <w14:alpha w14:val="100000"/>
                    </w14:srgbClr>
                  </w14:solidFill>
                </w14:textFill>
              </w:rPr>
              <w:t>|</w:t>
            </w:r>
            <w:r w:rsidR="003C21C0">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8C9BDE" w14:textId="3764DCB6"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997"/>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997"/>
                <w14:textFill>
                  <w14:solidFill>
                    <w14:srgbClr w14:val="000000">
                      <w14:alpha w14:val="100000"/>
                    </w14:srgbClr>
                  </w14:solidFill>
                </w14:textFill>
              </w:rPr>
              <w:t>|</w:t>
            </w:r>
            <w:r w:rsidR="003C21C0">
              <w:rPr>
                <w:rFonts w:ascii="Arial Narrow" w:hAnsi="Arial Narrow"/>
                <w:sz w:val="20"/>
                <w:szCs w:val="20"/>
                <w:vertAlign w:val="superscript"/>
              </w:rPr>
              <w:t>7</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447E0C" w14:textId="467D6031"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996"/>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996"/>
                <w14:textFill>
                  <w14:solidFill>
                    <w14:srgbClr w14:val="000000">
                      <w14:alpha w14:val="100000"/>
                    </w14:srgbClr>
                  </w14:solidFill>
                </w14:textFill>
              </w:rPr>
              <w:t>|</w:t>
            </w:r>
            <w:r w:rsidR="003C21C0">
              <w:rPr>
                <w:rFonts w:ascii="Arial Narrow" w:hAnsi="Arial Narrow"/>
                <w:sz w:val="20"/>
                <w:szCs w:val="20"/>
                <w:vertAlign w:val="superscript"/>
              </w:rPr>
              <w:t>8</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A46980" w14:textId="62265EC7"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995"/>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995"/>
                <w14:textFill>
                  <w14:solidFill>
                    <w14:srgbClr w14:val="000000">
                      <w14:alpha w14:val="100000"/>
                    </w14:srgbClr>
                  </w14:solidFill>
                </w14:textFill>
              </w:rPr>
              <w:t>|</w:t>
            </w:r>
            <w:r w:rsidR="003C21C0">
              <w:rPr>
                <w:rFonts w:ascii="Arial Narrow" w:hAnsi="Arial Narrow"/>
                <w:sz w:val="20"/>
                <w:szCs w:val="20"/>
                <w:vertAlign w:val="superscript"/>
              </w:rPr>
              <w:t>9</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7036DC" w14:textId="6A148B25"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994"/>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994"/>
                <w14:textFill>
                  <w14:solidFill>
                    <w14:srgbClr w14:val="000000">
                      <w14:alpha w14:val="100000"/>
                    </w14:srgbClr>
                  </w14:solidFill>
                </w14:textFill>
              </w:rPr>
              <w:t>|</w:t>
            </w:r>
            <w:r w:rsidR="003C21C0">
              <w:rPr>
                <w:rFonts w:ascii="Arial Narrow" w:hAnsi="Arial Narrow"/>
                <w:sz w:val="20"/>
                <w:szCs w:val="20"/>
                <w:vertAlign w:val="superscript"/>
              </w:rPr>
              <w:t>10</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54401" w14:textId="75B16FCD"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993"/>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993"/>
                <w14:textFill>
                  <w14:solidFill>
                    <w14:srgbClr w14:val="000000">
                      <w14:alpha w14:val="100000"/>
                    </w14:srgbClr>
                  </w14:solidFill>
                </w14:textFill>
              </w:rPr>
              <w:t>|</w:t>
            </w:r>
            <w:r w:rsidR="003C21C0">
              <w:rPr>
                <w:rFonts w:ascii="Arial Narrow" w:hAnsi="Arial Narrow"/>
                <w:sz w:val="20"/>
                <w:szCs w:val="20"/>
                <w:vertAlign w:val="superscript"/>
              </w:rPr>
              <w:t>11</w:t>
            </w:r>
          </w:p>
        </w:tc>
      </w:tr>
      <w:tr w:rsidR="00A97643" w:rsidRPr="00E44776" w14:paraId="55883940"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tcPr>
          <w:p w14:paraId="42E7B3D5" w14:textId="5B6FC7BD" w:rsidR="006A7D91" w:rsidRPr="00E44776" w:rsidRDefault="006A7D91" w:rsidP="00013B37">
            <w:pPr>
              <w:keepNext/>
              <w:jc w:val="left"/>
              <w:textAlignment w:val="baseline"/>
              <w:rPr>
                <w:rFonts w:ascii="Arial Narrow" w:hAnsi="Arial Narrow" w:cs="Times New Roman"/>
                <w:sz w:val="20"/>
                <w:szCs w:val="20"/>
              </w:rPr>
            </w:pPr>
            <w:r w:rsidRPr="00E44776">
              <w:rPr>
                <w:rFonts w:ascii="Arial Narrow" w:hAnsi="Arial Narrow" w:cs="Times New Roman"/>
                <w:sz w:val="20"/>
                <w:szCs w:val="20"/>
              </w:rPr>
              <w:t>Total OBI cost ($</w:t>
            </w:r>
            <w:r w:rsidR="00777DAE" w:rsidRPr="00FC7B41">
              <w:rPr>
                <w:rFonts w:ascii="Arial Narrow" w:hAnsi="Arial Narrow" w:cs="Times New Roman"/>
                <w:color w:val="000000"/>
                <w:spacing w:val="48"/>
                <w:sz w:val="20"/>
                <w:szCs w:val="20"/>
                <w:shd w:val="solid" w:color="000000" w:fill="000000"/>
                <w:fitText w:val="500" w:id="-1280031992"/>
                <w14:textFill>
                  <w14:solidFill>
                    <w14:srgbClr w14:val="000000">
                      <w14:alpha w14:val="100000"/>
                    </w14:srgbClr>
                  </w14:solidFill>
                </w14:textFill>
              </w:rPr>
              <w:t>|||||</w:t>
            </w:r>
            <w:r w:rsidR="00777DAE" w:rsidRPr="00FC7B41">
              <w:rPr>
                <w:rFonts w:ascii="Arial Narrow" w:hAnsi="Arial Narrow" w:cs="Times New Roman"/>
                <w:color w:val="000000"/>
                <w:spacing w:val="5"/>
                <w:sz w:val="20"/>
                <w:szCs w:val="20"/>
                <w:shd w:val="solid" w:color="000000" w:fill="000000"/>
                <w:fitText w:val="500" w:id="-1280031992"/>
                <w14:textFill>
                  <w14:solidFill>
                    <w14:srgbClr w14:val="000000">
                      <w14:alpha w14:val="100000"/>
                    </w14:srgbClr>
                  </w14:solidFill>
                </w14:textFill>
              </w:rPr>
              <w:t>|</w:t>
            </w:r>
            <w:r w:rsidRPr="00E44776">
              <w:rPr>
                <w:rFonts w:ascii="Arial Narrow" w:hAnsi="Arial Narrow" w:cs="Times New Roman"/>
                <w:sz w:val="20"/>
                <w:szCs w:val="20"/>
              </w:rPr>
              <w:t xml:space="preserve"> per script) less copayments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4DEACBFE" w14:textId="2EBAF683"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991"/>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991"/>
                <w14:textFill>
                  <w14:solidFill>
                    <w14:srgbClr w14:val="000000">
                      <w14:alpha w14:val="100000"/>
                    </w14:srgbClr>
                  </w14:solidFill>
                </w14:textFill>
              </w:rPr>
              <w:t>|</w:t>
            </w:r>
            <w:r w:rsidR="003C21C0">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43A0B267" w14:textId="48FC519C"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990"/>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990"/>
                <w14:textFill>
                  <w14:solidFill>
                    <w14:srgbClr w14:val="000000">
                      <w14:alpha w14:val="100000"/>
                    </w14:srgbClr>
                  </w14:solidFill>
                </w14:textFill>
              </w:rPr>
              <w:t>|</w:t>
            </w:r>
            <w:r w:rsidR="003C21C0">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6E8FF2D" w14:textId="7F29748F"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989"/>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989"/>
                <w14:textFill>
                  <w14:solidFill>
                    <w14:srgbClr w14:val="000000">
                      <w14:alpha w14:val="100000"/>
                    </w14:srgbClr>
                  </w14:solidFill>
                </w14:textFill>
              </w:rPr>
              <w:t>|</w:t>
            </w:r>
            <w:r w:rsidR="003C21C0">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33920816" w14:textId="5813DD59"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988"/>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988"/>
                <w14:textFill>
                  <w14:solidFill>
                    <w14:srgbClr w14:val="000000">
                      <w14:alpha w14:val="100000"/>
                    </w14:srgbClr>
                  </w14:solidFill>
                </w14:textFill>
              </w:rPr>
              <w:t>|</w:t>
            </w:r>
            <w:r w:rsidR="003C21C0">
              <w:rPr>
                <w:rFonts w:ascii="Arial Narrow" w:hAnsi="Arial Narrow"/>
                <w:sz w:val="20"/>
                <w:szCs w:val="20"/>
                <w:vertAlign w:val="superscript"/>
              </w:rPr>
              <w:t>12</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tcPr>
          <w:p w14:paraId="044D0A50" w14:textId="0A5A6FA9"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987"/>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987"/>
                <w14:textFill>
                  <w14:solidFill>
                    <w14:srgbClr w14:val="000000">
                      <w14:alpha w14:val="100000"/>
                    </w14:srgbClr>
                  </w14:solidFill>
                </w14:textFill>
              </w:rPr>
              <w:t>|</w:t>
            </w:r>
            <w:r w:rsidR="003C21C0">
              <w:rPr>
                <w:rFonts w:ascii="Arial Narrow" w:hAnsi="Arial Narrow"/>
                <w:sz w:val="20"/>
                <w:szCs w:val="20"/>
                <w:vertAlign w:val="superscript"/>
              </w:rPr>
              <w:t>12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tcPr>
          <w:p w14:paraId="1A915C22" w14:textId="204CC056" w:rsidR="006A7D91" w:rsidRPr="00333F8C" w:rsidRDefault="006A7D91" w:rsidP="00013B37">
            <w:pPr>
              <w:keepNext/>
              <w:jc w:val="center"/>
              <w:textAlignment w:val="baseline"/>
              <w:rPr>
                <w:rFonts w:ascii="Arial Narrow" w:hAnsi="Arial Narrow" w:cs="Times New Roman"/>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986"/>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986"/>
                <w14:textFill>
                  <w14:solidFill>
                    <w14:srgbClr w14:val="000000">
                      <w14:alpha w14:val="100000"/>
                    </w14:srgbClr>
                  </w14:solidFill>
                </w14:textFill>
              </w:rPr>
              <w:t>|</w:t>
            </w:r>
            <w:r w:rsidR="003C21C0">
              <w:rPr>
                <w:rFonts w:ascii="Arial Narrow" w:hAnsi="Arial Narrow"/>
                <w:sz w:val="20"/>
                <w:szCs w:val="20"/>
                <w:vertAlign w:val="superscript"/>
              </w:rPr>
              <w:t>12</w:t>
            </w:r>
          </w:p>
        </w:tc>
      </w:tr>
      <w:tr w:rsidR="006A7D91" w:rsidRPr="00E44776" w14:paraId="0965C241" w14:textId="77777777" w:rsidTr="00B71082">
        <w:tc>
          <w:tcPr>
            <w:tcW w:w="9011" w:type="dxa"/>
            <w:gridSpan w:val="7"/>
            <w:tcBorders>
              <w:top w:val="single" w:sz="6" w:space="0" w:color="auto"/>
              <w:left w:val="single" w:sz="6" w:space="0" w:color="auto"/>
              <w:bottom w:val="single" w:sz="6" w:space="0" w:color="auto"/>
              <w:right w:val="single" w:sz="6" w:space="0" w:color="auto"/>
            </w:tcBorders>
            <w:shd w:val="clear" w:color="auto" w:fill="auto"/>
            <w:hideMark/>
          </w:tcPr>
          <w:p w14:paraId="66092F3A" w14:textId="3B30D478"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b/>
                <w:bCs/>
                <w:sz w:val="20"/>
                <w:szCs w:val="20"/>
              </w:rPr>
              <w:t xml:space="preserve">Estimated financial implications for other </w:t>
            </w:r>
            <w:r w:rsidR="003E78CD" w:rsidRPr="00E44776">
              <w:rPr>
                <w:rFonts w:ascii="Arial Narrow" w:hAnsi="Arial Narrow" w:cs="Times New Roman"/>
                <w:b/>
                <w:bCs/>
                <w:sz w:val="20"/>
                <w:szCs w:val="20"/>
              </w:rPr>
              <w:t>first-line treatments</w:t>
            </w:r>
            <w:r w:rsidR="003E78CD" w:rsidRPr="00E44776">
              <w:rPr>
                <w:rFonts w:ascii="Arial Narrow" w:hAnsi="Arial Narrow" w:cs="Times New Roman"/>
                <w:sz w:val="20"/>
                <w:szCs w:val="20"/>
              </w:rPr>
              <w:t> </w:t>
            </w:r>
          </w:p>
        </w:tc>
      </w:tr>
      <w:tr w:rsidR="00A97643" w:rsidRPr="00E44776" w14:paraId="593007E8"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1FD9E698" w14:textId="77777777"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Net saving for displaced VEN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02ACA" w14:textId="340E918C"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36"/>
                <w:sz w:val="20"/>
                <w:szCs w:val="20"/>
                <w:shd w:val="solid" w:color="000000" w:fill="000000"/>
                <w:fitText w:val="440" w:id="-1280031985"/>
                <w14:textFill>
                  <w14:solidFill>
                    <w14:srgbClr w14:val="000000">
                      <w14:alpha w14:val="100000"/>
                    </w14:srgbClr>
                  </w14:solidFill>
                </w14:textFill>
              </w:rPr>
              <w:t>|||||</w:t>
            </w:r>
            <w:r w:rsidR="00777DAE" w:rsidRPr="00FC7B41">
              <w:rPr>
                <w:rFonts w:ascii="Arial Narrow" w:hAnsi="Arial Narrow"/>
                <w:color w:val="000000"/>
                <w:spacing w:val="5"/>
                <w:sz w:val="20"/>
                <w:szCs w:val="20"/>
                <w:shd w:val="solid" w:color="000000" w:fill="000000"/>
                <w:fitText w:val="440" w:id="-1280031985"/>
                <w14:textFill>
                  <w14:solidFill>
                    <w14:srgbClr w14:val="000000">
                      <w14:alpha w14:val="100000"/>
                    </w14:srgbClr>
                  </w14:solidFill>
                </w14:textFill>
              </w:rPr>
              <w:t>|</w:t>
            </w:r>
            <w:r w:rsidR="003C21C0">
              <w:rPr>
                <w:rFonts w:ascii="Arial Narrow" w:hAnsi="Arial Narrow"/>
                <w:sz w:val="20"/>
                <w:szCs w:val="20"/>
                <w:vertAlign w:val="superscript"/>
              </w:rPr>
              <w:t>12</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264B7E" w14:textId="23EBB59E"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34"/>
                <w:sz w:val="20"/>
                <w:szCs w:val="20"/>
                <w:shd w:val="solid" w:color="000000" w:fill="000000"/>
                <w:fitText w:val="430" w:id="-1280031984"/>
                <w14:textFill>
                  <w14:solidFill>
                    <w14:srgbClr w14:val="000000">
                      <w14:alpha w14:val="100000"/>
                    </w14:srgbClr>
                  </w14:solidFill>
                </w14:textFill>
              </w:rPr>
              <w:t>|||||</w:t>
            </w:r>
            <w:r w:rsidR="00777DAE" w:rsidRPr="00FC7B41">
              <w:rPr>
                <w:rFonts w:ascii="Arial Narrow" w:hAnsi="Arial Narrow"/>
                <w:color w:val="000000"/>
                <w:spacing w:val="5"/>
                <w:sz w:val="20"/>
                <w:szCs w:val="20"/>
                <w:shd w:val="solid" w:color="000000" w:fill="000000"/>
                <w:fitText w:val="430" w:id="-1280031984"/>
                <w14:textFill>
                  <w14:solidFill>
                    <w14:srgbClr w14:val="000000">
                      <w14:alpha w14:val="100000"/>
                    </w14:srgbClr>
                  </w14:solidFill>
                </w14:textFill>
              </w:rPr>
              <w:t>|</w:t>
            </w:r>
            <w:r w:rsidR="003C21C0">
              <w:rPr>
                <w:rFonts w:ascii="Arial Narrow" w:hAnsi="Arial Narrow"/>
                <w:sz w:val="20"/>
                <w:szCs w:val="20"/>
                <w:vertAlign w:val="superscript"/>
              </w:rPr>
              <w:t>12</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2AFEE2" w14:textId="2901B94E"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2000"/>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2000"/>
                <w14:textFill>
                  <w14:solidFill>
                    <w14:srgbClr w14:val="000000">
                      <w14:alpha w14:val="100000"/>
                    </w14:srgbClr>
                  </w14:solidFill>
                </w14:textFill>
              </w:rPr>
              <w:t>|</w:t>
            </w:r>
            <w:r w:rsidR="003C21C0">
              <w:rPr>
                <w:rFonts w:ascii="Arial Narrow" w:hAnsi="Arial Narrow"/>
                <w:sz w:val="20"/>
                <w:szCs w:val="20"/>
                <w:vertAlign w:val="superscript"/>
              </w:rPr>
              <w:t>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810356" w14:textId="75EF46F7"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999"/>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999"/>
                <w14:textFill>
                  <w14:solidFill>
                    <w14:srgbClr w14:val="000000">
                      <w14:alpha w14:val="100000"/>
                    </w14:srgbClr>
                  </w14:solidFill>
                </w14:textFill>
              </w:rPr>
              <w:t>|</w:t>
            </w:r>
            <w:r w:rsidR="003C21C0">
              <w:rPr>
                <w:rFonts w:ascii="Arial Narrow" w:hAnsi="Arial Narrow"/>
                <w:sz w:val="20"/>
                <w:szCs w:val="20"/>
                <w:vertAlign w:val="superscript"/>
              </w:rPr>
              <w:t>7</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69CEEA" w14:textId="43401E49"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44"/>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44"/>
                <w14:textFill>
                  <w14:solidFill>
                    <w14:srgbClr w14:val="000000">
                      <w14:alpha w14:val="100000"/>
                    </w14:srgbClr>
                  </w14:solidFill>
                </w14:textFill>
              </w:rPr>
              <w:t>|</w:t>
            </w:r>
            <w:r w:rsidR="003C21C0">
              <w:rPr>
                <w:rFonts w:ascii="Arial Narrow" w:hAnsi="Arial Narrow"/>
                <w:sz w:val="20"/>
                <w:szCs w:val="20"/>
                <w:vertAlign w:val="superscript"/>
              </w:rPr>
              <w:t>7</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33A439" w14:textId="5536070B"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43"/>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43"/>
                <w14:textFill>
                  <w14:solidFill>
                    <w14:srgbClr w14:val="000000">
                      <w14:alpha w14:val="100000"/>
                    </w14:srgbClr>
                  </w14:solidFill>
                </w14:textFill>
              </w:rPr>
              <w:t>|</w:t>
            </w:r>
            <w:r w:rsidR="003C21C0">
              <w:rPr>
                <w:rFonts w:ascii="Arial Narrow" w:hAnsi="Arial Narrow"/>
                <w:sz w:val="20"/>
                <w:szCs w:val="20"/>
                <w:vertAlign w:val="superscript"/>
              </w:rPr>
              <w:t>7</w:t>
            </w:r>
          </w:p>
        </w:tc>
      </w:tr>
      <w:tr w:rsidR="00A97643" w:rsidRPr="00E44776" w14:paraId="5DFC3906"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22AC2A06" w14:textId="77777777"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Net saving for displaced OBI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D4DA62" w14:textId="37B4D0E5"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42"/>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42"/>
                <w14:textFill>
                  <w14:solidFill>
                    <w14:srgbClr w14:val="000000">
                      <w14:alpha w14:val="100000"/>
                    </w14:srgbClr>
                  </w14:solidFill>
                </w14:textFill>
              </w:rPr>
              <w:t>|</w:t>
            </w:r>
            <w:r w:rsidR="003C21C0">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CAAFE7" w14:textId="68E9F91F"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41"/>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41"/>
                <w14:textFill>
                  <w14:solidFill>
                    <w14:srgbClr w14:val="000000">
                      <w14:alpha w14:val="100000"/>
                    </w14:srgbClr>
                  </w14:solidFill>
                </w14:textFill>
              </w:rPr>
              <w:t>|</w:t>
            </w:r>
            <w:r w:rsidR="003C21C0">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CB03A5" w14:textId="21D2E1CD"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40"/>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40"/>
                <w14:textFill>
                  <w14:solidFill>
                    <w14:srgbClr w14:val="000000">
                      <w14:alpha w14:val="100000"/>
                    </w14:srgbClr>
                  </w14:solidFill>
                </w14:textFill>
              </w:rPr>
              <w:t>|</w:t>
            </w:r>
            <w:r w:rsidR="003C21C0">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577270" w14:textId="121B946A"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39"/>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39"/>
                <w14:textFill>
                  <w14:solidFill>
                    <w14:srgbClr w14:val="000000">
                      <w14:alpha w14:val="100000"/>
                    </w14:srgbClr>
                  </w14:solidFill>
                </w14:textFill>
              </w:rPr>
              <w:t>|</w:t>
            </w:r>
            <w:r w:rsidR="003C21C0">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CDED95" w14:textId="47A410A1"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38"/>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38"/>
                <w14:textFill>
                  <w14:solidFill>
                    <w14:srgbClr w14:val="000000">
                      <w14:alpha w14:val="100000"/>
                    </w14:srgbClr>
                  </w14:solidFill>
                </w14:textFill>
              </w:rPr>
              <w:t>|</w:t>
            </w:r>
            <w:r w:rsidR="003C21C0">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203E20" w14:textId="0AC98685"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34"/>
                <w:sz w:val="20"/>
                <w:szCs w:val="20"/>
                <w:shd w:val="solid" w:color="000000" w:fill="000000"/>
                <w:fitText w:val="430" w:id="-1280031737"/>
                <w14:textFill>
                  <w14:solidFill>
                    <w14:srgbClr w14:val="000000">
                      <w14:alpha w14:val="100000"/>
                    </w14:srgbClr>
                  </w14:solidFill>
                </w14:textFill>
              </w:rPr>
              <w:t>|||||</w:t>
            </w:r>
            <w:r w:rsidR="00777DAE" w:rsidRPr="00FC7B41">
              <w:rPr>
                <w:rFonts w:ascii="Arial Narrow" w:hAnsi="Arial Narrow"/>
                <w:color w:val="000000"/>
                <w:spacing w:val="5"/>
                <w:sz w:val="20"/>
                <w:szCs w:val="20"/>
                <w:shd w:val="solid" w:color="000000" w:fill="000000"/>
                <w:fitText w:val="430" w:id="-1280031737"/>
                <w14:textFill>
                  <w14:solidFill>
                    <w14:srgbClr w14:val="000000">
                      <w14:alpha w14:val="100000"/>
                    </w14:srgbClr>
                  </w14:solidFill>
                </w14:textFill>
              </w:rPr>
              <w:t>|</w:t>
            </w:r>
            <w:r w:rsidR="003C21C0">
              <w:rPr>
                <w:rFonts w:ascii="Arial Narrow" w:hAnsi="Arial Narrow"/>
                <w:sz w:val="20"/>
                <w:szCs w:val="20"/>
                <w:vertAlign w:val="superscript"/>
              </w:rPr>
              <w:t>12</w:t>
            </w:r>
          </w:p>
        </w:tc>
      </w:tr>
      <w:tr w:rsidR="003E78CD" w:rsidRPr="00E44776" w14:paraId="7E9B3DE7" w14:textId="77777777" w:rsidTr="00B71082">
        <w:tc>
          <w:tcPr>
            <w:tcW w:w="9011" w:type="dxa"/>
            <w:gridSpan w:val="7"/>
            <w:tcBorders>
              <w:top w:val="single" w:sz="6" w:space="0" w:color="auto"/>
              <w:left w:val="single" w:sz="6" w:space="0" w:color="auto"/>
              <w:bottom w:val="single" w:sz="6" w:space="0" w:color="auto"/>
              <w:right w:val="single" w:sz="4" w:space="0" w:color="auto"/>
            </w:tcBorders>
            <w:shd w:val="clear" w:color="auto" w:fill="auto"/>
          </w:tcPr>
          <w:p w14:paraId="17BE67A7" w14:textId="5741BB3C" w:rsidR="003E78CD" w:rsidRPr="00E44776" w:rsidRDefault="003E78CD" w:rsidP="00013B37">
            <w:pPr>
              <w:keepNext/>
              <w:jc w:val="left"/>
              <w:textAlignment w:val="baseline"/>
              <w:rPr>
                <w:rFonts w:ascii="Arial Narrow" w:hAnsi="Arial Narrow"/>
                <w:b/>
                <w:bCs/>
                <w:sz w:val="20"/>
                <w:szCs w:val="20"/>
              </w:rPr>
            </w:pPr>
            <w:r w:rsidRPr="00E44776">
              <w:rPr>
                <w:rFonts w:ascii="Arial Narrow" w:hAnsi="Arial Narrow"/>
                <w:b/>
                <w:bCs/>
                <w:sz w:val="20"/>
                <w:szCs w:val="20"/>
              </w:rPr>
              <w:t>Estimated financial implications for second-line treatments</w:t>
            </w:r>
          </w:p>
        </w:tc>
      </w:tr>
      <w:tr w:rsidR="00A97643" w:rsidRPr="00E44776" w14:paraId="0D5C12AD"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30248E7F" w14:textId="77777777"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Net saving for displaced IBR</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B6685" w14:textId="321D91D5"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36"/>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36"/>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18C19F" w14:textId="723DF6C0"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35"/>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35"/>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C8F1A3" w14:textId="5804E649"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34"/>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34"/>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AE43E" w14:textId="48DB77E7"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33"/>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33"/>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2D2D3" w14:textId="3F428AC1"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32"/>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32"/>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9EBA41" w14:textId="62C87108"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34"/>
                <w:sz w:val="20"/>
                <w:szCs w:val="20"/>
                <w:shd w:val="solid" w:color="000000" w:fill="000000"/>
                <w:fitText w:val="430" w:id="-1280031731"/>
                <w14:textFill>
                  <w14:solidFill>
                    <w14:srgbClr w14:val="000000">
                      <w14:alpha w14:val="100000"/>
                    </w14:srgbClr>
                  </w14:solidFill>
                </w14:textFill>
              </w:rPr>
              <w:t>|||||</w:t>
            </w:r>
            <w:r w:rsidR="00777DAE" w:rsidRPr="00FC7B41">
              <w:rPr>
                <w:rFonts w:ascii="Arial Narrow" w:hAnsi="Arial Narrow"/>
                <w:color w:val="000000"/>
                <w:spacing w:val="5"/>
                <w:sz w:val="20"/>
                <w:szCs w:val="20"/>
                <w:shd w:val="solid" w:color="000000" w:fill="000000"/>
                <w:fitText w:val="430" w:id="-1280031731"/>
                <w14:textFill>
                  <w14:solidFill>
                    <w14:srgbClr w14:val="000000">
                      <w14:alpha w14:val="100000"/>
                    </w14:srgbClr>
                  </w14:solidFill>
                </w14:textFill>
              </w:rPr>
              <w:t>|</w:t>
            </w:r>
            <w:r w:rsidR="00333F8C">
              <w:rPr>
                <w:rFonts w:ascii="Arial Narrow" w:hAnsi="Arial Narrow"/>
                <w:sz w:val="20"/>
                <w:szCs w:val="20"/>
                <w:vertAlign w:val="superscript"/>
              </w:rPr>
              <w:t>12</w:t>
            </w:r>
          </w:p>
        </w:tc>
      </w:tr>
      <w:tr w:rsidR="00A97643" w:rsidRPr="00E44776" w14:paraId="1EFDD3D7"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20454021" w14:textId="06F32911"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 xml:space="preserve">Net saving for displaced </w:t>
            </w:r>
            <w:r w:rsidR="00834BD5" w:rsidRPr="00E44776">
              <w:rPr>
                <w:rFonts w:ascii="Arial Narrow" w:hAnsi="Arial Narrow" w:cs="Times New Roman"/>
                <w:sz w:val="20"/>
                <w:szCs w:val="20"/>
              </w:rPr>
              <w:t xml:space="preserve">ACAL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B9FE31" w14:textId="22FB055B"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30"/>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30"/>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596D39" w14:textId="26626DBF"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29"/>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29"/>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C0123B" w14:textId="13C9F974"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28"/>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28"/>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8811D7" w14:textId="13D9A26E"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44"/>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44"/>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1259F" w14:textId="730F8EFD"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43"/>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43"/>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AD074D" w14:textId="18D4112A"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79"/>
                <w:sz w:val="20"/>
                <w:szCs w:val="20"/>
                <w:shd w:val="solid" w:color="000000" w:fill="000000"/>
                <w:fitText w:val="410" w:id="-1280031742"/>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410" w:id="-1280031742"/>
                <w14:textFill>
                  <w14:solidFill>
                    <w14:srgbClr w14:val="000000">
                      <w14:alpha w14:val="100000"/>
                    </w14:srgbClr>
                  </w14:solidFill>
                </w14:textFill>
              </w:rPr>
              <w:t>|</w:t>
            </w:r>
            <w:r w:rsidR="00333F8C">
              <w:rPr>
                <w:rFonts w:ascii="Arial Narrow" w:hAnsi="Arial Narrow"/>
                <w:sz w:val="20"/>
                <w:szCs w:val="20"/>
                <w:vertAlign w:val="superscript"/>
              </w:rPr>
              <w:t>6</w:t>
            </w:r>
          </w:p>
        </w:tc>
      </w:tr>
      <w:tr w:rsidR="00A97643" w:rsidRPr="00E44776" w14:paraId="20EA4E05"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0AB4A1CC" w14:textId="77777777"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Net cost of additional VEN </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AFB58C" w14:textId="6E6E2E3C"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41"/>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41"/>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D49CAB" w14:textId="73CFC89D"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40"/>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40"/>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8B19AD" w14:textId="1A5B4205"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9"/>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9"/>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64B53F" w14:textId="1CA12530"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8"/>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8"/>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8A22F4" w14:textId="4538F874"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7"/>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7"/>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BC826" w14:textId="595EA2CF" w:rsidR="006A7D91" w:rsidRPr="00333F8C"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6"/>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6"/>
                <w14:textFill>
                  <w14:solidFill>
                    <w14:srgbClr w14:val="000000">
                      <w14:alpha w14:val="100000"/>
                    </w14:srgbClr>
                  </w14:solidFill>
                </w14:textFill>
              </w:rPr>
              <w:t>|</w:t>
            </w:r>
            <w:r w:rsidR="00333F8C">
              <w:rPr>
                <w:rFonts w:ascii="Arial Narrow" w:hAnsi="Arial Narrow"/>
                <w:sz w:val="20"/>
                <w:szCs w:val="20"/>
                <w:vertAlign w:val="superscript"/>
              </w:rPr>
              <w:t>6</w:t>
            </w:r>
          </w:p>
        </w:tc>
      </w:tr>
      <w:tr w:rsidR="00A97643" w:rsidRPr="00E44776" w14:paraId="7DB1F478" w14:textId="77777777" w:rsidTr="00B71082">
        <w:trPr>
          <w:trHeight w:val="60"/>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57BFE52A" w14:textId="77777777"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Net cost of additional RIT </w:t>
            </w:r>
          </w:p>
        </w:tc>
        <w:tc>
          <w:tcPr>
            <w:tcW w:w="1115" w:type="dxa"/>
            <w:tcBorders>
              <w:top w:val="nil"/>
              <w:left w:val="single" w:sz="4" w:space="0" w:color="auto"/>
              <w:bottom w:val="single" w:sz="4" w:space="0" w:color="auto"/>
              <w:right w:val="single" w:sz="4" w:space="0" w:color="auto"/>
            </w:tcBorders>
            <w:shd w:val="clear" w:color="auto" w:fill="FFFFFF" w:themeFill="background1"/>
            <w:vAlign w:val="center"/>
            <w:hideMark/>
          </w:tcPr>
          <w:p w14:paraId="77C763CE" w14:textId="2A8A838C" w:rsidR="006A7D91" w:rsidRPr="00333F8C" w:rsidRDefault="001A6D6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5"/>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5"/>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nil"/>
              <w:left w:val="nil"/>
              <w:bottom w:val="single" w:sz="4" w:space="0" w:color="auto"/>
              <w:right w:val="single" w:sz="4" w:space="0" w:color="auto"/>
            </w:tcBorders>
            <w:shd w:val="clear" w:color="auto" w:fill="FFFFFF" w:themeFill="background1"/>
            <w:vAlign w:val="center"/>
          </w:tcPr>
          <w:p w14:paraId="374CD717" w14:textId="5CE092E9" w:rsidR="006A7D91" w:rsidRPr="00333F8C" w:rsidRDefault="001A6D6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4"/>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4"/>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5" w:type="dxa"/>
            <w:tcBorders>
              <w:top w:val="nil"/>
              <w:left w:val="nil"/>
              <w:bottom w:val="single" w:sz="4" w:space="0" w:color="auto"/>
              <w:right w:val="single" w:sz="4" w:space="0" w:color="auto"/>
            </w:tcBorders>
            <w:shd w:val="clear" w:color="auto" w:fill="FFFFFF" w:themeFill="background1"/>
            <w:vAlign w:val="center"/>
          </w:tcPr>
          <w:p w14:paraId="19E44D92" w14:textId="2D53623C" w:rsidR="006A7D91" w:rsidRPr="00E44776" w:rsidRDefault="001A6D61" w:rsidP="00013B37">
            <w:pPr>
              <w:keepNext/>
              <w:jc w:val="center"/>
              <w:textAlignment w:val="baseline"/>
              <w:rPr>
                <w:rFonts w:ascii="Times New Roman" w:hAnsi="Times New Roman" w:cs="Times New Roman"/>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3"/>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3"/>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nil"/>
              <w:left w:val="nil"/>
              <w:bottom w:val="single" w:sz="4" w:space="0" w:color="auto"/>
              <w:right w:val="single" w:sz="4" w:space="0" w:color="auto"/>
            </w:tcBorders>
            <w:shd w:val="clear" w:color="auto" w:fill="FFFFFF" w:themeFill="background1"/>
            <w:vAlign w:val="center"/>
          </w:tcPr>
          <w:p w14:paraId="6680A710" w14:textId="08CA6753" w:rsidR="006A7D91" w:rsidRPr="00E44776" w:rsidRDefault="001A6D61" w:rsidP="00013B37">
            <w:pPr>
              <w:keepNext/>
              <w:jc w:val="center"/>
              <w:textAlignment w:val="baseline"/>
              <w:rPr>
                <w:rFonts w:ascii="Times New Roman" w:hAnsi="Times New Roman" w:cs="Times New Roman"/>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2"/>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2"/>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5" w:type="dxa"/>
            <w:tcBorders>
              <w:top w:val="nil"/>
              <w:left w:val="nil"/>
              <w:bottom w:val="single" w:sz="4" w:space="0" w:color="auto"/>
              <w:right w:val="single" w:sz="4" w:space="0" w:color="auto"/>
            </w:tcBorders>
            <w:shd w:val="clear" w:color="auto" w:fill="FFFFFF" w:themeFill="background1"/>
            <w:vAlign w:val="center"/>
          </w:tcPr>
          <w:p w14:paraId="70960686" w14:textId="4051C4C7" w:rsidR="006A7D91" w:rsidRPr="00E44776" w:rsidRDefault="001A6D61" w:rsidP="00013B37">
            <w:pPr>
              <w:keepNext/>
              <w:jc w:val="center"/>
              <w:textAlignment w:val="baseline"/>
              <w:rPr>
                <w:rFonts w:ascii="Times New Roman" w:hAnsi="Times New Roman" w:cs="Times New Roman"/>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1"/>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1"/>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nil"/>
              <w:left w:val="nil"/>
              <w:bottom w:val="single" w:sz="4" w:space="0" w:color="auto"/>
              <w:right w:val="single" w:sz="4" w:space="0" w:color="auto"/>
            </w:tcBorders>
            <w:shd w:val="clear" w:color="auto" w:fill="FFFFFF" w:themeFill="background1"/>
            <w:vAlign w:val="center"/>
          </w:tcPr>
          <w:p w14:paraId="46852A3B" w14:textId="1986158A" w:rsidR="006A7D91" w:rsidRPr="00333F8C" w:rsidRDefault="001A6D6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0"/>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0"/>
                <w14:textFill>
                  <w14:solidFill>
                    <w14:srgbClr w14:val="000000">
                      <w14:alpha w14:val="100000"/>
                    </w14:srgbClr>
                  </w14:solidFill>
                </w14:textFill>
              </w:rPr>
              <w:t>|</w:t>
            </w:r>
            <w:r w:rsidR="00333F8C">
              <w:rPr>
                <w:rFonts w:ascii="Arial Narrow" w:hAnsi="Arial Narrow"/>
                <w:sz w:val="20"/>
                <w:szCs w:val="20"/>
                <w:vertAlign w:val="superscript"/>
              </w:rPr>
              <w:t>6</w:t>
            </w:r>
          </w:p>
        </w:tc>
      </w:tr>
      <w:tr w:rsidR="00A97643" w:rsidRPr="00E44776" w14:paraId="2985B0AC" w14:textId="77777777" w:rsidTr="00B71082">
        <w:trPr>
          <w:trHeight w:val="60"/>
        </w:trPr>
        <w:tc>
          <w:tcPr>
            <w:tcW w:w="2318" w:type="dxa"/>
            <w:tcBorders>
              <w:top w:val="single" w:sz="6" w:space="0" w:color="auto"/>
              <w:left w:val="single" w:sz="6" w:space="0" w:color="auto"/>
              <w:bottom w:val="single" w:sz="6" w:space="0" w:color="auto"/>
              <w:right w:val="single" w:sz="6" w:space="0" w:color="auto"/>
            </w:tcBorders>
            <w:shd w:val="clear" w:color="auto" w:fill="auto"/>
          </w:tcPr>
          <w:p w14:paraId="2EFC9409" w14:textId="0A3EF417" w:rsidR="006A7D91" w:rsidRPr="00E44776" w:rsidRDefault="006A7D91" w:rsidP="00013B37">
            <w:pPr>
              <w:keepNext/>
              <w:jc w:val="left"/>
              <w:textAlignment w:val="baseline"/>
              <w:rPr>
                <w:rFonts w:ascii="Arial Narrow" w:hAnsi="Arial Narrow" w:cs="Times New Roman"/>
                <w:sz w:val="20"/>
                <w:szCs w:val="20"/>
              </w:rPr>
            </w:pPr>
            <w:r w:rsidRPr="00E44776">
              <w:rPr>
                <w:rFonts w:ascii="Arial Narrow" w:hAnsi="Arial Narrow" w:cs="Times New Roman"/>
                <w:sz w:val="20"/>
                <w:szCs w:val="20"/>
              </w:rPr>
              <w:t>Net cost of additional ID</w:t>
            </w:r>
            <w:r w:rsidR="00377DFE" w:rsidRPr="00E44776">
              <w:rPr>
                <w:rFonts w:ascii="Arial Narrow" w:hAnsi="Arial Narrow" w:cs="Times New Roman"/>
                <w:sz w:val="20"/>
                <w:szCs w:val="20"/>
              </w:rPr>
              <w:t>E</w:t>
            </w:r>
            <w:r w:rsidRPr="00E44776">
              <w:rPr>
                <w:rFonts w:ascii="Arial Narrow" w:hAnsi="Arial Narrow" w:cs="Times New Roman"/>
                <w:sz w:val="20"/>
                <w:szCs w:val="20"/>
              </w:rPr>
              <w:t>L</w:t>
            </w:r>
          </w:p>
        </w:tc>
        <w:tc>
          <w:tcPr>
            <w:tcW w:w="111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C7DB3D" w14:textId="5BC7D70A" w:rsidR="006A7D91" w:rsidRPr="00333F8C" w:rsidRDefault="006A7D91" w:rsidP="00013B37">
            <w:pPr>
              <w:keepNext/>
              <w:jc w:val="center"/>
              <w:textAlignment w:val="baseline"/>
              <w:rPr>
                <w:rFonts w:ascii="Arial Narrow" w:hAnsi="Arial Narrow"/>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29"/>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29"/>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nil"/>
              <w:bottom w:val="single" w:sz="4" w:space="0" w:color="auto"/>
              <w:right w:val="single" w:sz="4" w:space="0" w:color="auto"/>
            </w:tcBorders>
            <w:shd w:val="clear" w:color="auto" w:fill="FFFFFF" w:themeFill="background1"/>
            <w:vAlign w:val="center"/>
          </w:tcPr>
          <w:p w14:paraId="50326EF4" w14:textId="223429E8" w:rsidR="006A7D91" w:rsidRPr="00333F8C" w:rsidRDefault="006A7D91" w:rsidP="00013B37">
            <w:pPr>
              <w:keepNext/>
              <w:jc w:val="center"/>
              <w:textAlignment w:val="baseline"/>
              <w:rPr>
                <w:rFonts w:ascii="Arial Narrow" w:hAnsi="Arial Narrow"/>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28"/>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28"/>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5" w:type="dxa"/>
            <w:tcBorders>
              <w:top w:val="single" w:sz="4" w:space="0" w:color="auto"/>
              <w:left w:val="nil"/>
              <w:bottom w:val="single" w:sz="4" w:space="0" w:color="auto"/>
              <w:right w:val="single" w:sz="4" w:space="0" w:color="auto"/>
            </w:tcBorders>
            <w:shd w:val="clear" w:color="auto" w:fill="FFFFFF" w:themeFill="background1"/>
            <w:vAlign w:val="center"/>
          </w:tcPr>
          <w:p w14:paraId="39D75E88" w14:textId="5FAC4FE9" w:rsidR="006A7D91" w:rsidRPr="00333F8C" w:rsidRDefault="006A7D91" w:rsidP="00013B37">
            <w:pPr>
              <w:keepNext/>
              <w:jc w:val="center"/>
              <w:textAlignment w:val="baseline"/>
              <w:rPr>
                <w:rFonts w:ascii="Arial Narrow" w:hAnsi="Arial Narrow"/>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44"/>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44"/>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nil"/>
              <w:bottom w:val="single" w:sz="4" w:space="0" w:color="auto"/>
              <w:right w:val="single" w:sz="4" w:space="0" w:color="auto"/>
            </w:tcBorders>
            <w:shd w:val="clear" w:color="auto" w:fill="FFFFFF" w:themeFill="background1"/>
            <w:vAlign w:val="center"/>
          </w:tcPr>
          <w:p w14:paraId="165263B9" w14:textId="02EDE6BE" w:rsidR="006A7D91" w:rsidRPr="00333F8C" w:rsidRDefault="006A7D91" w:rsidP="00013B37">
            <w:pPr>
              <w:keepNext/>
              <w:jc w:val="center"/>
              <w:textAlignment w:val="baseline"/>
              <w:rPr>
                <w:rFonts w:ascii="Arial Narrow" w:hAnsi="Arial Narrow"/>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43"/>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43"/>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5" w:type="dxa"/>
            <w:tcBorders>
              <w:top w:val="single" w:sz="4" w:space="0" w:color="auto"/>
              <w:left w:val="nil"/>
              <w:bottom w:val="single" w:sz="4" w:space="0" w:color="auto"/>
              <w:right w:val="single" w:sz="4" w:space="0" w:color="auto"/>
            </w:tcBorders>
            <w:shd w:val="clear" w:color="auto" w:fill="FFFFFF" w:themeFill="background1"/>
            <w:vAlign w:val="center"/>
          </w:tcPr>
          <w:p w14:paraId="71C85B4A" w14:textId="58CA72CD" w:rsidR="006A7D91" w:rsidRPr="00333F8C" w:rsidRDefault="006A7D91" w:rsidP="00013B37">
            <w:pPr>
              <w:keepNext/>
              <w:jc w:val="center"/>
              <w:textAlignment w:val="baseline"/>
              <w:rPr>
                <w:rFonts w:ascii="Arial Narrow" w:hAnsi="Arial Narrow"/>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42"/>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42"/>
                <w14:textFill>
                  <w14:solidFill>
                    <w14:srgbClr w14:val="000000">
                      <w14:alpha w14:val="100000"/>
                    </w14:srgbClr>
                  </w14:solidFill>
                </w14:textFill>
              </w:rPr>
              <w:t>|</w:t>
            </w:r>
            <w:r w:rsidR="00333F8C">
              <w:rPr>
                <w:rFonts w:ascii="Arial Narrow" w:hAnsi="Arial Narrow"/>
                <w:sz w:val="20"/>
                <w:szCs w:val="20"/>
                <w:vertAlign w:val="superscript"/>
              </w:rPr>
              <w:t>6</w:t>
            </w:r>
          </w:p>
        </w:tc>
        <w:tc>
          <w:tcPr>
            <w:tcW w:w="1116" w:type="dxa"/>
            <w:tcBorders>
              <w:top w:val="single" w:sz="4" w:space="0" w:color="auto"/>
              <w:left w:val="nil"/>
              <w:bottom w:val="single" w:sz="4" w:space="0" w:color="auto"/>
              <w:right w:val="single" w:sz="4" w:space="0" w:color="auto"/>
            </w:tcBorders>
            <w:shd w:val="clear" w:color="auto" w:fill="FFFFFF" w:themeFill="background1"/>
            <w:vAlign w:val="center"/>
          </w:tcPr>
          <w:p w14:paraId="2E6310BB" w14:textId="242A3FAD" w:rsidR="006A7D91" w:rsidRPr="00333F8C" w:rsidRDefault="006A7D91" w:rsidP="00013B37">
            <w:pPr>
              <w:keepNext/>
              <w:jc w:val="center"/>
              <w:textAlignment w:val="baseline"/>
              <w:rPr>
                <w:rFonts w:ascii="Arial Narrow" w:hAnsi="Arial Narrow"/>
                <w:sz w:val="20"/>
                <w:szCs w:val="20"/>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41"/>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41"/>
                <w14:textFill>
                  <w14:solidFill>
                    <w14:srgbClr w14:val="000000">
                      <w14:alpha w14:val="100000"/>
                    </w14:srgbClr>
                  </w14:solidFill>
                </w14:textFill>
              </w:rPr>
              <w:t>|</w:t>
            </w:r>
            <w:r w:rsidR="00333F8C">
              <w:rPr>
                <w:rFonts w:ascii="Arial Narrow" w:hAnsi="Arial Narrow"/>
                <w:sz w:val="20"/>
                <w:szCs w:val="20"/>
                <w:vertAlign w:val="superscript"/>
              </w:rPr>
              <w:t>6</w:t>
            </w:r>
          </w:p>
        </w:tc>
      </w:tr>
      <w:tr w:rsidR="006A7D91" w:rsidRPr="00E44776" w14:paraId="324782C5" w14:textId="77777777" w:rsidTr="00B71082">
        <w:tc>
          <w:tcPr>
            <w:tcW w:w="9011" w:type="dxa"/>
            <w:gridSpan w:val="7"/>
            <w:tcBorders>
              <w:top w:val="single" w:sz="6" w:space="0" w:color="auto"/>
              <w:left w:val="single" w:sz="6" w:space="0" w:color="auto"/>
              <w:bottom w:val="single" w:sz="6" w:space="0" w:color="auto"/>
              <w:right w:val="single" w:sz="6" w:space="0" w:color="auto"/>
            </w:tcBorders>
            <w:shd w:val="clear" w:color="auto" w:fill="auto"/>
            <w:hideMark/>
          </w:tcPr>
          <w:p w14:paraId="73F5A854" w14:textId="457326F1"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b/>
                <w:bCs/>
                <w:sz w:val="20"/>
                <w:szCs w:val="20"/>
              </w:rPr>
              <w:t>Net financial implications of listing acalabrutinib + obinutuzumab</w:t>
            </w:r>
            <w:r w:rsidRPr="00E44776">
              <w:rPr>
                <w:rFonts w:ascii="Arial Narrow" w:hAnsi="Arial Narrow" w:cs="Times New Roman"/>
                <w:sz w:val="20"/>
                <w:szCs w:val="20"/>
              </w:rPr>
              <w:t> </w:t>
            </w:r>
          </w:p>
        </w:tc>
      </w:tr>
      <w:tr w:rsidR="00793924" w:rsidRPr="00E44776" w14:paraId="1889E337" w14:textId="77777777" w:rsidTr="00B71082">
        <w:trPr>
          <w:trHeight w:val="65"/>
        </w:trPr>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7C709AE7" w14:textId="673783C9" w:rsidR="00793924" w:rsidRPr="00E44776" w:rsidRDefault="00793924" w:rsidP="00013B37">
            <w:pPr>
              <w:keepNext/>
              <w:jc w:val="left"/>
              <w:textAlignment w:val="baseline"/>
              <w:rPr>
                <w:rFonts w:ascii="Times New Roman" w:hAnsi="Times New Roman" w:cs="Times New Roman"/>
              </w:rPr>
            </w:pPr>
            <w:r w:rsidRPr="00E44776">
              <w:rPr>
                <w:rFonts w:ascii="Arial Narrow" w:hAnsi="Arial Narrow" w:cs="Times New Roman"/>
                <w:sz w:val="20"/>
                <w:szCs w:val="20"/>
              </w:rPr>
              <w:t>Net cost of ACAL + OBI  </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06F379DF" w14:textId="1CFE01BA" w:rsidR="00793924" w:rsidRPr="00333F8C" w:rsidRDefault="00793924" w:rsidP="00013B37">
            <w:pPr>
              <w:pStyle w:val="TableText"/>
              <w:jc w:val="center"/>
              <w:rPr>
                <w:rFonts w:ascii="Times New Roman" w:hAnsi="Times New Roman" w:cs="Times New Roman"/>
                <w:vertAlign w:val="superscript"/>
              </w:rPr>
            </w:pPr>
            <w:r w:rsidRPr="00E44776">
              <w:t>$</w:t>
            </w:r>
            <w:r w:rsidR="00777DAE" w:rsidRPr="00FC7B41">
              <w:rPr>
                <w:color w:val="000000"/>
                <w:spacing w:val="79"/>
                <w:shd w:val="solid" w:color="000000" w:fill="000000"/>
                <w:fitText w:val="410" w:id="-1280031740"/>
                <w14:textFill>
                  <w14:solidFill>
                    <w14:srgbClr w14:val="000000">
                      <w14:alpha w14:val="100000"/>
                    </w14:srgbClr>
                  </w14:solidFill>
                </w14:textFill>
              </w:rPr>
              <w:t>|||</w:t>
            </w:r>
            <w:r w:rsidR="00777DAE" w:rsidRPr="00FC7B41">
              <w:rPr>
                <w:color w:val="000000"/>
                <w:spacing w:val="3"/>
                <w:shd w:val="solid" w:color="000000" w:fill="000000"/>
                <w:fitText w:val="410" w:id="-1280031740"/>
                <w14:textFill>
                  <w14:solidFill>
                    <w14:srgbClr w14:val="000000">
                      <w14:alpha w14:val="100000"/>
                    </w14:srgbClr>
                  </w14:solidFill>
                </w14:textFill>
              </w:rPr>
              <w:t>|</w:t>
            </w:r>
            <w:r w:rsidR="00333F8C">
              <w:rPr>
                <w:vertAlign w:val="superscript"/>
              </w:rPr>
              <w:t>12</w:t>
            </w: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45970D7E" w14:textId="668DB9A8" w:rsidR="00793924" w:rsidRPr="00333F8C" w:rsidRDefault="00793924" w:rsidP="00013B37">
            <w:pPr>
              <w:pStyle w:val="TableText"/>
              <w:jc w:val="center"/>
              <w:rPr>
                <w:vertAlign w:val="superscript"/>
              </w:rPr>
            </w:pPr>
            <w:r w:rsidRPr="00E44776">
              <w:t>$</w:t>
            </w:r>
            <w:r w:rsidR="00777DAE" w:rsidRPr="00FC7B41">
              <w:rPr>
                <w:color w:val="000000"/>
                <w:spacing w:val="69"/>
                <w:shd w:val="solid" w:color="000000" w:fill="000000"/>
                <w:fitText w:val="380" w:id="-1280031739"/>
                <w14:textFill>
                  <w14:solidFill>
                    <w14:srgbClr w14:val="000000">
                      <w14:alpha w14:val="100000"/>
                    </w14:srgbClr>
                  </w14:solidFill>
                </w14:textFill>
              </w:rPr>
              <w:t>|||</w:t>
            </w:r>
            <w:r w:rsidR="00777DAE" w:rsidRPr="00FC7B41">
              <w:rPr>
                <w:color w:val="000000"/>
                <w:spacing w:val="3"/>
                <w:shd w:val="solid" w:color="000000" w:fill="000000"/>
                <w:fitText w:val="380" w:id="-1280031739"/>
                <w14:textFill>
                  <w14:solidFill>
                    <w14:srgbClr w14:val="000000">
                      <w14:alpha w14:val="100000"/>
                    </w14:srgbClr>
                  </w14:solidFill>
                </w14:textFill>
              </w:rPr>
              <w:t>|</w:t>
            </w:r>
            <w:r w:rsidR="00333F8C">
              <w:rPr>
                <w:vertAlign w:val="superscript"/>
              </w:rPr>
              <w:t>7</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4EED7E6D" w14:textId="37AE6B0B" w:rsidR="00793924" w:rsidRPr="00333F8C" w:rsidRDefault="00793924" w:rsidP="00013B37">
            <w:pPr>
              <w:pStyle w:val="TableText"/>
              <w:jc w:val="center"/>
              <w:rPr>
                <w:vertAlign w:val="superscript"/>
              </w:rPr>
            </w:pPr>
            <w:r w:rsidRPr="00E44776">
              <w:t>$</w:t>
            </w:r>
            <w:r w:rsidR="00777DAE" w:rsidRPr="00FC7B41">
              <w:rPr>
                <w:color w:val="000000"/>
                <w:spacing w:val="79"/>
                <w:shd w:val="solid" w:color="000000" w:fill="000000"/>
                <w:fitText w:val="410" w:id="-1280031738"/>
                <w14:textFill>
                  <w14:solidFill>
                    <w14:srgbClr w14:val="000000">
                      <w14:alpha w14:val="100000"/>
                    </w14:srgbClr>
                  </w14:solidFill>
                </w14:textFill>
              </w:rPr>
              <w:t>|||</w:t>
            </w:r>
            <w:r w:rsidR="00777DAE" w:rsidRPr="00FC7B41">
              <w:rPr>
                <w:color w:val="000000"/>
                <w:spacing w:val="3"/>
                <w:shd w:val="solid" w:color="000000" w:fill="000000"/>
                <w:fitText w:val="410" w:id="-1280031738"/>
                <w14:textFill>
                  <w14:solidFill>
                    <w14:srgbClr w14:val="000000">
                      <w14:alpha w14:val="100000"/>
                    </w14:srgbClr>
                  </w14:solidFill>
                </w14:textFill>
              </w:rPr>
              <w:t>|</w:t>
            </w:r>
            <w:r w:rsidR="00333F8C">
              <w:rPr>
                <w:vertAlign w:val="superscript"/>
              </w:rPr>
              <w:t>13</w:t>
            </w: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08180BC5" w14:textId="56547ACB" w:rsidR="00793924" w:rsidRPr="00333F8C" w:rsidRDefault="00793924" w:rsidP="00013B37">
            <w:pPr>
              <w:pStyle w:val="TableText"/>
              <w:jc w:val="center"/>
              <w:rPr>
                <w:vertAlign w:val="superscript"/>
              </w:rPr>
            </w:pPr>
            <w:r w:rsidRPr="00E44776">
              <w:t>$</w:t>
            </w:r>
            <w:r w:rsidR="00777DAE" w:rsidRPr="00FC7B41">
              <w:rPr>
                <w:color w:val="000000"/>
                <w:spacing w:val="79"/>
                <w:shd w:val="solid" w:color="000000" w:fill="000000"/>
                <w:fitText w:val="410" w:id="-1280031737"/>
                <w14:textFill>
                  <w14:solidFill>
                    <w14:srgbClr w14:val="000000">
                      <w14:alpha w14:val="100000"/>
                    </w14:srgbClr>
                  </w14:solidFill>
                </w14:textFill>
              </w:rPr>
              <w:t>|||</w:t>
            </w:r>
            <w:r w:rsidR="00777DAE" w:rsidRPr="00FC7B41">
              <w:rPr>
                <w:color w:val="000000"/>
                <w:spacing w:val="3"/>
                <w:shd w:val="solid" w:color="000000" w:fill="000000"/>
                <w:fitText w:val="410" w:id="-1280031737"/>
                <w14:textFill>
                  <w14:solidFill>
                    <w14:srgbClr w14:val="000000">
                      <w14:alpha w14:val="100000"/>
                    </w14:srgbClr>
                  </w14:solidFill>
                </w14:textFill>
              </w:rPr>
              <w:t>|</w:t>
            </w:r>
            <w:r w:rsidR="00333F8C">
              <w:rPr>
                <w:vertAlign w:val="superscript"/>
              </w:rPr>
              <w:t>14</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1D8834D3" w14:textId="640A7AD9" w:rsidR="00793924" w:rsidRPr="00333F8C" w:rsidRDefault="00793924" w:rsidP="00013B37">
            <w:pPr>
              <w:pStyle w:val="TableText"/>
              <w:jc w:val="center"/>
              <w:rPr>
                <w:rFonts w:ascii="Times New Roman" w:hAnsi="Times New Roman" w:cs="Times New Roman"/>
                <w:vertAlign w:val="superscript"/>
              </w:rPr>
            </w:pPr>
            <w:r w:rsidRPr="00E44776">
              <w:t>$</w:t>
            </w:r>
            <w:r w:rsidR="00777DAE" w:rsidRPr="00FC7B41">
              <w:rPr>
                <w:color w:val="000000"/>
                <w:spacing w:val="79"/>
                <w:shd w:val="solid" w:color="000000" w:fill="000000"/>
                <w:fitText w:val="410" w:id="-1280031736"/>
                <w14:textFill>
                  <w14:solidFill>
                    <w14:srgbClr w14:val="000000">
                      <w14:alpha w14:val="100000"/>
                    </w14:srgbClr>
                  </w14:solidFill>
                </w14:textFill>
              </w:rPr>
              <w:t>|||</w:t>
            </w:r>
            <w:r w:rsidR="00777DAE" w:rsidRPr="00FC7B41">
              <w:rPr>
                <w:color w:val="000000"/>
                <w:spacing w:val="3"/>
                <w:shd w:val="solid" w:color="000000" w:fill="000000"/>
                <w:fitText w:val="410" w:id="-1280031736"/>
                <w14:textFill>
                  <w14:solidFill>
                    <w14:srgbClr w14:val="000000">
                      <w14:alpha w14:val="100000"/>
                    </w14:srgbClr>
                  </w14:solidFill>
                </w14:textFill>
              </w:rPr>
              <w:t>|</w:t>
            </w:r>
            <w:r w:rsidR="00333F8C">
              <w:rPr>
                <w:vertAlign w:val="superscript"/>
              </w:rPr>
              <w:t>11</w:t>
            </w: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0D5F353B" w14:textId="7EDC1111" w:rsidR="00793924" w:rsidRPr="00333F8C" w:rsidRDefault="00793924" w:rsidP="00013B37">
            <w:pPr>
              <w:pStyle w:val="TableText"/>
              <w:jc w:val="center"/>
              <w:rPr>
                <w:rFonts w:ascii="Times New Roman" w:hAnsi="Times New Roman" w:cs="Times New Roman"/>
                <w:vertAlign w:val="superscript"/>
              </w:rPr>
            </w:pPr>
            <w:r w:rsidRPr="00E44776">
              <w:t>$</w:t>
            </w:r>
            <w:r w:rsidR="00777DAE" w:rsidRPr="00FC7B41">
              <w:rPr>
                <w:color w:val="000000"/>
                <w:spacing w:val="79"/>
                <w:shd w:val="solid" w:color="000000" w:fill="000000"/>
                <w:fitText w:val="410" w:id="-1280031735"/>
                <w14:textFill>
                  <w14:solidFill>
                    <w14:srgbClr w14:val="000000">
                      <w14:alpha w14:val="100000"/>
                    </w14:srgbClr>
                  </w14:solidFill>
                </w14:textFill>
              </w:rPr>
              <w:t>|||</w:t>
            </w:r>
            <w:r w:rsidR="00777DAE" w:rsidRPr="00FC7B41">
              <w:rPr>
                <w:color w:val="000000"/>
                <w:spacing w:val="3"/>
                <w:shd w:val="solid" w:color="000000" w:fill="000000"/>
                <w:fitText w:val="410" w:id="-1280031735"/>
                <w14:textFill>
                  <w14:solidFill>
                    <w14:srgbClr w14:val="000000">
                      <w14:alpha w14:val="100000"/>
                    </w14:srgbClr>
                  </w14:solidFill>
                </w14:textFill>
              </w:rPr>
              <w:t>|</w:t>
            </w:r>
            <w:r w:rsidR="00333F8C">
              <w:rPr>
                <w:vertAlign w:val="superscript"/>
              </w:rPr>
              <w:t>15</w:t>
            </w:r>
          </w:p>
        </w:tc>
      </w:tr>
      <w:tr w:rsidR="00A97643" w:rsidRPr="00E44776" w14:paraId="2A46C2D6"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tcPr>
          <w:p w14:paraId="3AC28D8E" w14:textId="51105E33" w:rsidR="00A97643" w:rsidRPr="00E44776" w:rsidRDefault="00A97643" w:rsidP="00013B37">
            <w:pPr>
              <w:keepNext/>
              <w:jc w:val="left"/>
              <w:textAlignment w:val="baseline"/>
              <w:rPr>
                <w:rFonts w:ascii="Arial Narrow" w:hAnsi="Arial Narrow" w:cs="Times New Roman"/>
                <w:sz w:val="20"/>
                <w:szCs w:val="20"/>
              </w:rPr>
            </w:pPr>
            <w:r w:rsidRPr="00E44776">
              <w:rPr>
                <w:rFonts w:ascii="Arial Narrow" w:hAnsi="Arial Narrow" w:cs="Times New Roman"/>
                <w:sz w:val="20"/>
                <w:szCs w:val="20"/>
              </w:rPr>
              <w:t>Net saving for other treatments</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54BD60A5" w14:textId="6101633E" w:rsidR="00A97643" w:rsidRPr="005B7FB3" w:rsidRDefault="00A97643" w:rsidP="00013B37">
            <w:pPr>
              <w:pStyle w:val="TableText"/>
              <w:jc w:val="center"/>
              <w:rPr>
                <w:szCs w:val="20"/>
                <w:vertAlign w:val="superscript"/>
              </w:rPr>
            </w:pPr>
            <w:r w:rsidRPr="00E44776">
              <w:t>-$</w:t>
            </w:r>
            <w:r w:rsidR="00777DAE" w:rsidRPr="00FC7B41">
              <w:rPr>
                <w:color w:val="000000"/>
                <w:spacing w:val="36"/>
                <w:shd w:val="solid" w:color="000000" w:fill="000000"/>
                <w:fitText w:val="440" w:id="-1280031734"/>
                <w14:textFill>
                  <w14:solidFill>
                    <w14:srgbClr w14:val="000000">
                      <w14:alpha w14:val="100000"/>
                    </w14:srgbClr>
                  </w14:solidFill>
                </w14:textFill>
              </w:rPr>
              <w:t>|||||</w:t>
            </w:r>
            <w:r w:rsidR="00777DAE" w:rsidRPr="00FC7B41">
              <w:rPr>
                <w:color w:val="000000"/>
                <w:spacing w:val="5"/>
                <w:shd w:val="solid" w:color="000000" w:fill="000000"/>
                <w:fitText w:val="440" w:id="-1280031734"/>
                <w14:textFill>
                  <w14:solidFill>
                    <w14:srgbClr w14:val="000000">
                      <w14:alpha w14:val="100000"/>
                    </w14:srgbClr>
                  </w14:solidFill>
                </w14:textFill>
              </w:rPr>
              <w:t>|</w:t>
            </w:r>
            <w:r w:rsidR="00333F8C">
              <w:rPr>
                <w:vertAlign w:val="superscript"/>
              </w:rPr>
              <w:t>12</w:t>
            </w: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00316E8A" w14:textId="796FA41B" w:rsidR="00A97643" w:rsidRPr="005B7FB3" w:rsidRDefault="00A97643" w:rsidP="00013B37">
            <w:pPr>
              <w:pStyle w:val="TableText"/>
              <w:jc w:val="center"/>
              <w:rPr>
                <w:szCs w:val="20"/>
                <w:vertAlign w:val="superscript"/>
              </w:rPr>
            </w:pPr>
            <w:r w:rsidRPr="00E44776">
              <w:t>-$</w:t>
            </w:r>
            <w:r w:rsidR="00777DAE" w:rsidRPr="00FC7B41">
              <w:rPr>
                <w:color w:val="000000"/>
                <w:spacing w:val="79"/>
                <w:shd w:val="solid" w:color="000000" w:fill="000000"/>
                <w:fitText w:val="410" w:id="-1280031733"/>
                <w14:textFill>
                  <w14:solidFill>
                    <w14:srgbClr w14:val="000000">
                      <w14:alpha w14:val="100000"/>
                    </w14:srgbClr>
                  </w14:solidFill>
                </w14:textFill>
              </w:rPr>
              <w:t>|||</w:t>
            </w:r>
            <w:r w:rsidR="00777DAE" w:rsidRPr="00FC7B41">
              <w:rPr>
                <w:color w:val="000000"/>
                <w:spacing w:val="3"/>
                <w:shd w:val="solid" w:color="000000" w:fill="000000"/>
                <w:fitText w:val="410" w:id="-1280031733"/>
                <w14:textFill>
                  <w14:solidFill>
                    <w14:srgbClr w14:val="000000">
                      <w14:alpha w14:val="100000"/>
                    </w14:srgbClr>
                  </w14:solidFill>
                </w14:textFill>
              </w:rPr>
              <w:t>|</w:t>
            </w:r>
            <w:r w:rsidR="00333F8C">
              <w:rPr>
                <w:vertAlign w:val="superscript"/>
              </w:rPr>
              <w:t>7</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036A5A63" w14:textId="4DC41458" w:rsidR="00A97643" w:rsidRPr="005B7FB3" w:rsidRDefault="00A97643" w:rsidP="00013B37">
            <w:pPr>
              <w:pStyle w:val="TableText"/>
              <w:jc w:val="center"/>
              <w:rPr>
                <w:szCs w:val="20"/>
                <w:vertAlign w:val="superscript"/>
              </w:rPr>
            </w:pPr>
            <w:r w:rsidRPr="00E44776">
              <w:t>-$</w:t>
            </w:r>
            <w:r w:rsidR="00777DAE" w:rsidRPr="00FC7B41">
              <w:rPr>
                <w:color w:val="000000"/>
                <w:spacing w:val="79"/>
                <w:shd w:val="solid" w:color="000000" w:fill="000000"/>
                <w:fitText w:val="410" w:id="-1280031732"/>
                <w14:textFill>
                  <w14:solidFill>
                    <w14:srgbClr w14:val="000000">
                      <w14:alpha w14:val="100000"/>
                    </w14:srgbClr>
                  </w14:solidFill>
                </w14:textFill>
              </w:rPr>
              <w:t>|||</w:t>
            </w:r>
            <w:r w:rsidR="00777DAE" w:rsidRPr="00FC7B41">
              <w:rPr>
                <w:color w:val="000000"/>
                <w:spacing w:val="3"/>
                <w:shd w:val="solid" w:color="000000" w:fill="000000"/>
                <w:fitText w:val="410" w:id="-1280031732"/>
                <w14:textFill>
                  <w14:solidFill>
                    <w14:srgbClr w14:val="000000">
                      <w14:alpha w14:val="100000"/>
                    </w14:srgbClr>
                  </w14:solidFill>
                </w14:textFill>
              </w:rPr>
              <w:t>|</w:t>
            </w:r>
            <w:r w:rsidR="00333F8C">
              <w:rPr>
                <w:vertAlign w:val="superscript"/>
              </w:rPr>
              <w:t>8</w:t>
            </w: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221A2890" w14:textId="45C46494" w:rsidR="00A97643" w:rsidRPr="005B7FB3" w:rsidRDefault="00A97643" w:rsidP="00013B37">
            <w:pPr>
              <w:pStyle w:val="TableText"/>
              <w:jc w:val="center"/>
              <w:rPr>
                <w:szCs w:val="20"/>
                <w:vertAlign w:val="superscript"/>
              </w:rPr>
            </w:pPr>
            <w:r w:rsidRPr="00E44776">
              <w:t>-$</w:t>
            </w:r>
            <w:r w:rsidR="00777DAE" w:rsidRPr="00FC7B41">
              <w:rPr>
                <w:color w:val="000000"/>
                <w:spacing w:val="79"/>
                <w:shd w:val="solid" w:color="000000" w:fill="000000"/>
                <w:fitText w:val="410" w:id="-1280031731"/>
                <w14:textFill>
                  <w14:solidFill>
                    <w14:srgbClr w14:val="000000">
                      <w14:alpha w14:val="100000"/>
                    </w14:srgbClr>
                  </w14:solidFill>
                </w14:textFill>
              </w:rPr>
              <w:t>|||</w:t>
            </w:r>
            <w:r w:rsidR="00777DAE" w:rsidRPr="00FC7B41">
              <w:rPr>
                <w:color w:val="000000"/>
                <w:spacing w:val="3"/>
                <w:shd w:val="solid" w:color="000000" w:fill="000000"/>
                <w:fitText w:val="410" w:id="-1280031731"/>
                <w14:textFill>
                  <w14:solidFill>
                    <w14:srgbClr w14:val="000000">
                      <w14:alpha w14:val="100000"/>
                    </w14:srgbClr>
                  </w14:solidFill>
                </w14:textFill>
              </w:rPr>
              <w:t>|</w:t>
            </w:r>
            <w:r w:rsidR="00333F8C">
              <w:rPr>
                <w:vertAlign w:val="superscript"/>
              </w:rPr>
              <w:t>8</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6092DEAF" w14:textId="73D6D218" w:rsidR="00A97643" w:rsidRPr="005B7FB3" w:rsidRDefault="00A97643" w:rsidP="00013B37">
            <w:pPr>
              <w:pStyle w:val="TableText"/>
              <w:jc w:val="center"/>
              <w:rPr>
                <w:szCs w:val="20"/>
                <w:vertAlign w:val="superscript"/>
              </w:rPr>
            </w:pPr>
            <w:r w:rsidRPr="00E44776">
              <w:t>-$</w:t>
            </w:r>
            <w:r w:rsidR="00777DAE" w:rsidRPr="00FC7B41">
              <w:rPr>
                <w:color w:val="000000"/>
                <w:spacing w:val="36"/>
                <w:shd w:val="solid" w:color="000000" w:fill="000000"/>
                <w:fitText w:val="440" w:id="-1280031730"/>
                <w14:textFill>
                  <w14:solidFill>
                    <w14:srgbClr w14:val="000000">
                      <w14:alpha w14:val="100000"/>
                    </w14:srgbClr>
                  </w14:solidFill>
                </w14:textFill>
              </w:rPr>
              <w:t>|||||</w:t>
            </w:r>
            <w:r w:rsidR="00777DAE" w:rsidRPr="00FC7B41">
              <w:rPr>
                <w:color w:val="000000"/>
                <w:spacing w:val="5"/>
                <w:shd w:val="solid" w:color="000000" w:fill="000000"/>
                <w:fitText w:val="440" w:id="-1280031730"/>
                <w14:textFill>
                  <w14:solidFill>
                    <w14:srgbClr w14:val="000000">
                      <w14:alpha w14:val="100000"/>
                    </w14:srgbClr>
                  </w14:solidFill>
                </w14:textFill>
              </w:rPr>
              <w:t>|</w:t>
            </w:r>
            <w:r w:rsidR="00333F8C">
              <w:rPr>
                <w:vertAlign w:val="superscript"/>
              </w:rPr>
              <w:t>13</w:t>
            </w: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7D75C656" w14:textId="2AFC2BA1" w:rsidR="00A97643" w:rsidRPr="005B7FB3" w:rsidRDefault="00A97643" w:rsidP="00013B37">
            <w:pPr>
              <w:pStyle w:val="TableText"/>
              <w:jc w:val="center"/>
              <w:rPr>
                <w:szCs w:val="20"/>
                <w:vertAlign w:val="superscript"/>
              </w:rPr>
            </w:pPr>
            <w:r w:rsidRPr="00E44776">
              <w:t>-$</w:t>
            </w:r>
            <w:r w:rsidR="00777DAE" w:rsidRPr="00FC7B41">
              <w:rPr>
                <w:color w:val="000000"/>
                <w:spacing w:val="34"/>
                <w:shd w:val="solid" w:color="000000" w:fill="000000"/>
                <w:fitText w:val="430" w:id="-1280031729"/>
                <w14:textFill>
                  <w14:solidFill>
                    <w14:srgbClr w14:val="000000">
                      <w14:alpha w14:val="100000"/>
                    </w14:srgbClr>
                  </w14:solidFill>
                </w14:textFill>
              </w:rPr>
              <w:t>|||||</w:t>
            </w:r>
            <w:r w:rsidR="00777DAE" w:rsidRPr="00FC7B41">
              <w:rPr>
                <w:color w:val="000000"/>
                <w:spacing w:val="5"/>
                <w:shd w:val="solid" w:color="000000" w:fill="000000"/>
                <w:fitText w:val="430" w:id="-1280031729"/>
                <w14:textFill>
                  <w14:solidFill>
                    <w14:srgbClr w14:val="000000">
                      <w14:alpha w14:val="100000"/>
                    </w14:srgbClr>
                  </w14:solidFill>
                </w14:textFill>
              </w:rPr>
              <w:t>|</w:t>
            </w:r>
            <w:r w:rsidR="00333F8C">
              <w:rPr>
                <w:vertAlign w:val="superscript"/>
              </w:rPr>
              <w:t>13</w:t>
            </w:r>
          </w:p>
        </w:tc>
      </w:tr>
      <w:tr w:rsidR="00CC4FB8" w:rsidRPr="00E44776" w14:paraId="498BBE83"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tcPr>
          <w:p w14:paraId="1FE3B294" w14:textId="00C01AB9" w:rsidR="00CC4FB8" w:rsidRPr="00E44776" w:rsidRDefault="00CC4FB8" w:rsidP="00CC4FB8">
            <w:pPr>
              <w:keepNext/>
              <w:jc w:val="left"/>
              <w:textAlignment w:val="baseline"/>
              <w:rPr>
                <w:rFonts w:ascii="Arial Narrow" w:hAnsi="Arial Narrow" w:cs="Times New Roman"/>
                <w:b/>
                <w:bCs/>
                <w:sz w:val="20"/>
                <w:szCs w:val="20"/>
              </w:rPr>
            </w:pPr>
            <w:r w:rsidRPr="00E44776">
              <w:rPr>
                <w:rFonts w:ascii="Arial Narrow" w:hAnsi="Arial Narrow"/>
                <w:b/>
                <w:bCs/>
                <w:sz w:val="20"/>
                <w:szCs w:val="20"/>
              </w:rPr>
              <w:t>Net cost to PBS/RPBS</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7D469D98" w14:textId="69196BAF" w:rsidR="00CC4FB8" w:rsidRPr="005B7FB3" w:rsidRDefault="00CC4FB8" w:rsidP="00CC4FB8">
            <w:pPr>
              <w:pStyle w:val="TableText"/>
              <w:jc w:val="center"/>
              <w:rPr>
                <w:bCs w:val="0"/>
                <w:vertAlign w:val="superscript"/>
              </w:rPr>
            </w:pPr>
            <w:r w:rsidRPr="00E44776">
              <w:rPr>
                <w:b/>
              </w:rPr>
              <w:t>-$</w:t>
            </w:r>
            <w:r w:rsidR="00777DAE" w:rsidRPr="00FC7B41">
              <w:rPr>
                <w:b/>
                <w:color w:val="000000"/>
                <w:spacing w:val="62"/>
                <w:shd w:val="solid" w:color="000000" w:fill="000000"/>
                <w:fitText w:val="370" w:id="-1280031728"/>
                <w14:textFill>
                  <w14:solidFill>
                    <w14:srgbClr w14:val="000000">
                      <w14:alpha w14:val="100000"/>
                    </w14:srgbClr>
                  </w14:solidFill>
                </w14:textFill>
              </w:rPr>
              <w:t>|||</w:t>
            </w:r>
            <w:r w:rsidR="00777DAE" w:rsidRPr="00FC7B41">
              <w:rPr>
                <w:b/>
                <w:color w:val="000000"/>
                <w:spacing w:val="1"/>
                <w:shd w:val="solid" w:color="000000" w:fill="000000"/>
                <w:fitText w:val="370" w:id="-1280031728"/>
                <w14:textFill>
                  <w14:solidFill>
                    <w14:srgbClr w14:val="000000">
                      <w14:alpha w14:val="100000"/>
                    </w14:srgbClr>
                  </w14:solidFill>
                </w14:textFill>
              </w:rPr>
              <w:t>|</w:t>
            </w:r>
            <w:r w:rsidR="00DA287C">
              <w:rPr>
                <w:bCs w:val="0"/>
                <w:vertAlign w:val="superscript"/>
              </w:rPr>
              <w:t>6</w:t>
            </w: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1918DB83" w14:textId="35C93EAD" w:rsidR="00CC4FB8" w:rsidRPr="005B7FB3" w:rsidRDefault="00CC4FB8" w:rsidP="00CC4FB8">
            <w:pPr>
              <w:pStyle w:val="TableText"/>
              <w:jc w:val="center"/>
              <w:rPr>
                <w:bCs w:val="0"/>
                <w:vertAlign w:val="superscript"/>
              </w:rPr>
            </w:pPr>
            <w:r w:rsidRPr="00E44776">
              <w:rPr>
                <w:b/>
              </w:rPr>
              <w:t>$</w:t>
            </w:r>
            <w:r w:rsidR="00777DAE" w:rsidRPr="00FC7B41">
              <w:rPr>
                <w:b/>
                <w:color w:val="000000"/>
                <w:spacing w:val="55"/>
                <w:shd w:val="solid" w:color="000000" w:fill="000000"/>
                <w:fitText w:val="350" w:id="-1280031744"/>
                <w14:textFill>
                  <w14:solidFill>
                    <w14:srgbClr w14:val="000000">
                      <w14:alpha w14:val="100000"/>
                    </w14:srgbClr>
                  </w14:solidFill>
                </w14:textFill>
              </w:rPr>
              <w:t>|||</w:t>
            </w:r>
            <w:r w:rsidR="00777DAE" w:rsidRPr="00FC7B41">
              <w:rPr>
                <w:b/>
                <w:color w:val="000000"/>
                <w:spacing w:val="2"/>
                <w:shd w:val="solid" w:color="000000" w:fill="000000"/>
                <w:fitText w:val="350" w:id="-1280031744"/>
                <w14:textFill>
                  <w14:solidFill>
                    <w14:srgbClr w14:val="000000">
                      <w14:alpha w14:val="100000"/>
                    </w14:srgbClr>
                  </w14:solidFill>
                </w14:textFill>
              </w:rPr>
              <w:t>|</w:t>
            </w:r>
            <w:r w:rsidR="00DA287C">
              <w:rPr>
                <w:bCs w:val="0"/>
                <w:vertAlign w:val="superscript"/>
              </w:rPr>
              <w:t>6</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69A9FDD7" w14:textId="640BEB56" w:rsidR="00CC4FB8" w:rsidRPr="005B7FB3" w:rsidRDefault="00CC4FB8" w:rsidP="00CC4FB8">
            <w:pPr>
              <w:pStyle w:val="TableText"/>
              <w:jc w:val="center"/>
              <w:rPr>
                <w:bCs w:val="0"/>
                <w:vertAlign w:val="superscript"/>
              </w:rPr>
            </w:pPr>
            <w:r w:rsidRPr="00E44776">
              <w:rPr>
                <w:b/>
              </w:rPr>
              <w:t>$</w:t>
            </w:r>
            <w:r w:rsidR="00777DAE" w:rsidRPr="00FC7B41">
              <w:rPr>
                <w:b/>
                <w:color w:val="000000"/>
                <w:spacing w:val="65"/>
                <w:shd w:val="solid" w:color="000000" w:fill="000000"/>
                <w:fitText w:val="380" w:id="-1280031743"/>
                <w14:textFill>
                  <w14:solidFill>
                    <w14:srgbClr w14:val="000000">
                      <w14:alpha w14:val="100000"/>
                    </w14:srgbClr>
                  </w14:solidFill>
                </w14:textFill>
              </w:rPr>
              <w:t>|||</w:t>
            </w:r>
            <w:r w:rsidR="00777DAE" w:rsidRPr="00FC7B41">
              <w:rPr>
                <w:b/>
                <w:color w:val="000000"/>
                <w:spacing w:val="2"/>
                <w:shd w:val="solid" w:color="000000" w:fill="000000"/>
                <w:fitText w:val="380" w:id="-1280031743"/>
                <w14:textFill>
                  <w14:solidFill>
                    <w14:srgbClr w14:val="000000">
                      <w14:alpha w14:val="100000"/>
                    </w14:srgbClr>
                  </w14:solidFill>
                </w14:textFill>
              </w:rPr>
              <w:t>|</w:t>
            </w:r>
            <w:r w:rsidR="00DA287C">
              <w:rPr>
                <w:bCs w:val="0"/>
                <w:vertAlign w:val="superscript"/>
              </w:rPr>
              <w:t>12</w:t>
            </w: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397C055C" w14:textId="6D2C4AE0" w:rsidR="00CC4FB8" w:rsidRPr="005B7FB3" w:rsidRDefault="00CC4FB8" w:rsidP="00CC4FB8">
            <w:pPr>
              <w:pStyle w:val="TableText"/>
              <w:jc w:val="center"/>
              <w:rPr>
                <w:bCs w:val="0"/>
                <w:vertAlign w:val="superscript"/>
              </w:rPr>
            </w:pPr>
            <w:r w:rsidRPr="00E44776">
              <w:rPr>
                <w:b/>
              </w:rPr>
              <w:t>$</w:t>
            </w:r>
            <w:r w:rsidR="00777DAE" w:rsidRPr="00FC7B41">
              <w:rPr>
                <w:b/>
                <w:color w:val="000000"/>
                <w:spacing w:val="55"/>
                <w:shd w:val="solid" w:color="000000" w:fill="000000"/>
                <w:fitText w:val="350" w:id="-1280031742"/>
                <w14:textFill>
                  <w14:solidFill>
                    <w14:srgbClr w14:val="000000">
                      <w14:alpha w14:val="100000"/>
                    </w14:srgbClr>
                  </w14:solidFill>
                </w14:textFill>
              </w:rPr>
              <w:t>|||</w:t>
            </w:r>
            <w:r w:rsidR="00777DAE" w:rsidRPr="00FC7B41">
              <w:rPr>
                <w:b/>
                <w:color w:val="000000"/>
                <w:spacing w:val="2"/>
                <w:shd w:val="solid" w:color="000000" w:fill="000000"/>
                <w:fitText w:val="350" w:id="-1280031742"/>
                <w14:textFill>
                  <w14:solidFill>
                    <w14:srgbClr w14:val="000000">
                      <w14:alpha w14:val="100000"/>
                    </w14:srgbClr>
                  </w14:solidFill>
                </w14:textFill>
              </w:rPr>
              <w:t>|</w:t>
            </w:r>
            <w:r w:rsidR="00DA287C">
              <w:rPr>
                <w:bCs w:val="0"/>
                <w:vertAlign w:val="superscript"/>
              </w:rPr>
              <w:t>7</w:t>
            </w:r>
          </w:p>
        </w:tc>
        <w:tc>
          <w:tcPr>
            <w:tcW w:w="1115" w:type="dxa"/>
            <w:tcBorders>
              <w:top w:val="single" w:sz="4" w:space="0" w:color="auto"/>
              <w:left w:val="single" w:sz="4" w:space="0" w:color="auto"/>
              <w:bottom w:val="single" w:sz="4" w:space="0" w:color="auto"/>
              <w:right w:val="single" w:sz="4" w:space="0" w:color="auto"/>
            </w:tcBorders>
            <w:shd w:val="clear" w:color="auto" w:fill="auto"/>
          </w:tcPr>
          <w:p w14:paraId="65E6759C" w14:textId="0783A4EF" w:rsidR="00CC4FB8" w:rsidRPr="005B7FB3" w:rsidRDefault="00CC4FB8" w:rsidP="00CC4FB8">
            <w:pPr>
              <w:pStyle w:val="TableText"/>
              <w:jc w:val="center"/>
              <w:rPr>
                <w:bCs w:val="0"/>
                <w:vertAlign w:val="superscript"/>
              </w:rPr>
            </w:pPr>
            <w:r w:rsidRPr="00E44776">
              <w:rPr>
                <w:b/>
              </w:rPr>
              <w:t>$</w:t>
            </w:r>
            <w:r w:rsidR="00777DAE" w:rsidRPr="00FC7B41">
              <w:rPr>
                <w:b/>
                <w:color w:val="000000"/>
                <w:spacing w:val="65"/>
                <w:shd w:val="solid" w:color="000000" w:fill="000000"/>
                <w:fitText w:val="380" w:id="-1280031741"/>
                <w14:textFill>
                  <w14:solidFill>
                    <w14:srgbClr w14:val="000000">
                      <w14:alpha w14:val="100000"/>
                    </w14:srgbClr>
                  </w14:solidFill>
                </w14:textFill>
              </w:rPr>
              <w:t>|||</w:t>
            </w:r>
            <w:r w:rsidR="00777DAE" w:rsidRPr="00FC7B41">
              <w:rPr>
                <w:b/>
                <w:color w:val="000000"/>
                <w:spacing w:val="2"/>
                <w:shd w:val="solid" w:color="000000" w:fill="000000"/>
                <w:fitText w:val="380" w:id="-1280031741"/>
                <w14:textFill>
                  <w14:solidFill>
                    <w14:srgbClr w14:val="000000">
                      <w14:alpha w14:val="100000"/>
                    </w14:srgbClr>
                  </w14:solidFill>
                </w14:textFill>
              </w:rPr>
              <w:t>|</w:t>
            </w:r>
            <w:r w:rsidR="00DA287C">
              <w:rPr>
                <w:bCs w:val="0"/>
                <w:vertAlign w:val="superscript"/>
              </w:rPr>
              <w:t>13</w:t>
            </w:r>
          </w:p>
        </w:tc>
        <w:tc>
          <w:tcPr>
            <w:tcW w:w="1116" w:type="dxa"/>
            <w:tcBorders>
              <w:top w:val="single" w:sz="4" w:space="0" w:color="auto"/>
              <w:left w:val="single" w:sz="4" w:space="0" w:color="auto"/>
              <w:bottom w:val="single" w:sz="4" w:space="0" w:color="auto"/>
              <w:right w:val="single" w:sz="4" w:space="0" w:color="auto"/>
            </w:tcBorders>
            <w:shd w:val="clear" w:color="auto" w:fill="auto"/>
          </w:tcPr>
          <w:p w14:paraId="553ABDAF" w14:textId="56EE8F1D" w:rsidR="00CC4FB8" w:rsidRPr="005B7FB3" w:rsidRDefault="00CC4FB8" w:rsidP="00CC4FB8">
            <w:pPr>
              <w:pStyle w:val="TableText"/>
              <w:jc w:val="center"/>
              <w:rPr>
                <w:bCs w:val="0"/>
                <w:vertAlign w:val="superscript"/>
              </w:rPr>
            </w:pPr>
            <w:r w:rsidRPr="00E44776">
              <w:rPr>
                <w:b/>
              </w:rPr>
              <w:t>$</w:t>
            </w:r>
            <w:r w:rsidR="00777DAE" w:rsidRPr="00FC7B41">
              <w:rPr>
                <w:b/>
                <w:color w:val="000000"/>
                <w:spacing w:val="62"/>
                <w:shd w:val="solid" w:color="000000" w:fill="000000"/>
                <w:fitText w:val="370" w:id="-1280031740"/>
                <w14:textFill>
                  <w14:solidFill>
                    <w14:srgbClr w14:val="000000">
                      <w14:alpha w14:val="100000"/>
                    </w14:srgbClr>
                  </w14:solidFill>
                </w14:textFill>
              </w:rPr>
              <w:t>|||</w:t>
            </w:r>
            <w:r w:rsidR="00777DAE" w:rsidRPr="00FC7B41">
              <w:rPr>
                <w:b/>
                <w:color w:val="000000"/>
                <w:spacing w:val="1"/>
                <w:shd w:val="solid" w:color="000000" w:fill="000000"/>
                <w:fitText w:val="370" w:id="-1280031740"/>
                <w14:textFill>
                  <w14:solidFill>
                    <w14:srgbClr w14:val="000000">
                      <w14:alpha w14:val="100000"/>
                    </w14:srgbClr>
                  </w14:solidFill>
                </w14:textFill>
              </w:rPr>
              <w:t>|</w:t>
            </w:r>
            <w:r w:rsidR="00DA287C">
              <w:rPr>
                <w:bCs w:val="0"/>
                <w:vertAlign w:val="superscript"/>
              </w:rPr>
              <w:t>13</w:t>
            </w:r>
          </w:p>
        </w:tc>
      </w:tr>
      <w:tr w:rsidR="00A97643" w:rsidRPr="00E44776" w14:paraId="4CD3366B"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7CDE7318" w14:textId="292E00CC"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Net cost to MBS</w:t>
            </w:r>
          </w:p>
        </w:tc>
        <w:tc>
          <w:tcPr>
            <w:tcW w:w="1115" w:type="dxa"/>
            <w:tcBorders>
              <w:top w:val="single" w:sz="4" w:space="0" w:color="auto"/>
              <w:left w:val="single" w:sz="4" w:space="0" w:color="auto"/>
              <w:bottom w:val="single" w:sz="4" w:space="0" w:color="auto"/>
              <w:right w:val="single" w:sz="4" w:space="0" w:color="auto"/>
            </w:tcBorders>
            <w:hideMark/>
          </w:tcPr>
          <w:p w14:paraId="7CF24FCF" w14:textId="7A97A32A"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9"/>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9"/>
                <w14:textFill>
                  <w14:solidFill>
                    <w14:srgbClr w14:val="000000">
                      <w14:alpha w14:val="100000"/>
                    </w14:srgbClr>
                  </w14:solidFill>
                </w14:textFill>
              </w:rPr>
              <w:t>|</w:t>
            </w:r>
            <w:r w:rsidR="00DA287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hideMark/>
          </w:tcPr>
          <w:p w14:paraId="76ECAE35" w14:textId="49747F2A"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8"/>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8"/>
                <w14:textFill>
                  <w14:solidFill>
                    <w14:srgbClr w14:val="000000">
                      <w14:alpha w14:val="100000"/>
                    </w14:srgbClr>
                  </w14:solidFill>
                </w14:textFill>
              </w:rPr>
              <w:t>|</w:t>
            </w:r>
            <w:r w:rsidR="00DA287C">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hideMark/>
          </w:tcPr>
          <w:p w14:paraId="70E42AC0" w14:textId="48444453"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7"/>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7"/>
                <w14:textFill>
                  <w14:solidFill>
                    <w14:srgbClr w14:val="000000">
                      <w14:alpha w14:val="100000"/>
                    </w14:srgbClr>
                  </w14:solidFill>
                </w14:textFill>
              </w:rPr>
              <w:t>|</w:t>
            </w:r>
            <w:r w:rsidR="00DA287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hideMark/>
          </w:tcPr>
          <w:p w14:paraId="7C48FF8F" w14:textId="306F3A6D"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6"/>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6"/>
                <w14:textFill>
                  <w14:solidFill>
                    <w14:srgbClr w14:val="000000">
                      <w14:alpha w14:val="100000"/>
                    </w14:srgbClr>
                  </w14:solidFill>
                </w14:textFill>
              </w:rPr>
              <w:t>|</w:t>
            </w:r>
            <w:r w:rsidR="00DA287C">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hideMark/>
          </w:tcPr>
          <w:p w14:paraId="1780FBE0" w14:textId="55FC159C"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5"/>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5"/>
                <w14:textFill>
                  <w14:solidFill>
                    <w14:srgbClr w14:val="000000">
                      <w14:alpha w14:val="100000"/>
                    </w14:srgbClr>
                  </w14:solidFill>
                </w14:textFill>
              </w:rPr>
              <w:t>|</w:t>
            </w:r>
            <w:r w:rsidR="00DA287C">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hideMark/>
          </w:tcPr>
          <w:p w14:paraId="4A4B7BA5" w14:textId="622F6CE8"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sz w:val="20"/>
                <w:szCs w:val="20"/>
              </w:rPr>
              <w:t>$</w:t>
            </w:r>
            <w:r w:rsidR="00777DAE" w:rsidRPr="00FC7B41">
              <w:rPr>
                <w:rFonts w:ascii="Arial Narrow" w:hAnsi="Arial Narrow"/>
                <w:color w:val="000000"/>
                <w:spacing w:val="69"/>
                <w:sz w:val="20"/>
                <w:szCs w:val="20"/>
                <w:shd w:val="solid" w:color="000000" w:fill="000000"/>
                <w:fitText w:val="380" w:id="-1280031734"/>
                <w14:textFill>
                  <w14:solidFill>
                    <w14:srgbClr w14:val="000000">
                      <w14:alpha w14:val="100000"/>
                    </w14:srgbClr>
                  </w14:solidFill>
                </w14:textFill>
              </w:rPr>
              <w:t>|||</w:t>
            </w:r>
            <w:r w:rsidR="00777DAE" w:rsidRPr="00FC7B41">
              <w:rPr>
                <w:rFonts w:ascii="Arial Narrow" w:hAnsi="Arial Narrow"/>
                <w:color w:val="000000"/>
                <w:spacing w:val="3"/>
                <w:sz w:val="20"/>
                <w:szCs w:val="20"/>
                <w:shd w:val="solid" w:color="000000" w:fill="000000"/>
                <w:fitText w:val="380" w:id="-1280031734"/>
                <w14:textFill>
                  <w14:solidFill>
                    <w14:srgbClr w14:val="000000">
                      <w14:alpha w14:val="100000"/>
                    </w14:srgbClr>
                  </w14:solidFill>
                </w14:textFill>
              </w:rPr>
              <w:t>|</w:t>
            </w:r>
            <w:r w:rsidR="00DA287C">
              <w:rPr>
                <w:rFonts w:ascii="Arial Narrow" w:hAnsi="Arial Narrow"/>
                <w:sz w:val="20"/>
                <w:szCs w:val="20"/>
                <w:vertAlign w:val="superscript"/>
              </w:rPr>
              <w:t>6</w:t>
            </w:r>
          </w:p>
        </w:tc>
      </w:tr>
      <w:tr w:rsidR="00A97643" w:rsidRPr="00E44776" w14:paraId="3AE86790"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auto"/>
            <w:hideMark/>
          </w:tcPr>
          <w:p w14:paraId="5DDB79AA" w14:textId="15612689" w:rsidR="006A7D91" w:rsidRPr="00E44776" w:rsidRDefault="006A7D91" w:rsidP="00013B37">
            <w:pPr>
              <w:keepNext/>
              <w:jc w:val="left"/>
              <w:textAlignment w:val="baseline"/>
              <w:rPr>
                <w:rFonts w:ascii="Times New Roman" w:hAnsi="Times New Roman" w:cs="Times New Roman"/>
                <w:b/>
                <w:bCs/>
              </w:rPr>
            </w:pPr>
            <w:r w:rsidRPr="00E44776">
              <w:rPr>
                <w:rFonts w:ascii="Arial Narrow" w:hAnsi="Arial Narrow" w:cs="Times New Roman"/>
                <w:b/>
                <w:bCs/>
                <w:sz w:val="20"/>
                <w:szCs w:val="20"/>
              </w:rPr>
              <w:t xml:space="preserve">Net cost to </w:t>
            </w:r>
            <w:r w:rsidR="00471B09" w:rsidRPr="00E44776">
              <w:rPr>
                <w:rFonts w:ascii="Arial Narrow" w:hAnsi="Arial Narrow" w:cs="Times New Roman"/>
                <w:b/>
                <w:bCs/>
                <w:sz w:val="20"/>
                <w:szCs w:val="20"/>
              </w:rPr>
              <w:t>PBS/RPBS/MBS</w:t>
            </w:r>
            <w:r w:rsidRPr="00E44776">
              <w:rPr>
                <w:rFonts w:ascii="Arial Narrow" w:hAnsi="Arial Narrow" w:cs="Times New Roman"/>
                <w:b/>
                <w:bCs/>
                <w:sz w:val="20"/>
                <w:szCs w:val="20"/>
              </w:rPr>
              <w:t> </w:t>
            </w:r>
          </w:p>
        </w:tc>
        <w:tc>
          <w:tcPr>
            <w:tcW w:w="1115" w:type="dxa"/>
            <w:tcBorders>
              <w:top w:val="single" w:sz="4" w:space="0" w:color="auto"/>
              <w:left w:val="single" w:sz="4" w:space="0" w:color="auto"/>
              <w:bottom w:val="single" w:sz="4" w:space="0" w:color="auto"/>
              <w:right w:val="single" w:sz="4" w:space="0" w:color="auto"/>
            </w:tcBorders>
            <w:vAlign w:val="center"/>
            <w:hideMark/>
          </w:tcPr>
          <w:p w14:paraId="47D763F2" w14:textId="70881B4B"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b/>
                <w:bCs/>
                <w:sz w:val="20"/>
                <w:szCs w:val="20"/>
              </w:rPr>
              <w:t>-$</w:t>
            </w:r>
            <w:r w:rsidR="00777DAE" w:rsidRPr="00FC7B41">
              <w:rPr>
                <w:rFonts w:ascii="Arial Narrow" w:hAnsi="Arial Narrow"/>
                <w:b/>
                <w:bCs/>
                <w:color w:val="000000"/>
                <w:spacing w:val="62"/>
                <w:sz w:val="20"/>
                <w:szCs w:val="20"/>
                <w:shd w:val="solid" w:color="000000" w:fill="000000"/>
                <w:fitText w:val="370" w:id="-1280031733"/>
                <w14:textFill>
                  <w14:solidFill>
                    <w14:srgbClr w14:val="000000">
                      <w14:alpha w14:val="100000"/>
                    </w14:srgbClr>
                  </w14:solidFill>
                </w14:textFill>
              </w:rPr>
              <w:t>|||</w:t>
            </w:r>
            <w:r w:rsidR="00777DAE" w:rsidRPr="00FC7B41">
              <w:rPr>
                <w:rFonts w:ascii="Arial Narrow" w:hAnsi="Arial Narrow"/>
                <w:b/>
                <w:bCs/>
                <w:color w:val="000000"/>
                <w:spacing w:val="1"/>
                <w:sz w:val="20"/>
                <w:szCs w:val="20"/>
                <w:shd w:val="solid" w:color="000000" w:fill="000000"/>
                <w:fitText w:val="370" w:id="-1280031733"/>
                <w14:textFill>
                  <w14:solidFill>
                    <w14:srgbClr w14:val="000000">
                      <w14:alpha w14:val="100000"/>
                    </w14:srgbClr>
                  </w14:solidFill>
                </w14:textFill>
              </w:rPr>
              <w:t>|</w:t>
            </w:r>
            <w:r w:rsidR="00DA287C" w:rsidRPr="005B7FB3">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D22180D" w14:textId="75B40798"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b/>
                <w:bCs/>
                <w:sz w:val="20"/>
                <w:szCs w:val="20"/>
              </w:rPr>
              <w:t>$</w:t>
            </w:r>
            <w:r w:rsidR="00777DAE" w:rsidRPr="00FC7B41">
              <w:rPr>
                <w:rFonts w:ascii="Arial Narrow" w:hAnsi="Arial Narrow"/>
                <w:b/>
                <w:bCs/>
                <w:color w:val="000000"/>
                <w:spacing w:val="55"/>
                <w:sz w:val="20"/>
                <w:szCs w:val="20"/>
                <w:shd w:val="solid" w:color="000000" w:fill="000000"/>
                <w:fitText w:val="350" w:id="-1280031732"/>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50" w:id="-1280031732"/>
                <w14:textFill>
                  <w14:solidFill>
                    <w14:srgbClr w14:val="000000">
                      <w14:alpha w14:val="100000"/>
                    </w14:srgbClr>
                  </w14:solidFill>
                </w14:textFill>
              </w:rPr>
              <w:t>|</w:t>
            </w:r>
            <w:r w:rsidR="00DA287C">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0017C19" w14:textId="0981D91D"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b/>
                <w:bCs/>
                <w:sz w:val="20"/>
                <w:szCs w:val="20"/>
              </w:rPr>
              <w:t>$</w:t>
            </w:r>
            <w:r w:rsidR="00777DAE" w:rsidRPr="00FC7B41">
              <w:rPr>
                <w:rFonts w:ascii="Arial Narrow" w:hAnsi="Arial Narrow"/>
                <w:b/>
                <w:bCs/>
                <w:color w:val="000000"/>
                <w:spacing w:val="65"/>
                <w:sz w:val="20"/>
                <w:szCs w:val="20"/>
                <w:shd w:val="solid" w:color="000000" w:fill="000000"/>
                <w:fitText w:val="380" w:id="-1280031731"/>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80" w:id="-1280031731"/>
                <w14:textFill>
                  <w14:solidFill>
                    <w14:srgbClr w14:val="000000">
                      <w14:alpha w14:val="100000"/>
                    </w14:srgbClr>
                  </w14:solidFill>
                </w14:textFill>
              </w:rPr>
              <w:t>|</w:t>
            </w:r>
            <w:r w:rsidR="00DA287C">
              <w:rPr>
                <w:rFonts w:ascii="Arial Narrow" w:hAnsi="Arial Narrow"/>
                <w:sz w:val="20"/>
                <w:szCs w:val="20"/>
                <w:vertAlign w:val="superscript"/>
              </w:rPr>
              <w:t>12</w:t>
            </w:r>
          </w:p>
        </w:tc>
        <w:tc>
          <w:tcPr>
            <w:tcW w:w="1116" w:type="dxa"/>
            <w:tcBorders>
              <w:top w:val="single" w:sz="4" w:space="0" w:color="auto"/>
              <w:left w:val="single" w:sz="4" w:space="0" w:color="auto"/>
              <w:bottom w:val="single" w:sz="4" w:space="0" w:color="auto"/>
              <w:right w:val="single" w:sz="4" w:space="0" w:color="auto"/>
            </w:tcBorders>
            <w:vAlign w:val="center"/>
            <w:hideMark/>
          </w:tcPr>
          <w:p w14:paraId="2402889A" w14:textId="00F6272C"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b/>
                <w:bCs/>
                <w:sz w:val="20"/>
                <w:szCs w:val="20"/>
              </w:rPr>
              <w:t>$</w:t>
            </w:r>
            <w:r w:rsidR="00777DAE" w:rsidRPr="00FC7B41">
              <w:rPr>
                <w:rFonts w:ascii="Arial Narrow" w:hAnsi="Arial Narrow"/>
                <w:b/>
                <w:bCs/>
                <w:color w:val="000000"/>
                <w:spacing w:val="55"/>
                <w:sz w:val="20"/>
                <w:szCs w:val="20"/>
                <w:shd w:val="solid" w:color="000000" w:fill="000000"/>
                <w:fitText w:val="350" w:id="-1280031730"/>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50" w:id="-1280031730"/>
                <w14:textFill>
                  <w14:solidFill>
                    <w14:srgbClr w14:val="000000">
                      <w14:alpha w14:val="100000"/>
                    </w14:srgbClr>
                  </w14:solidFill>
                </w14:textFill>
              </w:rPr>
              <w:t>|</w:t>
            </w:r>
            <w:r w:rsidR="00DA287C">
              <w:rPr>
                <w:rFonts w:ascii="Arial Narrow" w:hAnsi="Arial Narrow"/>
                <w:sz w:val="20"/>
                <w:szCs w:val="20"/>
                <w:vertAlign w:val="superscript"/>
              </w:rPr>
              <w:t>7</w:t>
            </w:r>
          </w:p>
        </w:tc>
        <w:tc>
          <w:tcPr>
            <w:tcW w:w="1115" w:type="dxa"/>
            <w:tcBorders>
              <w:top w:val="single" w:sz="4" w:space="0" w:color="auto"/>
              <w:left w:val="single" w:sz="4" w:space="0" w:color="auto"/>
              <w:bottom w:val="single" w:sz="4" w:space="0" w:color="auto"/>
              <w:right w:val="single" w:sz="4" w:space="0" w:color="auto"/>
            </w:tcBorders>
            <w:vAlign w:val="center"/>
            <w:hideMark/>
          </w:tcPr>
          <w:p w14:paraId="103F344B" w14:textId="17A4B00D"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b/>
                <w:bCs/>
                <w:sz w:val="20"/>
                <w:szCs w:val="20"/>
              </w:rPr>
              <w:t>$</w:t>
            </w:r>
            <w:r w:rsidR="00777DAE" w:rsidRPr="00FC7B41">
              <w:rPr>
                <w:rFonts w:ascii="Arial Narrow" w:hAnsi="Arial Narrow"/>
                <w:b/>
                <w:bCs/>
                <w:color w:val="000000"/>
                <w:spacing w:val="65"/>
                <w:sz w:val="20"/>
                <w:szCs w:val="20"/>
                <w:shd w:val="solid" w:color="000000" w:fill="000000"/>
                <w:fitText w:val="380" w:id="-1280031729"/>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80" w:id="-1280031729"/>
                <w14:textFill>
                  <w14:solidFill>
                    <w14:srgbClr w14:val="000000">
                      <w14:alpha w14:val="100000"/>
                    </w14:srgbClr>
                  </w14:solidFill>
                </w14:textFill>
              </w:rPr>
              <w:t>|</w:t>
            </w:r>
            <w:r w:rsidR="00DA287C">
              <w:rPr>
                <w:rFonts w:ascii="Arial Narrow" w:hAnsi="Arial Narrow"/>
                <w:sz w:val="20"/>
                <w:szCs w:val="20"/>
                <w:vertAlign w:val="superscript"/>
              </w:rPr>
              <w:t>13</w:t>
            </w:r>
          </w:p>
        </w:tc>
        <w:tc>
          <w:tcPr>
            <w:tcW w:w="1116" w:type="dxa"/>
            <w:tcBorders>
              <w:top w:val="single" w:sz="4" w:space="0" w:color="auto"/>
              <w:left w:val="single" w:sz="4" w:space="0" w:color="auto"/>
              <w:bottom w:val="single" w:sz="4" w:space="0" w:color="auto"/>
              <w:right w:val="single" w:sz="4" w:space="0" w:color="auto"/>
            </w:tcBorders>
            <w:vAlign w:val="center"/>
            <w:hideMark/>
          </w:tcPr>
          <w:p w14:paraId="63C5EB80" w14:textId="1AF44219" w:rsidR="006A7D91" w:rsidRPr="005B7FB3" w:rsidRDefault="006A7D91" w:rsidP="00013B37">
            <w:pPr>
              <w:keepNext/>
              <w:jc w:val="center"/>
              <w:textAlignment w:val="baseline"/>
              <w:rPr>
                <w:rFonts w:ascii="Times New Roman" w:hAnsi="Times New Roman" w:cs="Times New Roman"/>
                <w:vertAlign w:val="superscript"/>
              </w:rPr>
            </w:pPr>
            <w:r w:rsidRPr="00E44776">
              <w:rPr>
                <w:rFonts w:ascii="Arial Narrow" w:hAnsi="Arial Narrow"/>
                <w:b/>
                <w:bCs/>
                <w:sz w:val="20"/>
                <w:szCs w:val="20"/>
              </w:rPr>
              <w:t>$</w:t>
            </w:r>
            <w:r w:rsidR="00777DAE" w:rsidRPr="00FC7B41">
              <w:rPr>
                <w:rFonts w:ascii="Arial Narrow" w:hAnsi="Arial Narrow"/>
                <w:b/>
                <w:bCs/>
                <w:color w:val="000000"/>
                <w:spacing w:val="62"/>
                <w:sz w:val="20"/>
                <w:szCs w:val="20"/>
                <w:shd w:val="solid" w:color="000000" w:fill="000000"/>
                <w:fitText w:val="370" w:id="-1280031728"/>
                <w14:textFill>
                  <w14:solidFill>
                    <w14:srgbClr w14:val="000000">
                      <w14:alpha w14:val="100000"/>
                    </w14:srgbClr>
                  </w14:solidFill>
                </w14:textFill>
              </w:rPr>
              <w:t>|||</w:t>
            </w:r>
            <w:r w:rsidR="00777DAE" w:rsidRPr="00FC7B41">
              <w:rPr>
                <w:rFonts w:ascii="Arial Narrow" w:hAnsi="Arial Narrow"/>
                <w:b/>
                <w:bCs/>
                <w:color w:val="000000"/>
                <w:spacing w:val="1"/>
                <w:sz w:val="20"/>
                <w:szCs w:val="20"/>
                <w:shd w:val="solid" w:color="000000" w:fill="000000"/>
                <w:fitText w:val="370" w:id="-1280031728"/>
                <w14:textFill>
                  <w14:solidFill>
                    <w14:srgbClr w14:val="000000">
                      <w14:alpha w14:val="100000"/>
                    </w14:srgbClr>
                  </w14:solidFill>
                </w14:textFill>
              </w:rPr>
              <w:t>|</w:t>
            </w:r>
            <w:r w:rsidR="00DA287C">
              <w:rPr>
                <w:rFonts w:ascii="Arial Narrow" w:hAnsi="Arial Narrow"/>
                <w:sz w:val="20"/>
                <w:szCs w:val="20"/>
                <w:vertAlign w:val="superscript"/>
              </w:rPr>
              <w:t>13</w:t>
            </w:r>
          </w:p>
        </w:tc>
      </w:tr>
      <w:tr w:rsidR="00DD4B37" w:rsidRPr="00E44776" w14:paraId="54CE6008" w14:textId="77777777" w:rsidTr="00584B70">
        <w:tc>
          <w:tcPr>
            <w:tcW w:w="9011" w:type="dxa"/>
            <w:gridSpan w:val="7"/>
            <w:tcBorders>
              <w:top w:val="single" w:sz="6" w:space="0" w:color="auto"/>
              <w:left w:val="single" w:sz="6" w:space="0" w:color="auto"/>
              <w:bottom w:val="single" w:sz="6" w:space="0" w:color="auto"/>
              <w:right w:val="single" w:sz="4" w:space="0" w:color="auto"/>
            </w:tcBorders>
            <w:shd w:val="clear" w:color="auto" w:fill="auto"/>
          </w:tcPr>
          <w:p w14:paraId="6780D73E" w14:textId="69626A78" w:rsidR="00DD4B37" w:rsidRPr="00E44776" w:rsidRDefault="00DD4B37" w:rsidP="00B27F28">
            <w:pPr>
              <w:keepNext/>
              <w:jc w:val="left"/>
              <w:textAlignment w:val="baseline"/>
              <w:rPr>
                <w:rFonts w:ascii="Arial Narrow" w:hAnsi="Arial Narrow"/>
                <w:b/>
                <w:bCs/>
                <w:sz w:val="20"/>
                <w:szCs w:val="20"/>
              </w:rPr>
            </w:pPr>
            <w:r w:rsidRPr="00E44776">
              <w:rPr>
                <w:rFonts w:ascii="Arial Narrow" w:hAnsi="Arial Narrow"/>
                <w:b/>
                <w:bCs/>
                <w:sz w:val="20"/>
                <w:szCs w:val="20"/>
              </w:rPr>
              <w:t xml:space="preserve">PSCR </w:t>
            </w:r>
            <w:r w:rsidRPr="00E44776">
              <w:rPr>
                <w:rFonts w:ascii="Arial Narrow" w:hAnsi="Arial Narrow"/>
                <w:sz w:val="20"/>
                <w:szCs w:val="20"/>
              </w:rPr>
              <w:t>(increase</w:t>
            </w:r>
            <w:r w:rsidR="000E04B1" w:rsidRPr="00E44776">
              <w:rPr>
                <w:rFonts w:ascii="Arial Narrow" w:hAnsi="Arial Narrow"/>
                <w:sz w:val="20"/>
                <w:szCs w:val="20"/>
              </w:rPr>
              <w:t>d the</w:t>
            </w:r>
            <w:r w:rsidRPr="00E44776">
              <w:rPr>
                <w:rFonts w:ascii="Arial Narrow" w:hAnsi="Arial Narrow"/>
                <w:sz w:val="20"/>
                <w:szCs w:val="20"/>
              </w:rPr>
              <w:t xml:space="preserve"> crude incidence rate from 8.6 to 9.4 per 100,000)</w:t>
            </w:r>
          </w:p>
        </w:tc>
      </w:tr>
      <w:tr w:rsidR="00DD4B37" w:rsidRPr="00E44776" w14:paraId="00D31D59" w14:textId="77777777" w:rsidTr="00B27F28">
        <w:tc>
          <w:tcPr>
            <w:tcW w:w="2318" w:type="dxa"/>
            <w:tcBorders>
              <w:top w:val="single" w:sz="6" w:space="0" w:color="auto"/>
              <w:left w:val="single" w:sz="6" w:space="0" w:color="auto"/>
              <w:bottom w:val="single" w:sz="6" w:space="0" w:color="auto"/>
              <w:right w:val="single" w:sz="6" w:space="0" w:color="auto"/>
            </w:tcBorders>
            <w:shd w:val="clear" w:color="auto" w:fill="auto"/>
          </w:tcPr>
          <w:p w14:paraId="6E50498B" w14:textId="7C8C0229" w:rsidR="00DD4B37" w:rsidRPr="00E44776" w:rsidRDefault="00DD4B37" w:rsidP="00DD4B37">
            <w:pPr>
              <w:keepNext/>
              <w:jc w:val="left"/>
              <w:textAlignment w:val="baseline"/>
              <w:rPr>
                <w:rFonts w:ascii="Arial Narrow" w:hAnsi="Arial Narrow"/>
                <w:b/>
                <w:bCs/>
                <w:sz w:val="20"/>
                <w:szCs w:val="20"/>
              </w:rPr>
            </w:pPr>
            <w:r w:rsidRPr="00E44776">
              <w:rPr>
                <w:rFonts w:ascii="Arial Narrow" w:hAnsi="Arial Narrow"/>
                <w:b/>
                <w:bCs/>
                <w:sz w:val="20"/>
                <w:szCs w:val="20"/>
              </w:rPr>
              <w:t xml:space="preserve">Net cost to </w:t>
            </w:r>
            <w:r w:rsidR="000E04B1" w:rsidRPr="00E44776">
              <w:rPr>
                <w:rFonts w:ascii="Arial Narrow" w:hAnsi="Arial Narrow"/>
                <w:b/>
                <w:bCs/>
                <w:sz w:val="20"/>
                <w:szCs w:val="20"/>
              </w:rPr>
              <w:t>PBS/RPBS</w:t>
            </w:r>
            <w:r w:rsidRPr="00E44776">
              <w:rPr>
                <w:rFonts w:ascii="Arial Narrow" w:hAnsi="Arial Narrow"/>
                <w:b/>
                <w:bCs/>
                <w:sz w:val="20"/>
                <w:szCs w:val="20"/>
              </w:rPr>
              <w:t xml:space="preserve"> </w:t>
            </w:r>
          </w:p>
        </w:tc>
        <w:tc>
          <w:tcPr>
            <w:tcW w:w="1115" w:type="dxa"/>
            <w:tcBorders>
              <w:top w:val="single" w:sz="4" w:space="0" w:color="auto"/>
              <w:left w:val="single" w:sz="4" w:space="0" w:color="auto"/>
              <w:bottom w:val="single" w:sz="4" w:space="0" w:color="auto"/>
              <w:right w:val="single" w:sz="4" w:space="0" w:color="auto"/>
            </w:tcBorders>
          </w:tcPr>
          <w:p w14:paraId="19225CC6" w14:textId="7A7EB034" w:rsidR="00DD4B37" w:rsidRPr="005B7FB3" w:rsidRDefault="00DD4B37" w:rsidP="00DD4B37">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62"/>
                <w:sz w:val="20"/>
                <w:szCs w:val="20"/>
                <w:shd w:val="solid" w:color="000000" w:fill="000000"/>
                <w:fitText w:val="370" w:id="-1280031744"/>
                <w14:textFill>
                  <w14:solidFill>
                    <w14:srgbClr w14:val="000000">
                      <w14:alpha w14:val="100000"/>
                    </w14:srgbClr>
                  </w14:solidFill>
                </w14:textFill>
              </w:rPr>
              <w:t>|||</w:t>
            </w:r>
            <w:r w:rsidR="00777DAE" w:rsidRPr="00FC7B41">
              <w:rPr>
                <w:rFonts w:ascii="Arial Narrow" w:hAnsi="Arial Narrow"/>
                <w:b/>
                <w:bCs/>
                <w:color w:val="000000"/>
                <w:spacing w:val="1"/>
                <w:sz w:val="20"/>
                <w:szCs w:val="20"/>
                <w:shd w:val="solid" w:color="000000" w:fill="000000"/>
                <w:fitText w:val="370" w:id="-1280031744"/>
                <w14:textFill>
                  <w14:solidFill>
                    <w14:srgbClr w14:val="000000">
                      <w14:alpha w14:val="100000"/>
                    </w14:srgbClr>
                  </w14:solidFill>
                </w14:textFill>
              </w:rPr>
              <w:t>|</w:t>
            </w:r>
            <w:r w:rsidR="004C0003">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tcPr>
          <w:p w14:paraId="564DD465" w14:textId="4635F384" w:rsidR="00DD4B37" w:rsidRPr="005B7FB3" w:rsidRDefault="00DD4B37" w:rsidP="00DD4B37">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55"/>
                <w:sz w:val="20"/>
                <w:szCs w:val="20"/>
                <w:shd w:val="solid" w:color="000000" w:fill="000000"/>
                <w:fitText w:val="350" w:id="-1280031743"/>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50" w:id="-1280031743"/>
                <w14:textFill>
                  <w14:solidFill>
                    <w14:srgbClr w14:val="000000">
                      <w14:alpha w14:val="100000"/>
                    </w14:srgbClr>
                  </w14:solidFill>
                </w14:textFill>
              </w:rPr>
              <w:t>|</w:t>
            </w:r>
            <w:r w:rsidR="004C0003">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tcPr>
          <w:p w14:paraId="02DA16F0" w14:textId="15BB3BCB" w:rsidR="00DD4B37" w:rsidRPr="005B7FB3" w:rsidRDefault="00DD4B37" w:rsidP="00DD4B37">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65"/>
                <w:sz w:val="20"/>
                <w:szCs w:val="20"/>
                <w:shd w:val="solid" w:color="000000" w:fill="000000"/>
                <w:fitText w:val="380" w:id="-1280031742"/>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80" w:id="-1280031742"/>
                <w14:textFill>
                  <w14:solidFill>
                    <w14:srgbClr w14:val="000000">
                      <w14:alpha w14:val="100000"/>
                    </w14:srgbClr>
                  </w14:solidFill>
                </w14:textFill>
              </w:rPr>
              <w:t>|</w:t>
            </w:r>
            <w:r w:rsidR="004C0003">
              <w:rPr>
                <w:rFonts w:ascii="Arial Narrow" w:hAnsi="Arial Narrow"/>
                <w:sz w:val="20"/>
                <w:szCs w:val="20"/>
                <w:vertAlign w:val="superscript"/>
              </w:rPr>
              <w:t>12</w:t>
            </w:r>
          </w:p>
        </w:tc>
        <w:tc>
          <w:tcPr>
            <w:tcW w:w="1116" w:type="dxa"/>
            <w:tcBorders>
              <w:top w:val="single" w:sz="4" w:space="0" w:color="auto"/>
              <w:left w:val="single" w:sz="4" w:space="0" w:color="auto"/>
              <w:bottom w:val="single" w:sz="4" w:space="0" w:color="auto"/>
              <w:right w:val="single" w:sz="4" w:space="0" w:color="auto"/>
            </w:tcBorders>
          </w:tcPr>
          <w:p w14:paraId="03AEAC6A" w14:textId="016E00E4" w:rsidR="00DD4B37" w:rsidRPr="005B7FB3" w:rsidRDefault="00DD4B37" w:rsidP="00DD4B37">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55"/>
                <w:sz w:val="20"/>
                <w:szCs w:val="20"/>
                <w:shd w:val="solid" w:color="000000" w:fill="000000"/>
                <w:fitText w:val="350" w:id="-1280031741"/>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50" w:id="-1280031741"/>
                <w14:textFill>
                  <w14:solidFill>
                    <w14:srgbClr w14:val="000000">
                      <w14:alpha w14:val="100000"/>
                    </w14:srgbClr>
                  </w14:solidFill>
                </w14:textFill>
              </w:rPr>
              <w:t>|</w:t>
            </w:r>
            <w:r w:rsidR="004C0003">
              <w:rPr>
                <w:rFonts w:ascii="Arial Narrow" w:hAnsi="Arial Narrow"/>
                <w:sz w:val="20"/>
                <w:szCs w:val="20"/>
                <w:vertAlign w:val="superscript"/>
              </w:rPr>
              <w:t>7</w:t>
            </w:r>
          </w:p>
        </w:tc>
        <w:tc>
          <w:tcPr>
            <w:tcW w:w="1115" w:type="dxa"/>
            <w:tcBorders>
              <w:top w:val="single" w:sz="4" w:space="0" w:color="auto"/>
              <w:left w:val="single" w:sz="4" w:space="0" w:color="auto"/>
              <w:bottom w:val="single" w:sz="4" w:space="0" w:color="auto"/>
              <w:right w:val="single" w:sz="4" w:space="0" w:color="auto"/>
            </w:tcBorders>
          </w:tcPr>
          <w:p w14:paraId="5F190CF7" w14:textId="3CD24A49" w:rsidR="00DD4B37" w:rsidRPr="005B7FB3" w:rsidRDefault="00DD4B37" w:rsidP="00DD4B37">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65"/>
                <w:sz w:val="20"/>
                <w:szCs w:val="20"/>
                <w:shd w:val="solid" w:color="000000" w:fill="000000"/>
                <w:fitText w:val="380" w:id="-1280031740"/>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80" w:id="-1280031740"/>
                <w14:textFill>
                  <w14:solidFill>
                    <w14:srgbClr w14:val="000000">
                      <w14:alpha w14:val="100000"/>
                    </w14:srgbClr>
                  </w14:solidFill>
                </w14:textFill>
              </w:rPr>
              <w:t>|</w:t>
            </w:r>
            <w:r w:rsidR="004C0003">
              <w:rPr>
                <w:rFonts w:ascii="Arial Narrow" w:hAnsi="Arial Narrow"/>
                <w:sz w:val="20"/>
                <w:szCs w:val="20"/>
                <w:vertAlign w:val="superscript"/>
              </w:rPr>
              <w:t>13</w:t>
            </w:r>
          </w:p>
        </w:tc>
        <w:tc>
          <w:tcPr>
            <w:tcW w:w="1116" w:type="dxa"/>
            <w:tcBorders>
              <w:top w:val="single" w:sz="4" w:space="0" w:color="auto"/>
              <w:left w:val="single" w:sz="4" w:space="0" w:color="auto"/>
              <w:bottom w:val="single" w:sz="4" w:space="0" w:color="auto"/>
              <w:right w:val="single" w:sz="4" w:space="0" w:color="auto"/>
            </w:tcBorders>
          </w:tcPr>
          <w:p w14:paraId="5F1341E0" w14:textId="571D93E9" w:rsidR="00DD4B37" w:rsidRPr="005B7FB3" w:rsidRDefault="00DD4B37" w:rsidP="00DD4B37">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55"/>
                <w:sz w:val="20"/>
                <w:szCs w:val="20"/>
                <w:shd w:val="solid" w:color="000000" w:fill="000000"/>
                <w:fitText w:val="350" w:id="-1280031739"/>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50" w:id="-1280031739"/>
                <w14:textFill>
                  <w14:solidFill>
                    <w14:srgbClr w14:val="000000">
                      <w14:alpha w14:val="100000"/>
                    </w14:srgbClr>
                  </w14:solidFill>
                </w14:textFill>
              </w:rPr>
              <w:t>|</w:t>
            </w:r>
            <w:r w:rsidR="004C0003">
              <w:rPr>
                <w:rFonts w:ascii="Arial Narrow" w:hAnsi="Arial Narrow"/>
                <w:sz w:val="20"/>
                <w:szCs w:val="20"/>
                <w:vertAlign w:val="superscript"/>
              </w:rPr>
              <w:t>9</w:t>
            </w:r>
          </w:p>
        </w:tc>
      </w:tr>
      <w:tr w:rsidR="00CC4FB8" w:rsidRPr="00E44776" w14:paraId="35BE684D" w14:textId="77777777" w:rsidTr="00B27F28">
        <w:tc>
          <w:tcPr>
            <w:tcW w:w="2318" w:type="dxa"/>
            <w:tcBorders>
              <w:top w:val="single" w:sz="6" w:space="0" w:color="auto"/>
              <w:left w:val="single" w:sz="6" w:space="0" w:color="auto"/>
              <w:bottom w:val="single" w:sz="6" w:space="0" w:color="auto"/>
              <w:right w:val="single" w:sz="6" w:space="0" w:color="auto"/>
            </w:tcBorders>
            <w:shd w:val="clear" w:color="auto" w:fill="auto"/>
          </w:tcPr>
          <w:p w14:paraId="07B3DD74" w14:textId="6F57D85A" w:rsidR="00CC4FB8" w:rsidRPr="00E44776" w:rsidRDefault="00CC4FB8" w:rsidP="00CC4FB8">
            <w:pPr>
              <w:keepNext/>
              <w:jc w:val="left"/>
              <w:textAlignment w:val="baseline"/>
              <w:rPr>
                <w:rFonts w:ascii="Arial Narrow" w:hAnsi="Arial Narrow"/>
                <w:b/>
                <w:bCs/>
                <w:sz w:val="20"/>
                <w:szCs w:val="20"/>
              </w:rPr>
            </w:pPr>
            <w:r w:rsidRPr="00E44776">
              <w:rPr>
                <w:rFonts w:ascii="Arial Narrow" w:hAnsi="Arial Narrow" w:cs="Times New Roman"/>
                <w:b/>
                <w:bCs/>
                <w:sz w:val="20"/>
                <w:szCs w:val="20"/>
              </w:rPr>
              <w:t>Net cost to PBS/RPBS/MBS </w:t>
            </w:r>
          </w:p>
        </w:tc>
        <w:tc>
          <w:tcPr>
            <w:tcW w:w="1115" w:type="dxa"/>
            <w:tcBorders>
              <w:top w:val="single" w:sz="4" w:space="0" w:color="auto"/>
              <w:left w:val="single" w:sz="4" w:space="0" w:color="auto"/>
              <w:bottom w:val="single" w:sz="4" w:space="0" w:color="auto"/>
              <w:right w:val="single" w:sz="4" w:space="0" w:color="auto"/>
            </w:tcBorders>
          </w:tcPr>
          <w:p w14:paraId="1A435FE5" w14:textId="2697E0B4" w:rsidR="00CC4FB8" w:rsidRPr="005B7FB3" w:rsidRDefault="00CC4FB8" w:rsidP="00CC4FB8">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62"/>
                <w:sz w:val="20"/>
                <w:szCs w:val="20"/>
                <w:shd w:val="solid" w:color="000000" w:fill="000000"/>
                <w:fitText w:val="370" w:id="-1280031738"/>
                <w14:textFill>
                  <w14:solidFill>
                    <w14:srgbClr w14:val="000000">
                      <w14:alpha w14:val="100000"/>
                    </w14:srgbClr>
                  </w14:solidFill>
                </w14:textFill>
              </w:rPr>
              <w:t>|||</w:t>
            </w:r>
            <w:r w:rsidR="00777DAE" w:rsidRPr="00FC7B41">
              <w:rPr>
                <w:rFonts w:ascii="Arial Narrow" w:hAnsi="Arial Narrow"/>
                <w:b/>
                <w:bCs/>
                <w:color w:val="000000"/>
                <w:spacing w:val="1"/>
                <w:sz w:val="20"/>
                <w:szCs w:val="20"/>
                <w:shd w:val="solid" w:color="000000" w:fill="000000"/>
                <w:fitText w:val="370" w:id="-1280031738"/>
                <w14:textFill>
                  <w14:solidFill>
                    <w14:srgbClr w14:val="000000">
                      <w14:alpha w14:val="100000"/>
                    </w14:srgbClr>
                  </w14:solidFill>
                </w14:textFill>
              </w:rPr>
              <w:t>|</w:t>
            </w:r>
            <w:r w:rsidR="004C0003">
              <w:rPr>
                <w:rFonts w:ascii="Arial Narrow" w:hAnsi="Arial Narrow"/>
                <w:sz w:val="20"/>
                <w:szCs w:val="20"/>
                <w:vertAlign w:val="superscript"/>
              </w:rPr>
              <w:t>6</w:t>
            </w:r>
          </w:p>
        </w:tc>
        <w:tc>
          <w:tcPr>
            <w:tcW w:w="1116" w:type="dxa"/>
            <w:tcBorders>
              <w:top w:val="single" w:sz="4" w:space="0" w:color="auto"/>
              <w:left w:val="single" w:sz="4" w:space="0" w:color="auto"/>
              <w:bottom w:val="single" w:sz="4" w:space="0" w:color="auto"/>
              <w:right w:val="single" w:sz="4" w:space="0" w:color="auto"/>
            </w:tcBorders>
          </w:tcPr>
          <w:p w14:paraId="25C282E0" w14:textId="01E54419" w:rsidR="00CC4FB8" w:rsidRPr="005B7FB3" w:rsidRDefault="00CC4FB8" w:rsidP="00CC4FB8">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55"/>
                <w:sz w:val="20"/>
                <w:szCs w:val="20"/>
                <w:shd w:val="solid" w:color="000000" w:fill="000000"/>
                <w:fitText w:val="350" w:id="-1280031737"/>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50" w:id="-1280031737"/>
                <w14:textFill>
                  <w14:solidFill>
                    <w14:srgbClr w14:val="000000">
                      <w14:alpha w14:val="100000"/>
                    </w14:srgbClr>
                  </w14:solidFill>
                </w14:textFill>
              </w:rPr>
              <w:t>|</w:t>
            </w:r>
            <w:r w:rsidR="004C0003">
              <w:rPr>
                <w:rFonts w:ascii="Arial Narrow" w:hAnsi="Arial Narrow"/>
                <w:sz w:val="20"/>
                <w:szCs w:val="20"/>
                <w:vertAlign w:val="superscript"/>
              </w:rPr>
              <w:t>6</w:t>
            </w:r>
          </w:p>
        </w:tc>
        <w:tc>
          <w:tcPr>
            <w:tcW w:w="1115" w:type="dxa"/>
            <w:tcBorders>
              <w:top w:val="single" w:sz="4" w:space="0" w:color="auto"/>
              <w:left w:val="single" w:sz="4" w:space="0" w:color="auto"/>
              <w:bottom w:val="single" w:sz="4" w:space="0" w:color="auto"/>
              <w:right w:val="single" w:sz="4" w:space="0" w:color="auto"/>
            </w:tcBorders>
          </w:tcPr>
          <w:p w14:paraId="32238512" w14:textId="4C4BF3F9" w:rsidR="00CC4FB8" w:rsidRPr="005B7FB3" w:rsidRDefault="00CC4FB8" w:rsidP="00CC4FB8">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65"/>
                <w:sz w:val="20"/>
                <w:szCs w:val="20"/>
                <w:shd w:val="solid" w:color="000000" w:fill="000000"/>
                <w:fitText w:val="380" w:id="-1280031736"/>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80" w:id="-1280031736"/>
                <w14:textFill>
                  <w14:solidFill>
                    <w14:srgbClr w14:val="000000">
                      <w14:alpha w14:val="100000"/>
                    </w14:srgbClr>
                  </w14:solidFill>
                </w14:textFill>
              </w:rPr>
              <w:t>|</w:t>
            </w:r>
            <w:r w:rsidR="004C0003">
              <w:rPr>
                <w:rFonts w:ascii="Arial Narrow" w:hAnsi="Arial Narrow"/>
                <w:sz w:val="20"/>
                <w:szCs w:val="20"/>
                <w:vertAlign w:val="superscript"/>
              </w:rPr>
              <w:t>12</w:t>
            </w:r>
          </w:p>
        </w:tc>
        <w:tc>
          <w:tcPr>
            <w:tcW w:w="1116" w:type="dxa"/>
            <w:tcBorders>
              <w:top w:val="single" w:sz="4" w:space="0" w:color="auto"/>
              <w:left w:val="single" w:sz="4" w:space="0" w:color="auto"/>
              <w:bottom w:val="single" w:sz="4" w:space="0" w:color="auto"/>
              <w:right w:val="single" w:sz="4" w:space="0" w:color="auto"/>
            </w:tcBorders>
          </w:tcPr>
          <w:p w14:paraId="17B4D823" w14:textId="021CEDE4" w:rsidR="00CC4FB8" w:rsidRPr="005B7FB3" w:rsidRDefault="00CC4FB8" w:rsidP="00CC4FB8">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55"/>
                <w:sz w:val="20"/>
                <w:szCs w:val="20"/>
                <w:shd w:val="solid" w:color="000000" w:fill="000000"/>
                <w:fitText w:val="350" w:id="-1280031735"/>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50" w:id="-1280031735"/>
                <w14:textFill>
                  <w14:solidFill>
                    <w14:srgbClr w14:val="000000">
                      <w14:alpha w14:val="100000"/>
                    </w14:srgbClr>
                  </w14:solidFill>
                </w14:textFill>
              </w:rPr>
              <w:t>|</w:t>
            </w:r>
            <w:r w:rsidR="004C0003">
              <w:rPr>
                <w:rFonts w:ascii="Arial Narrow" w:hAnsi="Arial Narrow"/>
                <w:sz w:val="20"/>
                <w:szCs w:val="20"/>
                <w:vertAlign w:val="superscript"/>
              </w:rPr>
              <w:t>7</w:t>
            </w:r>
          </w:p>
        </w:tc>
        <w:tc>
          <w:tcPr>
            <w:tcW w:w="1115" w:type="dxa"/>
            <w:tcBorders>
              <w:top w:val="single" w:sz="4" w:space="0" w:color="auto"/>
              <w:left w:val="single" w:sz="4" w:space="0" w:color="auto"/>
              <w:bottom w:val="single" w:sz="4" w:space="0" w:color="auto"/>
              <w:right w:val="single" w:sz="4" w:space="0" w:color="auto"/>
            </w:tcBorders>
          </w:tcPr>
          <w:p w14:paraId="0FD46CF7" w14:textId="4DD4B8FD" w:rsidR="00CC4FB8" w:rsidRPr="005B7FB3" w:rsidRDefault="00CC4FB8" w:rsidP="00CC4FB8">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65"/>
                <w:sz w:val="20"/>
                <w:szCs w:val="20"/>
                <w:shd w:val="solid" w:color="000000" w:fill="000000"/>
                <w:fitText w:val="380" w:id="-1280031734"/>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80" w:id="-1280031734"/>
                <w14:textFill>
                  <w14:solidFill>
                    <w14:srgbClr w14:val="000000">
                      <w14:alpha w14:val="100000"/>
                    </w14:srgbClr>
                  </w14:solidFill>
                </w14:textFill>
              </w:rPr>
              <w:t>|</w:t>
            </w:r>
            <w:r w:rsidR="004C0003">
              <w:rPr>
                <w:rFonts w:ascii="Arial Narrow" w:hAnsi="Arial Narrow"/>
                <w:sz w:val="20"/>
                <w:szCs w:val="20"/>
                <w:vertAlign w:val="superscript"/>
              </w:rPr>
              <w:t>13</w:t>
            </w:r>
          </w:p>
        </w:tc>
        <w:tc>
          <w:tcPr>
            <w:tcW w:w="1116" w:type="dxa"/>
            <w:tcBorders>
              <w:top w:val="single" w:sz="4" w:space="0" w:color="auto"/>
              <w:left w:val="single" w:sz="4" w:space="0" w:color="auto"/>
              <w:bottom w:val="single" w:sz="4" w:space="0" w:color="auto"/>
              <w:right w:val="single" w:sz="4" w:space="0" w:color="auto"/>
            </w:tcBorders>
          </w:tcPr>
          <w:p w14:paraId="636506B0" w14:textId="054C5E53" w:rsidR="00CC4FB8" w:rsidRPr="005B7FB3" w:rsidRDefault="00CC4FB8" w:rsidP="00CC4FB8">
            <w:pPr>
              <w:keepNext/>
              <w:jc w:val="center"/>
              <w:textAlignment w:val="baseline"/>
              <w:rPr>
                <w:rFonts w:ascii="Arial Narrow" w:hAnsi="Arial Narrow"/>
                <w:sz w:val="20"/>
                <w:szCs w:val="20"/>
                <w:vertAlign w:val="superscript"/>
              </w:rPr>
            </w:pPr>
            <w:r w:rsidRPr="00E44776">
              <w:rPr>
                <w:rFonts w:ascii="Arial Narrow" w:hAnsi="Arial Narrow"/>
                <w:b/>
                <w:bCs/>
                <w:sz w:val="20"/>
                <w:szCs w:val="20"/>
              </w:rPr>
              <w:t>$</w:t>
            </w:r>
            <w:r w:rsidR="00777DAE" w:rsidRPr="00FC7B41">
              <w:rPr>
                <w:rFonts w:ascii="Arial Narrow" w:hAnsi="Arial Narrow"/>
                <w:b/>
                <w:bCs/>
                <w:color w:val="000000"/>
                <w:spacing w:val="55"/>
                <w:sz w:val="20"/>
                <w:szCs w:val="20"/>
                <w:shd w:val="solid" w:color="000000" w:fill="000000"/>
                <w:fitText w:val="350" w:id="-1280031733"/>
                <w14:textFill>
                  <w14:solidFill>
                    <w14:srgbClr w14:val="000000">
                      <w14:alpha w14:val="100000"/>
                    </w14:srgbClr>
                  </w14:solidFill>
                </w14:textFill>
              </w:rPr>
              <w:t>|||</w:t>
            </w:r>
            <w:r w:rsidR="00777DAE" w:rsidRPr="00FC7B41">
              <w:rPr>
                <w:rFonts w:ascii="Arial Narrow" w:hAnsi="Arial Narrow"/>
                <w:b/>
                <w:bCs/>
                <w:color w:val="000000"/>
                <w:spacing w:val="2"/>
                <w:sz w:val="20"/>
                <w:szCs w:val="20"/>
                <w:shd w:val="solid" w:color="000000" w:fill="000000"/>
                <w:fitText w:val="350" w:id="-1280031733"/>
                <w14:textFill>
                  <w14:solidFill>
                    <w14:srgbClr w14:val="000000">
                      <w14:alpha w14:val="100000"/>
                    </w14:srgbClr>
                  </w14:solidFill>
                </w14:textFill>
              </w:rPr>
              <w:t>|</w:t>
            </w:r>
            <w:r w:rsidR="004C0003">
              <w:rPr>
                <w:rFonts w:ascii="Arial Narrow" w:hAnsi="Arial Narrow"/>
                <w:sz w:val="20"/>
                <w:szCs w:val="20"/>
                <w:vertAlign w:val="superscript"/>
              </w:rPr>
              <w:t>9</w:t>
            </w:r>
          </w:p>
        </w:tc>
      </w:tr>
      <w:tr w:rsidR="006A7D91" w:rsidRPr="00E44776" w14:paraId="425528DB" w14:textId="77777777" w:rsidTr="00B71082">
        <w:tc>
          <w:tcPr>
            <w:tcW w:w="9011" w:type="dxa"/>
            <w:gridSpan w:val="7"/>
            <w:tcBorders>
              <w:top w:val="single" w:sz="6" w:space="0" w:color="auto"/>
              <w:left w:val="single" w:sz="6" w:space="0" w:color="auto"/>
              <w:bottom w:val="single" w:sz="6" w:space="0" w:color="auto"/>
              <w:right w:val="single" w:sz="6" w:space="0" w:color="auto"/>
            </w:tcBorders>
            <w:shd w:val="clear" w:color="auto" w:fill="C6D9F1"/>
            <w:hideMark/>
          </w:tcPr>
          <w:p w14:paraId="00D9E5E5" w14:textId="2DEEEEE2"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b/>
                <w:bCs/>
                <w:sz w:val="20"/>
                <w:szCs w:val="20"/>
              </w:rPr>
              <w:t>November 2021 acalabrutinib submission</w:t>
            </w:r>
            <w:r w:rsidRPr="00E44776">
              <w:rPr>
                <w:rFonts w:ascii="Arial Narrow" w:hAnsi="Arial Narrow" w:cs="Times New Roman"/>
                <w:sz w:val="20"/>
                <w:szCs w:val="20"/>
              </w:rPr>
              <w:t> </w:t>
            </w:r>
          </w:p>
        </w:tc>
      </w:tr>
      <w:tr w:rsidR="00A97643" w:rsidRPr="00E44776" w14:paraId="31B6252C" w14:textId="77777777" w:rsidTr="00B71082">
        <w:tc>
          <w:tcPr>
            <w:tcW w:w="2318" w:type="dxa"/>
            <w:tcBorders>
              <w:top w:val="single" w:sz="6" w:space="0" w:color="auto"/>
              <w:left w:val="single" w:sz="6" w:space="0" w:color="auto"/>
              <w:bottom w:val="single" w:sz="6" w:space="0" w:color="auto"/>
              <w:right w:val="single" w:sz="6" w:space="0" w:color="auto"/>
            </w:tcBorders>
            <w:shd w:val="clear" w:color="auto" w:fill="C6D9F1"/>
            <w:hideMark/>
          </w:tcPr>
          <w:p w14:paraId="580D28E8" w14:textId="5B59C5EE" w:rsidR="006A7D91" w:rsidRPr="00E44776" w:rsidRDefault="006A7D91" w:rsidP="00013B37">
            <w:pPr>
              <w:keepNext/>
              <w:jc w:val="left"/>
              <w:textAlignment w:val="baseline"/>
              <w:rPr>
                <w:rFonts w:ascii="Times New Roman" w:hAnsi="Times New Roman" w:cs="Times New Roman"/>
              </w:rPr>
            </w:pPr>
            <w:r w:rsidRPr="00E44776">
              <w:rPr>
                <w:rFonts w:ascii="Arial Narrow" w:hAnsi="Arial Narrow" w:cs="Times New Roman"/>
                <w:sz w:val="20"/>
                <w:szCs w:val="20"/>
              </w:rPr>
              <w:t xml:space="preserve">Net cost to </w:t>
            </w:r>
            <w:r w:rsidR="00471B09" w:rsidRPr="00E44776">
              <w:rPr>
                <w:rFonts w:ascii="Arial Narrow" w:hAnsi="Arial Narrow" w:cs="Times New Roman"/>
                <w:sz w:val="20"/>
                <w:szCs w:val="20"/>
              </w:rPr>
              <w:t>PBS/RPBS/MBS</w:t>
            </w:r>
          </w:p>
        </w:tc>
        <w:tc>
          <w:tcPr>
            <w:tcW w:w="1115"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14:paraId="0BE73F4D" w14:textId="6B75207E"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w:t>
            </w:r>
            <w:r w:rsidR="00777DAE" w:rsidRPr="00FC7B41">
              <w:rPr>
                <w:rFonts w:ascii="Arial Narrow" w:hAnsi="Arial Narrow" w:cs="Times New Roman"/>
                <w:b/>
                <w:bCs/>
                <w:color w:val="000000"/>
                <w:spacing w:val="62"/>
                <w:sz w:val="20"/>
                <w:szCs w:val="20"/>
                <w:shd w:val="solid" w:color="000000" w:fill="000000"/>
                <w:fitText w:val="370" w:id="-1280031732"/>
                <w14:textFill>
                  <w14:solidFill>
                    <w14:srgbClr w14:val="000000">
                      <w14:alpha w14:val="100000"/>
                    </w14:srgbClr>
                  </w14:solidFill>
                </w14:textFill>
              </w:rPr>
              <w:t>|||</w:t>
            </w:r>
            <w:r w:rsidR="00777DAE" w:rsidRPr="00FC7B41">
              <w:rPr>
                <w:rFonts w:ascii="Arial Narrow" w:hAnsi="Arial Narrow" w:cs="Times New Roman"/>
                <w:b/>
                <w:bCs/>
                <w:color w:val="000000"/>
                <w:spacing w:val="1"/>
                <w:sz w:val="20"/>
                <w:szCs w:val="20"/>
                <w:shd w:val="solid" w:color="000000" w:fill="000000"/>
                <w:fitText w:val="370" w:id="-1280031732"/>
                <w14:textFill>
                  <w14:solidFill>
                    <w14:srgbClr w14:val="000000">
                      <w14:alpha w14:val="100000"/>
                    </w14:srgbClr>
                  </w14:solidFill>
                </w14:textFill>
              </w:rPr>
              <w:t>|</w:t>
            </w:r>
            <w:r w:rsidR="004C0003">
              <w:rPr>
                <w:rFonts w:ascii="Arial Narrow" w:hAnsi="Arial Narrow" w:cs="Times New Roman"/>
                <w:sz w:val="20"/>
                <w:szCs w:val="20"/>
                <w:vertAlign w:val="superscript"/>
              </w:rPr>
              <w:t>6</w:t>
            </w:r>
            <w:r w:rsidRPr="00E44776">
              <w:rPr>
                <w:rFonts w:ascii="Arial Narrow" w:hAnsi="Arial Narrow" w:cs="Times New Roman"/>
                <w:sz w:val="20"/>
                <w:szCs w:val="20"/>
              </w:rPr>
              <w:t> </w:t>
            </w:r>
          </w:p>
        </w:tc>
        <w:tc>
          <w:tcPr>
            <w:tcW w:w="1116"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14:paraId="4174197B" w14:textId="143E884E"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w:t>
            </w:r>
            <w:r w:rsidR="00777DAE" w:rsidRPr="00FC7B41">
              <w:rPr>
                <w:rFonts w:ascii="Arial Narrow" w:hAnsi="Arial Narrow" w:cs="Times New Roman"/>
                <w:b/>
                <w:bCs/>
                <w:color w:val="000000"/>
                <w:spacing w:val="62"/>
                <w:sz w:val="20"/>
                <w:szCs w:val="20"/>
                <w:shd w:val="solid" w:color="000000" w:fill="000000"/>
                <w:fitText w:val="370" w:id="-1280031731"/>
                <w14:textFill>
                  <w14:solidFill>
                    <w14:srgbClr w14:val="000000">
                      <w14:alpha w14:val="100000"/>
                    </w14:srgbClr>
                  </w14:solidFill>
                </w14:textFill>
              </w:rPr>
              <w:t>|||</w:t>
            </w:r>
            <w:r w:rsidR="00777DAE" w:rsidRPr="00FC7B41">
              <w:rPr>
                <w:rFonts w:ascii="Arial Narrow" w:hAnsi="Arial Narrow" w:cs="Times New Roman"/>
                <w:b/>
                <w:bCs/>
                <w:color w:val="000000"/>
                <w:spacing w:val="1"/>
                <w:sz w:val="20"/>
                <w:szCs w:val="20"/>
                <w:shd w:val="solid" w:color="000000" w:fill="000000"/>
                <w:fitText w:val="370" w:id="-1280031731"/>
                <w14:textFill>
                  <w14:solidFill>
                    <w14:srgbClr w14:val="000000">
                      <w14:alpha w14:val="100000"/>
                    </w14:srgbClr>
                  </w14:solidFill>
                </w14:textFill>
              </w:rPr>
              <w:t>|</w:t>
            </w:r>
            <w:r w:rsidR="004C0003">
              <w:rPr>
                <w:rFonts w:ascii="Arial Narrow" w:hAnsi="Arial Narrow" w:cs="Times New Roman"/>
                <w:sz w:val="20"/>
                <w:szCs w:val="20"/>
                <w:vertAlign w:val="superscript"/>
              </w:rPr>
              <w:t>6</w:t>
            </w:r>
            <w:r w:rsidRPr="00E44776">
              <w:rPr>
                <w:rFonts w:ascii="Arial Narrow" w:hAnsi="Arial Narrow" w:cs="Times New Roman"/>
                <w:sz w:val="20"/>
                <w:szCs w:val="20"/>
              </w:rPr>
              <w:t> </w:t>
            </w:r>
          </w:p>
        </w:tc>
        <w:tc>
          <w:tcPr>
            <w:tcW w:w="1115"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14:paraId="1E02597B" w14:textId="71D85EDE"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w:t>
            </w:r>
            <w:r w:rsidR="00777DAE" w:rsidRPr="00FC7B41">
              <w:rPr>
                <w:rFonts w:ascii="Arial Narrow" w:hAnsi="Arial Narrow" w:cs="Times New Roman"/>
                <w:b/>
                <w:bCs/>
                <w:color w:val="000000"/>
                <w:spacing w:val="72"/>
                <w:sz w:val="20"/>
                <w:szCs w:val="20"/>
                <w:shd w:val="solid" w:color="000000" w:fill="000000"/>
                <w:fitText w:val="400" w:id="-1280031730"/>
                <w14:textFill>
                  <w14:solidFill>
                    <w14:srgbClr w14:val="000000">
                      <w14:alpha w14:val="100000"/>
                    </w14:srgbClr>
                  </w14:solidFill>
                </w14:textFill>
              </w:rPr>
              <w:t>|||</w:t>
            </w:r>
            <w:r w:rsidR="00777DAE" w:rsidRPr="00FC7B41">
              <w:rPr>
                <w:rFonts w:ascii="Arial Narrow" w:hAnsi="Arial Narrow" w:cs="Times New Roman"/>
                <w:b/>
                <w:bCs/>
                <w:color w:val="000000"/>
                <w:spacing w:val="1"/>
                <w:sz w:val="20"/>
                <w:szCs w:val="20"/>
                <w:shd w:val="solid" w:color="000000" w:fill="000000"/>
                <w:fitText w:val="400" w:id="-1280031730"/>
                <w14:textFill>
                  <w14:solidFill>
                    <w14:srgbClr w14:val="000000">
                      <w14:alpha w14:val="100000"/>
                    </w14:srgbClr>
                  </w14:solidFill>
                </w14:textFill>
              </w:rPr>
              <w:t>|</w:t>
            </w:r>
            <w:r w:rsidR="004C0003">
              <w:rPr>
                <w:rFonts w:ascii="Arial Narrow" w:hAnsi="Arial Narrow" w:cs="Times New Roman"/>
                <w:sz w:val="20"/>
                <w:szCs w:val="20"/>
                <w:vertAlign w:val="superscript"/>
              </w:rPr>
              <w:t>12</w:t>
            </w:r>
            <w:r w:rsidRPr="00E44776">
              <w:rPr>
                <w:rFonts w:ascii="Arial Narrow" w:hAnsi="Arial Narrow" w:cs="Times New Roman"/>
                <w:sz w:val="20"/>
                <w:szCs w:val="20"/>
              </w:rPr>
              <w:t> </w:t>
            </w:r>
          </w:p>
        </w:tc>
        <w:tc>
          <w:tcPr>
            <w:tcW w:w="1116"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14:paraId="5B2F7655" w14:textId="62477330"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w:t>
            </w:r>
            <w:r w:rsidR="00777DAE" w:rsidRPr="00FC7B41">
              <w:rPr>
                <w:rFonts w:ascii="Arial Narrow" w:hAnsi="Arial Narrow" w:cs="Times New Roman"/>
                <w:b/>
                <w:bCs/>
                <w:color w:val="000000"/>
                <w:spacing w:val="62"/>
                <w:sz w:val="20"/>
                <w:szCs w:val="20"/>
                <w:shd w:val="solid" w:color="000000" w:fill="000000"/>
                <w:fitText w:val="370" w:id="-1280031729"/>
                <w14:textFill>
                  <w14:solidFill>
                    <w14:srgbClr w14:val="000000">
                      <w14:alpha w14:val="100000"/>
                    </w14:srgbClr>
                  </w14:solidFill>
                </w14:textFill>
              </w:rPr>
              <w:t>|||</w:t>
            </w:r>
            <w:r w:rsidR="00777DAE" w:rsidRPr="00FC7B41">
              <w:rPr>
                <w:rFonts w:ascii="Arial Narrow" w:hAnsi="Arial Narrow" w:cs="Times New Roman"/>
                <w:b/>
                <w:bCs/>
                <w:color w:val="000000"/>
                <w:spacing w:val="1"/>
                <w:sz w:val="20"/>
                <w:szCs w:val="20"/>
                <w:shd w:val="solid" w:color="000000" w:fill="000000"/>
                <w:fitText w:val="370" w:id="-1280031729"/>
                <w14:textFill>
                  <w14:solidFill>
                    <w14:srgbClr w14:val="000000">
                      <w14:alpha w14:val="100000"/>
                    </w14:srgbClr>
                  </w14:solidFill>
                </w14:textFill>
              </w:rPr>
              <w:t>|</w:t>
            </w:r>
            <w:r w:rsidR="004C0003">
              <w:rPr>
                <w:rFonts w:ascii="Arial Narrow" w:hAnsi="Arial Narrow" w:cs="Times New Roman"/>
                <w:sz w:val="20"/>
                <w:szCs w:val="20"/>
                <w:vertAlign w:val="superscript"/>
              </w:rPr>
              <w:t>7</w:t>
            </w:r>
            <w:r w:rsidRPr="00E44776">
              <w:rPr>
                <w:rFonts w:ascii="Arial Narrow" w:hAnsi="Arial Narrow" w:cs="Times New Roman"/>
                <w:sz w:val="20"/>
                <w:szCs w:val="20"/>
              </w:rPr>
              <w:t> </w:t>
            </w:r>
          </w:p>
        </w:tc>
        <w:tc>
          <w:tcPr>
            <w:tcW w:w="1115"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14:paraId="46DB92FD" w14:textId="670C01B6"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w:t>
            </w:r>
            <w:r w:rsidR="00777DAE" w:rsidRPr="00FC7B41">
              <w:rPr>
                <w:rFonts w:ascii="Arial Narrow" w:hAnsi="Arial Narrow" w:cs="Times New Roman"/>
                <w:b/>
                <w:bCs/>
                <w:color w:val="000000"/>
                <w:spacing w:val="62"/>
                <w:sz w:val="20"/>
                <w:szCs w:val="20"/>
                <w:shd w:val="solid" w:color="000000" w:fill="000000"/>
                <w:fitText w:val="370" w:id="-1280031728"/>
                <w14:textFill>
                  <w14:solidFill>
                    <w14:srgbClr w14:val="000000">
                      <w14:alpha w14:val="100000"/>
                    </w14:srgbClr>
                  </w14:solidFill>
                </w14:textFill>
              </w:rPr>
              <w:t>|||</w:t>
            </w:r>
            <w:r w:rsidR="00777DAE" w:rsidRPr="00FC7B41">
              <w:rPr>
                <w:rFonts w:ascii="Arial Narrow" w:hAnsi="Arial Narrow" w:cs="Times New Roman"/>
                <w:b/>
                <w:bCs/>
                <w:color w:val="000000"/>
                <w:spacing w:val="1"/>
                <w:sz w:val="20"/>
                <w:szCs w:val="20"/>
                <w:shd w:val="solid" w:color="000000" w:fill="000000"/>
                <w:fitText w:val="370" w:id="-1280031728"/>
                <w14:textFill>
                  <w14:solidFill>
                    <w14:srgbClr w14:val="000000">
                      <w14:alpha w14:val="100000"/>
                    </w14:srgbClr>
                  </w14:solidFill>
                </w14:textFill>
              </w:rPr>
              <w:t>|</w:t>
            </w:r>
            <w:r w:rsidR="004C0003">
              <w:rPr>
                <w:rFonts w:ascii="Arial Narrow" w:hAnsi="Arial Narrow" w:cs="Times New Roman"/>
                <w:sz w:val="20"/>
                <w:szCs w:val="20"/>
                <w:vertAlign w:val="superscript"/>
              </w:rPr>
              <w:t>7</w:t>
            </w:r>
            <w:r w:rsidRPr="00E44776">
              <w:rPr>
                <w:rFonts w:ascii="Arial Narrow" w:hAnsi="Arial Narrow" w:cs="Times New Roman"/>
                <w:sz w:val="20"/>
                <w:szCs w:val="20"/>
              </w:rPr>
              <w:t> </w:t>
            </w:r>
          </w:p>
        </w:tc>
        <w:tc>
          <w:tcPr>
            <w:tcW w:w="1116" w:type="dxa"/>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hideMark/>
          </w:tcPr>
          <w:p w14:paraId="70A2D444" w14:textId="1AF44930" w:rsidR="006A7D91" w:rsidRPr="00E44776" w:rsidRDefault="006A7D91" w:rsidP="00013B37">
            <w:pPr>
              <w:keepNext/>
              <w:jc w:val="center"/>
              <w:textAlignment w:val="baseline"/>
              <w:rPr>
                <w:rFonts w:ascii="Times New Roman" w:hAnsi="Times New Roman" w:cs="Times New Roman"/>
              </w:rPr>
            </w:pPr>
            <w:r w:rsidRPr="00E44776">
              <w:rPr>
                <w:rFonts w:ascii="Arial Narrow" w:hAnsi="Arial Narrow" w:cs="Times New Roman"/>
                <w:b/>
                <w:bCs/>
                <w:sz w:val="20"/>
                <w:szCs w:val="20"/>
              </w:rPr>
              <w:t>$</w:t>
            </w:r>
            <w:r w:rsidR="00777DAE" w:rsidRPr="00FC7B41">
              <w:rPr>
                <w:rFonts w:ascii="Arial Narrow" w:hAnsi="Arial Narrow" w:cs="Times New Roman"/>
                <w:b/>
                <w:bCs/>
                <w:color w:val="000000"/>
                <w:spacing w:val="62"/>
                <w:sz w:val="20"/>
                <w:szCs w:val="20"/>
                <w:shd w:val="solid" w:color="000000" w:fill="000000"/>
                <w:fitText w:val="370" w:id="-1280031744"/>
                <w14:textFill>
                  <w14:solidFill>
                    <w14:srgbClr w14:val="000000">
                      <w14:alpha w14:val="100000"/>
                    </w14:srgbClr>
                  </w14:solidFill>
                </w14:textFill>
              </w:rPr>
              <w:t>|||</w:t>
            </w:r>
            <w:r w:rsidR="00777DAE" w:rsidRPr="00FC7B41">
              <w:rPr>
                <w:rFonts w:ascii="Arial Narrow" w:hAnsi="Arial Narrow" w:cs="Times New Roman"/>
                <w:b/>
                <w:bCs/>
                <w:color w:val="000000"/>
                <w:spacing w:val="1"/>
                <w:sz w:val="20"/>
                <w:szCs w:val="20"/>
                <w:shd w:val="solid" w:color="000000" w:fill="000000"/>
                <w:fitText w:val="370" w:id="-1280031744"/>
                <w14:textFill>
                  <w14:solidFill>
                    <w14:srgbClr w14:val="000000">
                      <w14:alpha w14:val="100000"/>
                    </w14:srgbClr>
                  </w14:solidFill>
                </w14:textFill>
              </w:rPr>
              <w:t>|</w:t>
            </w:r>
            <w:r w:rsidR="004C0003">
              <w:rPr>
                <w:rFonts w:ascii="Arial Narrow" w:hAnsi="Arial Narrow" w:cs="Times New Roman"/>
                <w:sz w:val="20"/>
                <w:szCs w:val="20"/>
                <w:vertAlign w:val="superscript"/>
              </w:rPr>
              <w:t>7</w:t>
            </w:r>
            <w:r w:rsidRPr="00E44776">
              <w:rPr>
                <w:rFonts w:ascii="Arial Narrow" w:hAnsi="Arial Narrow" w:cs="Times New Roman"/>
                <w:sz w:val="20"/>
                <w:szCs w:val="20"/>
              </w:rPr>
              <w:t> </w:t>
            </w:r>
          </w:p>
        </w:tc>
      </w:tr>
    </w:tbl>
    <w:p w14:paraId="33BCD530" w14:textId="3297A1B4" w:rsidR="006A7D91" w:rsidRPr="00E44776" w:rsidRDefault="006A7D91" w:rsidP="0009236C">
      <w:pPr>
        <w:pStyle w:val="TableFooter"/>
        <w:rPr>
          <w:rFonts w:ascii="Segoe UI" w:hAnsi="Segoe UI"/>
        </w:rPr>
      </w:pPr>
      <w:r w:rsidRPr="00E44776">
        <w:t xml:space="preserve">Source: </w:t>
      </w:r>
      <w:bookmarkStart w:id="113" w:name="_Hlk113367639"/>
      <w:r w:rsidR="00F66A4C" w:rsidRPr="00E44776">
        <w:t>Compiled using the ‘4A_Epidemiology Model’ Excel workbook</w:t>
      </w:r>
      <w:bookmarkEnd w:id="113"/>
      <w:r w:rsidR="00DD4B37" w:rsidRPr="00E44776">
        <w:t>, Table 3 of PSCR</w:t>
      </w:r>
      <w:r w:rsidR="00CC4FB8" w:rsidRPr="00E44776">
        <w:t xml:space="preserve"> (cell E25 was changed from 8.6 to 9.4 in ‘8. ABS population’ worksheet)</w:t>
      </w:r>
      <w:r w:rsidRPr="00E44776">
        <w:t>. </w:t>
      </w:r>
    </w:p>
    <w:p w14:paraId="6E4B61DC" w14:textId="1C5C9523" w:rsidR="006A7D91" w:rsidRPr="00E44776" w:rsidRDefault="006A7D91" w:rsidP="0009236C">
      <w:pPr>
        <w:pStyle w:val="TableFooter"/>
        <w:rPr>
          <w:rFonts w:ascii="Segoe UI" w:hAnsi="Segoe UI"/>
        </w:rPr>
      </w:pPr>
      <w:r w:rsidRPr="00E44776">
        <w:t>ACAL</w:t>
      </w:r>
      <w:r w:rsidR="006869AB" w:rsidRPr="00E44776">
        <w:t xml:space="preserve"> =</w:t>
      </w:r>
      <w:r w:rsidRPr="00E44776">
        <w:t xml:space="preserve"> acalabrutinib</w:t>
      </w:r>
      <w:r w:rsidR="006869AB" w:rsidRPr="00E44776">
        <w:t>,</w:t>
      </w:r>
      <w:r w:rsidRPr="00E44776">
        <w:t xml:space="preserve"> CHL</w:t>
      </w:r>
      <w:r w:rsidR="006869AB" w:rsidRPr="00E44776">
        <w:t xml:space="preserve"> =</w:t>
      </w:r>
      <w:r w:rsidRPr="00E44776">
        <w:t xml:space="preserve"> chlorambucil</w:t>
      </w:r>
      <w:r w:rsidR="006869AB" w:rsidRPr="00E44776">
        <w:t>,</w:t>
      </w:r>
      <w:r w:rsidRPr="00E44776">
        <w:t xml:space="preserve"> CLL</w:t>
      </w:r>
      <w:r w:rsidR="006869AB" w:rsidRPr="00E44776">
        <w:t xml:space="preserve"> =</w:t>
      </w:r>
      <w:r w:rsidRPr="00E44776">
        <w:t xml:space="preserve"> chronic lymphocytic leukaemia</w:t>
      </w:r>
      <w:r w:rsidR="006869AB" w:rsidRPr="00E44776">
        <w:t>,</w:t>
      </w:r>
      <w:r w:rsidRPr="00E44776">
        <w:t xml:space="preserve"> IBR</w:t>
      </w:r>
      <w:r w:rsidR="006869AB" w:rsidRPr="00E44776">
        <w:t xml:space="preserve"> =</w:t>
      </w:r>
      <w:r w:rsidRPr="00E44776">
        <w:t xml:space="preserve"> ibrutinib</w:t>
      </w:r>
      <w:r w:rsidR="006869AB" w:rsidRPr="00E44776">
        <w:t>,</w:t>
      </w:r>
      <w:r w:rsidRPr="00E44776">
        <w:t xml:space="preserve"> IDEL</w:t>
      </w:r>
      <w:r w:rsidR="006869AB" w:rsidRPr="00E44776">
        <w:t xml:space="preserve"> =</w:t>
      </w:r>
      <w:r w:rsidRPr="00E44776">
        <w:t xml:space="preserve"> idelalisib</w:t>
      </w:r>
      <w:r w:rsidR="006869AB" w:rsidRPr="00E44776">
        <w:t>,</w:t>
      </w:r>
      <w:r w:rsidRPr="00E44776">
        <w:t xml:space="preserve"> OBI</w:t>
      </w:r>
      <w:r w:rsidR="006869AB" w:rsidRPr="00E44776">
        <w:t xml:space="preserve"> =</w:t>
      </w:r>
      <w:r w:rsidRPr="00E44776">
        <w:t xml:space="preserve"> obinutuzumab</w:t>
      </w:r>
      <w:r w:rsidR="006869AB" w:rsidRPr="00E44776">
        <w:t>,</w:t>
      </w:r>
      <w:r w:rsidRPr="00E44776">
        <w:t xml:space="preserve"> </w:t>
      </w:r>
      <w:r w:rsidR="005F4F13">
        <w:t xml:space="preserve">PSCR = Pre-Sub-Committee Response, </w:t>
      </w:r>
      <w:r w:rsidRPr="00E44776">
        <w:t>RIT</w:t>
      </w:r>
      <w:r w:rsidR="006869AB" w:rsidRPr="00E44776">
        <w:t xml:space="preserve"> =</w:t>
      </w:r>
      <w:r w:rsidRPr="00E44776">
        <w:t xml:space="preserve"> rituximab</w:t>
      </w:r>
      <w:r w:rsidR="006869AB" w:rsidRPr="00E44776">
        <w:t>,</w:t>
      </w:r>
      <w:r w:rsidRPr="00E44776">
        <w:t xml:space="preserve"> VEN</w:t>
      </w:r>
      <w:r w:rsidR="006869AB" w:rsidRPr="00E44776">
        <w:t xml:space="preserve"> =</w:t>
      </w:r>
      <w:r w:rsidRPr="00E44776">
        <w:t xml:space="preserve"> venetoclax</w:t>
      </w:r>
    </w:p>
    <w:p w14:paraId="69BA7CE4" w14:textId="73C536D2" w:rsidR="006A7D91" w:rsidRDefault="006A7D91" w:rsidP="0009236C">
      <w:pPr>
        <w:pStyle w:val="TableFooter"/>
      </w:pPr>
      <w:r w:rsidRPr="00E44776">
        <w:t>Blue highlighted cells indicate July 2020 estimates.</w:t>
      </w:r>
    </w:p>
    <w:p w14:paraId="6FD5045B" w14:textId="5A1510D1" w:rsidR="00AD310A" w:rsidRDefault="00AD310A" w:rsidP="0009236C">
      <w:pPr>
        <w:pStyle w:val="TableFooter"/>
      </w:pPr>
    </w:p>
    <w:p w14:paraId="40E894C1" w14:textId="77777777" w:rsidR="00AD310A" w:rsidRPr="004C0003" w:rsidRDefault="00AD310A" w:rsidP="00AD310A">
      <w:pPr>
        <w:rPr>
          <w:rFonts w:ascii="Arial Narrow" w:hAnsi="Arial Narrow"/>
          <w:i/>
          <w:sz w:val="18"/>
          <w:szCs w:val="18"/>
        </w:rPr>
      </w:pPr>
      <w:r w:rsidRPr="004C0003">
        <w:rPr>
          <w:rFonts w:ascii="Arial Narrow" w:hAnsi="Arial Narrow"/>
          <w:i/>
          <w:sz w:val="18"/>
          <w:szCs w:val="18"/>
        </w:rPr>
        <w:t xml:space="preserve">The redacted values correspond to the following ranges: </w:t>
      </w:r>
    </w:p>
    <w:p w14:paraId="60296BAB" w14:textId="01C25445" w:rsidR="00AD310A" w:rsidRPr="005B7FB3" w:rsidRDefault="00AD310A" w:rsidP="00AD310A">
      <w:pPr>
        <w:ind w:right="147"/>
        <w:rPr>
          <w:rFonts w:ascii="Arial Narrow" w:hAnsi="Arial Narrow"/>
          <w:i/>
          <w:color w:val="333333"/>
          <w:sz w:val="18"/>
          <w:szCs w:val="18"/>
        </w:rPr>
      </w:pPr>
      <w:r w:rsidRPr="005B7FB3">
        <w:rPr>
          <w:rFonts w:ascii="Arial Narrow" w:hAnsi="Arial Narrow"/>
          <w:i/>
          <w:color w:val="333333"/>
          <w:sz w:val="18"/>
          <w:szCs w:val="18"/>
          <w:vertAlign w:val="superscript"/>
        </w:rPr>
        <w:t>1</w:t>
      </w:r>
      <w:r w:rsidRPr="005B7FB3">
        <w:rPr>
          <w:rFonts w:ascii="Arial Narrow" w:hAnsi="Arial Narrow"/>
          <w:i/>
          <w:color w:val="333333"/>
          <w:sz w:val="18"/>
          <w:szCs w:val="18"/>
        </w:rPr>
        <w:t>500 to &lt; 5,000</w:t>
      </w:r>
    </w:p>
    <w:p w14:paraId="084772E9" w14:textId="2F7C13BE" w:rsidR="003C21C0" w:rsidRPr="005B7FB3" w:rsidRDefault="003C21C0" w:rsidP="003C21C0">
      <w:pPr>
        <w:ind w:right="147"/>
        <w:rPr>
          <w:rFonts w:ascii="Arial Narrow" w:hAnsi="Arial Narrow"/>
          <w:i/>
          <w:color w:val="333333"/>
          <w:sz w:val="18"/>
          <w:szCs w:val="18"/>
        </w:rPr>
      </w:pPr>
      <w:r w:rsidRPr="005B7FB3">
        <w:rPr>
          <w:rFonts w:ascii="Arial Narrow" w:hAnsi="Arial Narrow"/>
          <w:i/>
          <w:color w:val="333333"/>
          <w:sz w:val="18"/>
          <w:szCs w:val="18"/>
          <w:vertAlign w:val="superscript"/>
        </w:rPr>
        <w:t>2</w:t>
      </w:r>
      <w:r w:rsidRPr="005B7FB3">
        <w:rPr>
          <w:rFonts w:ascii="Arial Narrow" w:hAnsi="Arial Narrow"/>
          <w:i/>
          <w:color w:val="333333"/>
          <w:sz w:val="18"/>
          <w:szCs w:val="18"/>
        </w:rPr>
        <w:t>&lt; 500</w:t>
      </w:r>
    </w:p>
    <w:p w14:paraId="61D01250" w14:textId="1D44F560" w:rsidR="003C21C0" w:rsidRPr="005B7FB3" w:rsidRDefault="003C21C0" w:rsidP="003C21C0">
      <w:pPr>
        <w:ind w:right="147"/>
        <w:rPr>
          <w:rFonts w:ascii="Arial Narrow" w:hAnsi="Arial Narrow"/>
          <w:i/>
          <w:color w:val="333333"/>
          <w:sz w:val="18"/>
          <w:szCs w:val="18"/>
        </w:rPr>
      </w:pPr>
      <w:r w:rsidRPr="005B7FB3">
        <w:rPr>
          <w:rFonts w:ascii="Arial Narrow" w:hAnsi="Arial Narrow"/>
          <w:i/>
          <w:color w:val="333333"/>
          <w:sz w:val="18"/>
          <w:szCs w:val="18"/>
          <w:vertAlign w:val="superscript"/>
        </w:rPr>
        <w:t>3</w:t>
      </w:r>
      <w:r w:rsidRPr="005B7FB3">
        <w:rPr>
          <w:rFonts w:ascii="Arial Narrow" w:hAnsi="Arial Narrow"/>
          <w:i/>
          <w:color w:val="333333"/>
          <w:sz w:val="18"/>
          <w:szCs w:val="18"/>
        </w:rPr>
        <w:t>5,000 to &lt; 10,000</w:t>
      </w:r>
    </w:p>
    <w:p w14:paraId="2A298A04" w14:textId="0BB1B58F" w:rsidR="003C21C0" w:rsidRPr="005B7FB3" w:rsidRDefault="003C21C0" w:rsidP="003C21C0">
      <w:pPr>
        <w:ind w:right="147"/>
        <w:rPr>
          <w:rFonts w:ascii="Arial Narrow" w:hAnsi="Arial Narrow"/>
          <w:b/>
          <w:i/>
          <w:color w:val="333333"/>
          <w:sz w:val="18"/>
          <w:szCs w:val="18"/>
        </w:rPr>
      </w:pPr>
      <w:r w:rsidRPr="005B7FB3">
        <w:rPr>
          <w:rFonts w:ascii="Arial Narrow" w:hAnsi="Arial Narrow"/>
          <w:i/>
          <w:color w:val="333333"/>
          <w:sz w:val="18"/>
          <w:szCs w:val="18"/>
          <w:vertAlign w:val="superscript"/>
        </w:rPr>
        <w:t>4</w:t>
      </w:r>
      <w:r w:rsidRPr="005B7FB3">
        <w:rPr>
          <w:rFonts w:ascii="Arial Narrow" w:hAnsi="Arial Narrow"/>
          <w:i/>
          <w:color w:val="333333"/>
          <w:sz w:val="18"/>
          <w:szCs w:val="18"/>
        </w:rPr>
        <w:t>10,000 to &lt; 20,000</w:t>
      </w:r>
    </w:p>
    <w:p w14:paraId="750130B6" w14:textId="49A393CA" w:rsidR="003C21C0" w:rsidRPr="005B7FB3" w:rsidRDefault="003C21C0" w:rsidP="003C21C0">
      <w:pPr>
        <w:ind w:right="147"/>
        <w:rPr>
          <w:rFonts w:ascii="Arial Narrow" w:hAnsi="Arial Narrow"/>
          <w:i/>
          <w:color w:val="333333"/>
          <w:sz w:val="18"/>
          <w:szCs w:val="18"/>
        </w:rPr>
      </w:pPr>
      <w:r w:rsidRPr="005B7FB3">
        <w:rPr>
          <w:rFonts w:ascii="Arial Narrow" w:hAnsi="Arial Narrow"/>
          <w:i/>
          <w:color w:val="333333"/>
          <w:sz w:val="18"/>
          <w:szCs w:val="18"/>
          <w:vertAlign w:val="superscript"/>
        </w:rPr>
        <w:lastRenderedPageBreak/>
        <w:t>5</w:t>
      </w:r>
      <w:r w:rsidRPr="005B7FB3">
        <w:rPr>
          <w:rFonts w:ascii="Arial Narrow" w:hAnsi="Arial Narrow"/>
          <w:i/>
          <w:color w:val="333333"/>
          <w:sz w:val="18"/>
          <w:szCs w:val="18"/>
        </w:rPr>
        <w:t>20,000 to &lt; 30,000</w:t>
      </w:r>
    </w:p>
    <w:p w14:paraId="28A11C62" w14:textId="48E05E25" w:rsidR="003C21C0" w:rsidRPr="005B7FB3" w:rsidRDefault="003C21C0" w:rsidP="003C21C0">
      <w:pPr>
        <w:ind w:right="150"/>
        <w:rPr>
          <w:rFonts w:ascii="Arial Narrow" w:hAnsi="Arial Narrow"/>
          <w:i/>
          <w:color w:val="333333"/>
          <w:sz w:val="18"/>
          <w:szCs w:val="18"/>
        </w:rPr>
      </w:pPr>
      <w:r w:rsidRPr="005B7FB3">
        <w:rPr>
          <w:rFonts w:ascii="Arial Narrow" w:hAnsi="Arial Narrow"/>
          <w:i/>
          <w:color w:val="333333"/>
          <w:sz w:val="18"/>
          <w:szCs w:val="18"/>
          <w:vertAlign w:val="superscript"/>
        </w:rPr>
        <w:t>6</w:t>
      </w:r>
      <w:r w:rsidRPr="005B7FB3">
        <w:rPr>
          <w:rFonts w:ascii="Arial Narrow" w:hAnsi="Arial Narrow"/>
          <w:i/>
          <w:color w:val="333333"/>
          <w:sz w:val="18"/>
          <w:szCs w:val="18"/>
        </w:rPr>
        <w:t>$0 to &lt; $10 million</w:t>
      </w:r>
    </w:p>
    <w:p w14:paraId="4A57CF82" w14:textId="6E240679" w:rsidR="003C21C0" w:rsidRPr="005B7FB3" w:rsidRDefault="003C21C0" w:rsidP="003C21C0">
      <w:pPr>
        <w:ind w:right="150"/>
        <w:rPr>
          <w:rFonts w:ascii="Arial Narrow" w:hAnsi="Arial Narrow"/>
          <w:i/>
          <w:color w:val="333333"/>
          <w:sz w:val="18"/>
          <w:szCs w:val="18"/>
        </w:rPr>
      </w:pPr>
      <w:r w:rsidRPr="005B7FB3">
        <w:rPr>
          <w:rFonts w:ascii="Arial Narrow" w:hAnsi="Arial Narrow"/>
          <w:i/>
          <w:color w:val="333333"/>
          <w:sz w:val="18"/>
          <w:szCs w:val="18"/>
          <w:vertAlign w:val="superscript"/>
        </w:rPr>
        <w:t>7</w:t>
      </w:r>
      <w:r w:rsidRPr="005B7FB3">
        <w:rPr>
          <w:rFonts w:ascii="Arial Narrow" w:hAnsi="Arial Narrow"/>
          <w:i/>
          <w:color w:val="333333"/>
          <w:sz w:val="18"/>
          <w:szCs w:val="18"/>
        </w:rPr>
        <w:t>$20 million to &lt; $30 million</w:t>
      </w:r>
    </w:p>
    <w:p w14:paraId="21095156" w14:textId="1C2BCF39" w:rsidR="003C21C0" w:rsidRPr="005B7FB3" w:rsidRDefault="003C21C0" w:rsidP="003C21C0">
      <w:pPr>
        <w:ind w:right="150"/>
        <w:rPr>
          <w:rFonts w:ascii="Arial Narrow" w:hAnsi="Arial Narrow"/>
          <w:i/>
          <w:color w:val="333333"/>
          <w:sz w:val="18"/>
          <w:szCs w:val="18"/>
        </w:rPr>
      </w:pPr>
      <w:r w:rsidRPr="005B7FB3">
        <w:rPr>
          <w:rFonts w:ascii="Arial Narrow" w:hAnsi="Arial Narrow"/>
          <w:i/>
          <w:color w:val="333333"/>
          <w:sz w:val="18"/>
          <w:szCs w:val="18"/>
          <w:vertAlign w:val="superscript"/>
        </w:rPr>
        <w:t>8</w:t>
      </w:r>
      <w:r w:rsidRPr="005B7FB3">
        <w:rPr>
          <w:rFonts w:ascii="Arial Narrow" w:hAnsi="Arial Narrow"/>
          <w:i/>
          <w:color w:val="333333"/>
          <w:sz w:val="18"/>
          <w:szCs w:val="18"/>
        </w:rPr>
        <w:t>$30 million to &lt; $40 million</w:t>
      </w:r>
    </w:p>
    <w:p w14:paraId="1D1066BC" w14:textId="15406897" w:rsidR="003C21C0" w:rsidRPr="005B7FB3" w:rsidRDefault="003C21C0" w:rsidP="003C21C0">
      <w:pPr>
        <w:ind w:right="150"/>
        <w:rPr>
          <w:rFonts w:ascii="Arial Narrow" w:hAnsi="Arial Narrow"/>
          <w:i/>
          <w:color w:val="333333"/>
          <w:sz w:val="18"/>
          <w:szCs w:val="18"/>
        </w:rPr>
      </w:pPr>
      <w:r w:rsidRPr="005B7FB3">
        <w:rPr>
          <w:rFonts w:ascii="Arial Narrow" w:hAnsi="Arial Narrow"/>
          <w:i/>
          <w:color w:val="333333"/>
          <w:sz w:val="18"/>
          <w:szCs w:val="18"/>
          <w:vertAlign w:val="superscript"/>
        </w:rPr>
        <w:t>9</w:t>
      </w:r>
      <w:r w:rsidRPr="005B7FB3">
        <w:rPr>
          <w:rFonts w:ascii="Arial Narrow" w:hAnsi="Arial Narrow"/>
          <w:i/>
          <w:color w:val="333333"/>
          <w:sz w:val="18"/>
          <w:szCs w:val="18"/>
        </w:rPr>
        <w:t>$50 million to &lt; $60 million</w:t>
      </w:r>
    </w:p>
    <w:p w14:paraId="339554A7" w14:textId="14C69DFD" w:rsidR="003C21C0" w:rsidRPr="005B7FB3" w:rsidRDefault="003C21C0" w:rsidP="003C21C0">
      <w:pPr>
        <w:ind w:right="150"/>
        <w:rPr>
          <w:rFonts w:ascii="Arial Narrow" w:hAnsi="Arial Narrow"/>
          <w:i/>
          <w:color w:val="333333"/>
          <w:sz w:val="18"/>
          <w:szCs w:val="18"/>
        </w:rPr>
      </w:pPr>
      <w:r w:rsidRPr="005B7FB3">
        <w:rPr>
          <w:rFonts w:ascii="Arial Narrow" w:hAnsi="Arial Narrow"/>
          <w:i/>
          <w:color w:val="333333"/>
          <w:sz w:val="18"/>
          <w:szCs w:val="18"/>
          <w:vertAlign w:val="superscript"/>
        </w:rPr>
        <w:t>10</w:t>
      </w:r>
      <w:r w:rsidRPr="005B7FB3">
        <w:rPr>
          <w:rFonts w:ascii="Arial Narrow" w:hAnsi="Arial Narrow"/>
          <w:i/>
          <w:color w:val="333333"/>
          <w:sz w:val="18"/>
          <w:szCs w:val="18"/>
        </w:rPr>
        <w:t>$70 million to &lt; $80 million</w:t>
      </w:r>
    </w:p>
    <w:p w14:paraId="64994D15" w14:textId="6C407CE9" w:rsidR="003C21C0" w:rsidRPr="005B7FB3" w:rsidRDefault="003C21C0" w:rsidP="003C21C0">
      <w:pPr>
        <w:ind w:right="150"/>
        <w:rPr>
          <w:rFonts w:ascii="Arial Narrow" w:hAnsi="Arial Narrow"/>
          <w:i/>
          <w:color w:val="333333"/>
          <w:sz w:val="18"/>
          <w:szCs w:val="18"/>
        </w:rPr>
      </w:pPr>
      <w:r w:rsidRPr="005B7FB3">
        <w:rPr>
          <w:rFonts w:ascii="Arial Narrow" w:hAnsi="Arial Narrow"/>
          <w:i/>
          <w:color w:val="333333"/>
          <w:sz w:val="18"/>
          <w:szCs w:val="18"/>
          <w:vertAlign w:val="superscript"/>
        </w:rPr>
        <w:t>11</w:t>
      </w:r>
      <w:r w:rsidRPr="005B7FB3">
        <w:rPr>
          <w:rFonts w:ascii="Arial Narrow" w:hAnsi="Arial Narrow"/>
          <w:i/>
          <w:color w:val="333333"/>
          <w:sz w:val="18"/>
          <w:szCs w:val="18"/>
        </w:rPr>
        <w:t>$80 million to &lt; $90 million</w:t>
      </w:r>
    </w:p>
    <w:p w14:paraId="3B8EEC04" w14:textId="5FE0F6E5" w:rsidR="003C21C0" w:rsidRPr="005B7FB3" w:rsidRDefault="003C21C0" w:rsidP="003C21C0">
      <w:pPr>
        <w:ind w:right="147"/>
        <w:rPr>
          <w:rFonts w:ascii="Arial Narrow" w:hAnsi="Arial Narrow"/>
          <w:b/>
          <w:i/>
          <w:color w:val="333333"/>
          <w:sz w:val="18"/>
          <w:szCs w:val="18"/>
        </w:rPr>
      </w:pPr>
      <w:r w:rsidRPr="005B7FB3">
        <w:rPr>
          <w:rFonts w:ascii="Arial Narrow" w:hAnsi="Arial Narrow"/>
          <w:i/>
          <w:color w:val="333333"/>
          <w:sz w:val="18"/>
          <w:szCs w:val="18"/>
          <w:vertAlign w:val="superscript"/>
        </w:rPr>
        <w:t>12</w:t>
      </w:r>
      <w:r w:rsidRPr="005B7FB3">
        <w:rPr>
          <w:rFonts w:ascii="Arial Narrow" w:hAnsi="Arial Narrow"/>
          <w:i/>
          <w:color w:val="333333"/>
          <w:sz w:val="18"/>
          <w:szCs w:val="18"/>
        </w:rPr>
        <w:t>$10 million to &lt; $20 million</w:t>
      </w:r>
    </w:p>
    <w:p w14:paraId="664FC15B" w14:textId="5A23F950" w:rsidR="00333F8C" w:rsidRPr="005B7FB3" w:rsidRDefault="00333F8C" w:rsidP="00333F8C">
      <w:pPr>
        <w:ind w:right="150"/>
        <w:rPr>
          <w:rFonts w:ascii="Arial Narrow" w:hAnsi="Arial Narrow"/>
          <w:i/>
          <w:color w:val="333333"/>
          <w:sz w:val="18"/>
          <w:szCs w:val="18"/>
        </w:rPr>
      </w:pPr>
      <w:r w:rsidRPr="005B7FB3">
        <w:rPr>
          <w:rFonts w:ascii="Arial Narrow" w:hAnsi="Arial Narrow"/>
          <w:i/>
          <w:color w:val="333333"/>
          <w:sz w:val="18"/>
          <w:szCs w:val="18"/>
          <w:vertAlign w:val="superscript"/>
        </w:rPr>
        <w:t>13</w:t>
      </w:r>
      <w:r w:rsidRPr="005B7FB3">
        <w:rPr>
          <w:rFonts w:ascii="Arial Narrow" w:hAnsi="Arial Narrow"/>
          <w:i/>
          <w:color w:val="333333"/>
          <w:sz w:val="18"/>
          <w:szCs w:val="18"/>
        </w:rPr>
        <w:t>$40 million to &lt; $50 million</w:t>
      </w:r>
    </w:p>
    <w:p w14:paraId="59D7656F" w14:textId="36155AD3" w:rsidR="00333F8C" w:rsidRPr="005B7FB3" w:rsidRDefault="00333F8C" w:rsidP="00333F8C">
      <w:pPr>
        <w:ind w:right="150"/>
        <w:rPr>
          <w:rFonts w:ascii="Arial Narrow" w:hAnsi="Arial Narrow"/>
          <w:i/>
          <w:color w:val="333333"/>
          <w:sz w:val="18"/>
          <w:szCs w:val="18"/>
        </w:rPr>
      </w:pPr>
      <w:r w:rsidRPr="005B7FB3">
        <w:rPr>
          <w:rFonts w:ascii="Arial Narrow" w:hAnsi="Arial Narrow"/>
          <w:i/>
          <w:color w:val="333333"/>
          <w:sz w:val="18"/>
          <w:szCs w:val="18"/>
          <w:vertAlign w:val="superscript"/>
        </w:rPr>
        <w:t>14</w:t>
      </w:r>
      <w:r w:rsidRPr="005B7FB3">
        <w:rPr>
          <w:rFonts w:ascii="Arial Narrow" w:hAnsi="Arial Narrow"/>
          <w:i/>
          <w:color w:val="333333"/>
          <w:sz w:val="18"/>
          <w:szCs w:val="18"/>
        </w:rPr>
        <w:t>$60 million to &lt; $70 million</w:t>
      </w:r>
    </w:p>
    <w:p w14:paraId="75330235" w14:textId="1C941963" w:rsidR="00AD310A" w:rsidRPr="00E44776" w:rsidRDefault="00333F8C" w:rsidP="0009236C">
      <w:pPr>
        <w:pStyle w:val="TableFooter"/>
      </w:pPr>
      <w:r w:rsidRPr="005B7FB3">
        <w:rPr>
          <w:i/>
          <w:color w:val="333333"/>
          <w:szCs w:val="18"/>
          <w:vertAlign w:val="superscript"/>
        </w:rPr>
        <w:t>15</w:t>
      </w:r>
      <w:r w:rsidRPr="005B7FB3">
        <w:rPr>
          <w:i/>
          <w:color w:val="333333"/>
          <w:szCs w:val="18"/>
        </w:rPr>
        <w:t>$90 million to &lt; $100 million</w:t>
      </w:r>
    </w:p>
    <w:p w14:paraId="325624AD" w14:textId="5078EB04" w:rsidR="006A7D91" w:rsidRPr="00E44776" w:rsidRDefault="006A7D91" w:rsidP="00584B70">
      <w:pPr>
        <w:pStyle w:val="COMexecsumnumberedpara"/>
      </w:pPr>
      <w:r w:rsidRPr="00E44776">
        <w:t xml:space="preserve">The </w:t>
      </w:r>
      <w:r w:rsidR="00CC4FB8" w:rsidRPr="00E44776">
        <w:t>PSCR</w:t>
      </w:r>
      <w:r w:rsidR="006B20D4" w:rsidRPr="00E44776">
        <w:t xml:space="preserve"> </w:t>
      </w:r>
      <w:r w:rsidRPr="00E44776">
        <w:t xml:space="preserve">estimated </w:t>
      </w:r>
      <w:r w:rsidR="006B20D4" w:rsidRPr="00E44776">
        <w:t xml:space="preserve">a </w:t>
      </w:r>
      <w:r w:rsidRPr="00E44776">
        <w:t xml:space="preserve">net cost to the </w:t>
      </w:r>
      <w:r w:rsidR="00471B09" w:rsidRPr="00E44776">
        <w:t>PBS/RPBS/MBS</w:t>
      </w:r>
      <w:r w:rsidRPr="00E44776">
        <w:t xml:space="preserve"> </w:t>
      </w:r>
      <w:r w:rsidR="006B20D4" w:rsidRPr="00E44776">
        <w:t xml:space="preserve">comprising </w:t>
      </w:r>
      <w:r w:rsidRPr="00E44776">
        <w:t xml:space="preserve">a saving of </w:t>
      </w:r>
      <w:r w:rsidR="004C0003" w:rsidRPr="004C0003">
        <w:t>$0 to &lt; $10 million</w:t>
      </w:r>
      <w:r w:rsidR="004C0003">
        <w:t xml:space="preserve"> </w:t>
      </w:r>
      <w:r w:rsidRPr="00E44776">
        <w:t xml:space="preserve">in Year 1 of listing, increasing to a cost of </w:t>
      </w:r>
      <w:r w:rsidR="004C0003" w:rsidRPr="004C0003">
        <w:t>$50 million to &lt; $60 million</w:t>
      </w:r>
      <w:r w:rsidR="004C0003">
        <w:t xml:space="preserve"> </w:t>
      </w:r>
      <w:r w:rsidRPr="00E44776">
        <w:t xml:space="preserve">in Year 6, an estimated net cost of </w:t>
      </w:r>
      <w:r w:rsidR="004C0003" w:rsidRPr="004C0003">
        <w:t>$100 million to &lt; $200 million</w:t>
      </w:r>
      <w:r w:rsidR="004C0003">
        <w:t xml:space="preserve"> </w:t>
      </w:r>
      <w:r w:rsidRPr="00E44776">
        <w:t xml:space="preserve">over the first six years of listing. </w:t>
      </w:r>
    </w:p>
    <w:p w14:paraId="2DC9BF44" w14:textId="060C3AD1" w:rsidR="006A7D91" w:rsidRPr="00E44776" w:rsidRDefault="006A7D91" w:rsidP="006A7D91">
      <w:pPr>
        <w:pStyle w:val="COMexecsumnumberedpara"/>
      </w:pPr>
      <w:bookmarkStart w:id="114" w:name="_Ref113871772"/>
      <w:r w:rsidRPr="00E44776">
        <w:t xml:space="preserve">The </w:t>
      </w:r>
      <w:r w:rsidR="00827009">
        <w:t xml:space="preserve">evaluation and the ESC considered that the </w:t>
      </w:r>
      <w:r w:rsidRPr="00E44776">
        <w:t>estimated cost to the PBS/RPBS of listing acalabrutinib + obinutuzumab was uncertain due to the following reasons:</w:t>
      </w:r>
      <w:bookmarkEnd w:id="114"/>
      <w:r w:rsidRPr="00E44776">
        <w:t> </w:t>
      </w:r>
    </w:p>
    <w:p w14:paraId="32E619B4" w14:textId="52243630" w:rsidR="00F54D83" w:rsidRPr="00E44776" w:rsidRDefault="00F54D83" w:rsidP="00D32791">
      <w:pPr>
        <w:pStyle w:val="paragraph"/>
        <w:numPr>
          <w:ilvl w:val="0"/>
          <w:numId w:val="15"/>
        </w:numPr>
        <w:spacing w:before="0" w:beforeAutospacing="0" w:after="0" w:afterAutospacing="0"/>
        <w:jc w:val="both"/>
        <w:textAlignment w:val="baseline"/>
        <w:rPr>
          <w:rFonts w:ascii="Calibri" w:hAnsi="Calibri" w:cs="Calibri"/>
        </w:rPr>
      </w:pPr>
      <w:r w:rsidRPr="00E44776">
        <w:rPr>
          <w:rFonts w:ascii="Calibri" w:hAnsi="Calibri" w:cs="Calibri"/>
        </w:rPr>
        <w:t>Acalabrutinib + obinutuzumab was assumed to substitute for venetoclax + obinutuzumab only. However,</w:t>
      </w:r>
      <w:r w:rsidR="00F868F2">
        <w:rPr>
          <w:rFonts w:ascii="Calibri" w:hAnsi="Calibri" w:cs="Calibri"/>
        </w:rPr>
        <w:t xml:space="preserve"> the evaluation considered that</w:t>
      </w:r>
      <w:r w:rsidRPr="00E44776">
        <w:rPr>
          <w:rFonts w:ascii="Calibri" w:hAnsi="Calibri" w:cs="Calibri"/>
        </w:rPr>
        <w:t xml:space="preserve"> acalabrutinib + obinutuzumab may also substitute for chlorambucil + obinutuzumab, resulting in additional costs.</w:t>
      </w:r>
      <w:r w:rsidR="006B20D4" w:rsidRPr="00E44776">
        <w:rPr>
          <w:rFonts w:ascii="Calibri" w:hAnsi="Calibri" w:cs="Calibri"/>
        </w:rPr>
        <w:t xml:space="preserve"> The PSCR </w:t>
      </w:r>
      <w:r w:rsidR="00E20438" w:rsidRPr="00E44776">
        <w:rPr>
          <w:rFonts w:ascii="Calibri" w:hAnsi="Calibri" w:cs="Calibri"/>
        </w:rPr>
        <w:t>stated</w:t>
      </w:r>
      <w:r w:rsidR="006B20D4" w:rsidRPr="00E44776">
        <w:rPr>
          <w:rFonts w:ascii="Calibri" w:hAnsi="Calibri" w:cs="Calibri"/>
        </w:rPr>
        <w:t xml:space="preserve"> that substitution of chlorambucil + obinutuzumab is unlikely, given it has inferior efficacy and as such use is expected to be confined to patients intolerant of other options.</w:t>
      </w:r>
      <w:r w:rsidR="00F868F2">
        <w:rPr>
          <w:rFonts w:ascii="Calibri" w:hAnsi="Calibri" w:cs="Calibri"/>
        </w:rPr>
        <w:t xml:space="preserve"> The PBAC agreed with the PSCR that </w:t>
      </w:r>
      <w:r w:rsidR="00F868F2" w:rsidRPr="00E44776">
        <w:rPr>
          <w:rFonts w:ascii="Calibri" w:hAnsi="Calibri" w:cs="Calibri"/>
        </w:rPr>
        <w:t>substitution of chlorambucil + obinutuzumab is unlikely</w:t>
      </w:r>
      <w:r w:rsidR="00F868F2">
        <w:rPr>
          <w:rFonts w:ascii="Calibri" w:hAnsi="Calibri" w:cs="Calibri"/>
        </w:rPr>
        <w:t>.</w:t>
      </w:r>
    </w:p>
    <w:p w14:paraId="4B8FC224" w14:textId="60C49047" w:rsidR="0071683D" w:rsidRPr="00E44776" w:rsidRDefault="0071683D" w:rsidP="00D32791">
      <w:pPr>
        <w:pStyle w:val="paragraph"/>
        <w:numPr>
          <w:ilvl w:val="0"/>
          <w:numId w:val="15"/>
        </w:numPr>
        <w:spacing w:before="0" w:beforeAutospacing="0" w:after="120" w:afterAutospacing="0"/>
        <w:jc w:val="both"/>
        <w:textAlignment w:val="baseline"/>
        <w:rPr>
          <w:rFonts w:ascii="Calibri" w:hAnsi="Calibri" w:cs="Calibri"/>
        </w:rPr>
      </w:pPr>
      <w:r w:rsidRPr="00E44776">
        <w:rPr>
          <w:rFonts w:ascii="Calibri" w:hAnsi="Calibri" w:cs="Calibri"/>
        </w:rPr>
        <w:t>Acalabrutinib + obinutuzumab uptake may be higher than estimated in the resubmission due to longer progression-free survival for acalabrutinib + obinutuzumab compared to fixed duration venetoclax + obinutuzumab.</w:t>
      </w:r>
      <w:r w:rsidR="00F97CD4">
        <w:rPr>
          <w:rFonts w:ascii="Calibri" w:hAnsi="Calibri" w:cs="Calibri"/>
        </w:rPr>
        <w:t xml:space="preserve"> On the other hand, the PBAC considered that some patients may prefer a fixed duration therapy, and thus overall uptake was uncertain.</w:t>
      </w:r>
    </w:p>
    <w:p w14:paraId="6D28BF55" w14:textId="16E9A009" w:rsidR="006A7D91" w:rsidRPr="00E44776" w:rsidRDefault="006A7D91" w:rsidP="00CE0462">
      <w:pPr>
        <w:widowControl w:val="0"/>
        <w:numPr>
          <w:ilvl w:val="1"/>
          <w:numId w:val="1"/>
        </w:numPr>
        <w:spacing w:after="120"/>
        <w:ind w:left="720" w:hanging="720"/>
        <w:jc w:val="left"/>
      </w:pPr>
      <w:bookmarkStart w:id="115" w:name="_Ref116030348"/>
      <w:r w:rsidRPr="00E44776">
        <w:t xml:space="preserve">The </w:t>
      </w:r>
      <w:r w:rsidR="00827009">
        <w:t xml:space="preserve">evaluation and the ESC considered that the </w:t>
      </w:r>
      <w:r w:rsidRPr="00E44776">
        <w:t xml:space="preserve">estimated changes </w:t>
      </w:r>
      <w:r w:rsidRPr="00CE0462">
        <w:rPr>
          <w:rFonts w:asciiTheme="minorHAnsi" w:hAnsiTheme="minorHAnsi"/>
          <w:snapToGrid w:val="0"/>
          <w:lang w:val="en-GB" w:eastAsia="en-US"/>
        </w:rPr>
        <w:t>in</w:t>
      </w:r>
      <w:r w:rsidRPr="00E44776">
        <w:t xml:space="preserve"> use of other medicines were uncertain due to the following reasons:</w:t>
      </w:r>
      <w:bookmarkEnd w:id="115"/>
      <w:r w:rsidRPr="00E44776">
        <w:t> </w:t>
      </w:r>
    </w:p>
    <w:p w14:paraId="530E357C" w14:textId="28CA93FD" w:rsidR="003C3284" w:rsidRPr="00E44776" w:rsidRDefault="003C3284" w:rsidP="00D32791">
      <w:pPr>
        <w:pStyle w:val="ListParagraph"/>
        <w:numPr>
          <w:ilvl w:val="0"/>
          <w:numId w:val="16"/>
        </w:numPr>
        <w:spacing w:after="0"/>
        <w:textAlignment w:val="baseline"/>
        <w:rPr>
          <w:rFonts w:cs="Calibri"/>
        </w:rPr>
      </w:pPr>
      <w:r w:rsidRPr="00E44776">
        <w:rPr>
          <w:rFonts w:cs="Calibri"/>
        </w:rPr>
        <w:t xml:space="preserve">The distribution of use of second-line CLL treatments is dependent on the uptake of first-line acalabrutinib + obinutuzumab, which </w:t>
      </w:r>
      <w:r w:rsidR="00F97CD4">
        <w:rPr>
          <w:rFonts w:cs="Calibri"/>
        </w:rPr>
        <w:t xml:space="preserve">is uncertain. </w:t>
      </w:r>
    </w:p>
    <w:p w14:paraId="19C42E0A" w14:textId="77777777" w:rsidR="009E02B1" w:rsidRPr="00E44776" w:rsidRDefault="001C5AA1" w:rsidP="00D32791">
      <w:pPr>
        <w:pStyle w:val="ListParagraph"/>
        <w:numPr>
          <w:ilvl w:val="0"/>
          <w:numId w:val="16"/>
        </w:numPr>
        <w:spacing w:after="0"/>
        <w:textAlignment w:val="baseline"/>
        <w:rPr>
          <w:rFonts w:cs="Calibri"/>
        </w:rPr>
      </w:pPr>
      <w:r w:rsidRPr="00E44776">
        <w:rPr>
          <w:rFonts w:cs="Calibri"/>
        </w:rPr>
        <w:t xml:space="preserve">The approach used to estimate changes in ibrutinib and acalabrutinib script counts (based on a market share approach using PBS data) differed from the approach used to estimate the number of venetoclax + rituximab and idelalisib + rituximab scripts (assumptions). It is unclear whether the two approaches produced consistent results. </w:t>
      </w:r>
    </w:p>
    <w:p w14:paraId="46B71562" w14:textId="42B2EFF7" w:rsidR="009E02B1" w:rsidRPr="00E44776" w:rsidRDefault="009E02B1" w:rsidP="00D32791">
      <w:pPr>
        <w:pStyle w:val="ListParagraph"/>
        <w:numPr>
          <w:ilvl w:val="0"/>
          <w:numId w:val="16"/>
        </w:numPr>
        <w:spacing w:after="0"/>
        <w:textAlignment w:val="baseline"/>
        <w:rPr>
          <w:rFonts w:cs="Calibri"/>
        </w:rPr>
      </w:pPr>
      <w:r w:rsidRPr="00E44776">
        <w:rPr>
          <w:rFonts w:cs="Calibri"/>
        </w:rPr>
        <w:t xml:space="preserve">Progression-free survival for venetoclax + obinutuzumab </w:t>
      </w:r>
      <w:r w:rsidR="00FD3B3E" w:rsidRPr="00E44776">
        <w:rPr>
          <w:rFonts w:cs="Calibri"/>
        </w:rPr>
        <w:t xml:space="preserve">(used to inform the proportion of patients receiving subsequent line therapy) </w:t>
      </w:r>
      <w:r w:rsidRPr="00E44776">
        <w:rPr>
          <w:rFonts w:cs="Calibri"/>
        </w:rPr>
        <w:t>was estimated by applying a constant hazard ratio (derived from the unanchored MAIC) to extrapolated acalabrutinib + obinutuzumab progression-free survival data. It is unclear whether the estimated progression-free survival will reflect progression-free survival in clinical practice.</w:t>
      </w:r>
    </w:p>
    <w:p w14:paraId="5C19CCC6" w14:textId="51584EFA" w:rsidR="006A7D91" w:rsidRPr="00E44776" w:rsidRDefault="006A7D91" w:rsidP="006A7D91">
      <w:pPr>
        <w:pStyle w:val="COMH2-non-numbered"/>
        <w:rPr>
          <w:i w:val="0"/>
        </w:rPr>
      </w:pPr>
      <w:bookmarkStart w:id="116" w:name="_Toc22897649"/>
      <w:bookmarkStart w:id="117" w:name="_Toc107927635"/>
      <w:bookmarkStart w:id="118" w:name="_Toc114048857"/>
      <w:r w:rsidRPr="00E44776">
        <w:rPr>
          <w:i w:val="0"/>
        </w:rPr>
        <w:lastRenderedPageBreak/>
        <w:t>Financial Management – Risk Sharing Arrangements</w:t>
      </w:r>
      <w:bookmarkStart w:id="119" w:name="_Toc22897650"/>
      <w:bookmarkEnd w:id="116"/>
      <w:bookmarkEnd w:id="117"/>
      <w:bookmarkEnd w:id="118"/>
      <w:r w:rsidRPr="00E44776">
        <w:rPr>
          <w:i w:val="0"/>
        </w:rPr>
        <w:t xml:space="preserve"> </w:t>
      </w:r>
    </w:p>
    <w:p w14:paraId="04CD996B" w14:textId="50983216" w:rsidR="005E04D6" w:rsidRPr="00E44776" w:rsidRDefault="006A7D91" w:rsidP="006A7D91">
      <w:pPr>
        <w:pStyle w:val="COMexecsumnumberedpara"/>
      </w:pPr>
      <w:bookmarkStart w:id="120" w:name="_Ref124347458"/>
      <w:r w:rsidRPr="00E44776">
        <w:t xml:space="preserve">The resubmission proposed an RSA in which the cost of acalabrutinib for each patient is capped at 60 months of treatment. </w:t>
      </w:r>
      <w:bookmarkEnd w:id="120"/>
    </w:p>
    <w:p w14:paraId="1486E519" w14:textId="15D8AAF5" w:rsidR="009C7C78" w:rsidRPr="00E44776" w:rsidRDefault="009C7C78" w:rsidP="006A7D91">
      <w:pPr>
        <w:pStyle w:val="COMexecsumnumberedpara"/>
      </w:pPr>
      <w:r w:rsidRPr="00E44776">
        <w:t xml:space="preserve">The resubmission stated </w:t>
      </w:r>
      <w:r w:rsidR="00072E53" w:rsidRPr="00E44776">
        <w:t xml:space="preserve">that in the financial estimates, </w:t>
      </w:r>
      <w:r w:rsidRPr="00E44776">
        <w:t xml:space="preserve">“patients initiating treatment with acalabrutinib plus obinutuzumab in Year 1, do not receive any PBS/RPBS scripts for acalabrutinib in Year 6. The adjustment assumes no financial cost for patients on acalabrutinib from month 60 onwards despite the possibility that the patient may still be continuing therapy.” </w:t>
      </w:r>
      <w:r w:rsidR="00072E53" w:rsidRPr="00E44776">
        <w:t xml:space="preserve">A key issue with the resubmission’s proposal is that </w:t>
      </w:r>
      <w:r w:rsidRPr="00E44776">
        <w:t>the 60</w:t>
      </w:r>
      <w:r w:rsidR="00C552ED" w:rsidRPr="00E44776">
        <w:t>-</w:t>
      </w:r>
      <w:r w:rsidRPr="00E44776">
        <w:t xml:space="preserve">month treatment cap would only impact the last year of the six-year financial estimates. </w:t>
      </w:r>
      <w:r w:rsidR="00072E53" w:rsidRPr="00E44776">
        <w:t xml:space="preserve">Further, </w:t>
      </w:r>
      <w:r w:rsidRPr="00E44776">
        <w:t>RSAs typically run for five years</w:t>
      </w:r>
      <w:r w:rsidR="00072E53" w:rsidRPr="00E44776">
        <w:t>. T</w:t>
      </w:r>
      <w:r w:rsidRPr="00E44776">
        <w:t>hus</w:t>
      </w:r>
      <w:r w:rsidR="008A4B47" w:rsidRPr="00E44776">
        <w:t>,</w:t>
      </w:r>
      <w:r w:rsidRPr="00E44776">
        <w:t xml:space="preserve"> </w:t>
      </w:r>
      <w:r w:rsidR="00072E53" w:rsidRPr="00E44776">
        <w:t xml:space="preserve">the rebates to account for the duration of therapy would not be </w:t>
      </w:r>
      <w:r w:rsidR="00A70F38" w:rsidRPr="00E44776">
        <w:t>realised</w:t>
      </w:r>
      <w:r w:rsidR="00072E53" w:rsidRPr="00E44776">
        <w:t xml:space="preserve"> during the initial RSA period, despite the proposed RSA having a substantial impact on the estimated ICER.</w:t>
      </w:r>
      <w:r w:rsidR="00D9577F" w:rsidRPr="00E44776">
        <w:t xml:space="preserve"> </w:t>
      </w:r>
    </w:p>
    <w:p w14:paraId="6E109F42" w14:textId="1FD5FB33" w:rsidR="00C21237" w:rsidRPr="00E44776" w:rsidRDefault="005E04D6" w:rsidP="006A7D91">
      <w:pPr>
        <w:pStyle w:val="COMexecsumnumberedpara"/>
      </w:pPr>
      <w:bookmarkStart w:id="121" w:name="_Ref124505801"/>
      <w:r w:rsidRPr="00E44776">
        <w:t xml:space="preserve">The November 2021 resubmission </w:t>
      </w:r>
      <w:r w:rsidR="00072E53" w:rsidRPr="00E44776">
        <w:t xml:space="preserve">had </w:t>
      </w:r>
      <w:r w:rsidRPr="00E44776">
        <w:t>proposed an RSA with the cost of acalabrutinib for each patient to be capped at 48 months of treatment</w:t>
      </w:r>
      <w:r w:rsidR="00D15EBF">
        <w:t>, which t</w:t>
      </w:r>
      <w:r w:rsidR="002700F7" w:rsidRPr="00E44776">
        <w:t xml:space="preserve">he ESC </w:t>
      </w:r>
      <w:r w:rsidR="00D15EBF">
        <w:t xml:space="preserve">had </w:t>
      </w:r>
      <w:r w:rsidR="002700F7" w:rsidRPr="00E44776">
        <w:t xml:space="preserve">considered </w:t>
      </w:r>
      <w:r w:rsidR="00D15EBF">
        <w:t>to be</w:t>
      </w:r>
      <w:r w:rsidR="002700F7" w:rsidRPr="00E44776">
        <w:t xml:space="preserve"> problematic given</w:t>
      </w:r>
      <w:r w:rsidR="00D15EBF">
        <w:t>:</w:t>
      </w:r>
      <w:r w:rsidR="002700F7" w:rsidRPr="00E44776">
        <w:t xml:space="preserve"> the lack of justification for the basis of the 48-month cap</w:t>
      </w:r>
      <w:r w:rsidR="00D15EBF">
        <w:t>;</w:t>
      </w:r>
      <w:r w:rsidR="002700F7" w:rsidRPr="00E44776">
        <w:t xml:space="preserve"> and this was not a robust mechanism to achieve cost-effectiveness, especially given that the mean duration of treatment is likely to be much longer (paragraph 6.66, acalabrutinib, Public Summary Document, November 2021 PBAC meeting).</w:t>
      </w:r>
      <w:r w:rsidRPr="00E44776">
        <w:t xml:space="preserve"> The PBAC noted that it appeared that such an RSA would need to continue indefinitely in order to ensure that expenditure beyond the initial 48 months (4 years) of listing is capped at this treatment duration (paragraph 6.66, acalabrutinib, Public Summary Document, November 2021 PBAC meeting).</w:t>
      </w:r>
      <w:bookmarkEnd w:id="121"/>
    </w:p>
    <w:p w14:paraId="1210BD7F" w14:textId="7AC1D8AC" w:rsidR="00345BB6" w:rsidRPr="00E44776" w:rsidRDefault="005714D1" w:rsidP="00345BB6">
      <w:pPr>
        <w:pStyle w:val="COMexecsumnumberedpara"/>
      </w:pPr>
      <w:r>
        <w:t xml:space="preserve">As </w:t>
      </w:r>
      <w:r w:rsidR="00892731">
        <w:t>detailed</w:t>
      </w:r>
      <w:r>
        <w:t xml:space="preserve"> in </w:t>
      </w:r>
      <w:r w:rsidRPr="0019795C">
        <w:t>paragraph</w:t>
      </w:r>
      <w:r w:rsidR="0019795C" w:rsidRPr="0019795C">
        <w:t xml:space="preserve"> </w:t>
      </w:r>
      <w:r w:rsidR="00041FF7" w:rsidRPr="0019795C">
        <w:fldChar w:fldCharType="begin" w:fldLock="1"/>
      </w:r>
      <w:r w:rsidR="00041FF7" w:rsidRPr="0019795C">
        <w:instrText xml:space="preserve"> REF _Ref122618921 \r \h </w:instrText>
      </w:r>
      <w:r w:rsidR="0019795C">
        <w:instrText xml:space="preserve"> \* MERGEFORMAT </w:instrText>
      </w:r>
      <w:r w:rsidR="00041FF7" w:rsidRPr="0019795C">
        <w:fldChar w:fldCharType="separate"/>
      </w:r>
      <w:r w:rsidR="00CB2B8B">
        <w:t>6.70</w:t>
      </w:r>
      <w:r w:rsidR="00041FF7" w:rsidRPr="0019795C">
        <w:fldChar w:fldCharType="end"/>
      </w:r>
      <w:r w:rsidRPr="0019795C">
        <w:t>, t</w:t>
      </w:r>
      <w:r w:rsidR="00345BB6" w:rsidRPr="0019795C">
        <w:t>he pr</w:t>
      </w:r>
      <w:r w:rsidR="00345BB6">
        <w:t>e-PBAC response indicated that the sponsor withdr</w:t>
      </w:r>
      <w:r>
        <w:t>ew</w:t>
      </w:r>
      <w:r w:rsidR="00345BB6">
        <w:t xml:space="preserve"> the RSA proposal.</w:t>
      </w:r>
    </w:p>
    <w:p w14:paraId="2B5AC79D" w14:textId="57A1F93C" w:rsidR="007D40FC" w:rsidRDefault="007F0191" w:rsidP="007F0191">
      <w:pPr>
        <w:pStyle w:val="COMH2-numbered"/>
        <w:spacing w:after="120"/>
        <w:outlineLvl w:val="9"/>
        <w:rPr>
          <w:b w:val="0"/>
          <w:bCs/>
          <w:iCs/>
          <w:sz w:val="24"/>
        </w:rPr>
      </w:pPr>
      <w:bookmarkStart w:id="122" w:name="_Toc114048859"/>
      <w:bookmarkEnd w:id="119"/>
      <w:r w:rsidRPr="007F0191">
        <w:rPr>
          <w:b w:val="0"/>
          <w:bCs/>
          <w:iCs/>
          <w:sz w:val="24"/>
        </w:rPr>
        <w:t>For more detail on PBAC’s view, see section 7 PBAC outcome.</w:t>
      </w:r>
    </w:p>
    <w:p w14:paraId="61753CAC" w14:textId="77777777" w:rsidR="00CE0462" w:rsidRPr="00CE0462" w:rsidRDefault="00CE0462" w:rsidP="005B7FB3">
      <w:pPr>
        <w:pStyle w:val="COMH1numbered"/>
      </w:pPr>
      <w:r w:rsidRPr="00CE0462">
        <w:t>PBAC Outcome</w:t>
      </w:r>
    </w:p>
    <w:p w14:paraId="24623344" w14:textId="6B788328" w:rsidR="0071781A" w:rsidRPr="00E3386C" w:rsidRDefault="0071781A" w:rsidP="00983AEA">
      <w:pPr>
        <w:widowControl w:val="0"/>
        <w:numPr>
          <w:ilvl w:val="1"/>
          <w:numId w:val="1"/>
        </w:numPr>
        <w:spacing w:after="120"/>
        <w:ind w:left="720" w:hanging="720"/>
        <w:rPr>
          <w:rFonts w:asciiTheme="minorHAnsi" w:hAnsiTheme="minorHAnsi"/>
          <w:b/>
          <w:bCs/>
          <w:snapToGrid w:val="0"/>
          <w:lang w:val="en-GB" w:eastAsia="en-US"/>
        </w:rPr>
      </w:pPr>
      <w:r w:rsidRPr="00C57FF5">
        <w:rPr>
          <w:rFonts w:asciiTheme="minorHAnsi" w:hAnsiTheme="minorHAnsi"/>
          <w:snapToGrid w:val="0"/>
          <w:lang w:val="en-GB" w:eastAsia="en-US"/>
        </w:rPr>
        <w:t>The PBAC did not recommend</w:t>
      </w:r>
      <w:r w:rsidR="004B6B52" w:rsidRPr="00C57FF5">
        <w:rPr>
          <w:rFonts w:asciiTheme="minorHAnsi" w:hAnsiTheme="minorHAnsi"/>
          <w:snapToGrid w:val="0"/>
          <w:lang w:val="en-GB" w:eastAsia="en-US"/>
        </w:rPr>
        <w:t xml:space="preserve"> acalabrutinib</w:t>
      </w:r>
      <w:r w:rsidRPr="00E44776">
        <w:t>, for use in combination with obinutuzumab, for the treatment of patients with previously untreated chronic lymphocytic leukaemia (CLL) or small lymphocytic lymphoma (SLL), who are considered unsuitable for treatment with fludarabine-based chemoimmunotherapy</w:t>
      </w:r>
      <w:r>
        <w:t>.</w:t>
      </w:r>
      <w:r w:rsidR="00864D53">
        <w:t xml:space="preserve"> </w:t>
      </w:r>
      <w:r w:rsidR="009D5682">
        <w:t xml:space="preserve">The PBAC considered that </w:t>
      </w:r>
      <w:r w:rsidR="00E66FDC">
        <w:t xml:space="preserve">the claim of superiority </w:t>
      </w:r>
      <w:r w:rsidR="000B382C">
        <w:t>versus</w:t>
      </w:r>
      <w:r w:rsidR="009D5682">
        <w:t xml:space="preserve"> venetoclax + obinutuzumab</w:t>
      </w:r>
      <w:r w:rsidR="00E66FDC">
        <w:t xml:space="preserve"> was not supported</w:t>
      </w:r>
      <w:r w:rsidR="004673BA">
        <w:t xml:space="preserve"> and </w:t>
      </w:r>
      <w:r w:rsidR="000B382C">
        <w:t xml:space="preserve">that a claim of non-inferiority </w:t>
      </w:r>
      <w:r w:rsidR="000B382C" w:rsidRPr="000B382C">
        <w:t>would be more appropriate</w:t>
      </w:r>
      <w:r w:rsidR="000B382C">
        <w:t>. As such, the PBAC considered that</w:t>
      </w:r>
      <w:r w:rsidR="000B382C" w:rsidRPr="000B382C">
        <w:t xml:space="preserve"> a cost-minimisation approach would be more appropriate, rather than the cost-utility analysis submitted.</w:t>
      </w:r>
      <w:r w:rsidR="009D5682">
        <w:t xml:space="preserve"> </w:t>
      </w:r>
      <w:r w:rsidR="00E66FDC">
        <w:t xml:space="preserve">The PBAC considered that a substantial price reduction </w:t>
      </w:r>
      <w:r w:rsidR="00E66FDC" w:rsidRPr="00E3386C">
        <w:t>would be required for acalabrutinib + obinutuzumab to be considered acceptably cost-effective.</w:t>
      </w:r>
    </w:p>
    <w:p w14:paraId="2F51F4FE" w14:textId="2B56BBCE" w:rsidR="00066659" w:rsidRPr="00E3386C" w:rsidRDefault="006F7BA3" w:rsidP="009E2590">
      <w:pPr>
        <w:pStyle w:val="COMexecsumnumberedpara"/>
        <w:widowControl w:val="0"/>
        <w:rPr>
          <w:lang w:val="en-GB" w:eastAsia="en-US"/>
        </w:rPr>
      </w:pPr>
      <w:r w:rsidRPr="00E3386C">
        <w:rPr>
          <w:lang w:val="en-GB" w:eastAsia="en-US"/>
        </w:rPr>
        <w:t xml:space="preserve">The PBAC noted the </w:t>
      </w:r>
      <w:r w:rsidR="00E3386C" w:rsidRPr="00E3386C">
        <w:rPr>
          <w:lang w:val="en-GB" w:eastAsia="en-US"/>
        </w:rPr>
        <w:t xml:space="preserve">consumer comments and sponsor hearing had highlighted the </w:t>
      </w:r>
      <w:r w:rsidR="00E3386C">
        <w:rPr>
          <w:lang w:val="en-GB" w:eastAsia="en-US"/>
        </w:rPr>
        <w:t xml:space="preserve">high </w:t>
      </w:r>
      <w:r w:rsidRPr="00E3386C">
        <w:rPr>
          <w:lang w:val="en-GB" w:eastAsia="en-US"/>
        </w:rPr>
        <w:t>clinical need for alternative treatments</w:t>
      </w:r>
      <w:r w:rsidR="00E3386C">
        <w:rPr>
          <w:lang w:val="en-GB" w:eastAsia="en-US"/>
        </w:rPr>
        <w:t>, particularly BTK inhibitors,</w:t>
      </w:r>
      <w:r w:rsidRPr="00E3386C">
        <w:rPr>
          <w:lang w:val="en-GB" w:eastAsia="en-US"/>
        </w:rPr>
        <w:t xml:space="preserve"> </w:t>
      </w:r>
      <w:r w:rsidR="00E3386C">
        <w:rPr>
          <w:lang w:val="en-GB" w:eastAsia="en-US"/>
        </w:rPr>
        <w:t xml:space="preserve">for all patients with previously untreated </w:t>
      </w:r>
      <w:r w:rsidRPr="00E3386C">
        <w:rPr>
          <w:lang w:val="en-GB" w:eastAsia="en-US"/>
        </w:rPr>
        <w:t>CLL/SLL</w:t>
      </w:r>
      <w:r w:rsidR="00E3386C" w:rsidRPr="00E3386C">
        <w:rPr>
          <w:lang w:val="en-GB" w:eastAsia="en-US"/>
        </w:rPr>
        <w:t>.</w:t>
      </w:r>
      <w:r w:rsidR="008E73E7">
        <w:rPr>
          <w:lang w:val="en-GB" w:eastAsia="en-US"/>
        </w:rPr>
        <w:t xml:space="preserve"> </w:t>
      </w:r>
      <w:r w:rsidR="008E73E7" w:rsidRPr="00247450">
        <w:rPr>
          <w:lang w:val="en-GB" w:eastAsia="en-US"/>
        </w:rPr>
        <w:t xml:space="preserve">The </w:t>
      </w:r>
      <w:r w:rsidR="008E73E7" w:rsidRPr="00247450">
        <w:t xml:space="preserve">PBAC considered that it would be ideal to have </w:t>
      </w:r>
      <w:r w:rsidR="008E73E7" w:rsidRPr="00247450">
        <w:lastRenderedPageBreak/>
        <w:t>a range of first-line subsidised treatment options available to patients, with treatment able to be tailored to the needs of an individual patient. Factors considered could include co</w:t>
      </w:r>
      <w:r w:rsidR="008E73E7" w:rsidRPr="00247450">
        <w:noBreakHyphen/>
        <w:t>existing disease, the extent of lymph node involvement, the goals of treatment, a preference for fixed duration or continuous treatment, and the acceptability of an initial period of intravenous treatment. The PBAC noted advice from the clinician consultation that there are a lack of clinical trial data available to differentiate between regimens or determine which particular regimen would be preferable in a particular patient group/setting.</w:t>
      </w:r>
    </w:p>
    <w:p w14:paraId="3A1D05F7" w14:textId="7E2CB18D" w:rsidR="007E462B" w:rsidRDefault="00490456" w:rsidP="007E462B">
      <w:pPr>
        <w:pStyle w:val="ListParagraph"/>
        <w:widowControl w:val="0"/>
        <w:numPr>
          <w:ilvl w:val="1"/>
          <w:numId w:val="1"/>
        </w:numPr>
        <w:ind w:left="720" w:hanging="720"/>
      </w:pPr>
      <w:r>
        <w:t xml:space="preserve">The </w:t>
      </w:r>
      <w:r w:rsidR="007E462B">
        <w:t xml:space="preserve">PBAC </w:t>
      </w:r>
      <w:r w:rsidR="00BF5624">
        <w:t xml:space="preserve">noted </w:t>
      </w:r>
      <w:r w:rsidR="007E462B">
        <w:t xml:space="preserve">that the </w:t>
      </w:r>
      <w:r w:rsidR="00377E72">
        <w:t xml:space="preserve">requested </w:t>
      </w:r>
      <w:r w:rsidR="007E462B">
        <w:t xml:space="preserve">restriction for acalabrutinib + obinutuzumab </w:t>
      </w:r>
      <w:r w:rsidR="009F6C7E">
        <w:t>required</w:t>
      </w:r>
      <w:r w:rsidR="004E496C">
        <w:t xml:space="preserve"> patient</w:t>
      </w:r>
      <w:r w:rsidR="009F6C7E">
        <w:t>s</w:t>
      </w:r>
      <w:r w:rsidR="004E496C">
        <w:t xml:space="preserve"> </w:t>
      </w:r>
      <w:r w:rsidR="009F6C7E">
        <w:t>to</w:t>
      </w:r>
      <w:r w:rsidR="004E496C">
        <w:t xml:space="preserve"> be</w:t>
      </w:r>
      <w:r w:rsidR="007E462B">
        <w:t xml:space="preserve"> </w:t>
      </w:r>
      <w:r w:rsidR="007E462B">
        <w:rPr>
          <w:iCs/>
        </w:rPr>
        <w:t>‘i</w:t>
      </w:r>
      <w:r w:rsidR="007E462B" w:rsidRPr="00151175">
        <w:t>nappropriate</w:t>
      </w:r>
      <w:r w:rsidR="004E496C">
        <w:t>/unsuitable</w:t>
      </w:r>
      <w:r w:rsidR="007E462B" w:rsidRPr="00151175">
        <w:t xml:space="preserve"> for fludarabine-based </w:t>
      </w:r>
      <w:r w:rsidR="007D6516">
        <w:t>chemoimmunotherapy</w:t>
      </w:r>
      <w:r w:rsidR="007E462B">
        <w:t>’</w:t>
      </w:r>
      <w:r w:rsidR="00BF5624">
        <w:t xml:space="preserve"> based on the existing restrictions for venetoclax + obinutuzumab</w:t>
      </w:r>
      <w:r w:rsidR="007E462B">
        <w:t>.</w:t>
      </w:r>
      <w:r w:rsidR="00BF5624">
        <w:t xml:space="preserve"> The PBAC noted the expert advice that criteria referring to use of fludarabine are no longer relevant to clinical practice </w:t>
      </w:r>
      <w:r w:rsidR="0038536C" w:rsidRPr="0038536C">
        <w:t xml:space="preserve">as almost all patients are ‘inappropriate for fludarabine-based </w:t>
      </w:r>
      <w:r w:rsidR="007D6516">
        <w:t>chemoimmunotherapy</w:t>
      </w:r>
      <w:r w:rsidR="0038536C" w:rsidRPr="0038536C">
        <w:t>’ given FCR is poorly tolerated and associated with a risk of cytopenia and secondary malignancies. The PBAC noted that FCR is no longer a preferred regimen in any patient group and is no longer commonly used in clinical practice</w:t>
      </w:r>
      <w:r w:rsidR="0038536C">
        <w:t>. Thus, the PBAC</w:t>
      </w:r>
      <w:r w:rsidR="00BF5624">
        <w:t xml:space="preserve"> advised that the </w:t>
      </w:r>
      <w:r w:rsidR="00BF5624">
        <w:rPr>
          <w:iCs/>
        </w:rPr>
        <w:t xml:space="preserve">existing venetoclax + obinutuzumab restriction for first-line CLL/SLL should be updated to remove this criterion. Similarly, this criterion should not be included in a restriction for </w:t>
      </w:r>
      <w:r w:rsidR="00BF5624">
        <w:t>acalabrutinib + obinutuzumab.</w:t>
      </w:r>
    </w:p>
    <w:p w14:paraId="2029C023" w14:textId="681EFE74" w:rsidR="007E462B" w:rsidRPr="007E462B" w:rsidRDefault="007E462B" w:rsidP="007E462B">
      <w:pPr>
        <w:pStyle w:val="COMexecsumnumberedpara"/>
        <w:rPr>
          <w:lang w:val="en-GB" w:eastAsia="en-US"/>
        </w:rPr>
      </w:pPr>
      <w:r w:rsidRPr="007E462B">
        <w:rPr>
          <w:lang w:val="en-GB" w:eastAsia="en-US"/>
        </w:rPr>
        <w:t>The PBAC noted that the restrictions for venetoclax + obinutuzumab in first-line CLL/SLL also require patients to have a CIRS score &gt; 6 (excluding CLL-induced illness or organ damage) or a creatinine clearance &lt; 70 mL/min, and that th</w:t>
      </w:r>
      <w:r w:rsidR="00C26BF6">
        <w:rPr>
          <w:lang w:val="en-GB" w:eastAsia="en-US"/>
        </w:rPr>
        <w:t>ese</w:t>
      </w:r>
      <w:r w:rsidR="003A2AD0">
        <w:rPr>
          <w:lang w:val="en-GB" w:eastAsia="en-US"/>
        </w:rPr>
        <w:t xml:space="preserve"> criteri</w:t>
      </w:r>
      <w:r w:rsidR="00C26BF6">
        <w:rPr>
          <w:lang w:val="en-GB" w:eastAsia="en-US"/>
        </w:rPr>
        <w:t>on</w:t>
      </w:r>
      <w:r w:rsidR="003A2AD0">
        <w:rPr>
          <w:lang w:val="en-GB" w:eastAsia="en-US"/>
        </w:rPr>
        <w:t xml:space="preserve"> had also been </w:t>
      </w:r>
      <w:r w:rsidRPr="007E462B">
        <w:rPr>
          <w:lang w:val="en-GB" w:eastAsia="en-US"/>
        </w:rPr>
        <w:t xml:space="preserve">proposed for inclusion in the acalabrutinib + obinutuzumab restriction. </w:t>
      </w:r>
      <w:r w:rsidR="00DA59E4">
        <w:rPr>
          <w:lang w:val="en-GB" w:eastAsia="en-US"/>
        </w:rPr>
        <w:t>However, t</w:t>
      </w:r>
      <w:r w:rsidR="003C5417" w:rsidRPr="003C5417">
        <w:rPr>
          <w:lang w:val="en-GB" w:eastAsia="en-US"/>
        </w:rPr>
        <w:t xml:space="preserve">he PBAC considered that it </w:t>
      </w:r>
      <w:r w:rsidR="00DA59E4">
        <w:rPr>
          <w:lang w:val="en-GB" w:eastAsia="en-US"/>
        </w:rPr>
        <w:t>was no longer</w:t>
      </w:r>
      <w:r w:rsidR="003C5417" w:rsidRPr="003C5417">
        <w:rPr>
          <w:lang w:val="en-GB" w:eastAsia="en-US"/>
        </w:rPr>
        <w:t xml:space="preserve"> clinically </w:t>
      </w:r>
      <w:r w:rsidR="00DA59E4">
        <w:rPr>
          <w:lang w:val="en-GB" w:eastAsia="en-US"/>
        </w:rPr>
        <w:t>relevant</w:t>
      </w:r>
      <w:r w:rsidR="00DA59E4" w:rsidRPr="003C5417">
        <w:rPr>
          <w:lang w:val="en-GB" w:eastAsia="en-US"/>
        </w:rPr>
        <w:t xml:space="preserve"> </w:t>
      </w:r>
      <w:r w:rsidR="003C5417" w:rsidRPr="003C5417">
        <w:rPr>
          <w:lang w:val="en-GB" w:eastAsia="en-US"/>
        </w:rPr>
        <w:t xml:space="preserve">to include the CIRS score in restrictions for </w:t>
      </w:r>
      <w:proofErr w:type="gramStart"/>
      <w:r w:rsidR="003C5417" w:rsidRPr="003C5417">
        <w:rPr>
          <w:lang w:val="en-GB" w:eastAsia="en-US"/>
        </w:rPr>
        <w:t>first-line</w:t>
      </w:r>
      <w:proofErr w:type="gramEnd"/>
      <w:r w:rsidR="003C5417" w:rsidRPr="003C5417">
        <w:rPr>
          <w:lang w:val="en-GB" w:eastAsia="en-US"/>
        </w:rPr>
        <w:t xml:space="preserve"> CLL/SLL therapies </w:t>
      </w:r>
      <w:r w:rsidR="009F6C7E" w:rsidRPr="00996920">
        <w:rPr>
          <w:iCs/>
        </w:rPr>
        <w:t xml:space="preserve">given it </w:t>
      </w:r>
      <w:r w:rsidR="009F6C7E">
        <w:rPr>
          <w:iCs/>
        </w:rPr>
        <w:t xml:space="preserve">was developed to assess the ability of a patient to tolerate </w:t>
      </w:r>
      <w:r w:rsidR="007D6516">
        <w:rPr>
          <w:iCs/>
        </w:rPr>
        <w:t>chemoimmunotherapy</w:t>
      </w:r>
      <w:r w:rsidR="009F6C7E">
        <w:rPr>
          <w:iCs/>
        </w:rPr>
        <w:t xml:space="preserve"> and was less relevant for targeted</w:t>
      </w:r>
      <w:r w:rsidR="009F6C7E" w:rsidRPr="003C5417">
        <w:rPr>
          <w:lang w:val="en-GB" w:eastAsia="en-US"/>
        </w:rPr>
        <w:t xml:space="preserve"> </w:t>
      </w:r>
      <w:r w:rsidR="009F6C7E">
        <w:rPr>
          <w:lang w:val="en-GB" w:eastAsia="en-US"/>
        </w:rPr>
        <w:t>agents</w:t>
      </w:r>
      <w:r w:rsidR="00A61F04">
        <w:rPr>
          <w:lang w:val="en-GB" w:eastAsia="en-US"/>
        </w:rPr>
        <w:t xml:space="preserve"> (paragraph </w:t>
      </w:r>
      <w:r w:rsidR="00A61F04">
        <w:rPr>
          <w:lang w:val="en-GB" w:eastAsia="en-US"/>
        </w:rPr>
        <w:fldChar w:fldCharType="begin" w:fldLock="1"/>
      </w:r>
      <w:r w:rsidR="00A61F04">
        <w:rPr>
          <w:lang w:val="en-GB" w:eastAsia="en-US"/>
        </w:rPr>
        <w:instrText xml:space="preserve"> REF _Ref124343831 \r \h </w:instrText>
      </w:r>
      <w:r w:rsidR="00A61F04">
        <w:rPr>
          <w:lang w:val="en-GB" w:eastAsia="en-US"/>
        </w:rPr>
      </w:r>
      <w:r w:rsidR="00A61F04">
        <w:rPr>
          <w:lang w:val="en-GB" w:eastAsia="en-US"/>
        </w:rPr>
        <w:fldChar w:fldCharType="separate"/>
      </w:r>
      <w:r w:rsidR="00CB2B8B">
        <w:rPr>
          <w:lang w:val="en-GB" w:eastAsia="en-US"/>
        </w:rPr>
        <w:t>6.1</w:t>
      </w:r>
      <w:r w:rsidR="00A61F04">
        <w:rPr>
          <w:lang w:val="en-GB" w:eastAsia="en-US"/>
        </w:rPr>
        <w:fldChar w:fldCharType="end"/>
      </w:r>
      <w:r w:rsidR="00C4758E">
        <w:rPr>
          <w:lang w:val="en-GB" w:eastAsia="en-US"/>
        </w:rPr>
        <w:t>)</w:t>
      </w:r>
      <w:r w:rsidR="009F6C7E">
        <w:rPr>
          <w:lang w:val="en-GB" w:eastAsia="en-US"/>
        </w:rPr>
        <w:t xml:space="preserve">. </w:t>
      </w:r>
      <w:r w:rsidR="003C5417" w:rsidRPr="003C5417">
        <w:rPr>
          <w:lang w:val="en-GB" w:eastAsia="en-US"/>
        </w:rPr>
        <w:t>The PBAC considered that, rather than relying on the CIRS score</w:t>
      </w:r>
      <w:r w:rsidR="00DA59E4">
        <w:rPr>
          <w:lang w:val="en-GB" w:eastAsia="en-US"/>
        </w:rPr>
        <w:t xml:space="preserve"> and/or </w:t>
      </w:r>
      <w:r w:rsidR="00DA59E4" w:rsidRPr="007E462B">
        <w:rPr>
          <w:lang w:val="en-GB" w:eastAsia="en-US"/>
        </w:rPr>
        <w:t>creatinine clearance &lt;</w:t>
      </w:r>
      <w:r w:rsidR="00DA59E4">
        <w:rPr>
          <w:lang w:val="en-GB" w:eastAsia="en-US"/>
        </w:rPr>
        <w:t> </w:t>
      </w:r>
      <w:r w:rsidR="00DA59E4" w:rsidRPr="007E462B">
        <w:rPr>
          <w:lang w:val="en-GB" w:eastAsia="en-US"/>
        </w:rPr>
        <w:t>70</w:t>
      </w:r>
      <w:r w:rsidR="00DA59E4">
        <w:rPr>
          <w:lang w:val="en-GB" w:eastAsia="en-US"/>
        </w:rPr>
        <w:t> </w:t>
      </w:r>
      <w:r w:rsidR="00DA59E4" w:rsidRPr="007E462B">
        <w:rPr>
          <w:lang w:val="en-GB" w:eastAsia="en-US"/>
        </w:rPr>
        <w:t>mL/min</w:t>
      </w:r>
      <w:r w:rsidR="003C5417" w:rsidRPr="003C5417">
        <w:rPr>
          <w:lang w:val="en-GB" w:eastAsia="en-US"/>
        </w:rPr>
        <w:t xml:space="preserve">, it </w:t>
      </w:r>
      <w:r w:rsidR="00DA59E4">
        <w:rPr>
          <w:lang w:val="en-GB" w:eastAsia="en-US"/>
        </w:rPr>
        <w:t xml:space="preserve">would </w:t>
      </w:r>
      <w:r w:rsidR="003C5417" w:rsidRPr="003C5417">
        <w:rPr>
          <w:lang w:val="en-GB" w:eastAsia="en-US"/>
        </w:rPr>
        <w:t xml:space="preserve">be more clinically appropriate </w:t>
      </w:r>
      <w:r w:rsidR="00DA59E4">
        <w:rPr>
          <w:lang w:val="en-GB" w:eastAsia="en-US"/>
        </w:rPr>
        <w:t>for</w:t>
      </w:r>
      <w:r w:rsidR="003C5417" w:rsidRPr="003C5417">
        <w:rPr>
          <w:lang w:val="en-GB" w:eastAsia="en-US"/>
        </w:rPr>
        <w:t xml:space="preserve"> clinicians</w:t>
      </w:r>
      <w:r w:rsidR="00C4758E">
        <w:rPr>
          <w:lang w:val="en-GB" w:eastAsia="en-US"/>
        </w:rPr>
        <w:t>/patients</w:t>
      </w:r>
      <w:r w:rsidR="003C5417" w:rsidRPr="003C5417">
        <w:rPr>
          <w:lang w:val="en-GB" w:eastAsia="en-US"/>
        </w:rPr>
        <w:t xml:space="preserve"> </w:t>
      </w:r>
      <w:r w:rsidR="00DA59E4">
        <w:rPr>
          <w:lang w:val="en-GB" w:eastAsia="en-US"/>
        </w:rPr>
        <w:t xml:space="preserve">to </w:t>
      </w:r>
      <w:r w:rsidR="003C5417" w:rsidRPr="003C5417">
        <w:rPr>
          <w:lang w:val="en-GB" w:eastAsia="en-US"/>
        </w:rPr>
        <w:t xml:space="preserve">decide the most appropriate treatment regimen for a particular patient, which may involve consideration of a broader range of factors including biological characteristics of the disease and an individual’s specific organ sensitivities (e.g. cardiac or renal risk). </w:t>
      </w:r>
    </w:p>
    <w:p w14:paraId="35800CFB" w14:textId="5DDE9F65" w:rsidR="003C5417" w:rsidRDefault="003C5417" w:rsidP="006B5618">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The PBAC noted that the submission had requested listing of acalabrutinib + obinutuzumab, but not acalabrutinib monotherapy. The PBAC considered that it would be clinically appropriate to enable access to acalabrutinib monotherapy given it</w:t>
      </w:r>
      <w:r w:rsidRPr="003C5417">
        <w:rPr>
          <w:rFonts w:asciiTheme="minorHAnsi" w:hAnsiTheme="minorHAnsi"/>
          <w:snapToGrid w:val="0"/>
          <w:lang w:val="en-GB" w:eastAsia="en-US"/>
        </w:rPr>
        <w:t xml:space="preserve"> may be preferred by some patients due to lower toxicity compared to acalabrutinib + obinutuzumab, and given that it is an oral treatment </w:t>
      </w:r>
      <w:r w:rsidR="003A35CB">
        <w:rPr>
          <w:rFonts w:asciiTheme="minorHAnsi" w:hAnsiTheme="minorHAnsi"/>
          <w:snapToGrid w:val="0"/>
          <w:lang w:val="en-GB" w:eastAsia="en-US"/>
        </w:rPr>
        <w:t>that</w:t>
      </w:r>
      <w:r w:rsidRPr="003C5417">
        <w:rPr>
          <w:rFonts w:asciiTheme="minorHAnsi" w:hAnsiTheme="minorHAnsi"/>
          <w:snapToGrid w:val="0"/>
          <w:lang w:val="en-GB" w:eastAsia="en-US"/>
        </w:rPr>
        <w:t xml:space="preserve"> does not require hospital attendance for administration</w:t>
      </w:r>
      <w:r>
        <w:rPr>
          <w:rFonts w:asciiTheme="minorHAnsi" w:hAnsiTheme="minorHAnsi"/>
          <w:snapToGrid w:val="0"/>
          <w:lang w:val="en-GB" w:eastAsia="en-US"/>
        </w:rPr>
        <w:t>.</w:t>
      </w:r>
      <w:r w:rsidR="003A35CB">
        <w:rPr>
          <w:rFonts w:asciiTheme="minorHAnsi" w:hAnsiTheme="minorHAnsi"/>
          <w:snapToGrid w:val="0"/>
          <w:lang w:val="en-GB" w:eastAsia="en-US"/>
        </w:rPr>
        <w:t xml:space="preserve"> The PBAC considered that, if only the combination were listed, obinutuzumab may be ceased early in clinical practice</w:t>
      </w:r>
      <w:r w:rsidR="003A35CB" w:rsidRPr="003A35CB">
        <w:rPr>
          <w:rFonts w:asciiTheme="minorHAnsi" w:hAnsiTheme="minorHAnsi"/>
          <w:snapToGrid w:val="0"/>
          <w:lang w:val="en-GB" w:eastAsia="en-US"/>
        </w:rPr>
        <w:t xml:space="preserve"> </w:t>
      </w:r>
      <w:r w:rsidR="003A35CB">
        <w:rPr>
          <w:rFonts w:asciiTheme="minorHAnsi" w:hAnsiTheme="minorHAnsi"/>
          <w:snapToGrid w:val="0"/>
          <w:lang w:val="en-GB" w:eastAsia="en-US"/>
        </w:rPr>
        <w:t>(</w:t>
      </w:r>
      <w:r w:rsidR="003A35CB" w:rsidRPr="006B5618">
        <w:rPr>
          <w:rFonts w:asciiTheme="minorHAnsi" w:hAnsiTheme="minorHAnsi"/>
          <w:snapToGrid w:val="0"/>
          <w:lang w:val="en-GB" w:eastAsia="en-US"/>
        </w:rPr>
        <w:t>essentially leading to the use of acalabrutinib as monotherapy</w:t>
      </w:r>
      <w:r w:rsidR="003A35CB">
        <w:rPr>
          <w:rFonts w:asciiTheme="minorHAnsi" w:hAnsiTheme="minorHAnsi"/>
          <w:snapToGrid w:val="0"/>
          <w:lang w:val="en-GB" w:eastAsia="en-US"/>
        </w:rPr>
        <w:t xml:space="preserve">). </w:t>
      </w:r>
      <w:r>
        <w:rPr>
          <w:rFonts w:asciiTheme="minorHAnsi" w:hAnsiTheme="minorHAnsi"/>
          <w:snapToGrid w:val="0"/>
          <w:lang w:val="en-GB" w:eastAsia="en-US"/>
        </w:rPr>
        <w:t>The PBAC noted that c</w:t>
      </w:r>
      <w:r w:rsidRPr="003C5417">
        <w:rPr>
          <w:rFonts w:asciiTheme="minorHAnsi" w:hAnsiTheme="minorHAnsi"/>
          <w:snapToGrid w:val="0"/>
          <w:lang w:val="en-GB" w:eastAsia="en-US"/>
        </w:rPr>
        <w:t xml:space="preserve">linical evidence </w:t>
      </w:r>
      <w:r>
        <w:rPr>
          <w:rFonts w:asciiTheme="minorHAnsi" w:hAnsiTheme="minorHAnsi"/>
          <w:snapToGrid w:val="0"/>
          <w:lang w:val="en-GB" w:eastAsia="en-US"/>
        </w:rPr>
        <w:t xml:space="preserve">from the </w:t>
      </w:r>
      <w:r w:rsidRPr="003C5417">
        <w:rPr>
          <w:rFonts w:asciiTheme="minorHAnsi" w:hAnsiTheme="minorHAnsi"/>
          <w:snapToGrid w:val="0"/>
          <w:lang w:val="en-GB" w:eastAsia="en-US"/>
        </w:rPr>
        <w:t xml:space="preserve">ELEVATE-TN trial was presented </w:t>
      </w:r>
      <w:r w:rsidR="00A33C61">
        <w:rPr>
          <w:rFonts w:asciiTheme="minorHAnsi" w:hAnsiTheme="minorHAnsi"/>
          <w:snapToGrid w:val="0"/>
          <w:lang w:val="en-GB" w:eastAsia="en-US"/>
        </w:rPr>
        <w:t xml:space="preserve">which supported the efficacy of </w:t>
      </w:r>
      <w:r w:rsidR="00A33C61">
        <w:rPr>
          <w:rFonts w:asciiTheme="minorHAnsi" w:hAnsiTheme="minorHAnsi"/>
          <w:snapToGrid w:val="0"/>
          <w:lang w:val="en-GB" w:eastAsia="en-US"/>
        </w:rPr>
        <w:lastRenderedPageBreak/>
        <w:t>a</w:t>
      </w:r>
      <w:r w:rsidRPr="003C5417">
        <w:rPr>
          <w:rFonts w:asciiTheme="minorHAnsi" w:hAnsiTheme="minorHAnsi"/>
          <w:snapToGrid w:val="0"/>
          <w:lang w:val="en-GB" w:eastAsia="en-US"/>
        </w:rPr>
        <w:t>calabrutinib monotherapy</w:t>
      </w:r>
      <w:r>
        <w:rPr>
          <w:rFonts w:asciiTheme="minorHAnsi" w:hAnsiTheme="minorHAnsi"/>
          <w:snapToGrid w:val="0"/>
          <w:lang w:val="en-GB" w:eastAsia="en-US"/>
        </w:rPr>
        <w:t xml:space="preserve">. </w:t>
      </w:r>
    </w:p>
    <w:p w14:paraId="4996133C" w14:textId="6A3F38A0" w:rsidR="006A2CC7" w:rsidRDefault="006A2CC7" w:rsidP="00CB3E86">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The PBAC considered th</w:t>
      </w:r>
      <w:r w:rsidR="00530B77">
        <w:rPr>
          <w:rFonts w:asciiTheme="minorHAnsi" w:hAnsiTheme="minorHAnsi"/>
          <w:snapToGrid w:val="0"/>
          <w:lang w:val="en-GB" w:eastAsia="en-US"/>
        </w:rPr>
        <w:t xml:space="preserve">e nomination of </w:t>
      </w:r>
      <w:r>
        <w:rPr>
          <w:rFonts w:asciiTheme="minorHAnsi" w:hAnsiTheme="minorHAnsi"/>
          <w:snapToGrid w:val="0"/>
          <w:lang w:val="en-GB" w:eastAsia="en-US"/>
        </w:rPr>
        <w:t xml:space="preserve">venetoclax + obinutuzumab </w:t>
      </w:r>
      <w:r w:rsidR="00530B77">
        <w:rPr>
          <w:rFonts w:asciiTheme="minorHAnsi" w:hAnsiTheme="minorHAnsi"/>
          <w:snapToGrid w:val="0"/>
          <w:lang w:val="en-GB" w:eastAsia="en-US"/>
        </w:rPr>
        <w:t>as the main comparator was appropriate</w:t>
      </w:r>
      <w:r>
        <w:rPr>
          <w:rFonts w:asciiTheme="minorHAnsi" w:hAnsiTheme="minorHAnsi"/>
          <w:snapToGrid w:val="0"/>
          <w:lang w:val="en-GB" w:eastAsia="en-US"/>
        </w:rPr>
        <w:t xml:space="preserve">. </w:t>
      </w:r>
    </w:p>
    <w:p w14:paraId="4442A4F2" w14:textId="1D2FAC76" w:rsidR="00A33C61" w:rsidRDefault="00E92198" w:rsidP="00A33C61">
      <w:pPr>
        <w:pStyle w:val="COMexecsumnumberedpara"/>
      </w:pPr>
      <w:bookmarkStart w:id="123" w:name="_Ref124348264"/>
      <w:r w:rsidRPr="003A35CB">
        <w:t xml:space="preserve">The PBAC noted that the clinical evidence </w:t>
      </w:r>
      <w:r w:rsidR="00995EB1">
        <w:t>included</w:t>
      </w:r>
      <w:r w:rsidRPr="003A35CB">
        <w:t xml:space="preserve"> </w:t>
      </w:r>
      <w:r w:rsidR="00995EB1">
        <w:t>an unanchored, unmatched</w:t>
      </w:r>
      <w:r w:rsidR="00995EB1" w:rsidRPr="00E44776">
        <w:t xml:space="preserve"> </w:t>
      </w:r>
      <w:r w:rsidR="00995EB1">
        <w:t>(</w:t>
      </w:r>
      <w:r w:rsidR="00995EB1" w:rsidRPr="00E44776">
        <w:t>naïve</w:t>
      </w:r>
      <w:r w:rsidR="00995EB1">
        <w:t>) indirect</w:t>
      </w:r>
      <w:r w:rsidR="00995EB1" w:rsidRPr="00E44776">
        <w:t xml:space="preserve"> comparison and an unanchored MAIC of acalabrutinib + obinutuzumab (ELEVATE-TN) versus venetoclax + obinutuzumab (CLL-14)</w:t>
      </w:r>
      <w:r w:rsidR="00995EB1">
        <w:t xml:space="preserve">. </w:t>
      </w:r>
      <w:r w:rsidR="00A33C61">
        <w:t>The PBAC considered that the evidence presented did not support the claim of superiority of acalabrutinib + obinutuzumab versus venetoclax + obinutuzumab as:</w:t>
      </w:r>
      <w:bookmarkEnd w:id="123"/>
    </w:p>
    <w:p w14:paraId="47E1C69A" w14:textId="77777777" w:rsidR="00A33C61" w:rsidRDefault="00A33C61" w:rsidP="00394543">
      <w:pPr>
        <w:pStyle w:val="COMexecsummbulletlist"/>
        <w:spacing w:after="0"/>
        <w:ind w:left="1276" w:hanging="425"/>
      </w:pPr>
      <w:r w:rsidRPr="00394543">
        <w:rPr>
          <w:lang w:val="en-GB" w:eastAsia="en-US"/>
        </w:rPr>
        <w:t>there</w:t>
      </w:r>
      <w:r>
        <w:t xml:space="preserve"> were differences in eligibility criteria between the trials (the ELEVATE-TN included patients aged ≥65 years regardless of CIRS score and creatinine clearance) and differences in patient characteristics between the trials (including median age and the proportion with a CIRS score &gt;6) that may have affected outcomes. Key patient characteristics data for the CLL-14 trial (including bulky disease status and Rai stage) were not available for comparison. </w:t>
      </w:r>
    </w:p>
    <w:p w14:paraId="29B22257" w14:textId="4AF6F243" w:rsidR="00394543" w:rsidRPr="00394543" w:rsidRDefault="00A33C61" w:rsidP="00394543">
      <w:pPr>
        <w:pStyle w:val="COMexecsummbulletlist"/>
        <w:ind w:left="1276" w:hanging="425"/>
        <w:rPr>
          <w:lang w:val="en-GB" w:eastAsia="en-US"/>
        </w:rPr>
      </w:pPr>
      <w:r>
        <w:t xml:space="preserve">Results of the unanchored MAICs </w:t>
      </w:r>
      <w:r w:rsidR="00394543">
        <w:t xml:space="preserve">did not appear to </w:t>
      </w:r>
      <w:r w:rsidR="00C4758E">
        <w:t xml:space="preserve">be </w:t>
      </w:r>
      <w:r>
        <w:t>reliable as the MAIC did not adequately account for differences in eligibility criteria between the ELEVATE-TN and CLL-14 trials or match for potentially important prognostic variables</w:t>
      </w:r>
      <w:r w:rsidR="00394543">
        <w:t xml:space="preserve">. The PBAC acknowledged that the resubmission’s </w:t>
      </w:r>
      <w:r w:rsidR="00394543" w:rsidRPr="00A33C61">
        <w:rPr>
          <w:lang w:val="en-GB" w:eastAsia="en-US"/>
        </w:rPr>
        <w:t xml:space="preserve">updated </w:t>
      </w:r>
      <w:r w:rsidR="00394543">
        <w:rPr>
          <w:lang w:val="en-GB" w:eastAsia="en-US"/>
        </w:rPr>
        <w:t>analyses</w:t>
      </w:r>
      <w:r w:rsidR="00394543" w:rsidRPr="00A33C61">
        <w:rPr>
          <w:lang w:val="en-GB" w:eastAsia="en-US"/>
        </w:rPr>
        <w:t xml:space="preserve"> had matched on fewer variables than </w:t>
      </w:r>
      <w:r w:rsidR="00394543">
        <w:rPr>
          <w:lang w:val="en-GB" w:eastAsia="en-US"/>
        </w:rPr>
        <w:t>those</w:t>
      </w:r>
      <w:r w:rsidR="00394543" w:rsidRPr="00A33C61">
        <w:rPr>
          <w:lang w:val="en-GB" w:eastAsia="en-US"/>
        </w:rPr>
        <w:t xml:space="preserve"> presented in the July 2020 resubmission in order to increase the effective sample size</w:t>
      </w:r>
      <w:r w:rsidR="00394543">
        <w:rPr>
          <w:lang w:val="en-GB" w:eastAsia="en-US"/>
        </w:rPr>
        <w:t xml:space="preserve">, however the PBAC considered that the poor overlap between the two trials made the results </w:t>
      </w:r>
      <w:r w:rsidR="001C3A14">
        <w:rPr>
          <w:lang w:val="en-GB" w:eastAsia="en-US"/>
        </w:rPr>
        <w:t xml:space="preserve">of any MAIC </w:t>
      </w:r>
      <w:r w:rsidR="00394543">
        <w:rPr>
          <w:lang w:val="en-GB" w:eastAsia="en-US"/>
        </w:rPr>
        <w:t xml:space="preserve">difficult to interpret. </w:t>
      </w:r>
      <w:r w:rsidR="00394543">
        <w:t xml:space="preserve"> </w:t>
      </w:r>
    </w:p>
    <w:p w14:paraId="297702F2" w14:textId="493E8E8C" w:rsidR="001C40CF" w:rsidRPr="006820A4" w:rsidRDefault="00394543" w:rsidP="00394543">
      <w:pPr>
        <w:widowControl w:val="0"/>
        <w:numPr>
          <w:ilvl w:val="1"/>
          <w:numId w:val="1"/>
        </w:numPr>
        <w:spacing w:after="120"/>
        <w:ind w:left="720" w:hanging="720"/>
        <w:rPr>
          <w:rFonts w:asciiTheme="minorHAnsi" w:hAnsiTheme="minorHAnsi"/>
          <w:snapToGrid w:val="0"/>
          <w:lang w:val="en-GB" w:eastAsia="en-US"/>
        </w:rPr>
      </w:pPr>
      <w:r>
        <w:rPr>
          <w:rFonts w:asciiTheme="minorHAnsi" w:hAnsiTheme="minorHAnsi"/>
          <w:snapToGrid w:val="0"/>
          <w:lang w:val="en-GB" w:eastAsia="en-US"/>
        </w:rPr>
        <w:t>T</w:t>
      </w:r>
      <w:r w:rsidR="001C40CF" w:rsidRPr="00CB3D19">
        <w:rPr>
          <w:rFonts w:asciiTheme="minorHAnsi" w:hAnsiTheme="minorHAnsi"/>
          <w:snapToGrid w:val="0"/>
          <w:lang w:val="en-GB" w:eastAsia="en-US"/>
        </w:rPr>
        <w:t>he PBAC considered that the claim of superior clinical effectiveness was not supported and that a claim of</w:t>
      </w:r>
      <w:r w:rsidR="001C40CF" w:rsidRPr="00CB3D19">
        <w:rPr>
          <w:lang w:val="en-GB" w:eastAsia="en-US"/>
        </w:rPr>
        <w:t xml:space="preserve"> non-inferiority </w:t>
      </w:r>
      <w:r w:rsidR="002633E4">
        <w:rPr>
          <w:lang w:val="en-GB" w:eastAsia="en-US"/>
        </w:rPr>
        <w:t xml:space="preserve">of acalabrutinib + obinutuzumab </w:t>
      </w:r>
      <w:r w:rsidR="001C40CF" w:rsidRPr="00CB3D19">
        <w:rPr>
          <w:lang w:val="en-GB" w:eastAsia="en-US"/>
        </w:rPr>
        <w:t>to venetoclax + obinutuzumab would be more appropriate</w:t>
      </w:r>
      <w:r w:rsidRPr="006820A4">
        <w:rPr>
          <w:lang w:val="en-GB" w:eastAsia="en-US"/>
        </w:rPr>
        <w:t>. As such the PBAC considered that</w:t>
      </w:r>
      <w:r w:rsidR="001C40CF" w:rsidRPr="006820A4">
        <w:rPr>
          <w:lang w:val="en-GB" w:eastAsia="en-US"/>
        </w:rPr>
        <w:t xml:space="preserve"> a </w:t>
      </w:r>
      <w:r w:rsidR="001C40CF" w:rsidRPr="006820A4">
        <w:rPr>
          <w:rFonts w:asciiTheme="minorHAnsi" w:hAnsiTheme="minorHAnsi"/>
          <w:snapToGrid w:val="0"/>
          <w:lang w:val="en-GB" w:eastAsia="en-US"/>
        </w:rPr>
        <w:t xml:space="preserve">cost-minimisation approach would be more </w:t>
      </w:r>
      <w:r w:rsidRPr="006820A4">
        <w:rPr>
          <w:rFonts w:asciiTheme="minorHAnsi" w:hAnsiTheme="minorHAnsi"/>
          <w:snapToGrid w:val="0"/>
          <w:lang w:val="en-GB" w:eastAsia="en-US"/>
        </w:rPr>
        <w:t>informative</w:t>
      </w:r>
      <w:r w:rsidR="001C40CF" w:rsidRPr="006820A4">
        <w:rPr>
          <w:rFonts w:asciiTheme="minorHAnsi" w:hAnsiTheme="minorHAnsi"/>
          <w:snapToGrid w:val="0"/>
          <w:lang w:val="en-GB" w:eastAsia="en-US"/>
        </w:rPr>
        <w:t xml:space="preserve">, rather than the cost-utility analysis submitted. </w:t>
      </w:r>
    </w:p>
    <w:p w14:paraId="5A057E53" w14:textId="6478E017" w:rsidR="00C4758E" w:rsidRPr="006820A4" w:rsidRDefault="00C4758E" w:rsidP="006820A4">
      <w:pPr>
        <w:widowControl w:val="0"/>
        <w:numPr>
          <w:ilvl w:val="1"/>
          <w:numId w:val="1"/>
        </w:numPr>
        <w:spacing w:after="120"/>
        <w:ind w:left="720" w:hanging="720"/>
        <w:rPr>
          <w:rFonts w:asciiTheme="minorHAnsi" w:hAnsiTheme="minorHAnsi"/>
          <w:snapToGrid w:val="0"/>
          <w:lang w:val="en-GB" w:eastAsia="en-US"/>
        </w:rPr>
      </w:pPr>
      <w:r w:rsidRPr="006820A4">
        <w:rPr>
          <w:rFonts w:asciiTheme="minorHAnsi" w:hAnsiTheme="minorHAnsi"/>
          <w:snapToGrid w:val="0"/>
          <w:lang w:val="en-GB" w:eastAsia="en-US"/>
        </w:rPr>
        <w:t xml:space="preserve">The PBAC considered that the cost-utility analysis versus venetoclax + obinutuzumab was not informative given the </w:t>
      </w:r>
      <w:r w:rsidR="006820A4" w:rsidRPr="006820A4">
        <w:rPr>
          <w:lang w:val="en-GB" w:eastAsia="en-US"/>
        </w:rPr>
        <w:t>model relied on data from the unanchored MAICs, which did not appear to be reliable. Further, the</w:t>
      </w:r>
      <w:r w:rsidR="006820A4" w:rsidRPr="006820A4">
        <w:rPr>
          <w:rFonts w:asciiTheme="minorHAnsi" w:hAnsiTheme="minorHAnsi"/>
          <w:snapToGrid w:val="0"/>
          <w:lang w:val="en-GB" w:eastAsia="en-US"/>
        </w:rPr>
        <w:t xml:space="preserve"> </w:t>
      </w:r>
      <w:r w:rsidRPr="006820A4">
        <w:rPr>
          <w:rFonts w:asciiTheme="minorHAnsi" w:hAnsiTheme="minorHAnsi"/>
          <w:snapToGrid w:val="0"/>
          <w:lang w:val="en-GB" w:eastAsia="en-US"/>
        </w:rPr>
        <w:t xml:space="preserve">issues with the clinical data were magnified with an increasing benefit </w:t>
      </w:r>
      <w:r w:rsidR="006820A4">
        <w:rPr>
          <w:rFonts w:asciiTheme="minorHAnsi" w:hAnsiTheme="minorHAnsi"/>
          <w:snapToGrid w:val="0"/>
          <w:lang w:val="en-GB" w:eastAsia="en-US"/>
        </w:rPr>
        <w:t xml:space="preserve">being </w:t>
      </w:r>
      <w:r w:rsidRPr="006820A4">
        <w:rPr>
          <w:rFonts w:asciiTheme="minorHAnsi" w:hAnsiTheme="minorHAnsi"/>
          <w:snapToGrid w:val="0"/>
          <w:lang w:val="en-GB" w:eastAsia="en-US"/>
        </w:rPr>
        <w:t xml:space="preserve">modelled over time. </w:t>
      </w:r>
    </w:p>
    <w:p w14:paraId="091B4BEA" w14:textId="523EB055" w:rsidR="002633E4" w:rsidRDefault="00584593" w:rsidP="00CB3E86">
      <w:pPr>
        <w:widowControl w:val="0"/>
        <w:numPr>
          <w:ilvl w:val="1"/>
          <w:numId w:val="1"/>
        </w:numPr>
        <w:spacing w:after="120"/>
        <w:ind w:left="720" w:hanging="720"/>
        <w:rPr>
          <w:rFonts w:asciiTheme="minorHAnsi" w:hAnsiTheme="minorHAnsi"/>
          <w:snapToGrid w:val="0"/>
          <w:lang w:val="en-GB" w:eastAsia="en-US"/>
        </w:rPr>
      </w:pPr>
      <w:r w:rsidRPr="00394543">
        <w:rPr>
          <w:rFonts w:asciiTheme="minorHAnsi" w:hAnsiTheme="minorHAnsi"/>
          <w:snapToGrid w:val="0"/>
          <w:lang w:val="en-GB" w:eastAsia="en-US"/>
        </w:rPr>
        <w:t>The PBAC noted that</w:t>
      </w:r>
      <w:r w:rsidR="00CB2B8B">
        <w:rPr>
          <w:rFonts w:asciiTheme="minorHAnsi" w:hAnsiTheme="minorHAnsi"/>
          <w:snapToGrid w:val="0"/>
          <w:lang w:val="en-GB" w:eastAsia="en-US"/>
        </w:rPr>
        <w:t xml:space="preserve"> the</w:t>
      </w:r>
      <w:r w:rsidRPr="00394543">
        <w:rPr>
          <w:rFonts w:asciiTheme="minorHAnsi" w:hAnsiTheme="minorHAnsi"/>
          <w:snapToGrid w:val="0"/>
          <w:lang w:val="en-GB" w:eastAsia="en-US"/>
        </w:rPr>
        <w:t xml:space="preserve"> cost per </w:t>
      </w:r>
      <w:r w:rsidR="00394543" w:rsidRPr="00394543">
        <w:rPr>
          <w:rFonts w:asciiTheme="minorHAnsi" w:hAnsiTheme="minorHAnsi"/>
          <w:snapToGrid w:val="0"/>
          <w:lang w:val="en-GB" w:eastAsia="en-US"/>
        </w:rPr>
        <w:t xml:space="preserve">patient per </w:t>
      </w:r>
      <w:r w:rsidRPr="00394543">
        <w:rPr>
          <w:rFonts w:asciiTheme="minorHAnsi" w:hAnsiTheme="minorHAnsi"/>
          <w:snapToGrid w:val="0"/>
          <w:lang w:val="en-GB" w:eastAsia="en-US"/>
        </w:rPr>
        <w:t>course of acalabrutinib + obinutuzumab</w:t>
      </w:r>
      <w:r w:rsidR="002633E4">
        <w:rPr>
          <w:rFonts w:asciiTheme="minorHAnsi" w:hAnsiTheme="minorHAnsi"/>
          <w:snapToGrid w:val="0"/>
          <w:lang w:val="en-GB" w:eastAsia="en-US"/>
        </w:rPr>
        <w:t xml:space="preserve"> was substantially higher than venetoclax + obinutuzumab (as shown in </w:t>
      </w:r>
      <w:r w:rsidR="002633E4">
        <w:rPr>
          <w:rFonts w:asciiTheme="minorHAnsi" w:hAnsiTheme="minorHAnsi"/>
          <w:snapToGrid w:val="0"/>
          <w:lang w:val="en-GB" w:eastAsia="en-US"/>
        </w:rPr>
        <w:fldChar w:fldCharType="begin" w:fldLock="1"/>
      </w:r>
      <w:r w:rsidR="002633E4">
        <w:rPr>
          <w:rFonts w:asciiTheme="minorHAnsi" w:hAnsiTheme="minorHAnsi"/>
          <w:snapToGrid w:val="0"/>
          <w:lang w:val="en-GB" w:eastAsia="en-US"/>
        </w:rPr>
        <w:instrText xml:space="preserve"> REF _Ref113468896 \h </w:instrText>
      </w:r>
      <w:r w:rsidR="002633E4">
        <w:rPr>
          <w:rFonts w:asciiTheme="minorHAnsi" w:hAnsiTheme="minorHAnsi"/>
          <w:snapToGrid w:val="0"/>
          <w:lang w:val="en-GB" w:eastAsia="en-US"/>
        </w:rPr>
      </w:r>
      <w:r w:rsidR="002633E4">
        <w:rPr>
          <w:rFonts w:asciiTheme="minorHAnsi" w:hAnsiTheme="minorHAnsi"/>
          <w:snapToGrid w:val="0"/>
          <w:lang w:val="en-GB" w:eastAsia="en-US"/>
        </w:rPr>
        <w:fldChar w:fldCharType="separate"/>
      </w:r>
      <w:r w:rsidR="00CB2B8B" w:rsidRPr="00E44776">
        <w:t xml:space="preserve">Table </w:t>
      </w:r>
      <w:r w:rsidR="00CB2B8B">
        <w:rPr>
          <w:noProof/>
        </w:rPr>
        <w:t>16</w:t>
      </w:r>
      <w:r w:rsidR="002633E4">
        <w:rPr>
          <w:rFonts w:asciiTheme="minorHAnsi" w:hAnsiTheme="minorHAnsi"/>
          <w:snapToGrid w:val="0"/>
          <w:lang w:val="en-GB" w:eastAsia="en-US"/>
        </w:rPr>
        <w:fldChar w:fldCharType="end"/>
      </w:r>
      <w:r w:rsidR="002633E4">
        <w:rPr>
          <w:rFonts w:asciiTheme="minorHAnsi" w:hAnsiTheme="minorHAnsi"/>
          <w:snapToGrid w:val="0"/>
          <w:lang w:val="en-GB" w:eastAsia="en-US"/>
        </w:rPr>
        <w:t>) due to the longer treatment duration with acalabrutinib + obinutuzumab</w:t>
      </w:r>
      <w:r w:rsidR="00845F42">
        <w:rPr>
          <w:rFonts w:asciiTheme="minorHAnsi" w:hAnsiTheme="minorHAnsi"/>
          <w:snapToGrid w:val="0"/>
          <w:lang w:val="en-GB" w:eastAsia="en-US"/>
        </w:rPr>
        <w:t xml:space="preserve">. The PBAC noted that the resubmission had proposed to partly address this through the use of an RSA with a 60 month treatment cap (in which </w:t>
      </w:r>
      <w:r w:rsidR="00845F42" w:rsidRPr="00845F42">
        <w:rPr>
          <w:rFonts w:asciiTheme="minorHAnsi" w:hAnsiTheme="minorHAnsi"/>
          <w:snapToGrid w:val="0"/>
          <w:lang w:val="en-GB" w:eastAsia="en-US"/>
        </w:rPr>
        <w:t xml:space="preserve">the cost of acalabrutinib in the </w:t>
      </w:r>
      <w:r w:rsidR="00845F42">
        <w:rPr>
          <w:rFonts w:asciiTheme="minorHAnsi" w:hAnsiTheme="minorHAnsi"/>
          <w:snapToGrid w:val="0"/>
          <w:lang w:val="en-GB" w:eastAsia="en-US"/>
        </w:rPr>
        <w:t xml:space="preserve">economic </w:t>
      </w:r>
      <w:r w:rsidR="00845F42" w:rsidRPr="00845F42">
        <w:rPr>
          <w:rFonts w:asciiTheme="minorHAnsi" w:hAnsiTheme="minorHAnsi"/>
          <w:snapToGrid w:val="0"/>
          <w:lang w:val="en-GB" w:eastAsia="en-US"/>
        </w:rPr>
        <w:t>model was assumed to be nil beyond 60 months</w:t>
      </w:r>
      <w:r w:rsidR="00845F42">
        <w:rPr>
          <w:rFonts w:asciiTheme="minorHAnsi" w:hAnsiTheme="minorHAnsi"/>
          <w:snapToGrid w:val="0"/>
          <w:lang w:val="en-GB" w:eastAsia="en-US"/>
        </w:rPr>
        <w:t xml:space="preserve">), but that this proposal was withdrawn in the pre-PBAC response due to the issues raised in paragraphs </w:t>
      </w:r>
      <w:r w:rsidR="00845F42">
        <w:rPr>
          <w:rFonts w:asciiTheme="minorHAnsi" w:hAnsiTheme="minorHAnsi"/>
          <w:snapToGrid w:val="0"/>
          <w:lang w:val="en-GB" w:eastAsia="en-US"/>
        </w:rPr>
        <w:fldChar w:fldCharType="begin" w:fldLock="1"/>
      </w:r>
      <w:r w:rsidR="00845F42">
        <w:rPr>
          <w:rFonts w:asciiTheme="minorHAnsi" w:hAnsiTheme="minorHAnsi"/>
          <w:snapToGrid w:val="0"/>
          <w:lang w:val="en-GB" w:eastAsia="en-US"/>
        </w:rPr>
        <w:instrText xml:space="preserve"> REF _Ref122618921 \r \h </w:instrText>
      </w:r>
      <w:r w:rsidR="00845F42">
        <w:rPr>
          <w:rFonts w:asciiTheme="minorHAnsi" w:hAnsiTheme="minorHAnsi"/>
          <w:snapToGrid w:val="0"/>
          <w:lang w:val="en-GB" w:eastAsia="en-US"/>
        </w:rPr>
      </w:r>
      <w:r w:rsidR="00845F42">
        <w:rPr>
          <w:rFonts w:asciiTheme="minorHAnsi" w:hAnsiTheme="minorHAnsi"/>
          <w:snapToGrid w:val="0"/>
          <w:lang w:val="en-GB" w:eastAsia="en-US"/>
        </w:rPr>
        <w:fldChar w:fldCharType="separate"/>
      </w:r>
      <w:r w:rsidR="00CB2B8B">
        <w:rPr>
          <w:rFonts w:asciiTheme="minorHAnsi" w:hAnsiTheme="minorHAnsi"/>
          <w:snapToGrid w:val="0"/>
          <w:lang w:val="en-GB" w:eastAsia="en-US"/>
        </w:rPr>
        <w:t>6.70</w:t>
      </w:r>
      <w:r w:rsidR="00845F42">
        <w:rPr>
          <w:rFonts w:asciiTheme="minorHAnsi" w:hAnsiTheme="minorHAnsi"/>
          <w:snapToGrid w:val="0"/>
          <w:lang w:val="en-GB" w:eastAsia="en-US"/>
        </w:rPr>
        <w:fldChar w:fldCharType="end"/>
      </w:r>
      <w:r w:rsidR="00845F42">
        <w:rPr>
          <w:rFonts w:asciiTheme="minorHAnsi" w:hAnsiTheme="minorHAnsi"/>
          <w:snapToGrid w:val="0"/>
          <w:lang w:val="en-GB" w:eastAsia="en-US"/>
        </w:rPr>
        <w:t xml:space="preserve"> and </w:t>
      </w:r>
      <w:r w:rsidR="00845F42">
        <w:rPr>
          <w:rFonts w:asciiTheme="minorHAnsi" w:hAnsiTheme="minorHAnsi"/>
          <w:snapToGrid w:val="0"/>
          <w:lang w:val="en-GB" w:eastAsia="en-US"/>
        </w:rPr>
        <w:fldChar w:fldCharType="begin" w:fldLock="1"/>
      </w:r>
      <w:r w:rsidR="00845F42">
        <w:rPr>
          <w:rFonts w:asciiTheme="minorHAnsi" w:hAnsiTheme="minorHAnsi"/>
          <w:snapToGrid w:val="0"/>
          <w:lang w:val="en-GB" w:eastAsia="en-US"/>
        </w:rPr>
        <w:instrText xml:space="preserve"> REF _Ref124347458 \r \h </w:instrText>
      </w:r>
      <w:r w:rsidR="00845F42">
        <w:rPr>
          <w:rFonts w:asciiTheme="minorHAnsi" w:hAnsiTheme="minorHAnsi"/>
          <w:snapToGrid w:val="0"/>
          <w:lang w:val="en-GB" w:eastAsia="en-US"/>
        </w:rPr>
      </w:r>
      <w:r w:rsidR="00845F42">
        <w:rPr>
          <w:rFonts w:asciiTheme="minorHAnsi" w:hAnsiTheme="minorHAnsi"/>
          <w:snapToGrid w:val="0"/>
          <w:lang w:val="en-GB" w:eastAsia="en-US"/>
        </w:rPr>
        <w:fldChar w:fldCharType="separate"/>
      </w:r>
      <w:r w:rsidR="00CB2B8B">
        <w:rPr>
          <w:rFonts w:asciiTheme="minorHAnsi" w:hAnsiTheme="minorHAnsi"/>
          <w:snapToGrid w:val="0"/>
          <w:lang w:val="en-GB" w:eastAsia="en-US"/>
        </w:rPr>
        <w:t>6.92</w:t>
      </w:r>
      <w:r w:rsidR="00845F42">
        <w:rPr>
          <w:rFonts w:asciiTheme="minorHAnsi" w:hAnsiTheme="minorHAnsi"/>
          <w:snapToGrid w:val="0"/>
          <w:lang w:val="en-GB" w:eastAsia="en-US"/>
        </w:rPr>
        <w:fldChar w:fldCharType="end"/>
      </w:r>
      <w:r w:rsidR="00CB2B8B">
        <w:rPr>
          <w:rFonts w:asciiTheme="minorHAnsi" w:hAnsiTheme="minorHAnsi"/>
          <w:snapToGrid w:val="0"/>
          <w:lang w:val="en-GB" w:eastAsia="en-US"/>
        </w:rPr>
        <w:t>-</w:t>
      </w:r>
      <w:r w:rsidR="00CB2B8B">
        <w:rPr>
          <w:rFonts w:asciiTheme="minorHAnsi" w:hAnsiTheme="minorHAnsi"/>
          <w:snapToGrid w:val="0"/>
          <w:lang w:val="en-GB" w:eastAsia="en-US"/>
        </w:rPr>
        <w:fldChar w:fldCharType="begin" w:fldLock="1"/>
      </w:r>
      <w:r w:rsidR="00CB2B8B">
        <w:rPr>
          <w:rFonts w:asciiTheme="minorHAnsi" w:hAnsiTheme="minorHAnsi"/>
          <w:snapToGrid w:val="0"/>
          <w:lang w:val="en-GB" w:eastAsia="en-US"/>
        </w:rPr>
        <w:instrText xml:space="preserve"> REF _Ref124505801 \r \h </w:instrText>
      </w:r>
      <w:r w:rsidR="00CB2B8B">
        <w:rPr>
          <w:rFonts w:asciiTheme="minorHAnsi" w:hAnsiTheme="minorHAnsi"/>
          <w:snapToGrid w:val="0"/>
          <w:lang w:val="en-GB" w:eastAsia="en-US"/>
        </w:rPr>
      </w:r>
      <w:r w:rsidR="00CB2B8B">
        <w:rPr>
          <w:rFonts w:asciiTheme="minorHAnsi" w:hAnsiTheme="minorHAnsi"/>
          <w:snapToGrid w:val="0"/>
          <w:lang w:val="en-GB" w:eastAsia="en-US"/>
        </w:rPr>
        <w:fldChar w:fldCharType="separate"/>
      </w:r>
      <w:r w:rsidR="00CB2B8B">
        <w:rPr>
          <w:rFonts w:asciiTheme="minorHAnsi" w:hAnsiTheme="minorHAnsi"/>
          <w:snapToGrid w:val="0"/>
          <w:lang w:val="en-GB" w:eastAsia="en-US"/>
        </w:rPr>
        <w:t>6.94</w:t>
      </w:r>
      <w:r w:rsidR="00CB2B8B">
        <w:rPr>
          <w:rFonts w:asciiTheme="minorHAnsi" w:hAnsiTheme="minorHAnsi"/>
          <w:snapToGrid w:val="0"/>
          <w:lang w:val="en-GB" w:eastAsia="en-US"/>
        </w:rPr>
        <w:fldChar w:fldCharType="end"/>
      </w:r>
      <w:r w:rsidR="00845F42">
        <w:rPr>
          <w:rFonts w:asciiTheme="minorHAnsi" w:hAnsiTheme="minorHAnsi"/>
          <w:snapToGrid w:val="0"/>
          <w:lang w:val="en-GB" w:eastAsia="en-US"/>
        </w:rPr>
        <w:t xml:space="preserve">, with no alternative proposal presented by the sponsor. The PBAC acknowledged that the PSCR for the November 2021 resubmission had </w:t>
      </w:r>
      <w:r w:rsidR="00845F42" w:rsidRPr="00BD60EE">
        <w:rPr>
          <w:rFonts w:asciiTheme="minorHAnsi" w:hAnsiTheme="minorHAnsi"/>
          <w:snapToGrid w:val="0"/>
          <w:lang w:val="en-GB" w:eastAsia="en-US"/>
        </w:rPr>
        <w:lastRenderedPageBreak/>
        <w:t>explained that the different durations of therapy between acalabrutinib and venetoclax + obinutuzumab would make it challenging to achieve cost-effectiveness for acalabrutinib</w:t>
      </w:r>
      <w:r w:rsidR="00845F42">
        <w:rPr>
          <w:rFonts w:asciiTheme="minorHAnsi" w:hAnsiTheme="minorHAnsi"/>
          <w:snapToGrid w:val="0"/>
          <w:lang w:val="en-GB" w:eastAsia="en-US"/>
        </w:rPr>
        <w:t>. However, the PBAC considered that the large cost difference between acalabrutinib + obinutuzumab versus venetoclax + obinutuzumab (nearly five times higher</w:t>
      </w:r>
      <w:r w:rsidR="00845F42" w:rsidRPr="00845F42">
        <w:t xml:space="preserve"> </w:t>
      </w:r>
      <w:r w:rsidR="00845F42" w:rsidRPr="00E44776">
        <w:t>using the resubmission’s estimated effective prices for venetoclax</w:t>
      </w:r>
      <w:r w:rsidR="00845F42">
        <w:t xml:space="preserve"> +</w:t>
      </w:r>
      <w:r w:rsidR="00845F42" w:rsidRPr="00E44776">
        <w:t xml:space="preserve"> obinutuzumab</w:t>
      </w:r>
      <w:r w:rsidR="00845F42">
        <w:t>)</w:t>
      </w:r>
      <w:r w:rsidR="00845F42">
        <w:rPr>
          <w:rFonts w:asciiTheme="minorHAnsi" w:hAnsiTheme="minorHAnsi"/>
          <w:snapToGrid w:val="0"/>
          <w:lang w:val="en-GB" w:eastAsia="en-US"/>
        </w:rPr>
        <w:t xml:space="preserve"> was not supported by the available clinical evidence.</w:t>
      </w:r>
    </w:p>
    <w:p w14:paraId="06B9D58B" w14:textId="25563624" w:rsidR="00827009" w:rsidRPr="00827009" w:rsidRDefault="00827009" w:rsidP="00CB3E86">
      <w:pPr>
        <w:widowControl w:val="0"/>
        <w:numPr>
          <w:ilvl w:val="1"/>
          <w:numId w:val="1"/>
        </w:numPr>
        <w:spacing w:after="120"/>
        <w:ind w:left="720" w:hanging="720"/>
        <w:rPr>
          <w:rFonts w:asciiTheme="minorHAnsi" w:hAnsiTheme="minorHAnsi"/>
          <w:bCs/>
          <w:snapToGrid w:val="0"/>
          <w:lang w:val="en-GB" w:eastAsia="en-US"/>
        </w:rPr>
      </w:pPr>
      <w:bookmarkStart w:id="124" w:name="_Ref122672591"/>
      <w:r w:rsidRPr="00827009">
        <w:rPr>
          <w:rFonts w:asciiTheme="minorHAnsi" w:hAnsiTheme="minorHAnsi"/>
          <w:bCs/>
          <w:snapToGrid w:val="0"/>
          <w:lang w:val="en-GB" w:eastAsia="en-US"/>
        </w:rPr>
        <w:t xml:space="preserve">The PBAC </w:t>
      </w:r>
      <w:r>
        <w:rPr>
          <w:rFonts w:asciiTheme="minorHAnsi" w:hAnsiTheme="minorHAnsi"/>
          <w:bCs/>
          <w:snapToGrid w:val="0"/>
          <w:lang w:val="en-GB" w:eastAsia="en-US"/>
        </w:rPr>
        <w:t xml:space="preserve">agreed with the issues with the financial estimates as raised in paragraphs </w:t>
      </w:r>
      <w:r>
        <w:rPr>
          <w:rFonts w:asciiTheme="minorHAnsi" w:hAnsiTheme="minorHAnsi"/>
          <w:bCs/>
          <w:snapToGrid w:val="0"/>
          <w:lang w:val="en-GB" w:eastAsia="en-US"/>
        </w:rPr>
        <w:fldChar w:fldCharType="begin" w:fldLock="1"/>
      </w:r>
      <w:r>
        <w:rPr>
          <w:rFonts w:asciiTheme="minorHAnsi" w:hAnsiTheme="minorHAnsi"/>
          <w:bCs/>
          <w:snapToGrid w:val="0"/>
          <w:lang w:val="en-GB" w:eastAsia="en-US"/>
        </w:rPr>
        <w:instrText xml:space="preserve"> REF _Ref113871772 \r \h </w:instrText>
      </w:r>
      <w:r>
        <w:rPr>
          <w:rFonts w:asciiTheme="minorHAnsi" w:hAnsiTheme="minorHAnsi"/>
          <w:bCs/>
          <w:snapToGrid w:val="0"/>
          <w:lang w:val="en-GB" w:eastAsia="en-US"/>
        </w:rPr>
      </w:r>
      <w:r>
        <w:rPr>
          <w:rFonts w:asciiTheme="minorHAnsi" w:hAnsiTheme="minorHAnsi"/>
          <w:bCs/>
          <w:snapToGrid w:val="0"/>
          <w:lang w:val="en-GB" w:eastAsia="en-US"/>
        </w:rPr>
        <w:fldChar w:fldCharType="separate"/>
      </w:r>
      <w:r w:rsidR="00CB2B8B">
        <w:rPr>
          <w:rFonts w:asciiTheme="minorHAnsi" w:hAnsiTheme="minorHAnsi"/>
          <w:bCs/>
          <w:snapToGrid w:val="0"/>
          <w:lang w:val="en-GB" w:eastAsia="en-US"/>
        </w:rPr>
        <w:t>6.90</w:t>
      </w:r>
      <w:r>
        <w:rPr>
          <w:rFonts w:asciiTheme="minorHAnsi" w:hAnsiTheme="minorHAnsi"/>
          <w:bCs/>
          <w:snapToGrid w:val="0"/>
          <w:lang w:val="en-GB" w:eastAsia="en-US"/>
        </w:rPr>
        <w:fldChar w:fldCharType="end"/>
      </w:r>
      <w:r>
        <w:rPr>
          <w:rFonts w:asciiTheme="minorHAnsi" w:hAnsiTheme="minorHAnsi"/>
          <w:bCs/>
          <w:snapToGrid w:val="0"/>
          <w:lang w:val="en-GB" w:eastAsia="en-US"/>
        </w:rPr>
        <w:t xml:space="preserve"> and </w:t>
      </w:r>
      <w:r>
        <w:rPr>
          <w:rFonts w:asciiTheme="minorHAnsi" w:hAnsiTheme="minorHAnsi"/>
          <w:bCs/>
          <w:snapToGrid w:val="0"/>
          <w:lang w:val="en-GB" w:eastAsia="en-US"/>
        </w:rPr>
        <w:fldChar w:fldCharType="begin" w:fldLock="1"/>
      </w:r>
      <w:r>
        <w:rPr>
          <w:rFonts w:asciiTheme="minorHAnsi" w:hAnsiTheme="minorHAnsi"/>
          <w:bCs/>
          <w:snapToGrid w:val="0"/>
          <w:lang w:val="en-GB" w:eastAsia="en-US"/>
        </w:rPr>
        <w:instrText xml:space="preserve"> REF _Ref116030348 \r \h </w:instrText>
      </w:r>
      <w:r>
        <w:rPr>
          <w:rFonts w:asciiTheme="minorHAnsi" w:hAnsiTheme="minorHAnsi"/>
          <w:bCs/>
          <w:snapToGrid w:val="0"/>
          <w:lang w:val="en-GB" w:eastAsia="en-US"/>
        </w:rPr>
      </w:r>
      <w:r>
        <w:rPr>
          <w:rFonts w:asciiTheme="minorHAnsi" w:hAnsiTheme="minorHAnsi"/>
          <w:bCs/>
          <w:snapToGrid w:val="0"/>
          <w:lang w:val="en-GB" w:eastAsia="en-US"/>
        </w:rPr>
        <w:fldChar w:fldCharType="separate"/>
      </w:r>
      <w:r w:rsidR="00CB2B8B">
        <w:rPr>
          <w:rFonts w:asciiTheme="minorHAnsi" w:hAnsiTheme="minorHAnsi"/>
          <w:bCs/>
          <w:snapToGrid w:val="0"/>
          <w:lang w:val="en-GB" w:eastAsia="en-US"/>
        </w:rPr>
        <w:t>6.91</w:t>
      </w:r>
      <w:r>
        <w:rPr>
          <w:rFonts w:asciiTheme="minorHAnsi" w:hAnsiTheme="minorHAnsi"/>
          <w:bCs/>
          <w:snapToGrid w:val="0"/>
          <w:lang w:val="en-GB" w:eastAsia="en-US"/>
        </w:rPr>
        <w:fldChar w:fldCharType="end"/>
      </w:r>
      <w:r>
        <w:rPr>
          <w:rFonts w:asciiTheme="minorHAnsi" w:hAnsiTheme="minorHAnsi"/>
          <w:bCs/>
          <w:snapToGrid w:val="0"/>
          <w:lang w:val="en-GB" w:eastAsia="en-US"/>
        </w:rPr>
        <w:t xml:space="preserve">, and </w:t>
      </w:r>
      <w:r w:rsidRPr="00827009">
        <w:rPr>
          <w:rFonts w:asciiTheme="minorHAnsi" w:hAnsiTheme="minorHAnsi"/>
          <w:bCs/>
          <w:snapToGrid w:val="0"/>
          <w:lang w:val="en-GB" w:eastAsia="en-US"/>
        </w:rPr>
        <w:t xml:space="preserve">considered the </w:t>
      </w:r>
      <w:r>
        <w:rPr>
          <w:rFonts w:asciiTheme="minorHAnsi" w:hAnsiTheme="minorHAnsi"/>
          <w:bCs/>
          <w:snapToGrid w:val="0"/>
          <w:lang w:val="en-GB" w:eastAsia="en-US"/>
        </w:rPr>
        <w:t>financial estimates would need to be updated to include acalabrutinib monotherapy.</w:t>
      </w:r>
      <w:bookmarkEnd w:id="124"/>
    </w:p>
    <w:p w14:paraId="7465E687" w14:textId="681B581B" w:rsidR="0019751D" w:rsidRPr="0019751D" w:rsidRDefault="0019751D" w:rsidP="0019751D">
      <w:pPr>
        <w:pStyle w:val="COMexecsumnumberedpara"/>
        <w:rPr>
          <w:bCs/>
          <w:lang w:val="en-GB" w:eastAsia="en-US"/>
        </w:rPr>
      </w:pPr>
      <w:r w:rsidRPr="0019751D">
        <w:rPr>
          <w:bCs/>
          <w:lang w:val="en-GB" w:eastAsia="en-US"/>
        </w:rPr>
        <w:t xml:space="preserve">The PBAC considered </w:t>
      </w:r>
      <w:r w:rsidR="006820A4" w:rsidRPr="002830F6">
        <w:rPr>
          <w:rFonts w:cstheme="minorHAnsi"/>
          <w:lang w:eastAsia="en-US"/>
        </w:rPr>
        <w:t xml:space="preserve">a resubmission </w:t>
      </w:r>
      <w:r w:rsidR="006820A4">
        <w:rPr>
          <w:bCs/>
          <w:lang w:val="en-GB" w:eastAsia="en-US"/>
        </w:rPr>
        <w:t>should address the following issues:</w:t>
      </w:r>
      <w:r w:rsidRPr="0019751D">
        <w:rPr>
          <w:bCs/>
          <w:lang w:val="en-GB" w:eastAsia="en-US"/>
        </w:rPr>
        <w:t xml:space="preserve"> </w:t>
      </w:r>
    </w:p>
    <w:p w14:paraId="56E5946C" w14:textId="56AB8E1B" w:rsidR="00257A2C" w:rsidRDefault="00257A2C" w:rsidP="00C1396D">
      <w:pPr>
        <w:pStyle w:val="COMexecsumnumberedpara"/>
        <w:numPr>
          <w:ilvl w:val="1"/>
          <w:numId w:val="21"/>
        </w:numPr>
        <w:ind w:left="1400"/>
        <w:rPr>
          <w:bCs/>
          <w:lang w:val="en-GB" w:eastAsia="en-US"/>
        </w:rPr>
      </w:pPr>
      <w:r>
        <w:rPr>
          <w:bCs/>
          <w:lang w:val="en-GB" w:eastAsia="en-US"/>
        </w:rPr>
        <w:t xml:space="preserve">Amend the proposed restriction to allow use of acalabrutinib </w:t>
      </w:r>
      <w:r w:rsidR="001C3A14">
        <w:rPr>
          <w:bCs/>
          <w:lang w:val="en-GB" w:eastAsia="en-US"/>
        </w:rPr>
        <w:t xml:space="preserve">as </w:t>
      </w:r>
      <w:r>
        <w:rPr>
          <w:bCs/>
          <w:lang w:val="en-GB" w:eastAsia="en-US"/>
        </w:rPr>
        <w:t>monotherapy</w:t>
      </w:r>
      <w:r w:rsidR="003E1F74">
        <w:rPr>
          <w:bCs/>
          <w:lang w:val="en-GB" w:eastAsia="en-US"/>
        </w:rPr>
        <w:t xml:space="preserve"> and establish a cost-effective price for acalabrutinib monotherapy.</w:t>
      </w:r>
    </w:p>
    <w:p w14:paraId="4A417D82" w14:textId="336F6F10" w:rsidR="004A424A" w:rsidRPr="003E1F74" w:rsidRDefault="00AD4319" w:rsidP="00C1396D">
      <w:pPr>
        <w:pStyle w:val="COMexecsumnumberedpara"/>
        <w:numPr>
          <w:ilvl w:val="1"/>
          <w:numId w:val="21"/>
        </w:numPr>
        <w:ind w:left="1400"/>
        <w:rPr>
          <w:bCs/>
          <w:lang w:val="en-GB" w:eastAsia="en-US"/>
        </w:rPr>
      </w:pPr>
      <w:r w:rsidRPr="003E1F74">
        <w:rPr>
          <w:bCs/>
          <w:lang w:val="en-GB" w:eastAsia="en-US"/>
        </w:rPr>
        <w:t xml:space="preserve">Establish </w:t>
      </w:r>
      <w:r w:rsidR="00913E15" w:rsidRPr="003E1F74">
        <w:rPr>
          <w:bCs/>
          <w:lang w:val="en-GB" w:eastAsia="en-US"/>
        </w:rPr>
        <w:t>the equi-effective doses</w:t>
      </w:r>
      <w:r w:rsidRPr="003E1F74">
        <w:rPr>
          <w:bCs/>
          <w:lang w:val="en-GB" w:eastAsia="en-US"/>
        </w:rPr>
        <w:t xml:space="preserve"> for treat to progression acalabrutinib </w:t>
      </w:r>
      <w:r w:rsidR="003E1F74">
        <w:rPr>
          <w:rFonts w:cstheme="minorHAnsi"/>
          <w:bCs/>
          <w:lang w:val="en-GB" w:eastAsia="en-US"/>
        </w:rPr>
        <w:t>+</w:t>
      </w:r>
      <w:r w:rsidRPr="003E1F74">
        <w:rPr>
          <w:bCs/>
          <w:lang w:val="en-GB" w:eastAsia="en-US"/>
        </w:rPr>
        <w:t xml:space="preserve"> obinutuzumab compared </w:t>
      </w:r>
      <w:r w:rsidR="003E1F74" w:rsidRPr="003E1F74">
        <w:rPr>
          <w:bCs/>
          <w:lang w:val="en-GB" w:eastAsia="en-US"/>
        </w:rPr>
        <w:t>with</w:t>
      </w:r>
      <w:r w:rsidRPr="003E1F74">
        <w:rPr>
          <w:bCs/>
          <w:lang w:val="en-GB" w:eastAsia="en-US"/>
        </w:rPr>
        <w:t xml:space="preserve"> fixed duration venetoclax + obinutuzumab. </w:t>
      </w:r>
      <w:r w:rsidR="003E1F74" w:rsidRPr="003E1F74">
        <w:rPr>
          <w:bCs/>
          <w:lang w:val="en-GB" w:eastAsia="en-US"/>
        </w:rPr>
        <w:t xml:space="preserve">The PBAC considered that the cost per patient per course </w:t>
      </w:r>
      <w:r w:rsidR="004A424A" w:rsidRPr="003E1F74">
        <w:rPr>
          <w:bCs/>
          <w:lang w:val="en-GB" w:eastAsia="en-US"/>
        </w:rPr>
        <w:t xml:space="preserve">for acalabrutinib </w:t>
      </w:r>
      <w:r w:rsidR="00CB3D19" w:rsidRPr="003E1F74">
        <w:rPr>
          <w:bCs/>
          <w:lang w:val="en-GB" w:eastAsia="en-US"/>
        </w:rPr>
        <w:t xml:space="preserve">+ obinutuzumab </w:t>
      </w:r>
      <w:r w:rsidR="00CB2B8B">
        <w:rPr>
          <w:bCs/>
          <w:lang w:val="en-GB" w:eastAsia="en-US"/>
        </w:rPr>
        <w:t>should be</w:t>
      </w:r>
      <w:r w:rsidR="004A424A" w:rsidRPr="003E1F74">
        <w:rPr>
          <w:bCs/>
          <w:lang w:val="en-GB" w:eastAsia="en-US"/>
        </w:rPr>
        <w:t xml:space="preserve"> no higher than for venetoclax + obinutuzumab.</w:t>
      </w:r>
    </w:p>
    <w:p w14:paraId="599DD2EB" w14:textId="667BF613" w:rsidR="00AD4319" w:rsidRPr="00AD4319" w:rsidRDefault="00AD4319" w:rsidP="00C1396D">
      <w:pPr>
        <w:pStyle w:val="COMexecsumnumberedpara"/>
        <w:numPr>
          <w:ilvl w:val="1"/>
          <w:numId w:val="21"/>
        </w:numPr>
        <w:ind w:left="1400"/>
        <w:rPr>
          <w:bCs/>
          <w:lang w:val="en-GB" w:eastAsia="en-US"/>
        </w:rPr>
      </w:pPr>
      <w:r w:rsidRPr="00AD4319">
        <w:rPr>
          <w:bCs/>
          <w:lang w:val="en-GB" w:eastAsia="en-US"/>
        </w:rPr>
        <w:t>Provi</w:t>
      </w:r>
      <w:r w:rsidR="003E1F74">
        <w:rPr>
          <w:bCs/>
          <w:lang w:val="en-GB" w:eastAsia="en-US"/>
        </w:rPr>
        <w:t>de</w:t>
      </w:r>
      <w:r w:rsidRPr="00AD4319">
        <w:rPr>
          <w:bCs/>
          <w:lang w:val="en-GB" w:eastAsia="en-US"/>
        </w:rPr>
        <w:t xml:space="preserve"> revised financial estimates </w:t>
      </w:r>
      <w:r w:rsidR="003E1F74">
        <w:rPr>
          <w:bCs/>
          <w:lang w:val="en-GB" w:eastAsia="en-US"/>
        </w:rPr>
        <w:t xml:space="preserve">as outlined in paragraph </w:t>
      </w:r>
      <w:r w:rsidR="003E1F74">
        <w:rPr>
          <w:bCs/>
          <w:lang w:val="en-GB" w:eastAsia="en-US"/>
        </w:rPr>
        <w:fldChar w:fldCharType="begin" w:fldLock="1"/>
      </w:r>
      <w:r w:rsidR="003E1F74">
        <w:rPr>
          <w:bCs/>
          <w:lang w:val="en-GB" w:eastAsia="en-US"/>
        </w:rPr>
        <w:instrText xml:space="preserve"> REF _Ref122672591 \r \h </w:instrText>
      </w:r>
      <w:r w:rsidR="003E1F74">
        <w:rPr>
          <w:bCs/>
          <w:lang w:val="en-GB" w:eastAsia="en-US"/>
        </w:rPr>
      </w:r>
      <w:r w:rsidR="003E1F74">
        <w:rPr>
          <w:bCs/>
          <w:lang w:val="en-GB" w:eastAsia="en-US"/>
        </w:rPr>
        <w:fldChar w:fldCharType="separate"/>
      </w:r>
      <w:r w:rsidR="00CB2B8B">
        <w:rPr>
          <w:bCs/>
          <w:lang w:val="en-GB" w:eastAsia="en-US"/>
        </w:rPr>
        <w:t>7.11</w:t>
      </w:r>
      <w:r w:rsidR="003E1F74">
        <w:rPr>
          <w:bCs/>
          <w:lang w:val="en-GB" w:eastAsia="en-US"/>
        </w:rPr>
        <w:fldChar w:fldCharType="end"/>
      </w:r>
      <w:r w:rsidR="003E1F74">
        <w:rPr>
          <w:bCs/>
          <w:lang w:val="en-GB" w:eastAsia="en-US"/>
        </w:rPr>
        <w:t>.</w:t>
      </w:r>
    </w:p>
    <w:p w14:paraId="0CC9CDE8" w14:textId="22754099" w:rsidR="00041FF7" w:rsidRDefault="00041FF7" w:rsidP="0019751D">
      <w:pPr>
        <w:pStyle w:val="COMexecsumnumberedpara"/>
        <w:rPr>
          <w:bCs/>
          <w:lang w:val="en-GB" w:eastAsia="en-US"/>
        </w:rPr>
      </w:pPr>
      <w:r w:rsidRPr="00041FF7">
        <w:rPr>
          <w:bCs/>
          <w:lang w:val="en-GB" w:eastAsia="en-US"/>
        </w:rPr>
        <w:t xml:space="preserve">The PBAC noted </w:t>
      </w:r>
      <w:r w:rsidR="00BE4D52" w:rsidRPr="00FC7B41">
        <w:rPr>
          <w:bCs/>
          <w:color w:val="000000"/>
          <w:w w:val="54"/>
          <w:shd w:val="solid" w:color="000000" w:fill="000000"/>
          <w:fitText w:val="6460" w:id="-1280026880"/>
          <w:lang w:val="en-GB" w:eastAsia="en-US"/>
          <w14:textFill>
            <w14:solidFill>
              <w14:srgbClr w14:val="000000">
                <w14:alpha w14:val="100000"/>
              </w14:srgbClr>
            </w14:solidFill>
          </w14:textFill>
        </w:rPr>
        <w:t>|||||||||||||||||||||||||||||||||||||||||||||||||||||  ||||||||||||||||||||||||||||||||||||||||||||||||||||</w:t>
      </w:r>
      <w:r w:rsidR="00BE4D52" w:rsidRPr="00FC7B41">
        <w:rPr>
          <w:bCs/>
          <w:color w:val="000000"/>
          <w:spacing w:val="78"/>
          <w:w w:val="54"/>
          <w:shd w:val="solid" w:color="000000" w:fill="000000"/>
          <w:fitText w:val="6460" w:id="-1280026880"/>
          <w:lang w:val="en-GB" w:eastAsia="en-US"/>
          <w14:textFill>
            <w14:solidFill>
              <w14:srgbClr w14:val="000000">
                <w14:alpha w14:val="100000"/>
              </w14:srgbClr>
            </w14:solidFill>
          </w14:textFill>
        </w:rPr>
        <w:t>|</w:t>
      </w:r>
      <w:r w:rsidR="00BE4D52">
        <w:rPr>
          <w:bCs/>
          <w:lang w:val="en-GB" w:eastAsia="en-US"/>
        </w:rPr>
        <w:t xml:space="preserve"> </w:t>
      </w:r>
      <w:r w:rsidR="00BE4D52" w:rsidRPr="00BE4D52">
        <w:rPr>
          <w:bCs/>
          <w:color w:val="000000"/>
          <w:spacing w:val="1"/>
          <w:w w:val="54"/>
          <w:shd w:val="solid" w:color="000000" w:fill="000000"/>
          <w:fitText w:val="7450" w:id="-1280026879"/>
          <w:lang w:val="en-GB" w:eastAsia="en-US"/>
          <w14:textFill>
            <w14:solidFill>
              <w14:srgbClr w14:val="000000">
                <w14:alpha w14:val="100000"/>
              </w14:srgbClr>
            </w14:solidFill>
          </w14:textFill>
        </w:rPr>
        <w:t>|||||||||||||||||||||||||||||||||||||||||||||||||||||||||||||  ||||||||||||||||||||||||||||||||||||||||||||||||||||||||||||</w:t>
      </w:r>
      <w:r w:rsidR="00BE4D52" w:rsidRPr="00BE4D52">
        <w:rPr>
          <w:bCs/>
          <w:color w:val="000000"/>
          <w:spacing w:val="-8"/>
          <w:w w:val="54"/>
          <w:shd w:val="solid" w:color="000000" w:fill="000000"/>
          <w:fitText w:val="7450" w:id="-1280026879"/>
          <w:lang w:val="en-GB" w:eastAsia="en-US"/>
          <w14:textFill>
            <w14:solidFill>
              <w14:srgbClr w14:val="000000">
                <w14:alpha w14:val="100000"/>
              </w14:srgbClr>
            </w14:solidFill>
          </w14:textFill>
        </w:rPr>
        <w:t>|</w:t>
      </w:r>
      <w:r w:rsidR="00BE4D52" w:rsidRPr="00B53F47">
        <w:rPr>
          <w:bCs/>
          <w:color w:val="000000"/>
          <w:w w:val="15"/>
          <w:shd w:val="solid" w:color="000000" w:fill="000000"/>
          <w:fitText w:val="-20" w:id="-1280026878"/>
          <w:lang w:val="en-GB" w:eastAsia="en-US"/>
          <w14:textFill>
            <w14:solidFill>
              <w14:srgbClr w14:val="000000">
                <w14:alpha w14:val="100000"/>
              </w14:srgbClr>
            </w14:solidFill>
          </w14:textFill>
        </w:rPr>
        <w:t xml:space="preserve">|  </w:t>
      </w:r>
      <w:r w:rsidR="00BE4D52" w:rsidRPr="00B53F47">
        <w:rPr>
          <w:bCs/>
          <w:color w:val="000000"/>
          <w:spacing w:val="-69"/>
          <w:w w:val="15"/>
          <w:shd w:val="solid" w:color="000000" w:fill="000000"/>
          <w:fitText w:val="-20" w:id="-1280026878"/>
          <w:lang w:val="en-GB" w:eastAsia="en-US"/>
          <w14:textFill>
            <w14:solidFill>
              <w14:srgbClr w14:val="000000">
                <w14:alpha w14:val="100000"/>
              </w14:srgbClr>
            </w14:solidFill>
          </w14:textFill>
        </w:rPr>
        <w:t>|</w:t>
      </w:r>
      <w:r w:rsidR="00BE4D52" w:rsidRPr="00B53F47">
        <w:rPr>
          <w:bCs/>
          <w:color w:val="000000"/>
          <w:w w:val="15"/>
          <w:shd w:val="solid" w:color="000000" w:fill="000000"/>
          <w:fitText w:val="-20" w:id="-1280026877"/>
          <w:lang w:val="en-GB" w:eastAsia="en-US"/>
          <w14:textFill>
            <w14:solidFill>
              <w14:srgbClr w14:val="000000">
                <w14:alpha w14:val="100000"/>
              </w14:srgbClr>
            </w14:solidFill>
          </w14:textFill>
        </w:rPr>
        <w:t xml:space="preserve">|  </w:t>
      </w:r>
      <w:r w:rsidR="00BE4D52" w:rsidRPr="00B53F47">
        <w:rPr>
          <w:bCs/>
          <w:color w:val="000000"/>
          <w:spacing w:val="-69"/>
          <w:w w:val="15"/>
          <w:shd w:val="solid" w:color="000000" w:fill="000000"/>
          <w:fitText w:val="-20" w:id="-1280026877"/>
          <w:lang w:val="en-GB" w:eastAsia="en-US"/>
          <w14:textFill>
            <w14:solidFill>
              <w14:srgbClr w14:val="000000">
                <w14:alpha w14:val="100000"/>
              </w14:srgbClr>
            </w14:solidFill>
          </w14:textFill>
        </w:rPr>
        <w:t>|</w:t>
      </w:r>
      <w:r w:rsidR="00BE4D52" w:rsidRPr="00BE4D52">
        <w:rPr>
          <w:bCs/>
          <w:color w:val="000000"/>
          <w:spacing w:val="1"/>
          <w:w w:val="54"/>
          <w:shd w:val="solid" w:color="000000" w:fill="000000"/>
          <w:fitText w:val="7440" w:id="-1280026876"/>
          <w:lang w:val="en-GB" w:eastAsia="en-US"/>
          <w14:textFill>
            <w14:solidFill>
              <w14:srgbClr w14:val="000000">
                <w14:alpha w14:val="100000"/>
              </w14:srgbClr>
            </w14:solidFill>
          </w14:textFill>
        </w:rPr>
        <w:t>|||||||||||||||||||||||||||||||||||||||||||||||||||||||||||||  ||||||||||||||||||||||||||||||||||||||||||||||||||||||||||||</w:t>
      </w:r>
      <w:r w:rsidR="00BE4D52" w:rsidRPr="00BE4D52">
        <w:rPr>
          <w:bCs/>
          <w:color w:val="000000"/>
          <w:spacing w:val="-18"/>
          <w:w w:val="54"/>
          <w:shd w:val="solid" w:color="000000" w:fill="000000"/>
          <w:fitText w:val="7440" w:id="-1280026876"/>
          <w:lang w:val="en-GB" w:eastAsia="en-US"/>
          <w14:textFill>
            <w14:solidFill>
              <w14:srgbClr w14:val="000000">
                <w14:alpha w14:val="100000"/>
              </w14:srgbClr>
            </w14:solidFill>
          </w14:textFill>
        </w:rPr>
        <w:t>|</w:t>
      </w:r>
      <w:r w:rsidR="00BE4D52" w:rsidRPr="00BE4D52">
        <w:rPr>
          <w:bCs/>
          <w:color w:val="000000"/>
          <w:spacing w:val="1"/>
          <w:w w:val="54"/>
          <w:shd w:val="solid" w:color="000000" w:fill="000000"/>
          <w:fitText w:val="7440" w:id="-1280026875"/>
          <w:lang w:val="en-GB" w:eastAsia="en-US"/>
          <w14:textFill>
            <w14:solidFill>
              <w14:srgbClr w14:val="000000">
                <w14:alpha w14:val="100000"/>
              </w14:srgbClr>
            </w14:solidFill>
          </w14:textFill>
        </w:rPr>
        <w:t>|||||||||||||||||||||||||||||||||||||||||||||||||||||||||||||  ||||||||||||||||||||||||||||||||||||||||||||||||||||||||||||</w:t>
      </w:r>
      <w:r w:rsidR="00BE4D52" w:rsidRPr="00BE4D52">
        <w:rPr>
          <w:bCs/>
          <w:color w:val="000000"/>
          <w:spacing w:val="-18"/>
          <w:w w:val="54"/>
          <w:shd w:val="solid" w:color="000000" w:fill="000000"/>
          <w:fitText w:val="7440" w:id="-1280026875"/>
          <w:lang w:val="en-GB" w:eastAsia="en-US"/>
          <w14:textFill>
            <w14:solidFill>
              <w14:srgbClr w14:val="000000">
                <w14:alpha w14:val="100000"/>
              </w14:srgbClr>
            </w14:solidFill>
          </w14:textFill>
        </w:rPr>
        <w:t>|</w:t>
      </w:r>
      <w:r w:rsidR="00BE4D52" w:rsidRPr="00FC7B41">
        <w:rPr>
          <w:bCs/>
          <w:color w:val="000000"/>
          <w:spacing w:val="1"/>
          <w:w w:val="54"/>
          <w:shd w:val="solid" w:color="000000" w:fill="000000"/>
          <w:fitText w:val="7440" w:id="-1280026874"/>
          <w:lang w:val="en-GB" w:eastAsia="en-US"/>
          <w14:textFill>
            <w14:solidFill>
              <w14:srgbClr w14:val="000000">
                <w14:alpha w14:val="100000"/>
              </w14:srgbClr>
            </w14:solidFill>
          </w14:textFill>
        </w:rPr>
        <w:t>|||||||||||||||||||||||||||||||||||||||||||||||||||||||||||||  ||||||||||||||||||||||||||||||||||||||||||||||||||||||||||||</w:t>
      </w:r>
      <w:r w:rsidR="00BE4D52" w:rsidRPr="00FC7B41">
        <w:rPr>
          <w:bCs/>
          <w:color w:val="000000"/>
          <w:spacing w:val="-18"/>
          <w:w w:val="54"/>
          <w:shd w:val="solid" w:color="000000" w:fill="000000"/>
          <w:fitText w:val="7440" w:id="-1280026874"/>
          <w:lang w:val="en-GB" w:eastAsia="en-US"/>
          <w14:textFill>
            <w14:solidFill>
              <w14:srgbClr w14:val="000000">
                <w14:alpha w14:val="100000"/>
              </w14:srgbClr>
            </w14:solidFill>
          </w14:textFill>
        </w:rPr>
        <w:t>|</w:t>
      </w:r>
      <w:r w:rsidR="00BE4D52">
        <w:rPr>
          <w:bCs/>
          <w:lang w:val="en-GB" w:eastAsia="en-US"/>
        </w:rPr>
        <w:t xml:space="preserve"> </w:t>
      </w:r>
      <w:r w:rsidR="00BE4D52" w:rsidRPr="00FC7B41">
        <w:rPr>
          <w:bCs/>
          <w:color w:val="000000"/>
          <w:w w:val="55"/>
          <w:shd w:val="solid" w:color="000000" w:fill="000000"/>
          <w:fitText w:val="1160" w:id="-1280026873"/>
          <w:lang w:val="en-GB" w:eastAsia="en-US"/>
          <w14:textFill>
            <w14:solidFill>
              <w14:srgbClr w14:val="000000">
                <w14:alpha w14:val="100000"/>
              </w14:srgbClr>
            </w14:solidFill>
          </w14:textFill>
        </w:rPr>
        <w:t>|||||||||  |||||||||</w:t>
      </w:r>
    </w:p>
    <w:p w14:paraId="58E407B7" w14:textId="77777777" w:rsidR="002633E4" w:rsidRPr="002633E4" w:rsidRDefault="002633E4" w:rsidP="002633E4">
      <w:pPr>
        <w:pStyle w:val="COMexecsumnumberedpara"/>
        <w:rPr>
          <w:bCs/>
          <w:lang w:val="en-GB" w:eastAsia="en-US"/>
        </w:rPr>
      </w:pPr>
      <w:r w:rsidRPr="002633E4">
        <w:rPr>
          <w:bCs/>
          <w:lang w:val="en-GB" w:eastAsia="en-US"/>
        </w:rPr>
        <w:t>The resubmission may be lodged at any future standard due date for PBAC submissions using the standard re-entry pathway.</w:t>
      </w:r>
    </w:p>
    <w:p w14:paraId="0AA2F7C2" w14:textId="0D28CB22" w:rsidR="0019751D" w:rsidRPr="008E73E7" w:rsidRDefault="00CE0462" w:rsidP="0019751D">
      <w:pPr>
        <w:widowControl w:val="0"/>
        <w:numPr>
          <w:ilvl w:val="1"/>
          <w:numId w:val="1"/>
        </w:numPr>
        <w:spacing w:after="120"/>
        <w:ind w:left="720" w:hanging="720"/>
        <w:rPr>
          <w:rFonts w:asciiTheme="minorHAnsi" w:hAnsiTheme="minorHAnsi"/>
          <w:bCs/>
          <w:i/>
          <w:snapToGrid w:val="0"/>
          <w:lang w:val="en-GB" w:eastAsia="en-US"/>
        </w:rPr>
      </w:pPr>
      <w:r w:rsidRPr="00CE0462">
        <w:rPr>
          <w:rFonts w:asciiTheme="minorHAnsi" w:hAnsiTheme="minorHAnsi"/>
          <w:bCs/>
          <w:snapToGrid w:val="0"/>
          <w:lang w:val="en-GB" w:eastAsia="en-US"/>
        </w:rPr>
        <w:t xml:space="preserve">The PBAC noted that this </w:t>
      </w:r>
      <w:r w:rsidR="00E6355E">
        <w:rPr>
          <w:rFonts w:asciiTheme="minorHAnsi" w:hAnsiTheme="minorHAnsi"/>
          <w:bCs/>
          <w:snapToGrid w:val="0"/>
          <w:lang w:val="en-GB" w:eastAsia="en-US"/>
        </w:rPr>
        <w:t>re</w:t>
      </w:r>
      <w:r w:rsidRPr="00CE0462">
        <w:rPr>
          <w:rFonts w:asciiTheme="minorHAnsi" w:hAnsiTheme="minorHAnsi"/>
          <w:bCs/>
          <w:snapToGrid w:val="0"/>
          <w:lang w:val="en-GB" w:eastAsia="en-US"/>
        </w:rPr>
        <w:t>submission is eligible for an Independent Review.</w:t>
      </w:r>
    </w:p>
    <w:p w14:paraId="4B669DC4" w14:textId="4F20624F" w:rsidR="008E73E7" w:rsidRDefault="008E73E7" w:rsidP="008E73E7">
      <w:pPr>
        <w:widowControl w:val="0"/>
        <w:numPr>
          <w:ilvl w:val="1"/>
          <w:numId w:val="1"/>
        </w:numPr>
        <w:spacing w:after="120"/>
        <w:ind w:left="720" w:hanging="720"/>
        <w:rPr>
          <w:rFonts w:asciiTheme="minorHAnsi" w:hAnsiTheme="minorHAnsi"/>
          <w:bCs/>
          <w:snapToGrid w:val="0"/>
          <w:lang w:val="en-GB" w:eastAsia="en-US"/>
        </w:rPr>
      </w:pPr>
      <w:r>
        <w:rPr>
          <w:rFonts w:asciiTheme="minorHAnsi" w:hAnsiTheme="minorHAnsi"/>
          <w:bCs/>
          <w:snapToGrid w:val="0"/>
          <w:lang w:val="en-GB" w:eastAsia="en-US"/>
        </w:rPr>
        <w:t xml:space="preserve">Based on the advice received as part of the clinical </w:t>
      </w:r>
      <w:r w:rsidRPr="00E0117E">
        <w:rPr>
          <w:bCs/>
        </w:rPr>
        <w:t>consultation held on 1 December 2022</w:t>
      </w:r>
      <w:r>
        <w:rPr>
          <w:bCs/>
        </w:rPr>
        <w:t xml:space="preserve"> </w:t>
      </w:r>
      <w:r>
        <w:t xml:space="preserve">(paragraph </w:t>
      </w:r>
      <w:r>
        <w:fldChar w:fldCharType="begin" w:fldLock="1"/>
      </w:r>
      <w:r>
        <w:instrText xml:space="preserve"> REF _Ref122578048 \r \h </w:instrText>
      </w:r>
      <w:r>
        <w:fldChar w:fldCharType="separate"/>
      </w:r>
      <w:r w:rsidR="00CB2B8B">
        <w:t>6.4</w:t>
      </w:r>
      <w:r>
        <w:fldChar w:fldCharType="end"/>
      </w:r>
      <w:r>
        <w:rPr>
          <w:lang w:val="en-GB" w:eastAsia="en-US"/>
        </w:rPr>
        <w:t>)</w:t>
      </w:r>
      <w:r>
        <w:rPr>
          <w:iCs/>
        </w:rPr>
        <w:t xml:space="preserve">, </w:t>
      </w:r>
      <w:r>
        <w:rPr>
          <w:bCs/>
        </w:rPr>
        <w:t xml:space="preserve">the PBAC advised that the </w:t>
      </w:r>
      <w:r>
        <w:rPr>
          <w:rFonts w:asciiTheme="minorHAnsi" w:hAnsiTheme="minorHAnsi"/>
          <w:bCs/>
          <w:snapToGrid w:val="0"/>
          <w:lang w:val="en-GB" w:eastAsia="en-US"/>
        </w:rPr>
        <w:t>existing PBS criteria for CLL/SLL treatments be amended as follows:</w:t>
      </w:r>
    </w:p>
    <w:p w14:paraId="3ABF3D66" w14:textId="3BF1ACE7" w:rsidR="008E73E7" w:rsidRPr="00821DBA" w:rsidRDefault="008E73E7" w:rsidP="00821DBA">
      <w:pPr>
        <w:pStyle w:val="ListParagraph"/>
        <w:widowControl w:val="0"/>
        <w:numPr>
          <w:ilvl w:val="0"/>
          <w:numId w:val="25"/>
        </w:numPr>
        <w:ind w:left="1037" w:hanging="357"/>
        <w:rPr>
          <w:rFonts w:cstheme="minorHAnsi"/>
          <w:lang w:eastAsia="en-US"/>
        </w:rPr>
      </w:pPr>
      <w:r w:rsidRPr="00821DBA">
        <w:rPr>
          <w:rFonts w:cstheme="minorHAnsi"/>
          <w:lang w:eastAsia="en-US"/>
        </w:rPr>
        <w:t>The venetoclax + obinutuzumab restriction</w:t>
      </w:r>
      <w:r w:rsidR="00D363A4" w:rsidRPr="00821DBA">
        <w:rPr>
          <w:rFonts w:cstheme="minorHAnsi"/>
          <w:lang w:eastAsia="en-US"/>
        </w:rPr>
        <w:t>s</w:t>
      </w:r>
      <w:r w:rsidRPr="00821DBA">
        <w:rPr>
          <w:rFonts w:cstheme="minorHAnsi"/>
          <w:lang w:eastAsia="en-US"/>
        </w:rPr>
        <w:t xml:space="preserve"> for first-line CLL/SLL should be updated to remove the criterion </w:t>
      </w:r>
      <w:r w:rsidRPr="00E0117E">
        <w:t xml:space="preserve">‘inappropriate for fludarabine-based </w:t>
      </w:r>
      <w:r w:rsidR="007D6516">
        <w:t>chemoimmunotherapy</w:t>
      </w:r>
      <w:r w:rsidRPr="00E0117E">
        <w:t>’</w:t>
      </w:r>
      <w:r w:rsidR="00DA59E4">
        <w:t xml:space="preserve"> and r</w:t>
      </w:r>
      <w:r w:rsidR="00DA59E4" w:rsidRPr="00821DBA">
        <w:rPr>
          <w:iCs/>
        </w:rPr>
        <w:t>emove reference to the requirement for patients to have a CIRS score &gt; 6 or creatinine clearance &lt; 70 mL/min given the CIRS score</w:t>
      </w:r>
      <w:r w:rsidR="00DA59E4" w:rsidRPr="00821DBA" w:rsidDel="00DA59E4">
        <w:rPr>
          <w:iCs/>
        </w:rPr>
        <w:t xml:space="preserve"> </w:t>
      </w:r>
      <w:r w:rsidR="00DA59E4" w:rsidRPr="00821DBA">
        <w:rPr>
          <w:iCs/>
        </w:rPr>
        <w:t>was designed to predict toxicity with chemoimmunotherapy rather than targeted agents.</w:t>
      </w:r>
    </w:p>
    <w:p w14:paraId="55A339AF" w14:textId="4182EFC9" w:rsidR="008E73E7" w:rsidRPr="00B4577C" w:rsidRDefault="008E73E7" w:rsidP="008E73E7">
      <w:pPr>
        <w:pStyle w:val="ListParagraph"/>
        <w:widowControl w:val="0"/>
        <w:numPr>
          <w:ilvl w:val="0"/>
          <w:numId w:val="25"/>
        </w:numPr>
        <w:ind w:left="1037" w:hanging="357"/>
      </w:pPr>
      <w:r w:rsidRPr="00996920">
        <w:t xml:space="preserve">The requirement for patients to be considered unsuitable for treatment or retreatment with a purine analogue should be removed from the restrictions for </w:t>
      </w:r>
      <w:r w:rsidRPr="00996920">
        <w:lastRenderedPageBreak/>
        <w:t>PBS listed drugs for CLL/SLL in the relapsed or refractory setting. The PBAC noted this would remove the notes defining this criterion (which include criteria around factors like age and/or CIRS score and del17p).</w:t>
      </w:r>
    </w:p>
    <w:p w14:paraId="269F7B37" w14:textId="77777777" w:rsidR="00CE0462" w:rsidRPr="00CE0462" w:rsidRDefault="00CE0462" w:rsidP="00CB3E86">
      <w:pPr>
        <w:spacing w:before="240"/>
        <w:rPr>
          <w:rFonts w:asciiTheme="minorHAnsi" w:hAnsiTheme="minorHAnsi"/>
          <w:b/>
          <w:bCs/>
          <w:snapToGrid w:val="0"/>
          <w:lang w:val="en-GB" w:eastAsia="en-US"/>
        </w:rPr>
      </w:pPr>
      <w:r w:rsidRPr="00CE0462">
        <w:rPr>
          <w:rFonts w:asciiTheme="minorHAnsi" w:hAnsiTheme="minorHAnsi"/>
          <w:b/>
          <w:bCs/>
          <w:snapToGrid w:val="0"/>
          <w:lang w:val="en-GB" w:eastAsia="en-US"/>
        </w:rPr>
        <w:t>Outcome:</w:t>
      </w:r>
    </w:p>
    <w:p w14:paraId="4F46A8D9" w14:textId="73452100" w:rsidR="00CE0462" w:rsidRPr="00CE0462" w:rsidRDefault="00CE0462" w:rsidP="00CB3E86">
      <w:pPr>
        <w:spacing w:after="120"/>
        <w:rPr>
          <w:rFonts w:asciiTheme="minorHAnsi" w:hAnsiTheme="minorHAnsi"/>
          <w:bCs/>
          <w:snapToGrid w:val="0"/>
          <w:lang w:val="en-GB" w:eastAsia="en-US"/>
        </w:rPr>
      </w:pPr>
      <w:r w:rsidRPr="00CE0462">
        <w:rPr>
          <w:rFonts w:asciiTheme="minorHAnsi" w:hAnsiTheme="minorHAnsi"/>
          <w:bCs/>
          <w:snapToGrid w:val="0"/>
          <w:lang w:val="en-GB" w:eastAsia="en-US"/>
        </w:rPr>
        <w:t>Not recommended</w:t>
      </w:r>
    </w:p>
    <w:bookmarkEnd w:id="122"/>
    <w:p w14:paraId="506C66E1" w14:textId="71134287" w:rsidR="00CB03D4" w:rsidRDefault="00CB03D4" w:rsidP="00E3760F">
      <w:pPr>
        <w:pStyle w:val="COMH1numbered"/>
        <w:rPr>
          <w:bCs/>
          <w:lang w:val="en-GB"/>
        </w:rPr>
      </w:pPr>
      <w:r w:rsidRPr="00C07617">
        <w:t>Context for Decision</w:t>
      </w:r>
    </w:p>
    <w:p w14:paraId="69B3A1AC" w14:textId="77777777" w:rsidR="00CB03D4" w:rsidRPr="007129F2" w:rsidRDefault="00CB03D4" w:rsidP="00E3760F">
      <w:pPr>
        <w:spacing w:after="120"/>
        <w:ind w:left="720"/>
        <w:rPr>
          <w:rFonts w:asciiTheme="minorHAnsi" w:hAnsiTheme="minorHAnsi"/>
          <w:bCs/>
          <w:lang w:val="en-GB"/>
        </w:rPr>
      </w:pPr>
      <w:r w:rsidRPr="007129F2">
        <w:rPr>
          <w:rFonts w:asciiTheme="minorHAnsi" w:hAnsiTheme="minorHAnsi"/>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B4E3ED1" w14:textId="5066172B" w:rsidR="00CB03D4" w:rsidRPr="00C07617" w:rsidRDefault="00CB03D4" w:rsidP="00E3760F">
      <w:pPr>
        <w:pStyle w:val="COMH1numbered"/>
      </w:pPr>
      <w:r>
        <w:t>Sponsor’s Comment</w:t>
      </w:r>
    </w:p>
    <w:p w14:paraId="0EAFBF2C" w14:textId="77777777" w:rsidR="00CB03D4" w:rsidRPr="001179AC" w:rsidRDefault="00CB03D4" w:rsidP="00E3760F">
      <w:pPr>
        <w:spacing w:after="120"/>
        <w:ind w:left="426" w:firstLine="294"/>
        <w:rPr>
          <w:rFonts w:asciiTheme="minorHAnsi" w:hAnsiTheme="minorHAnsi"/>
          <w:bCs/>
        </w:rPr>
      </w:pPr>
      <w:r w:rsidRPr="00C07617">
        <w:rPr>
          <w:rFonts w:asciiTheme="minorHAnsi" w:hAnsiTheme="minorHAnsi"/>
          <w:bCs/>
        </w:rPr>
        <w:t>The sponsor had no comment.</w:t>
      </w:r>
    </w:p>
    <w:p w14:paraId="53548202" w14:textId="37BA5D1D" w:rsidR="00513861" w:rsidRPr="008E7B15" w:rsidRDefault="00513861" w:rsidP="008E7B15">
      <w:pPr>
        <w:keepNext/>
        <w:keepLines/>
        <w:widowControl w:val="0"/>
        <w:spacing w:after="120"/>
        <w:rPr>
          <w:rFonts w:asciiTheme="minorHAnsi" w:hAnsiTheme="minorHAnsi"/>
          <w:b/>
          <w:bCs/>
          <w:snapToGrid w:val="0"/>
          <w:lang w:eastAsia="en-US"/>
        </w:rPr>
      </w:pPr>
    </w:p>
    <w:sectPr w:rsidR="00513861" w:rsidRPr="008E7B15" w:rsidSect="0070357D">
      <w:headerReference w:type="even" r:id="rId15"/>
      <w:headerReference w:type="default" r:id="rId16"/>
      <w:footerReference w:type="even" r:id="rId17"/>
      <w:footerReference w:type="default" r:id="rId18"/>
      <w:pgSz w:w="11907" w:h="16840" w:code="9"/>
      <w:pgMar w:top="1440" w:right="1440" w:bottom="1440" w:left="1440" w:header="1440" w:footer="14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A428F" w14:textId="77777777" w:rsidR="0068260A" w:rsidRDefault="0068260A" w:rsidP="00124A51">
      <w:r>
        <w:separator/>
      </w:r>
    </w:p>
    <w:p w14:paraId="266851FA" w14:textId="77777777" w:rsidR="0068260A" w:rsidRDefault="0068260A"/>
    <w:p w14:paraId="0B1D9833" w14:textId="77777777" w:rsidR="0068260A" w:rsidRDefault="0068260A"/>
  </w:endnote>
  <w:endnote w:type="continuationSeparator" w:id="0">
    <w:p w14:paraId="71C46A3B" w14:textId="77777777" w:rsidR="0068260A" w:rsidRDefault="0068260A" w:rsidP="00124A51">
      <w:r>
        <w:continuationSeparator/>
      </w:r>
    </w:p>
    <w:p w14:paraId="172C5285" w14:textId="77777777" w:rsidR="0068260A" w:rsidRDefault="0068260A"/>
    <w:p w14:paraId="1A66802D" w14:textId="77777777" w:rsidR="0068260A" w:rsidRDefault="006826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2574D8" w14:textId="77777777" w:rsidR="003111C4" w:rsidRDefault="003111C4">
    <w:pPr>
      <w:pStyle w:val="Footer"/>
    </w:pPr>
  </w:p>
  <w:p w14:paraId="716572DB" w14:textId="77777777" w:rsidR="00BD2928" w:rsidRDefault="00BD2928"/>
  <w:p w14:paraId="58EB4393" w14:textId="77777777" w:rsidR="00BD2928" w:rsidRDefault="00BD2928"/>
  <w:p w14:paraId="031D3439" w14:textId="77777777" w:rsidR="00BD2928" w:rsidRDefault="00BD29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63511" w14:textId="67DAD566" w:rsidR="00FC5B75" w:rsidRDefault="00FC5B75" w:rsidP="00753B29">
    <w:pPr>
      <w:jc w:val="center"/>
    </w:pPr>
  </w:p>
  <w:p w14:paraId="37484CD3" w14:textId="48759D8A" w:rsidR="00FC5B75" w:rsidRPr="00C71AED" w:rsidRDefault="00B53F47" w:rsidP="00753B29">
    <w:pPr>
      <w:jc w:val="center"/>
      <w:rPr>
        <w:b/>
        <w:bCs/>
      </w:rPr>
    </w:pPr>
    <w:sdt>
      <w:sdtPr>
        <w:rPr>
          <w:b/>
          <w:bCs/>
        </w:rPr>
        <w:id w:val="1036156457"/>
        <w:docPartObj>
          <w:docPartGallery w:val="Page Numbers (Bottom of Page)"/>
          <w:docPartUnique/>
        </w:docPartObj>
      </w:sdtPr>
      <w:sdtEndPr>
        <w:rPr>
          <w:noProof/>
        </w:rPr>
      </w:sdtEndPr>
      <w:sdtContent>
        <w:r w:rsidR="00FC5B75" w:rsidRPr="00C71AED">
          <w:rPr>
            <w:b/>
            <w:bCs/>
          </w:rPr>
          <w:fldChar w:fldCharType="begin"/>
        </w:r>
        <w:r w:rsidR="00FC5B75" w:rsidRPr="00C71AED">
          <w:rPr>
            <w:b/>
            <w:bCs/>
          </w:rPr>
          <w:instrText xml:space="preserve"> PAGE   \* MERGEFORMAT </w:instrText>
        </w:r>
        <w:r w:rsidR="00FC5B75" w:rsidRPr="00C71AED">
          <w:rPr>
            <w:b/>
            <w:bCs/>
          </w:rPr>
          <w:fldChar w:fldCharType="separate"/>
        </w:r>
        <w:r w:rsidR="00FC5B75" w:rsidRPr="00C71AED">
          <w:rPr>
            <w:b/>
            <w:bCs/>
            <w:noProof/>
          </w:rPr>
          <w:t>2</w:t>
        </w:r>
        <w:r w:rsidR="00FC5B75" w:rsidRPr="00C71AED">
          <w:rPr>
            <w:b/>
            <w:bCs/>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F16D1A" w14:textId="77777777" w:rsidR="0068260A" w:rsidRDefault="0068260A" w:rsidP="00124A51">
      <w:r>
        <w:separator/>
      </w:r>
    </w:p>
    <w:p w14:paraId="49F37967" w14:textId="77777777" w:rsidR="0068260A" w:rsidRDefault="0068260A"/>
    <w:p w14:paraId="1C85411B" w14:textId="77777777" w:rsidR="0068260A" w:rsidRDefault="0068260A"/>
  </w:footnote>
  <w:footnote w:type="continuationSeparator" w:id="0">
    <w:p w14:paraId="351AE08A" w14:textId="77777777" w:rsidR="0068260A" w:rsidRDefault="0068260A" w:rsidP="00124A51">
      <w:r>
        <w:continuationSeparator/>
      </w:r>
    </w:p>
    <w:p w14:paraId="6324EA98" w14:textId="77777777" w:rsidR="0068260A" w:rsidRDefault="0068260A"/>
    <w:p w14:paraId="1A48A89B" w14:textId="77777777" w:rsidR="0068260A" w:rsidRDefault="0068260A"/>
  </w:footnote>
  <w:footnote w:id="1">
    <w:p w14:paraId="29BC9B25" w14:textId="7677AF34" w:rsidR="00220CD5" w:rsidRDefault="00220CD5" w:rsidP="00220CD5">
      <w:pPr>
        <w:pStyle w:val="FootnoteText"/>
      </w:pPr>
      <w:r>
        <w:rPr>
          <w:rStyle w:val="FootnoteReference"/>
        </w:rPr>
        <w:footnoteRef/>
      </w:r>
      <w:r>
        <w:t xml:space="preserve"> Sharman JP, et al. Acalabrutinib with or without obinutuzumab versus chlorambucil and obinutuz</w:t>
      </w:r>
      <w:r w:rsidR="00317BF2">
        <w:t>u</w:t>
      </w:r>
      <w:r>
        <w:t xml:space="preserve">mab for treatment-naive chronic lymphocytic leukaemia (ELEVATE TN): a randomised, controlled, phase 3 trial. Lancet. 2020 Apr 18;395(10232):1278-1291. doi: 10.1016/S0140-6736(20)30262-2. Accessed at: </w:t>
      </w:r>
      <w:r w:rsidRPr="00220CD5">
        <w:t>https://www.ncbi.nlm.nih.gov/pmc/articles/PMC8151619/#SD1</w:t>
      </w:r>
      <w:r>
        <w: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C1703" w14:textId="77777777" w:rsidR="003111C4" w:rsidRDefault="003111C4">
    <w:pPr>
      <w:pStyle w:val="Header"/>
    </w:pPr>
  </w:p>
  <w:p w14:paraId="1BF90679" w14:textId="77777777" w:rsidR="00BD2928" w:rsidRDefault="00BD2928"/>
  <w:p w14:paraId="26EBA276" w14:textId="77777777" w:rsidR="00BD2928" w:rsidRDefault="00BD2928"/>
  <w:p w14:paraId="73F0269A" w14:textId="77777777" w:rsidR="00BD2928" w:rsidRDefault="00BD29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E204" w14:textId="0D2D6807" w:rsidR="00FC5B75" w:rsidRPr="00195452" w:rsidRDefault="00CB03D4" w:rsidP="003C2DE2">
    <w:pPr>
      <w:jc w:val="center"/>
      <w:rPr>
        <w:rFonts w:asciiTheme="minorHAnsi" w:hAnsiTheme="minorHAnsi"/>
        <w:i/>
        <w:color w:val="808080"/>
      </w:rPr>
    </w:pPr>
    <w:r>
      <w:rPr>
        <w:rFonts w:asciiTheme="minorHAnsi" w:hAnsiTheme="minorHAnsi"/>
        <w:i/>
        <w:color w:val="808080"/>
      </w:rPr>
      <w:t>Public Summary Document</w:t>
    </w:r>
    <w:r w:rsidR="00E44776">
      <w:rPr>
        <w:rFonts w:asciiTheme="minorHAnsi" w:hAnsiTheme="minorHAnsi"/>
        <w:i/>
        <w:color w:val="808080"/>
      </w:rPr>
      <w:t xml:space="preserve"> – December </w:t>
    </w:r>
    <w:r w:rsidR="00FC5B75">
      <w:rPr>
        <w:rFonts w:asciiTheme="minorHAnsi" w:hAnsiTheme="minorHAnsi"/>
        <w:i/>
        <w:color w:val="808080"/>
      </w:rPr>
      <w:t xml:space="preserve">2022 </w:t>
    </w:r>
    <w:r w:rsidR="00FC5B75" w:rsidRPr="00195452">
      <w:rPr>
        <w:rFonts w:asciiTheme="minorHAnsi" w:hAnsiTheme="minorHAnsi"/>
        <w:i/>
        <w:color w:val="808080"/>
      </w:rPr>
      <w:t xml:space="preserve">PBAC </w:t>
    </w:r>
    <w:r w:rsidR="00E44776">
      <w:rPr>
        <w:rFonts w:asciiTheme="minorHAnsi" w:hAnsiTheme="minorHAnsi"/>
        <w:i/>
        <w:color w:val="808080"/>
      </w:rPr>
      <w:t xml:space="preserve">Intracycle </w:t>
    </w:r>
    <w:r w:rsidR="00FC5B75" w:rsidRPr="00195452">
      <w:rPr>
        <w:rFonts w:asciiTheme="minorHAnsi" w:hAnsiTheme="minorHAnsi"/>
        <w:i/>
        <w:color w:val="808080"/>
      </w:rPr>
      <w:t>Meeting</w:t>
    </w:r>
  </w:p>
  <w:p w14:paraId="03AF943B" w14:textId="77777777" w:rsidR="00FC5B75" w:rsidRPr="008C7ECB" w:rsidRDefault="00FC5B7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A4E2E"/>
    <w:multiLevelType w:val="hybridMultilevel"/>
    <w:tmpl w:val="07E2AFE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EA32D8D"/>
    <w:multiLevelType w:val="hybridMultilevel"/>
    <w:tmpl w:val="5B5AF720"/>
    <w:lvl w:ilvl="0" w:tplc="A7503890">
      <w:start w:val="1"/>
      <w:numFmt w:val="bullet"/>
      <w:lvlText w:val="-"/>
      <w:lvlJc w:val="left"/>
      <w:pPr>
        <w:ind w:left="1440" w:hanging="360"/>
      </w:pPr>
      <w:rPr>
        <w:rFonts w:ascii="Calibri" w:eastAsia="Times New Roman" w:hAnsi="Calibri" w:cs="Calibr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10177A54"/>
    <w:multiLevelType w:val="hybridMultilevel"/>
    <w:tmpl w:val="72500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7C21C68"/>
    <w:multiLevelType w:val="hybridMultilevel"/>
    <w:tmpl w:val="0EB20A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DEE6EF3"/>
    <w:multiLevelType w:val="hybridMultilevel"/>
    <w:tmpl w:val="910C0134"/>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FB219F8"/>
    <w:multiLevelType w:val="hybridMultilevel"/>
    <w:tmpl w:val="6CA0CEB4"/>
    <w:lvl w:ilvl="0" w:tplc="4F38898A">
      <w:start w:val="1"/>
      <w:numFmt w:val="bullet"/>
      <w:pStyle w:val="COMexecsummmainissues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4520D7E"/>
    <w:multiLevelType w:val="multilevel"/>
    <w:tmpl w:val="A9AE0504"/>
    <w:lvl w:ilvl="0">
      <w:start w:val="1"/>
      <w:numFmt w:val="decimal"/>
      <w:lvlText w:val="%1"/>
      <w:lvlJc w:val="left"/>
      <w:pPr>
        <w:ind w:left="720" w:hanging="720"/>
      </w:pPr>
      <w:rPr>
        <w:rFonts w:hint="default"/>
        <w:b/>
      </w:rPr>
    </w:lvl>
    <w:lvl w:ilvl="1">
      <w:start w:val="1"/>
      <w:numFmt w:val="bullet"/>
      <w:lvlText w:val=""/>
      <w:lvlJc w:val="left"/>
      <w:rPr>
        <w:rFonts w:ascii="Symbol" w:hAnsi="Symbol"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D69517E"/>
    <w:multiLevelType w:val="hybridMultilevel"/>
    <w:tmpl w:val="EFC04D70"/>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37213A6E"/>
    <w:multiLevelType w:val="hybridMultilevel"/>
    <w:tmpl w:val="F4EA4A92"/>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377823FE"/>
    <w:multiLevelType w:val="hybridMultilevel"/>
    <w:tmpl w:val="0010BA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403D2756"/>
    <w:multiLevelType w:val="multilevel"/>
    <w:tmpl w:val="2CCABA2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bCs w:val="0"/>
        <w:i w:val="0"/>
        <w:iCs w:val="0"/>
        <w:color w:val="auto"/>
        <w:specVanish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4442297"/>
    <w:multiLevelType w:val="hybridMultilevel"/>
    <w:tmpl w:val="E6FE4E00"/>
    <w:lvl w:ilvl="0" w:tplc="C324F4FC">
      <w:start w:val="1"/>
      <w:numFmt w:val="bullet"/>
      <w:pStyle w:val="zz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7209BA"/>
    <w:multiLevelType w:val="hybridMultilevel"/>
    <w:tmpl w:val="8F08A41E"/>
    <w:lvl w:ilvl="0" w:tplc="96722EC4">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58D67A6"/>
    <w:multiLevelType w:val="hybridMultilevel"/>
    <w:tmpl w:val="FAB8EED8"/>
    <w:lvl w:ilvl="0" w:tplc="8708BEC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BF0605"/>
    <w:multiLevelType w:val="hybridMultilevel"/>
    <w:tmpl w:val="38081940"/>
    <w:lvl w:ilvl="0" w:tplc="53845D3C">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A264642"/>
    <w:multiLevelType w:val="hybridMultilevel"/>
    <w:tmpl w:val="2FBE0EA2"/>
    <w:lvl w:ilvl="0" w:tplc="9EE2D310">
      <w:start w:val="10"/>
      <w:numFmt w:val="bullet"/>
      <w:lvlText w:val="-"/>
      <w:lvlJc w:val="left"/>
      <w:pPr>
        <w:ind w:left="720" w:hanging="360"/>
      </w:pPr>
      <w:rPr>
        <w:rFonts w:ascii="Arial Narrow" w:eastAsiaTheme="majorEastAsia" w:hAnsi="Arial Narrow"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E63ADB"/>
    <w:multiLevelType w:val="hybridMultilevel"/>
    <w:tmpl w:val="5CAE07C8"/>
    <w:lvl w:ilvl="0" w:tplc="83CA7A20">
      <w:start w:val="1"/>
      <w:numFmt w:val="bullet"/>
      <w:pStyle w:val="TableBullet"/>
      <w:lvlText w:val=""/>
      <w:lvlJc w:val="left"/>
      <w:pPr>
        <w:ind w:left="360" w:hanging="360"/>
      </w:pPr>
      <w:rPr>
        <w:rFonts w:ascii="Symbol" w:hAnsi="Symbol" w:hint="default"/>
      </w:rPr>
    </w:lvl>
    <w:lvl w:ilvl="1" w:tplc="0C090003">
      <w:start w:val="1"/>
      <w:numFmt w:val="bullet"/>
      <w:lvlText w:val="o"/>
      <w:lvlJc w:val="left"/>
      <w:pPr>
        <w:ind w:left="785" w:hanging="360"/>
      </w:pPr>
      <w:rPr>
        <w:rFonts w:ascii="Courier New" w:hAnsi="Courier New" w:cs="Courier New" w:hint="default"/>
      </w:rPr>
    </w:lvl>
    <w:lvl w:ilvl="2" w:tplc="0C090001">
      <w:start w:val="1"/>
      <w:numFmt w:val="bullet"/>
      <w:lvlText w:val=""/>
      <w:lvlJc w:val="left"/>
      <w:pPr>
        <w:ind w:left="1800" w:hanging="360"/>
      </w:pPr>
      <w:rPr>
        <w:rFonts w:ascii="Symbol" w:hAnsi="Symbol"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80805CD"/>
    <w:multiLevelType w:val="hybridMultilevel"/>
    <w:tmpl w:val="A4EC99CE"/>
    <w:lvl w:ilvl="0" w:tplc="00000004">
      <w:numFmt w:val="bullet"/>
      <w:lvlText w:val="-"/>
      <w:lvlJc w:val="left"/>
      <w:pPr>
        <w:ind w:left="1080" w:hanging="360"/>
      </w:pPr>
      <w:rPr>
        <w:rFonts w:ascii="Times New Roman" w:hAnsi="Times New Roman"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4490050"/>
    <w:multiLevelType w:val="hybridMultilevel"/>
    <w:tmpl w:val="72500C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423E42"/>
    <w:multiLevelType w:val="hybridMultilevel"/>
    <w:tmpl w:val="A942B456"/>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84D033C"/>
    <w:multiLevelType w:val="multilevel"/>
    <w:tmpl w:val="45FC285E"/>
    <w:lvl w:ilvl="0">
      <w:start w:val="1"/>
      <w:numFmt w:val="decimal"/>
      <w:pStyle w:val="COMH1numbered"/>
      <w:lvlText w:val="%1"/>
      <w:lvlJc w:val="left"/>
      <w:pPr>
        <w:ind w:left="720" w:hanging="720"/>
      </w:pPr>
      <w:rPr>
        <w:rFonts w:hint="default"/>
        <w:b/>
      </w:rPr>
    </w:lvl>
    <w:lvl w:ilvl="1">
      <w:start w:val="1"/>
      <w:numFmt w:val="decimal"/>
      <w:pStyle w:val="COMexecsumnumberedpara"/>
      <w:lvlText w:val="%1.%2"/>
      <w:lvlJc w:val="left"/>
      <w:rPr>
        <w:rFonts w:asciiTheme="minorHAnsi" w:hAnsiTheme="minorHAnsi" w:cstheme="minorHAnsi" w:hint="default"/>
        <w:b w:val="0"/>
        <w:bCs w:val="0"/>
        <w:i w:val="0"/>
        <w:iCs w:val="0"/>
        <w:caps w:val="0"/>
        <w:smallCaps w:val="0"/>
        <w:strike w:val="0"/>
        <w:dstrike w:val="0"/>
        <w:noProof w:val="0"/>
        <w:vanish w:val="0"/>
        <w:color w:val="auto"/>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E236AD6"/>
    <w:multiLevelType w:val="hybridMultilevel"/>
    <w:tmpl w:val="17D46212"/>
    <w:lvl w:ilvl="0" w:tplc="0C09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abstractNumId w:val="20"/>
  </w:num>
  <w:num w:numId="2">
    <w:abstractNumId w:val="11"/>
  </w:num>
  <w:num w:numId="3">
    <w:abstractNumId w:val="13"/>
  </w:num>
  <w:num w:numId="4">
    <w:abstractNumId w:val="20"/>
  </w:num>
  <w:num w:numId="5">
    <w:abstractNumId w:val="5"/>
  </w:num>
  <w:num w:numId="6">
    <w:abstractNumId w:val="14"/>
  </w:num>
  <w:num w:numId="7">
    <w:abstractNumId w:val="16"/>
  </w:num>
  <w:num w:numId="8">
    <w:abstractNumId w:val="17"/>
  </w:num>
  <w:num w:numId="9">
    <w:abstractNumId w:val="1"/>
  </w:num>
  <w:num w:numId="10">
    <w:abstractNumId w:val="12"/>
  </w:num>
  <w:num w:numId="11">
    <w:abstractNumId w:val="0"/>
  </w:num>
  <w:num w:numId="12">
    <w:abstractNumId w:val="19"/>
  </w:num>
  <w:num w:numId="13">
    <w:abstractNumId w:val="21"/>
  </w:num>
  <w:num w:numId="14">
    <w:abstractNumId w:val="8"/>
  </w:num>
  <w:num w:numId="15">
    <w:abstractNumId w:val="7"/>
  </w:num>
  <w:num w:numId="16">
    <w:abstractNumId w:val="4"/>
  </w:num>
  <w:num w:numId="17">
    <w:abstractNumId w:val="15"/>
  </w:num>
  <w:num w:numId="18">
    <w:abstractNumId w:val="18"/>
  </w:num>
  <w:num w:numId="19">
    <w:abstractNumId w:val="2"/>
  </w:num>
  <w:num w:numId="20">
    <w:abstractNumId w:val="9"/>
  </w:num>
  <w:num w:numId="21">
    <w:abstractNumId w:val="6"/>
  </w:num>
  <w:num w:numId="22">
    <w:abstractNumId w:val="13"/>
  </w:num>
  <w:num w:numId="23">
    <w:abstractNumId w:val="13"/>
  </w:num>
  <w:num w:numId="24">
    <w:abstractNumId w:val="10"/>
  </w:num>
  <w:num w:numId="25">
    <w:abstractNumId w:val="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9"/>
    <w:rsid w:val="0000014B"/>
    <w:rsid w:val="00000790"/>
    <w:rsid w:val="000010C9"/>
    <w:rsid w:val="0000110B"/>
    <w:rsid w:val="000031A0"/>
    <w:rsid w:val="00003499"/>
    <w:rsid w:val="000034BC"/>
    <w:rsid w:val="00003863"/>
    <w:rsid w:val="000039B7"/>
    <w:rsid w:val="00003FD7"/>
    <w:rsid w:val="00004417"/>
    <w:rsid w:val="000056B9"/>
    <w:rsid w:val="00005790"/>
    <w:rsid w:val="0000639A"/>
    <w:rsid w:val="00007097"/>
    <w:rsid w:val="00010F73"/>
    <w:rsid w:val="00012200"/>
    <w:rsid w:val="00012357"/>
    <w:rsid w:val="000123FB"/>
    <w:rsid w:val="00013247"/>
    <w:rsid w:val="00013B37"/>
    <w:rsid w:val="00013B53"/>
    <w:rsid w:val="000144E0"/>
    <w:rsid w:val="00014562"/>
    <w:rsid w:val="00014871"/>
    <w:rsid w:val="00014A29"/>
    <w:rsid w:val="00015886"/>
    <w:rsid w:val="00015A16"/>
    <w:rsid w:val="000162EF"/>
    <w:rsid w:val="00016BF1"/>
    <w:rsid w:val="00020397"/>
    <w:rsid w:val="000207C9"/>
    <w:rsid w:val="00021A99"/>
    <w:rsid w:val="0002225F"/>
    <w:rsid w:val="00022578"/>
    <w:rsid w:val="00022858"/>
    <w:rsid w:val="000228EF"/>
    <w:rsid w:val="000232B5"/>
    <w:rsid w:val="000233AE"/>
    <w:rsid w:val="00023763"/>
    <w:rsid w:val="000237F7"/>
    <w:rsid w:val="00023AB6"/>
    <w:rsid w:val="00023B41"/>
    <w:rsid w:val="00024EB5"/>
    <w:rsid w:val="000251CE"/>
    <w:rsid w:val="00025467"/>
    <w:rsid w:val="0002546A"/>
    <w:rsid w:val="00025D33"/>
    <w:rsid w:val="00026601"/>
    <w:rsid w:val="00026604"/>
    <w:rsid w:val="00026E98"/>
    <w:rsid w:val="000274B8"/>
    <w:rsid w:val="000275CE"/>
    <w:rsid w:val="00027871"/>
    <w:rsid w:val="00030138"/>
    <w:rsid w:val="00030269"/>
    <w:rsid w:val="000309E9"/>
    <w:rsid w:val="00031169"/>
    <w:rsid w:val="0003222E"/>
    <w:rsid w:val="000323E7"/>
    <w:rsid w:val="00032854"/>
    <w:rsid w:val="00032BCE"/>
    <w:rsid w:val="00033398"/>
    <w:rsid w:val="00033863"/>
    <w:rsid w:val="00033F91"/>
    <w:rsid w:val="00034201"/>
    <w:rsid w:val="00035160"/>
    <w:rsid w:val="00035DC0"/>
    <w:rsid w:val="00035DDC"/>
    <w:rsid w:val="00035FD0"/>
    <w:rsid w:val="00035FFF"/>
    <w:rsid w:val="00036829"/>
    <w:rsid w:val="00037196"/>
    <w:rsid w:val="00040426"/>
    <w:rsid w:val="00040895"/>
    <w:rsid w:val="000410A0"/>
    <w:rsid w:val="00041348"/>
    <w:rsid w:val="00041B99"/>
    <w:rsid w:val="00041F39"/>
    <w:rsid w:val="00041FF7"/>
    <w:rsid w:val="000435EE"/>
    <w:rsid w:val="00043BED"/>
    <w:rsid w:val="00043C37"/>
    <w:rsid w:val="00043D8F"/>
    <w:rsid w:val="00044107"/>
    <w:rsid w:val="00045017"/>
    <w:rsid w:val="00045A2B"/>
    <w:rsid w:val="00045BE6"/>
    <w:rsid w:val="00045D2D"/>
    <w:rsid w:val="000464D0"/>
    <w:rsid w:val="0004698F"/>
    <w:rsid w:val="00046D64"/>
    <w:rsid w:val="00050564"/>
    <w:rsid w:val="000508C2"/>
    <w:rsid w:val="00050D39"/>
    <w:rsid w:val="000518EE"/>
    <w:rsid w:val="00051CF5"/>
    <w:rsid w:val="00052288"/>
    <w:rsid w:val="00053602"/>
    <w:rsid w:val="000539D0"/>
    <w:rsid w:val="000541EA"/>
    <w:rsid w:val="00054621"/>
    <w:rsid w:val="000546D7"/>
    <w:rsid w:val="000548E7"/>
    <w:rsid w:val="000549F2"/>
    <w:rsid w:val="00054A8D"/>
    <w:rsid w:val="00055B4B"/>
    <w:rsid w:val="00056582"/>
    <w:rsid w:val="000565B3"/>
    <w:rsid w:val="00056B77"/>
    <w:rsid w:val="00056ECF"/>
    <w:rsid w:val="00057127"/>
    <w:rsid w:val="00057839"/>
    <w:rsid w:val="0005787C"/>
    <w:rsid w:val="000604DF"/>
    <w:rsid w:val="0006115C"/>
    <w:rsid w:val="00062324"/>
    <w:rsid w:val="000627A1"/>
    <w:rsid w:val="000653B5"/>
    <w:rsid w:val="000654B6"/>
    <w:rsid w:val="00065838"/>
    <w:rsid w:val="00065BA0"/>
    <w:rsid w:val="00066360"/>
    <w:rsid w:val="00066488"/>
    <w:rsid w:val="00066659"/>
    <w:rsid w:val="00066AF8"/>
    <w:rsid w:val="00067607"/>
    <w:rsid w:val="00067B00"/>
    <w:rsid w:val="00070569"/>
    <w:rsid w:val="00071248"/>
    <w:rsid w:val="000712A5"/>
    <w:rsid w:val="000713E2"/>
    <w:rsid w:val="000720B9"/>
    <w:rsid w:val="00072791"/>
    <w:rsid w:val="00072792"/>
    <w:rsid w:val="00072E53"/>
    <w:rsid w:val="000736F4"/>
    <w:rsid w:val="000737F7"/>
    <w:rsid w:val="0007385A"/>
    <w:rsid w:val="00073C4E"/>
    <w:rsid w:val="0007444E"/>
    <w:rsid w:val="00074E48"/>
    <w:rsid w:val="00074FCE"/>
    <w:rsid w:val="0007546D"/>
    <w:rsid w:val="000763F2"/>
    <w:rsid w:val="0007640E"/>
    <w:rsid w:val="0007672F"/>
    <w:rsid w:val="00076B54"/>
    <w:rsid w:val="00077193"/>
    <w:rsid w:val="000774F0"/>
    <w:rsid w:val="0007776D"/>
    <w:rsid w:val="00077C7F"/>
    <w:rsid w:val="00077DC4"/>
    <w:rsid w:val="000800AF"/>
    <w:rsid w:val="00080678"/>
    <w:rsid w:val="000808CA"/>
    <w:rsid w:val="00080909"/>
    <w:rsid w:val="0008095B"/>
    <w:rsid w:val="000812CA"/>
    <w:rsid w:val="00081E63"/>
    <w:rsid w:val="0008258D"/>
    <w:rsid w:val="0008338C"/>
    <w:rsid w:val="00083E99"/>
    <w:rsid w:val="00084871"/>
    <w:rsid w:val="00084971"/>
    <w:rsid w:val="00084FA8"/>
    <w:rsid w:val="000856C5"/>
    <w:rsid w:val="00085B2B"/>
    <w:rsid w:val="00085C31"/>
    <w:rsid w:val="000865B8"/>
    <w:rsid w:val="00086818"/>
    <w:rsid w:val="00086992"/>
    <w:rsid w:val="00086C53"/>
    <w:rsid w:val="0008704E"/>
    <w:rsid w:val="000901DB"/>
    <w:rsid w:val="000902D9"/>
    <w:rsid w:val="000909DE"/>
    <w:rsid w:val="00090C7E"/>
    <w:rsid w:val="000911AC"/>
    <w:rsid w:val="00091282"/>
    <w:rsid w:val="0009236C"/>
    <w:rsid w:val="0009249D"/>
    <w:rsid w:val="00092600"/>
    <w:rsid w:val="0009262B"/>
    <w:rsid w:val="00092CD0"/>
    <w:rsid w:val="00093310"/>
    <w:rsid w:val="00093AC4"/>
    <w:rsid w:val="000940E0"/>
    <w:rsid w:val="00094271"/>
    <w:rsid w:val="000942DC"/>
    <w:rsid w:val="0009445C"/>
    <w:rsid w:val="00095200"/>
    <w:rsid w:val="00095FE5"/>
    <w:rsid w:val="00096284"/>
    <w:rsid w:val="00096B9C"/>
    <w:rsid w:val="00097848"/>
    <w:rsid w:val="00097E39"/>
    <w:rsid w:val="000A0D48"/>
    <w:rsid w:val="000A13BD"/>
    <w:rsid w:val="000A169B"/>
    <w:rsid w:val="000A170D"/>
    <w:rsid w:val="000A1BC0"/>
    <w:rsid w:val="000A2F29"/>
    <w:rsid w:val="000A2F9E"/>
    <w:rsid w:val="000A3789"/>
    <w:rsid w:val="000A3E47"/>
    <w:rsid w:val="000A4002"/>
    <w:rsid w:val="000A40A9"/>
    <w:rsid w:val="000A522B"/>
    <w:rsid w:val="000A5903"/>
    <w:rsid w:val="000A5EB3"/>
    <w:rsid w:val="000A601E"/>
    <w:rsid w:val="000A6039"/>
    <w:rsid w:val="000A62D8"/>
    <w:rsid w:val="000A652E"/>
    <w:rsid w:val="000A66C2"/>
    <w:rsid w:val="000A7453"/>
    <w:rsid w:val="000A7D08"/>
    <w:rsid w:val="000B0121"/>
    <w:rsid w:val="000B045C"/>
    <w:rsid w:val="000B0670"/>
    <w:rsid w:val="000B07F9"/>
    <w:rsid w:val="000B08D9"/>
    <w:rsid w:val="000B0A7E"/>
    <w:rsid w:val="000B0E75"/>
    <w:rsid w:val="000B129D"/>
    <w:rsid w:val="000B204A"/>
    <w:rsid w:val="000B2DCB"/>
    <w:rsid w:val="000B382C"/>
    <w:rsid w:val="000B495F"/>
    <w:rsid w:val="000B49D7"/>
    <w:rsid w:val="000B5CE0"/>
    <w:rsid w:val="000B66BF"/>
    <w:rsid w:val="000B68F1"/>
    <w:rsid w:val="000B6CAC"/>
    <w:rsid w:val="000B71D4"/>
    <w:rsid w:val="000B75C4"/>
    <w:rsid w:val="000B7612"/>
    <w:rsid w:val="000B78AE"/>
    <w:rsid w:val="000B79D4"/>
    <w:rsid w:val="000B7FB4"/>
    <w:rsid w:val="000C08CC"/>
    <w:rsid w:val="000C0E1C"/>
    <w:rsid w:val="000C1219"/>
    <w:rsid w:val="000C15B4"/>
    <w:rsid w:val="000C1EA5"/>
    <w:rsid w:val="000C33E4"/>
    <w:rsid w:val="000C392A"/>
    <w:rsid w:val="000C3B3F"/>
    <w:rsid w:val="000C3B71"/>
    <w:rsid w:val="000C3D05"/>
    <w:rsid w:val="000C3DF9"/>
    <w:rsid w:val="000C4CF2"/>
    <w:rsid w:val="000C6713"/>
    <w:rsid w:val="000C6C4A"/>
    <w:rsid w:val="000C6CA8"/>
    <w:rsid w:val="000C7255"/>
    <w:rsid w:val="000C74F0"/>
    <w:rsid w:val="000C78DE"/>
    <w:rsid w:val="000C7BCE"/>
    <w:rsid w:val="000D0543"/>
    <w:rsid w:val="000D0656"/>
    <w:rsid w:val="000D1114"/>
    <w:rsid w:val="000D1BFC"/>
    <w:rsid w:val="000D1D5D"/>
    <w:rsid w:val="000D2007"/>
    <w:rsid w:val="000D2438"/>
    <w:rsid w:val="000D281A"/>
    <w:rsid w:val="000D2848"/>
    <w:rsid w:val="000D2C35"/>
    <w:rsid w:val="000D2D5C"/>
    <w:rsid w:val="000D2DEB"/>
    <w:rsid w:val="000D2F11"/>
    <w:rsid w:val="000D326A"/>
    <w:rsid w:val="000D51FB"/>
    <w:rsid w:val="000D5D9E"/>
    <w:rsid w:val="000D637B"/>
    <w:rsid w:val="000D6712"/>
    <w:rsid w:val="000D6E66"/>
    <w:rsid w:val="000D7482"/>
    <w:rsid w:val="000E04B1"/>
    <w:rsid w:val="000E0640"/>
    <w:rsid w:val="000E135D"/>
    <w:rsid w:val="000E30C3"/>
    <w:rsid w:val="000E337A"/>
    <w:rsid w:val="000E357F"/>
    <w:rsid w:val="000E42CC"/>
    <w:rsid w:val="000E5B12"/>
    <w:rsid w:val="000E709B"/>
    <w:rsid w:val="000F00BA"/>
    <w:rsid w:val="000F0E1C"/>
    <w:rsid w:val="000F1240"/>
    <w:rsid w:val="000F1EFA"/>
    <w:rsid w:val="000F2F4E"/>
    <w:rsid w:val="000F316A"/>
    <w:rsid w:val="000F3C74"/>
    <w:rsid w:val="000F3F38"/>
    <w:rsid w:val="000F461A"/>
    <w:rsid w:val="000F4BB8"/>
    <w:rsid w:val="000F4D2D"/>
    <w:rsid w:val="000F4FA9"/>
    <w:rsid w:val="000F53FB"/>
    <w:rsid w:val="000F5618"/>
    <w:rsid w:val="000F624F"/>
    <w:rsid w:val="000F6443"/>
    <w:rsid w:val="000F7080"/>
    <w:rsid w:val="000F7127"/>
    <w:rsid w:val="000F7205"/>
    <w:rsid w:val="000F7B54"/>
    <w:rsid w:val="001000B3"/>
    <w:rsid w:val="001008DC"/>
    <w:rsid w:val="00100F8A"/>
    <w:rsid w:val="001018AF"/>
    <w:rsid w:val="001019B1"/>
    <w:rsid w:val="00102B06"/>
    <w:rsid w:val="00102D8D"/>
    <w:rsid w:val="0010452E"/>
    <w:rsid w:val="0010599E"/>
    <w:rsid w:val="00105AE2"/>
    <w:rsid w:val="001060C6"/>
    <w:rsid w:val="001069DC"/>
    <w:rsid w:val="00106B80"/>
    <w:rsid w:val="00107F19"/>
    <w:rsid w:val="0011032E"/>
    <w:rsid w:val="001104E3"/>
    <w:rsid w:val="001107B5"/>
    <w:rsid w:val="0011130B"/>
    <w:rsid w:val="00112CB3"/>
    <w:rsid w:val="0011309B"/>
    <w:rsid w:val="0011348B"/>
    <w:rsid w:val="00115982"/>
    <w:rsid w:val="00116763"/>
    <w:rsid w:val="001167FE"/>
    <w:rsid w:val="00116C53"/>
    <w:rsid w:val="00116DC2"/>
    <w:rsid w:val="00117188"/>
    <w:rsid w:val="00117971"/>
    <w:rsid w:val="00120210"/>
    <w:rsid w:val="0012030F"/>
    <w:rsid w:val="00120DED"/>
    <w:rsid w:val="00120DF4"/>
    <w:rsid w:val="00120F59"/>
    <w:rsid w:val="00121090"/>
    <w:rsid w:val="00121102"/>
    <w:rsid w:val="001216C8"/>
    <w:rsid w:val="0012171D"/>
    <w:rsid w:val="00121799"/>
    <w:rsid w:val="001222FC"/>
    <w:rsid w:val="00122679"/>
    <w:rsid w:val="00123902"/>
    <w:rsid w:val="001245FA"/>
    <w:rsid w:val="00124A51"/>
    <w:rsid w:val="00124CDA"/>
    <w:rsid w:val="00125270"/>
    <w:rsid w:val="0012592F"/>
    <w:rsid w:val="00125DB7"/>
    <w:rsid w:val="00126621"/>
    <w:rsid w:val="00126B1D"/>
    <w:rsid w:val="00127689"/>
    <w:rsid w:val="00127D9B"/>
    <w:rsid w:val="001301E9"/>
    <w:rsid w:val="00130BF8"/>
    <w:rsid w:val="00131015"/>
    <w:rsid w:val="0013109E"/>
    <w:rsid w:val="0013119A"/>
    <w:rsid w:val="00131997"/>
    <w:rsid w:val="00131D82"/>
    <w:rsid w:val="00131E97"/>
    <w:rsid w:val="001329F2"/>
    <w:rsid w:val="00132B22"/>
    <w:rsid w:val="00133535"/>
    <w:rsid w:val="001338AB"/>
    <w:rsid w:val="00133989"/>
    <w:rsid w:val="00133CA8"/>
    <w:rsid w:val="00133D36"/>
    <w:rsid w:val="00134E5A"/>
    <w:rsid w:val="00135493"/>
    <w:rsid w:val="00135E9E"/>
    <w:rsid w:val="001363DB"/>
    <w:rsid w:val="00136568"/>
    <w:rsid w:val="001369EF"/>
    <w:rsid w:val="00136A6C"/>
    <w:rsid w:val="00137645"/>
    <w:rsid w:val="00137876"/>
    <w:rsid w:val="00137A52"/>
    <w:rsid w:val="0014015A"/>
    <w:rsid w:val="0014038C"/>
    <w:rsid w:val="001404EC"/>
    <w:rsid w:val="00140D71"/>
    <w:rsid w:val="00140E99"/>
    <w:rsid w:val="00140EF5"/>
    <w:rsid w:val="001411B1"/>
    <w:rsid w:val="001426F1"/>
    <w:rsid w:val="00142BFD"/>
    <w:rsid w:val="00143F67"/>
    <w:rsid w:val="0014432F"/>
    <w:rsid w:val="00145234"/>
    <w:rsid w:val="00145540"/>
    <w:rsid w:val="0014562A"/>
    <w:rsid w:val="001456B0"/>
    <w:rsid w:val="00145D90"/>
    <w:rsid w:val="0014749D"/>
    <w:rsid w:val="00147593"/>
    <w:rsid w:val="001479F0"/>
    <w:rsid w:val="00150A67"/>
    <w:rsid w:val="00151080"/>
    <w:rsid w:val="00152B3A"/>
    <w:rsid w:val="001530B7"/>
    <w:rsid w:val="00153BF6"/>
    <w:rsid w:val="00153FB1"/>
    <w:rsid w:val="001547AB"/>
    <w:rsid w:val="00155712"/>
    <w:rsid w:val="00156EF3"/>
    <w:rsid w:val="00156F5F"/>
    <w:rsid w:val="00156F8F"/>
    <w:rsid w:val="00157130"/>
    <w:rsid w:val="001576B1"/>
    <w:rsid w:val="00157D08"/>
    <w:rsid w:val="00157FA6"/>
    <w:rsid w:val="0016047B"/>
    <w:rsid w:val="00160A4C"/>
    <w:rsid w:val="00160E3D"/>
    <w:rsid w:val="00162913"/>
    <w:rsid w:val="00163A43"/>
    <w:rsid w:val="00163D0B"/>
    <w:rsid w:val="00163E81"/>
    <w:rsid w:val="00163EFF"/>
    <w:rsid w:val="00163F66"/>
    <w:rsid w:val="00164789"/>
    <w:rsid w:val="0016478E"/>
    <w:rsid w:val="00164D81"/>
    <w:rsid w:val="00165718"/>
    <w:rsid w:val="0016573A"/>
    <w:rsid w:val="00165C20"/>
    <w:rsid w:val="00165EC2"/>
    <w:rsid w:val="00165EC4"/>
    <w:rsid w:val="001661FB"/>
    <w:rsid w:val="001666BB"/>
    <w:rsid w:val="001671A0"/>
    <w:rsid w:val="0016735C"/>
    <w:rsid w:val="0016767F"/>
    <w:rsid w:val="00167914"/>
    <w:rsid w:val="00167B45"/>
    <w:rsid w:val="001708BF"/>
    <w:rsid w:val="001708D7"/>
    <w:rsid w:val="001714C9"/>
    <w:rsid w:val="001716A6"/>
    <w:rsid w:val="00171E1A"/>
    <w:rsid w:val="00172927"/>
    <w:rsid w:val="00173565"/>
    <w:rsid w:val="00173ADD"/>
    <w:rsid w:val="00173B07"/>
    <w:rsid w:val="001751FA"/>
    <w:rsid w:val="00177DEA"/>
    <w:rsid w:val="00180B2B"/>
    <w:rsid w:val="00180BA7"/>
    <w:rsid w:val="001810BA"/>
    <w:rsid w:val="00181229"/>
    <w:rsid w:val="00181C10"/>
    <w:rsid w:val="00181D9C"/>
    <w:rsid w:val="00181EEC"/>
    <w:rsid w:val="00182A2E"/>
    <w:rsid w:val="00182A4E"/>
    <w:rsid w:val="0018304E"/>
    <w:rsid w:val="0018359A"/>
    <w:rsid w:val="001837FF"/>
    <w:rsid w:val="001848F2"/>
    <w:rsid w:val="00184B0E"/>
    <w:rsid w:val="00184FC8"/>
    <w:rsid w:val="0018534F"/>
    <w:rsid w:val="00186AC1"/>
    <w:rsid w:val="0018752F"/>
    <w:rsid w:val="00187AF7"/>
    <w:rsid w:val="00187FBE"/>
    <w:rsid w:val="001910DA"/>
    <w:rsid w:val="001930B6"/>
    <w:rsid w:val="00193546"/>
    <w:rsid w:val="001936F3"/>
    <w:rsid w:val="00193838"/>
    <w:rsid w:val="00194AD8"/>
    <w:rsid w:val="00194D9B"/>
    <w:rsid w:val="00195222"/>
    <w:rsid w:val="00195452"/>
    <w:rsid w:val="00195BE2"/>
    <w:rsid w:val="00195C1E"/>
    <w:rsid w:val="00195C65"/>
    <w:rsid w:val="00195F1C"/>
    <w:rsid w:val="00196B40"/>
    <w:rsid w:val="001973E6"/>
    <w:rsid w:val="0019751D"/>
    <w:rsid w:val="001975D8"/>
    <w:rsid w:val="0019795C"/>
    <w:rsid w:val="001979BC"/>
    <w:rsid w:val="001A16CB"/>
    <w:rsid w:val="001A178E"/>
    <w:rsid w:val="001A1F45"/>
    <w:rsid w:val="001A23A4"/>
    <w:rsid w:val="001A27FA"/>
    <w:rsid w:val="001A2892"/>
    <w:rsid w:val="001A302C"/>
    <w:rsid w:val="001A423D"/>
    <w:rsid w:val="001A42BA"/>
    <w:rsid w:val="001A43FA"/>
    <w:rsid w:val="001A47C5"/>
    <w:rsid w:val="001A59FB"/>
    <w:rsid w:val="001A5E9E"/>
    <w:rsid w:val="001A62FC"/>
    <w:rsid w:val="001A6354"/>
    <w:rsid w:val="001A6366"/>
    <w:rsid w:val="001A6CE4"/>
    <w:rsid w:val="001A6D61"/>
    <w:rsid w:val="001A7AE8"/>
    <w:rsid w:val="001B110B"/>
    <w:rsid w:val="001B204E"/>
    <w:rsid w:val="001B2301"/>
    <w:rsid w:val="001B2372"/>
    <w:rsid w:val="001B28FA"/>
    <w:rsid w:val="001B2F1A"/>
    <w:rsid w:val="001B3443"/>
    <w:rsid w:val="001B36FC"/>
    <w:rsid w:val="001B44A2"/>
    <w:rsid w:val="001B4D20"/>
    <w:rsid w:val="001B4FEE"/>
    <w:rsid w:val="001B5330"/>
    <w:rsid w:val="001B5853"/>
    <w:rsid w:val="001B5A54"/>
    <w:rsid w:val="001B5EFB"/>
    <w:rsid w:val="001B6FDC"/>
    <w:rsid w:val="001B7519"/>
    <w:rsid w:val="001B7F84"/>
    <w:rsid w:val="001C0623"/>
    <w:rsid w:val="001C1C80"/>
    <w:rsid w:val="001C1D9D"/>
    <w:rsid w:val="001C2A9B"/>
    <w:rsid w:val="001C3A14"/>
    <w:rsid w:val="001C3DD6"/>
    <w:rsid w:val="001C3FBD"/>
    <w:rsid w:val="001C40CF"/>
    <w:rsid w:val="001C4299"/>
    <w:rsid w:val="001C4874"/>
    <w:rsid w:val="001C54CB"/>
    <w:rsid w:val="001C5A6B"/>
    <w:rsid w:val="001C5AA1"/>
    <w:rsid w:val="001C5F94"/>
    <w:rsid w:val="001C63A3"/>
    <w:rsid w:val="001C694E"/>
    <w:rsid w:val="001C6E66"/>
    <w:rsid w:val="001C717E"/>
    <w:rsid w:val="001C7CAB"/>
    <w:rsid w:val="001C7CC0"/>
    <w:rsid w:val="001D021D"/>
    <w:rsid w:val="001D0CAC"/>
    <w:rsid w:val="001D0D75"/>
    <w:rsid w:val="001D1100"/>
    <w:rsid w:val="001D1391"/>
    <w:rsid w:val="001D1521"/>
    <w:rsid w:val="001D1DE2"/>
    <w:rsid w:val="001D25D7"/>
    <w:rsid w:val="001D2F91"/>
    <w:rsid w:val="001D409B"/>
    <w:rsid w:val="001D50B2"/>
    <w:rsid w:val="001D5607"/>
    <w:rsid w:val="001D626C"/>
    <w:rsid w:val="001D6371"/>
    <w:rsid w:val="001D670C"/>
    <w:rsid w:val="001D6B1E"/>
    <w:rsid w:val="001D71F4"/>
    <w:rsid w:val="001D7477"/>
    <w:rsid w:val="001D7645"/>
    <w:rsid w:val="001E0184"/>
    <w:rsid w:val="001E0A57"/>
    <w:rsid w:val="001E0C87"/>
    <w:rsid w:val="001E1E86"/>
    <w:rsid w:val="001E238E"/>
    <w:rsid w:val="001E2483"/>
    <w:rsid w:val="001E2607"/>
    <w:rsid w:val="001E2B1E"/>
    <w:rsid w:val="001E2CFF"/>
    <w:rsid w:val="001E2ECA"/>
    <w:rsid w:val="001E2F24"/>
    <w:rsid w:val="001E30D4"/>
    <w:rsid w:val="001E31C6"/>
    <w:rsid w:val="001E34DF"/>
    <w:rsid w:val="001E3BF3"/>
    <w:rsid w:val="001E479A"/>
    <w:rsid w:val="001E52EB"/>
    <w:rsid w:val="001E5784"/>
    <w:rsid w:val="001E61D2"/>
    <w:rsid w:val="001E68FA"/>
    <w:rsid w:val="001E6CF1"/>
    <w:rsid w:val="001E6DFE"/>
    <w:rsid w:val="001E6E35"/>
    <w:rsid w:val="001E7074"/>
    <w:rsid w:val="001E7248"/>
    <w:rsid w:val="001E740C"/>
    <w:rsid w:val="001F1235"/>
    <w:rsid w:val="001F1CB3"/>
    <w:rsid w:val="001F25BF"/>
    <w:rsid w:val="001F2832"/>
    <w:rsid w:val="001F341B"/>
    <w:rsid w:val="001F38B5"/>
    <w:rsid w:val="001F4081"/>
    <w:rsid w:val="001F40B6"/>
    <w:rsid w:val="001F4965"/>
    <w:rsid w:val="001F5551"/>
    <w:rsid w:val="001F588D"/>
    <w:rsid w:val="001F59FA"/>
    <w:rsid w:val="001F5C11"/>
    <w:rsid w:val="001F5F4A"/>
    <w:rsid w:val="001F60E3"/>
    <w:rsid w:val="001F7361"/>
    <w:rsid w:val="00200103"/>
    <w:rsid w:val="0020016A"/>
    <w:rsid w:val="002007BC"/>
    <w:rsid w:val="002009AA"/>
    <w:rsid w:val="00200B0C"/>
    <w:rsid w:val="002010DC"/>
    <w:rsid w:val="002011B0"/>
    <w:rsid w:val="00201404"/>
    <w:rsid w:val="002015B3"/>
    <w:rsid w:val="00202C78"/>
    <w:rsid w:val="00203181"/>
    <w:rsid w:val="002031A5"/>
    <w:rsid w:val="00203783"/>
    <w:rsid w:val="0020385F"/>
    <w:rsid w:val="0020459B"/>
    <w:rsid w:val="00205076"/>
    <w:rsid w:val="00205569"/>
    <w:rsid w:val="00205BB5"/>
    <w:rsid w:val="00205DF0"/>
    <w:rsid w:val="00206220"/>
    <w:rsid w:val="002064DD"/>
    <w:rsid w:val="002068A0"/>
    <w:rsid w:val="002068B8"/>
    <w:rsid w:val="0020694B"/>
    <w:rsid w:val="002069D7"/>
    <w:rsid w:val="00207021"/>
    <w:rsid w:val="002072FD"/>
    <w:rsid w:val="0020732F"/>
    <w:rsid w:val="00207D00"/>
    <w:rsid w:val="002105C1"/>
    <w:rsid w:val="00210B7C"/>
    <w:rsid w:val="00210C7A"/>
    <w:rsid w:val="002116FD"/>
    <w:rsid w:val="00211999"/>
    <w:rsid w:val="0021267F"/>
    <w:rsid w:val="00212C4E"/>
    <w:rsid w:val="002133CA"/>
    <w:rsid w:val="00213EF5"/>
    <w:rsid w:val="002147ED"/>
    <w:rsid w:val="00214B38"/>
    <w:rsid w:val="00214DD0"/>
    <w:rsid w:val="00216679"/>
    <w:rsid w:val="0021696D"/>
    <w:rsid w:val="00216BF5"/>
    <w:rsid w:val="0021706F"/>
    <w:rsid w:val="00217150"/>
    <w:rsid w:val="00217ACD"/>
    <w:rsid w:val="0022012C"/>
    <w:rsid w:val="00220CD5"/>
    <w:rsid w:val="00221496"/>
    <w:rsid w:val="00221967"/>
    <w:rsid w:val="00221ACC"/>
    <w:rsid w:val="0022238F"/>
    <w:rsid w:val="002224ED"/>
    <w:rsid w:val="002227E5"/>
    <w:rsid w:val="00223B49"/>
    <w:rsid w:val="00223D5A"/>
    <w:rsid w:val="00224DD4"/>
    <w:rsid w:val="002259AC"/>
    <w:rsid w:val="002278A0"/>
    <w:rsid w:val="00227CE0"/>
    <w:rsid w:val="0023033B"/>
    <w:rsid w:val="002309CC"/>
    <w:rsid w:val="002309E7"/>
    <w:rsid w:val="00230BB5"/>
    <w:rsid w:val="00230ECC"/>
    <w:rsid w:val="00231BA9"/>
    <w:rsid w:val="00231BE4"/>
    <w:rsid w:val="0023209F"/>
    <w:rsid w:val="00232A19"/>
    <w:rsid w:val="00233C01"/>
    <w:rsid w:val="0023413C"/>
    <w:rsid w:val="002342A0"/>
    <w:rsid w:val="0023438C"/>
    <w:rsid w:val="002346B6"/>
    <w:rsid w:val="002346F0"/>
    <w:rsid w:val="002347EC"/>
    <w:rsid w:val="00234D40"/>
    <w:rsid w:val="00234F3B"/>
    <w:rsid w:val="002358C7"/>
    <w:rsid w:val="0023629D"/>
    <w:rsid w:val="00236885"/>
    <w:rsid w:val="00237255"/>
    <w:rsid w:val="00240074"/>
    <w:rsid w:val="002405F1"/>
    <w:rsid w:val="00241AE2"/>
    <w:rsid w:val="00242341"/>
    <w:rsid w:val="002424AF"/>
    <w:rsid w:val="00243564"/>
    <w:rsid w:val="002435BE"/>
    <w:rsid w:val="002439DC"/>
    <w:rsid w:val="002441D2"/>
    <w:rsid w:val="00244230"/>
    <w:rsid w:val="00244532"/>
    <w:rsid w:val="002448B4"/>
    <w:rsid w:val="00244CA1"/>
    <w:rsid w:val="00244DC8"/>
    <w:rsid w:val="00244E84"/>
    <w:rsid w:val="002458BA"/>
    <w:rsid w:val="00245CE9"/>
    <w:rsid w:val="0024636C"/>
    <w:rsid w:val="002469DF"/>
    <w:rsid w:val="00246E65"/>
    <w:rsid w:val="00246F1B"/>
    <w:rsid w:val="00247925"/>
    <w:rsid w:val="002504CC"/>
    <w:rsid w:val="00250A01"/>
    <w:rsid w:val="00251006"/>
    <w:rsid w:val="00251325"/>
    <w:rsid w:val="00251BB2"/>
    <w:rsid w:val="00251EB9"/>
    <w:rsid w:val="00252336"/>
    <w:rsid w:val="002524D5"/>
    <w:rsid w:val="00252DF1"/>
    <w:rsid w:val="002532D4"/>
    <w:rsid w:val="0025362D"/>
    <w:rsid w:val="00253915"/>
    <w:rsid w:val="00253B1D"/>
    <w:rsid w:val="00253BD7"/>
    <w:rsid w:val="002542B3"/>
    <w:rsid w:val="00254DCF"/>
    <w:rsid w:val="0025534B"/>
    <w:rsid w:val="002559B2"/>
    <w:rsid w:val="00255BB7"/>
    <w:rsid w:val="00256537"/>
    <w:rsid w:val="00256742"/>
    <w:rsid w:val="00257541"/>
    <w:rsid w:val="00257A2C"/>
    <w:rsid w:val="00257A39"/>
    <w:rsid w:val="00257AC4"/>
    <w:rsid w:val="00257BBE"/>
    <w:rsid w:val="00257FCB"/>
    <w:rsid w:val="00261AC5"/>
    <w:rsid w:val="00261E4F"/>
    <w:rsid w:val="00261EEF"/>
    <w:rsid w:val="0026230A"/>
    <w:rsid w:val="002626F5"/>
    <w:rsid w:val="0026296A"/>
    <w:rsid w:val="00262A1A"/>
    <w:rsid w:val="00262A87"/>
    <w:rsid w:val="002633E4"/>
    <w:rsid w:val="00263723"/>
    <w:rsid w:val="00263DBA"/>
    <w:rsid w:val="00263F0F"/>
    <w:rsid w:val="00264305"/>
    <w:rsid w:val="00264D26"/>
    <w:rsid w:val="00264E31"/>
    <w:rsid w:val="0026554D"/>
    <w:rsid w:val="00265C37"/>
    <w:rsid w:val="002664E3"/>
    <w:rsid w:val="002671A5"/>
    <w:rsid w:val="00267225"/>
    <w:rsid w:val="00267317"/>
    <w:rsid w:val="00267642"/>
    <w:rsid w:val="00267AEA"/>
    <w:rsid w:val="00267C7B"/>
    <w:rsid w:val="00267FB7"/>
    <w:rsid w:val="002700E6"/>
    <w:rsid w:val="002700F7"/>
    <w:rsid w:val="00270D0B"/>
    <w:rsid w:val="0027108C"/>
    <w:rsid w:val="00271446"/>
    <w:rsid w:val="0027294B"/>
    <w:rsid w:val="0027331C"/>
    <w:rsid w:val="00273EB4"/>
    <w:rsid w:val="00274682"/>
    <w:rsid w:val="00274C38"/>
    <w:rsid w:val="00275158"/>
    <w:rsid w:val="00275C5A"/>
    <w:rsid w:val="00276110"/>
    <w:rsid w:val="00276D0C"/>
    <w:rsid w:val="00276FC3"/>
    <w:rsid w:val="002773C1"/>
    <w:rsid w:val="00277A27"/>
    <w:rsid w:val="00277A86"/>
    <w:rsid w:val="002809BA"/>
    <w:rsid w:val="00280B46"/>
    <w:rsid w:val="00280D06"/>
    <w:rsid w:val="00281014"/>
    <w:rsid w:val="002822C9"/>
    <w:rsid w:val="002825A7"/>
    <w:rsid w:val="00282611"/>
    <w:rsid w:val="00283F4F"/>
    <w:rsid w:val="0028400F"/>
    <w:rsid w:val="00285295"/>
    <w:rsid w:val="002853BC"/>
    <w:rsid w:val="0028573D"/>
    <w:rsid w:val="00285770"/>
    <w:rsid w:val="00285BCE"/>
    <w:rsid w:val="0028665D"/>
    <w:rsid w:val="00286C06"/>
    <w:rsid w:val="00286E75"/>
    <w:rsid w:val="00286EFB"/>
    <w:rsid w:val="00287C04"/>
    <w:rsid w:val="002903D5"/>
    <w:rsid w:val="00290C4E"/>
    <w:rsid w:val="00290D05"/>
    <w:rsid w:val="002915EF"/>
    <w:rsid w:val="0029291D"/>
    <w:rsid w:val="0029429D"/>
    <w:rsid w:val="00294CEE"/>
    <w:rsid w:val="00296173"/>
    <w:rsid w:val="002961FF"/>
    <w:rsid w:val="002962E0"/>
    <w:rsid w:val="00296D5A"/>
    <w:rsid w:val="00297939"/>
    <w:rsid w:val="00297CBE"/>
    <w:rsid w:val="002A03E5"/>
    <w:rsid w:val="002A113C"/>
    <w:rsid w:val="002A14AB"/>
    <w:rsid w:val="002A2626"/>
    <w:rsid w:val="002A2ADE"/>
    <w:rsid w:val="002A2F50"/>
    <w:rsid w:val="002A3645"/>
    <w:rsid w:val="002A3E60"/>
    <w:rsid w:val="002A5B4D"/>
    <w:rsid w:val="002A6F1D"/>
    <w:rsid w:val="002A6F8D"/>
    <w:rsid w:val="002A763D"/>
    <w:rsid w:val="002A7943"/>
    <w:rsid w:val="002B01FD"/>
    <w:rsid w:val="002B04FE"/>
    <w:rsid w:val="002B05A1"/>
    <w:rsid w:val="002B09A4"/>
    <w:rsid w:val="002B09A6"/>
    <w:rsid w:val="002B12D3"/>
    <w:rsid w:val="002B1603"/>
    <w:rsid w:val="002B1BEA"/>
    <w:rsid w:val="002B1C1F"/>
    <w:rsid w:val="002B1C72"/>
    <w:rsid w:val="002B2A4E"/>
    <w:rsid w:val="002B32D7"/>
    <w:rsid w:val="002B390F"/>
    <w:rsid w:val="002B4245"/>
    <w:rsid w:val="002B432F"/>
    <w:rsid w:val="002B4990"/>
    <w:rsid w:val="002B5C48"/>
    <w:rsid w:val="002B622D"/>
    <w:rsid w:val="002B62B3"/>
    <w:rsid w:val="002B6754"/>
    <w:rsid w:val="002B6A50"/>
    <w:rsid w:val="002B6CCE"/>
    <w:rsid w:val="002B7D41"/>
    <w:rsid w:val="002B7F9A"/>
    <w:rsid w:val="002C078A"/>
    <w:rsid w:val="002C14F6"/>
    <w:rsid w:val="002C2102"/>
    <w:rsid w:val="002C2510"/>
    <w:rsid w:val="002C2775"/>
    <w:rsid w:val="002C27C1"/>
    <w:rsid w:val="002C36E3"/>
    <w:rsid w:val="002C4CA8"/>
    <w:rsid w:val="002C5099"/>
    <w:rsid w:val="002C5889"/>
    <w:rsid w:val="002C5F7D"/>
    <w:rsid w:val="002C6E6C"/>
    <w:rsid w:val="002C71CE"/>
    <w:rsid w:val="002C77B7"/>
    <w:rsid w:val="002C7959"/>
    <w:rsid w:val="002C7A40"/>
    <w:rsid w:val="002C7C80"/>
    <w:rsid w:val="002D08F8"/>
    <w:rsid w:val="002D0948"/>
    <w:rsid w:val="002D33A5"/>
    <w:rsid w:val="002D42B2"/>
    <w:rsid w:val="002D44A8"/>
    <w:rsid w:val="002D474B"/>
    <w:rsid w:val="002D485A"/>
    <w:rsid w:val="002D4FEB"/>
    <w:rsid w:val="002D5559"/>
    <w:rsid w:val="002D577C"/>
    <w:rsid w:val="002D59DE"/>
    <w:rsid w:val="002D69A2"/>
    <w:rsid w:val="002D707B"/>
    <w:rsid w:val="002D729A"/>
    <w:rsid w:val="002D7832"/>
    <w:rsid w:val="002E05A0"/>
    <w:rsid w:val="002E0718"/>
    <w:rsid w:val="002E1071"/>
    <w:rsid w:val="002E15B9"/>
    <w:rsid w:val="002E2158"/>
    <w:rsid w:val="002E23DB"/>
    <w:rsid w:val="002E350B"/>
    <w:rsid w:val="002E37C4"/>
    <w:rsid w:val="002E4302"/>
    <w:rsid w:val="002E4817"/>
    <w:rsid w:val="002E4F02"/>
    <w:rsid w:val="002E5295"/>
    <w:rsid w:val="002E5395"/>
    <w:rsid w:val="002E552E"/>
    <w:rsid w:val="002E62D3"/>
    <w:rsid w:val="002E6967"/>
    <w:rsid w:val="002E7722"/>
    <w:rsid w:val="002F07BA"/>
    <w:rsid w:val="002F0DA9"/>
    <w:rsid w:val="002F0EB7"/>
    <w:rsid w:val="002F1014"/>
    <w:rsid w:val="002F10A9"/>
    <w:rsid w:val="002F1473"/>
    <w:rsid w:val="002F1590"/>
    <w:rsid w:val="002F1B6E"/>
    <w:rsid w:val="002F1BCB"/>
    <w:rsid w:val="002F1E3B"/>
    <w:rsid w:val="002F1F0F"/>
    <w:rsid w:val="002F20AA"/>
    <w:rsid w:val="002F2D2F"/>
    <w:rsid w:val="002F3106"/>
    <w:rsid w:val="002F358C"/>
    <w:rsid w:val="002F39C8"/>
    <w:rsid w:val="002F3B0E"/>
    <w:rsid w:val="002F3C9C"/>
    <w:rsid w:val="002F4870"/>
    <w:rsid w:val="002F5785"/>
    <w:rsid w:val="002F57BE"/>
    <w:rsid w:val="002F5C3F"/>
    <w:rsid w:val="002F643C"/>
    <w:rsid w:val="002F6572"/>
    <w:rsid w:val="002F7071"/>
    <w:rsid w:val="002F71C0"/>
    <w:rsid w:val="002F74F1"/>
    <w:rsid w:val="002F786C"/>
    <w:rsid w:val="002F7B35"/>
    <w:rsid w:val="0030022C"/>
    <w:rsid w:val="00301017"/>
    <w:rsid w:val="0030113E"/>
    <w:rsid w:val="003012F5"/>
    <w:rsid w:val="00301319"/>
    <w:rsid w:val="0030155F"/>
    <w:rsid w:val="00301C3D"/>
    <w:rsid w:val="003021AF"/>
    <w:rsid w:val="00302D78"/>
    <w:rsid w:val="0030382F"/>
    <w:rsid w:val="00304143"/>
    <w:rsid w:val="00304396"/>
    <w:rsid w:val="00304544"/>
    <w:rsid w:val="00304745"/>
    <w:rsid w:val="003050D8"/>
    <w:rsid w:val="0030554D"/>
    <w:rsid w:val="0030587B"/>
    <w:rsid w:val="0030608C"/>
    <w:rsid w:val="00306D98"/>
    <w:rsid w:val="0030723C"/>
    <w:rsid w:val="0030786C"/>
    <w:rsid w:val="0031031A"/>
    <w:rsid w:val="003106B6"/>
    <w:rsid w:val="00310743"/>
    <w:rsid w:val="00310981"/>
    <w:rsid w:val="00310FE1"/>
    <w:rsid w:val="0031113F"/>
    <w:rsid w:val="003111C4"/>
    <w:rsid w:val="003113C4"/>
    <w:rsid w:val="00311955"/>
    <w:rsid w:val="00311D9B"/>
    <w:rsid w:val="003123B5"/>
    <w:rsid w:val="003124D9"/>
    <w:rsid w:val="00312594"/>
    <w:rsid w:val="00312DB0"/>
    <w:rsid w:val="0031482B"/>
    <w:rsid w:val="003149DB"/>
    <w:rsid w:val="00315338"/>
    <w:rsid w:val="00315498"/>
    <w:rsid w:val="00316474"/>
    <w:rsid w:val="0031748C"/>
    <w:rsid w:val="00317B65"/>
    <w:rsid w:val="00317BF2"/>
    <w:rsid w:val="0032040F"/>
    <w:rsid w:val="0032086E"/>
    <w:rsid w:val="00321351"/>
    <w:rsid w:val="003217F2"/>
    <w:rsid w:val="00321D7D"/>
    <w:rsid w:val="00322107"/>
    <w:rsid w:val="0032229E"/>
    <w:rsid w:val="00322355"/>
    <w:rsid w:val="0032275F"/>
    <w:rsid w:val="00322846"/>
    <w:rsid w:val="003239F6"/>
    <w:rsid w:val="0032455F"/>
    <w:rsid w:val="00325E77"/>
    <w:rsid w:val="00325EE2"/>
    <w:rsid w:val="00326DA7"/>
    <w:rsid w:val="003270E4"/>
    <w:rsid w:val="0032720B"/>
    <w:rsid w:val="00327B2D"/>
    <w:rsid w:val="003303D1"/>
    <w:rsid w:val="003306C0"/>
    <w:rsid w:val="00330841"/>
    <w:rsid w:val="00330DAA"/>
    <w:rsid w:val="00330EE9"/>
    <w:rsid w:val="00330F5C"/>
    <w:rsid w:val="003313A6"/>
    <w:rsid w:val="003316A5"/>
    <w:rsid w:val="003317DC"/>
    <w:rsid w:val="00331BEE"/>
    <w:rsid w:val="00332034"/>
    <w:rsid w:val="0033308F"/>
    <w:rsid w:val="00333947"/>
    <w:rsid w:val="00333BCC"/>
    <w:rsid w:val="00333E35"/>
    <w:rsid w:val="00333F8C"/>
    <w:rsid w:val="003340E2"/>
    <w:rsid w:val="00334A0F"/>
    <w:rsid w:val="003354E9"/>
    <w:rsid w:val="00335521"/>
    <w:rsid w:val="00335528"/>
    <w:rsid w:val="0033582C"/>
    <w:rsid w:val="003366C9"/>
    <w:rsid w:val="003371B0"/>
    <w:rsid w:val="00337315"/>
    <w:rsid w:val="00337878"/>
    <w:rsid w:val="00337D1B"/>
    <w:rsid w:val="00337F73"/>
    <w:rsid w:val="003404B3"/>
    <w:rsid w:val="00340840"/>
    <w:rsid w:val="00340DF1"/>
    <w:rsid w:val="00341F79"/>
    <w:rsid w:val="00341FA7"/>
    <w:rsid w:val="003420FC"/>
    <w:rsid w:val="00342E48"/>
    <w:rsid w:val="0034332B"/>
    <w:rsid w:val="00343E0C"/>
    <w:rsid w:val="00344C66"/>
    <w:rsid w:val="003456E6"/>
    <w:rsid w:val="00345B12"/>
    <w:rsid w:val="00345BB6"/>
    <w:rsid w:val="00346464"/>
    <w:rsid w:val="00346C07"/>
    <w:rsid w:val="00347407"/>
    <w:rsid w:val="00350892"/>
    <w:rsid w:val="0035179E"/>
    <w:rsid w:val="003517F9"/>
    <w:rsid w:val="003518EE"/>
    <w:rsid w:val="00351BA9"/>
    <w:rsid w:val="003531E8"/>
    <w:rsid w:val="00353AF4"/>
    <w:rsid w:val="003540DB"/>
    <w:rsid w:val="003548A8"/>
    <w:rsid w:val="00354F64"/>
    <w:rsid w:val="0035620E"/>
    <w:rsid w:val="0035681E"/>
    <w:rsid w:val="0035713A"/>
    <w:rsid w:val="003575BE"/>
    <w:rsid w:val="00360345"/>
    <w:rsid w:val="0036099B"/>
    <w:rsid w:val="00360FAB"/>
    <w:rsid w:val="003612CD"/>
    <w:rsid w:val="0036188A"/>
    <w:rsid w:val="00361A05"/>
    <w:rsid w:val="003624C4"/>
    <w:rsid w:val="00363B00"/>
    <w:rsid w:val="00363B23"/>
    <w:rsid w:val="0036480D"/>
    <w:rsid w:val="00364C6C"/>
    <w:rsid w:val="00365301"/>
    <w:rsid w:val="003654AC"/>
    <w:rsid w:val="003654F2"/>
    <w:rsid w:val="00366409"/>
    <w:rsid w:val="00370257"/>
    <w:rsid w:val="00370805"/>
    <w:rsid w:val="00370FEE"/>
    <w:rsid w:val="003710CF"/>
    <w:rsid w:val="0037176F"/>
    <w:rsid w:val="003720E5"/>
    <w:rsid w:val="003727A4"/>
    <w:rsid w:val="00372C17"/>
    <w:rsid w:val="003731EA"/>
    <w:rsid w:val="0037358A"/>
    <w:rsid w:val="00374793"/>
    <w:rsid w:val="00374B4C"/>
    <w:rsid w:val="003750F6"/>
    <w:rsid w:val="00375C09"/>
    <w:rsid w:val="003760FC"/>
    <w:rsid w:val="00376A35"/>
    <w:rsid w:val="00376B43"/>
    <w:rsid w:val="00377076"/>
    <w:rsid w:val="00377354"/>
    <w:rsid w:val="00377707"/>
    <w:rsid w:val="003779E2"/>
    <w:rsid w:val="00377DFE"/>
    <w:rsid w:val="00377E72"/>
    <w:rsid w:val="00380BCD"/>
    <w:rsid w:val="00380FF9"/>
    <w:rsid w:val="0038188F"/>
    <w:rsid w:val="00381E16"/>
    <w:rsid w:val="00382B6B"/>
    <w:rsid w:val="0038365C"/>
    <w:rsid w:val="0038369B"/>
    <w:rsid w:val="00383904"/>
    <w:rsid w:val="00383B78"/>
    <w:rsid w:val="00383EC8"/>
    <w:rsid w:val="003844B9"/>
    <w:rsid w:val="0038536C"/>
    <w:rsid w:val="00385A9D"/>
    <w:rsid w:val="00385E8D"/>
    <w:rsid w:val="00385FD7"/>
    <w:rsid w:val="00386CB4"/>
    <w:rsid w:val="00387121"/>
    <w:rsid w:val="00387AA3"/>
    <w:rsid w:val="003902B1"/>
    <w:rsid w:val="0039148C"/>
    <w:rsid w:val="00391501"/>
    <w:rsid w:val="0039179C"/>
    <w:rsid w:val="00391B35"/>
    <w:rsid w:val="00391F40"/>
    <w:rsid w:val="00391F6A"/>
    <w:rsid w:val="00392016"/>
    <w:rsid w:val="00392816"/>
    <w:rsid w:val="003930DA"/>
    <w:rsid w:val="00394428"/>
    <w:rsid w:val="00394543"/>
    <w:rsid w:val="00394BD4"/>
    <w:rsid w:val="0039510D"/>
    <w:rsid w:val="00395475"/>
    <w:rsid w:val="00395DAD"/>
    <w:rsid w:val="0039606A"/>
    <w:rsid w:val="003965A5"/>
    <w:rsid w:val="00396720"/>
    <w:rsid w:val="0039678F"/>
    <w:rsid w:val="00396896"/>
    <w:rsid w:val="003969B6"/>
    <w:rsid w:val="00396CCE"/>
    <w:rsid w:val="00396FD0"/>
    <w:rsid w:val="003A0818"/>
    <w:rsid w:val="003A0BFE"/>
    <w:rsid w:val="003A1A7A"/>
    <w:rsid w:val="003A2392"/>
    <w:rsid w:val="003A24A2"/>
    <w:rsid w:val="003A2831"/>
    <w:rsid w:val="003A2AD0"/>
    <w:rsid w:val="003A35CB"/>
    <w:rsid w:val="003A3AC2"/>
    <w:rsid w:val="003A3CB6"/>
    <w:rsid w:val="003A3ED1"/>
    <w:rsid w:val="003A3EFB"/>
    <w:rsid w:val="003A44DB"/>
    <w:rsid w:val="003A4C14"/>
    <w:rsid w:val="003A53F2"/>
    <w:rsid w:val="003A5770"/>
    <w:rsid w:val="003A6845"/>
    <w:rsid w:val="003A6E6E"/>
    <w:rsid w:val="003A790E"/>
    <w:rsid w:val="003A7DCA"/>
    <w:rsid w:val="003B0007"/>
    <w:rsid w:val="003B0CDF"/>
    <w:rsid w:val="003B1504"/>
    <w:rsid w:val="003B1DDA"/>
    <w:rsid w:val="003B1E74"/>
    <w:rsid w:val="003B1F79"/>
    <w:rsid w:val="003B1FDF"/>
    <w:rsid w:val="003B2FDC"/>
    <w:rsid w:val="003B3173"/>
    <w:rsid w:val="003B3414"/>
    <w:rsid w:val="003B34CE"/>
    <w:rsid w:val="003B3971"/>
    <w:rsid w:val="003B3A69"/>
    <w:rsid w:val="003B3B22"/>
    <w:rsid w:val="003B49DC"/>
    <w:rsid w:val="003B5535"/>
    <w:rsid w:val="003B55D1"/>
    <w:rsid w:val="003B5B61"/>
    <w:rsid w:val="003B64C5"/>
    <w:rsid w:val="003B6B09"/>
    <w:rsid w:val="003B703E"/>
    <w:rsid w:val="003B770F"/>
    <w:rsid w:val="003C1654"/>
    <w:rsid w:val="003C1A1D"/>
    <w:rsid w:val="003C21C0"/>
    <w:rsid w:val="003C2CD4"/>
    <w:rsid w:val="003C2DE2"/>
    <w:rsid w:val="003C3284"/>
    <w:rsid w:val="003C3439"/>
    <w:rsid w:val="003C3821"/>
    <w:rsid w:val="003C405A"/>
    <w:rsid w:val="003C420A"/>
    <w:rsid w:val="003C5147"/>
    <w:rsid w:val="003C5417"/>
    <w:rsid w:val="003C5542"/>
    <w:rsid w:val="003C79E5"/>
    <w:rsid w:val="003C7C15"/>
    <w:rsid w:val="003C7D19"/>
    <w:rsid w:val="003C7D2F"/>
    <w:rsid w:val="003D0369"/>
    <w:rsid w:val="003D0502"/>
    <w:rsid w:val="003D0C5A"/>
    <w:rsid w:val="003D1828"/>
    <w:rsid w:val="003D1DE4"/>
    <w:rsid w:val="003D1E9A"/>
    <w:rsid w:val="003D2422"/>
    <w:rsid w:val="003D26A1"/>
    <w:rsid w:val="003D2E69"/>
    <w:rsid w:val="003D3787"/>
    <w:rsid w:val="003D39A1"/>
    <w:rsid w:val="003D39CC"/>
    <w:rsid w:val="003D3FBF"/>
    <w:rsid w:val="003D4106"/>
    <w:rsid w:val="003D4A30"/>
    <w:rsid w:val="003D4F7C"/>
    <w:rsid w:val="003D593A"/>
    <w:rsid w:val="003D60AB"/>
    <w:rsid w:val="003D7452"/>
    <w:rsid w:val="003D7770"/>
    <w:rsid w:val="003D7877"/>
    <w:rsid w:val="003D79BB"/>
    <w:rsid w:val="003D79E6"/>
    <w:rsid w:val="003D7C98"/>
    <w:rsid w:val="003D7D4D"/>
    <w:rsid w:val="003D7D9D"/>
    <w:rsid w:val="003D7FE8"/>
    <w:rsid w:val="003E0543"/>
    <w:rsid w:val="003E0F7D"/>
    <w:rsid w:val="003E18F7"/>
    <w:rsid w:val="003E1F74"/>
    <w:rsid w:val="003E32D3"/>
    <w:rsid w:val="003E3321"/>
    <w:rsid w:val="003E45E5"/>
    <w:rsid w:val="003E4F4B"/>
    <w:rsid w:val="003E5603"/>
    <w:rsid w:val="003E749E"/>
    <w:rsid w:val="003E78CD"/>
    <w:rsid w:val="003E7A43"/>
    <w:rsid w:val="003F0625"/>
    <w:rsid w:val="003F0BD8"/>
    <w:rsid w:val="003F1307"/>
    <w:rsid w:val="003F1342"/>
    <w:rsid w:val="003F14D5"/>
    <w:rsid w:val="003F2195"/>
    <w:rsid w:val="003F23D5"/>
    <w:rsid w:val="003F25DE"/>
    <w:rsid w:val="003F3815"/>
    <w:rsid w:val="003F39A8"/>
    <w:rsid w:val="003F4103"/>
    <w:rsid w:val="003F4156"/>
    <w:rsid w:val="003F4FFC"/>
    <w:rsid w:val="003F52DC"/>
    <w:rsid w:val="003F5A45"/>
    <w:rsid w:val="003F5ADF"/>
    <w:rsid w:val="003F6134"/>
    <w:rsid w:val="003F7296"/>
    <w:rsid w:val="00400410"/>
    <w:rsid w:val="00400821"/>
    <w:rsid w:val="00400B29"/>
    <w:rsid w:val="0040195E"/>
    <w:rsid w:val="00401B44"/>
    <w:rsid w:val="00402812"/>
    <w:rsid w:val="00404B84"/>
    <w:rsid w:val="0040504B"/>
    <w:rsid w:val="00405140"/>
    <w:rsid w:val="0040529D"/>
    <w:rsid w:val="0040531D"/>
    <w:rsid w:val="00405565"/>
    <w:rsid w:val="004056C9"/>
    <w:rsid w:val="0040570A"/>
    <w:rsid w:val="004059F4"/>
    <w:rsid w:val="00405DA8"/>
    <w:rsid w:val="00406493"/>
    <w:rsid w:val="004067FA"/>
    <w:rsid w:val="00407E72"/>
    <w:rsid w:val="00407FE5"/>
    <w:rsid w:val="004101B0"/>
    <w:rsid w:val="00410326"/>
    <w:rsid w:val="00410417"/>
    <w:rsid w:val="00410708"/>
    <w:rsid w:val="00410941"/>
    <w:rsid w:val="00410CED"/>
    <w:rsid w:val="00410EC7"/>
    <w:rsid w:val="00411B39"/>
    <w:rsid w:val="004127A7"/>
    <w:rsid w:val="004128C1"/>
    <w:rsid w:val="00413A1E"/>
    <w:rsid w:val="00414135"/>
    <w:rsid w:val="00414368"/>
    <w:rsid w:val="00414476"/>
    <w:rsid w:val="0041454C"/>
    <w:rsid w:val="0041497C"/>
    <w:rsid w:val="00414B18"/>
    <w:rsid w:val="00414C2E"/>
    <w:rsid w:val="00414D86"/>
    <w:rsid w:val="00414DFF"/>
    <w:rsid w:val="00414F9B"/>
    <w:rsid w:val="004151CF"/>
    <w:rsid w:val="0041579C"/>
    <w:rsid w:val="00415E60"/>
    <w:rsid w:val="00416364"/>
    <w:rsid w:val="004174E0"/>
    <w:rsid w:val="0041757F"/>
    <w:rsid w:val="004179F1"/>
    <w:rsid w:val="00417D07"/>
    <w:rsid w:val="00417F59"/>
    <w:rsid w:val="0042047F"/>
    <w:rsid w:val="00420AA6"/>
    <w:rsid w:val="00420B9F"/>
    <w:rsid w:val="00420EBC"/>
    <w:rsid w:val="0042128B"/>
    <w:rsid w:val="0042133F"/>
    <w:rsid w:val="0042192C"/>
    <w:rsid w:val="00422260"/>
    <w:rsid w:val="00422C89"/>
    <w:rsid w:val="00423839"/>
    <w:rsid w:val="0042413F"/>
    <w:rsid w:val="004244DE"/>
    <w:rsid w:val="004245C4"/>
    <w:rsid w:val="004251F6"/>
    <w:rsid w:val="004254D3"/>
    <w:rsid w:val="004272AF"/>
    <w:rsid w:val="0042765C"/>
    <w:rsid w:val="00430288"/>
    <w:rsid w:val="004305F8"/>
    <w:rsid w:val="0043122B"/>
    <w:rsid w:val="00431743"/>
    <w:rsid w:val="004319F8"/>
    <w:rsid w:val="00431E55"/>
    <w:rsid w:val="004321F6"/>
    <w:rsid w:val="00432E1F"/>
    <w:rsid w:val="00433044"/>
    <w:rsid w:val="004331CC"/>
    <w:rsid w:val="00434088"/>
    <w:rsid w:val="00435D4A"/>
    <w:rsid w:val="00436445"/>
    <w:rsid w:val="00437116"/>
    <w:rsid w:val="004375B9"/>
    <w:rsid w:val="0044023C"/>
    <w:rsid w:val="00440948"/>
    <w:rsid w:val="00441E09"/>
    <w:rsid w:val="004420E0"/>
    <w:rsid w:val="004428D0"/>
    <w:rsid w:val="00443BE2"/>
    <w:rsid w:val="00443FFB"/>
    <w:rsid w:val="00444185"/>
    <w:rsid w:val="004443A7"/>
    <w:rsid w:val="0044442C"/>
    <w:rsid w:val="00445941"/>
    <w:rsid w:val="004464EB"/>
    <w:rsid w:val="00447422"/>
    <w:rsid w:val="00447D26"/>
    <w:rsid w:val="00447DFC"/>
    <w:rsid w:val="0045027D"/>
    <w:rsid w:val="004517FF"/>
    <w:rsid w:val="00451FE2"/>
    <w:rsid w:val="0045214F"/>
    <w:rsid w:val="00452324"/>
    <w:rsid w:val="004525C1"/>
    <w:rsid w:val="004528DE"/>
    <w:rsid w:val="0045296E"/>
    <w:rsid w:val="00452A17"/>
    <w:rsid w:val="00452DE9"/>
    <w:rsid w:val="00454DC2"/>
    <w:rsid w:val="00454DC9"/>
    <w:rsid w:val="00454F92"/>
    <w:rsid w:val="00454FED"/>
    <w:rsid w:val="00455BA7"/>
    <w:rsid w:val="00455D45"/>
    <w:rsid w:val="00455F91"/>
    <w:rsid w:val="004602CF"/>
    <w:rsid w:val="00460322"/>
    <w:rsid w:val="00460D2F"/>
    <w:rsid w:val="004610F4"/>
    <w:rsid w:val="0046116D"/>
    <w:rsid w:val="00461D9B"/>
    <w:rsid w:val="004625FA"/>
    <w:rsid w:val="00462DAF"/>
    <w:rsid w:val="0046427D"/>
    <w:rsid w:val="0046444C"/>
    <w:rsid w:val="00464595"/>
    <w:rsid w:val="00464647"/>
    <w:rsid w:val="004658B5"/>
    <w:rsid w:val="00466121"/>
    <w:rsid w:val="004665C7"/>
    <w:rsid w:val="004673BA"/>
    <w:rsid w:val="00470934"/>
    <w:rsid w:val="00470DD9"/>
    <w:rsid w:val="00471B09"/>
    <w:rsid w:val="00471C1A"/>
    <w:rsid w:val="00471E68"/>
    <w:rsid w:val="00471EA5"/>
    <w:rsid w:val="00471EE0"/>
    <w:rsid w:val="00472A79"/>
    <w:rsid w:val="00473329"/>
    <w:rsid w:val="004735C9"/>
    <w:rsid w:val="00473F19"/>
    <w:rsid w:val="004740ED"/>
    <w:rsid w:val="00475E22"/>
    <w:rsid w:val="0047671D"/>
    <w:rsid w:val="00476A73"/>
    <w:rsid w:val="00480024"/>
    <w:rsid w:val="0048088E"/>
    <w:rsid w:val="00480F2B"/>
    <w:rsid w:val="00481AC6"/>
    <w:rsid w:val="00482720"/>
    <w:rsid w:val="00482F1D"/>
    <w:rsid w:val="004835E7"/>
    <w:rsid w:val="004837F8"/>
    <w:rsid w:val="004855A3"/>
    <w:rsid w:val="004859E1"/>
    <w:rsid w:val="00485FE7"/>
    <w:rsid w:val="004860BD"/>
    <w:rsid w:val="004867E2"/>
    <w:rsid w:val="00486F6B"/>
    <w:rsid w:val="004901D8"/>
    <w:rsid w:val="00490456"/>
    <w:rsid w:val="00490B17"/>
    <w:rsid w:val="00490C0E"/>
    <w:rsid w:val="004916F6"/>
    <w:rsid w:val="00491950"/>
    <w:rsid w:val="00491B3A"/>
    <w:rsid w:val="00491ED9"/>
    <w:rsid w:val="00492CFD"/>
    <w:rsid w:val="00493559"/>
    <w:rsid w:val="004935B3"/>
    <w:rsid w:val="00493C66"/>
    <w:rsid w:val="00493E1D"/>
    <w:rsid w:val="00494207"/>
    <w:rsid w:val="00494C02"/>
    <w:rsid w:val="00494CD1"/>
    <w:rsid w:val="00494DD5"/>
    <w:rsid w:val="00496200"/>
    <w:rsid w:val="004962D2"/>
    <w:rsid w:val="004968CC"/>
    <w:rsid w:val="00497F43"/>
    <w:rsid w:val="004A069D"/>
    <w:rsid w:val="004A0DA1"/>
    <w:rsid w:val="004A13D6"/>
    <w:rsid w:val="004A1499"/>
    <w:rsid w:val="004A2EE2"/>
    <w:rsid w:val="004A38F8"/>
    <w:rsid w:val="004A3EB2"/>
    <w:rsid w:val="004A424A"/>
    <w:rsid w:val="004A5172"/>
    <w:rsid w:val="004A52E9"/>
    <w:rsid w:val="004A6040"/>
    <w:rsid w:val="004A6597"/>
    <w:rsid w:val="004A71C3"/>
    <w:rsid w:val="004A74E2"/>
    <w:rsid w:val="004A76AB"/>
    <w:rsid w:val="004A7848"/>
    <w:rsid w:val="004A793B"/>
    <w:rsid w:val="004A7D9A"/>
    <w:rsid w:val="004B1273"/>
    <w:rsid w:val="004B1CB4"/>
    <w:rsid w:val="004B2055"/>
    <w:rsid w:val="004B2CD7"/>
    <w:rsid w:val="004B2F18"/>
    <w:rsid w:val="004B3A41"/>
    <w:rsid w:val="004B3DDB"/>
    <w:rsid w:val="004B44FD"/>
    <w:rsid w:val="004B48ED"/>
    <w:rsid w:val="004B4A4D"/>
    <w:rsid w:val="004B5483"/>
    <w:rsid w:val="004B5B8B"/>
    <w:rsid w:val="004B5CFC"/>
    <w:rsid w:val="004B6B52"/>
    <w:rsid w:val="004B6B6E"/>
    <w:rsid w:val="004B6F79"/>
    <w:rsid w:val="004B774D"/>
    <w:rsid w:val="004B78C7"/>
    <w:rsid w:val="004B7C76"/>
    <w:rsid w:val="004C0003"/>
    <w:rsid w:val="004C0477"/>
    <w:rsid w:val="004C190B"/>
    <w:rsid w:val="004C236E"/>
    <w:rsid w:val="004C25BB"/>
    <w:rsid w:val="004C25E9"/>
    <w:rsid w:val="004C2AC2"/>
    <w:rsid w:val="004C2E57"/>
    <w:rsid w:val="004C4AED"/>
    <w:rsid w:val="004C7A47"/>
    <w:rsid w:val="004C7DDE"/>
    <w:rsid w:val="004D0802"/>
    <w:rsid w:val="004D0903"/>
    <w:rsid w:val="004D11BF"/>
    <w:rsid w:val="004D154B"/>
    <w:rsid w:val="004D2A5E"/>
    <w:rsid w:val="004D2C2D"/>
    <w:rsid w:val="004D303C"/>
    <w:rsid w:val="004D3109"/>
    <w:rsid w:val="004D4DD5"/>
    <w:rsid w:val="004D5495"/>
    <w:rsid w:val="004D5A8F"/>
    <w:rsid w:val="004D652B"/>
    <w:rsid w:val="004D69B5"/>
    <w:rsid w:val="004D69FD"/>
    <w:rsid w:val="004D7227"/>
    <w:rsid w:val="004D7253"/>
    <w:rsid w:val="004D7B5E"/>
    <w:rsid w:val="004E0E7F"/>
    <w:rsid w:val="004E0EB8"/>
    <w:rsid w:val="004E1564"/>
    <w:rsid w:val="004E18E9"/>
    <w:rsid w:val="004E261B"/>
    <w:rsid w:val="004E2768"/>
    <w:rsid w:val="004E2A0F"/>
    <w:rsid w:val="004E2ADC"/>
    <w:rsid w:val="004E3018"/>
    <w:rsid w:val="004E3107"/>
    <w:rsid w:val="004E360E"/>
    <w:rsid w:val="004E3DDD"/>
    <w:rsid w:val="004E43B2"/>
    <w:rsid w:val="004E496C"/>
    <w:rsid w:val="004E5635"/>
    <w:rsid w:val="004E570E"/>
    <w:rsid w:val="004E6508"/>
    <w:rsid w:val="004F1990"/>
    <w:rsid w:val="004F1D02"/>
    <w:rsid w:val="004F2679"/>
    <w:rsid w:val="004F26C3"/>
    <w:rsid w:val="004F2E99"/>
    <w:rsid w:val="004F2F21"/>
    <w:rsid w:val="004F3305"/>
    <w:rsid w:val="004F3393"/>
    <w:rsid w:val="004F3DE5"/>
    <w:rsid w:val="004F4068"/>
    <w:rsid w:val="004F4D83"/>
    <w:rsid w:val="004F50EA"/>
    <w:rsid w:val="004F557B"/>
    <w:rsid w:val="004F57F7"/>
    <w:rsid w:val="004F5BDF"/>
    <w:rsid w:val="004F5BE4"/>
    <w:rsid w:val="004F6913"/>
    <w:rsid w:val="004F72E3"/>
    <w:rsid w:val="004F7865"/>
    <w:rsid w:val="004F7F43"/>
    <w:rsid w:val="00500187"/>
    <w:rsid w:val="00500803"/>
    <w:rsid w:val="0050174E"/>
    <w:rsid w:val="00501854"/>
    <w:rsid w:val="00501906"/>
    <w:rsid w:val="0050219B"/>
    <w:rsid w:val="00502773"/>
    <w:rsid w:val="00502870"/>
    <w:rsid w:val="00502FA1"/>
    <w:rsid w:val="00503423"/>
    <w:rsid w:val="00503B61"/>
    <w:rsid w:val="00503ED0"/>
    <w:rsid w:val="00503F17"/>
    <w:rsid w:val="00503F3A"/>
    <w:rsid w:val="00504F54"/>
    <w:rsid w:val="00505431"/>
    <w:rsid w:val="0050665B"/>
    <w:rsid w:val="00506928"/>
    <w:rsid w:val="005077E3"/>
    <w:rsid w:val="005077EF"/>
    <w:rsid w:val="00511AD5"/>
    <w:rsid w:val="00511DC7"/>
    <w:rsid w:val="00512401"/>
    <w:rsid w:val="00512E41"/>
    <w:rsid w:val="005131A6"/>
    <w:rsid w:val="00513861"/>
    <w:rsid w:val="005142C5"/>
    <w:rsid w:val="00514493"/>
    <w:rsid w:val="005147F2"/>
    <w:rsid w:val="00514D96"/>
    <w:rsid w:val="0051501B"/>
    <w:rsid w:val="005152B5"/>
    <w:rsid w:val="00515886"/>
    <w:rsid w:val="005165F8"/>
    <w:rsid w:val="00516F35"/>
    <w:rsid w:val="00517328"/>
    <w:rsid w:val="00517926"/>
    <w:rsid w:val="0051792B"/>
    <w:rsid w:val="00517D2C"/>
    <w:rsid w:val="00520BCC"/>
    <w:rsid w:val="00520D67"/>
    <w:rsid w:val="00521184"/>
    <w:rsid w:val="0052123C"/>
    <w:rsid w:val="00521319"/>
    <w:rsid w:val="0052210A"/>
    <w:rsid w:val="00522544"/>
    <w:rsid w:val="00522BC8"/>
    <w:rsid w:val="00522C85"/>
    <w:rsid w:val="00523909"/>
    <w:rsid w:val="00523C28"/>
    <w:rsid w:val="0052429A"/>
    <w:rsid w:val="00525241"/>
    <w:rsid w:val="0052769D"/>
    <w:rsid w:val="0053087F"/>
    <w:rsid w:val="00530B77"/>
    <w:rsid w:val="00530B87"/>
    <w:rsid w:val="00530C1E"/>
    <w:rsid w:val="005313CB"/>
    <w:rsid w:val="0053176B"/>
    <w:rsid w:val="00531986"/>
    <w:rsid w:val="005322C9"/>
    <w:rsid w:val="005328B8"/>
    <w:rsid w:val="005328D5"/>
    <w:rsid w:val="00532C20"/>
    <w:rsid w:val="00533539"/>
    <w:rsid w:val="00533689"/>
    <w:rsid w:val="00533880"/>
    <w:rsid w:val="005341B3"/>
    <w:rsid w:val="0053425E"/>
    <w:rsid w:val="0053547F"/>
    <w:rsid w:val="0053626A"/>
    <w:rsid w:val="005362CF"/>
    <w:rsid w:val="00536F0E"/>
    <w:rsid w:val="00536F42"/>
    <w:rsid w:val="00537182"/>
    <w:rsid w:val="00537765"/>
    <w:rsid w:val="0054056C"/>
    <w:rsid w:val="00541943"/>
    <w:rsid w:val="005419C4"/>
    <w:rsid w:val="00541EDD"/>
    <w:rsid w:val="00542743"/>
    <w:rsid w:val="00542C2D"/>
    <w:rsid w:val="00542C5C"/>
    <w:rsid w:val="00543321"/>
    <w:rsid w:val="005439BD"/>
    <w:rsid w:val="00544ACC"/>
    <w:rsid w:val="00544BA9"/>
    <w:rsid w:val="0054522A"/>
    <w:rsid w:val="005462DE"/>
    <w:rsid w:val="005478BD"/>
    <w:rsid w:val="005479E3"/>
    <w:rsid w:val="00547B22"/>
    <w:rsid w:val="00547E55"/>
    <w:rsid w:val="00551985"/>
    <w:rsid w:val="00552195"/>
    <w:rsid w:val="00552BD3"/>
    <w:rsid w:val="00552C2F"/>
    <w:rsid w:val="005532A0"/>
    <w:rsid w:val="00553CBA"/>
    <w:rsid w:val="00554F3F"/>
    <w:rsid w:val="00555109"/>
    <w:rsid w:val="0055588D"/>
    <w:rsid w:val="0055685A"/>
    <w:rsid w:val="00556B35"/>
    <w:rsid w:val="0055741A"/>
    <w:rsid w:val="00557DF6"/>
    <w:rsid w:val="005602E8"/>
    <w:rsid w:val="00560924"/>
    <w:rsid w:val="00560F2B"/>
    <w:rsid w:val="005611B7"/>
    <w:rsid w:val="005618D4"/>
    <w:rsid w:val="00561DAE"/>
    <w:rsid w:val="005626D1"/>
    <w:rsid w:val="00562E0F"/>
    <w:rsid w:val="00563D55"/>
    <w:rsid w:val="005643E9"/>
    <w:rsid w:val="00564625"/>
    <w:rsid w:val="00564867"/>
    <w:rsid w:val="00565BB4"/>
    <w:rsid w:val="00565C79"/>
    <w:rsid w:val="00565C8C"/>
    <w:rsid w:val="00565DF0"/>
    <w:rsid w:val="005661D5"/>
    <w:rsid w:val="005668CE"/>
    <w:rsid w:val="0056696F"/>
    <w:rsid w:val="00571008"/>
    <w:rsid w:val="005714D1"/>
    <w:rsid w:val="00571809"/>
    <w:rsid w:val="00572269"/>
    <w:rsid w:val="0057244A"/>
    <w:rsid w:val="00572F26"/>
    <w:rsid w:val="00573685"/>
    <w:rsid w:val="00574A0F"/>
    <w:rsid w:val="00574C0B"/>
    <w:rsid w:val="00574C5A"/>
    <w:rsid w:val="005750C5"/>
    <w:rsid w:val="00575289"/>
    <w:rsid w:val="005752DE"/>
    <w:rsid w:val="00575591"/>
    <w:rsid w:val="00575D60"/>
    <w:rsid w:val="00575D8D"/>
    <w:rsid w:val="00576972"/>
    <w:rsid w:val="00576992"/>
    <w:rsid w:val="00576C03"/>
    <w:rsid w:val="00576C75"/>
    <w:rsid w:val="00577248"/>
    <w:rsid w:val="005773F9"/>
    <w:rsid w:val="00582297"/>
    <w:rsid w:val="00582941"/>
    <w:rsid w:val="00582B04"/>
    <w:rsid w:val="00582F6B"/>
    <w:rsid w:val="00583699"/>
    <w:rsid w:val="00584593"/>
    <w:rsid w:val="00584B70"/>
    <w:rsid w:val="00584C9D"/>
    <w:rsid w:val="00584CCC"/>
    <w:rsid w:val="00584CCD"/>
    <w:rsid w:val="0058530C"/>
    <w:rsid w:val="0058598F"/>
    <w:rsid w:val="00585CDD"/>
    <w:rsid w:val="0058650F"/>
    <w:rsid w:val="00587058"/>
    <w:rsid w:val="005870F6"/>
    <w:rsid w:val="005877D3"/>
    <w:rsid w:val="0059019E"/>
    <w:rsid w:val="00591267"/>
    <w:rsid w:val="00591957"/>
    <w:rsid w:val="00591BB9"/>
    <w:rsid w:val="00593430"/>
    <w:rsid w:val="005940AD"/>
    <w:rsid w:val="00594930"/>
    <w:rsid w:val="00594C12"/>
    <w:rsid w:val="0059566F"/>
    <w:rsid w:val="0059575D"/>
    <w:rsid w:val="005959AA"/>
    <w:rsid w:val="00596051"/>
    <w:rsid w:val="00596CC6"/>
    <w:rsid w:val="00596CDB"/>
    <w:rsid w:val="00597030"/>
    <w:rsid w:val="00597BF9"/>
    <w:rsid w:val="00597F73"/>
    <w:rsid w:val="005A0C11"/>
    <w:rsid w:val="005A139B"/>
    <w:rsid w:val="005A15CD"/>
    <w:rsid w:val="005A25C4"/>
    <w:rsid w:val="005A295E"/>
    <w:rsid w:val="005A3021"/>
    <w:rsid w:val="005A309A"/>
    <w:rsid w:val="005A373D"/>
    <w:rsid w:val="005A3C0B"/>
    <w:rsid w:val="005A459D"/>
    <w:rsid w:val="005A542E"/>
    <w:rsid w:val="005A5AF9"/>
    <w:rsid w:val="005A5E0A"/>
    <w:rsid w:val="005A6133"/>
    <w:rsid w:val="005A6208"/>
    <w:rsid w:val="005A67BE"/>
    <w:rsid w:val="005A6BA1"/>
    <w:rsid w:val="005B0509"/>
    <w:rsid w:val="005B0B57"/>
    <w:rsid w:val="005B0B58"/>
    <w:rsid w:val="005B0BD3"/>
    <w:rsid w:val="005B1719"/>
    <w:rsid w:val="005B2480"/>
    <w:rsid w:val="005B3075"/>
    <w:rsid w:val="005B3793"/>
    <w:rsid w:val="005B4E53"/>
    <w:rsid w:val="005B505A"/>
    <w:rsid w:val="005B5626"/>
    <w:rsid w:val="005B5857"/>
    <w:rsid w:val="005B5F4C"/>
    <w:rsid w:val="005B67E9"/>
    <w:rsid w:val="005B74FD"/>
    <w:rsid w:val="005B7BF2"/>
    <w:rsid w:val="005B7D52"/>
    <w:rsid w:val="005B7FB3"/>
    <w:rsid w:val="005C0E6E"/>
    <w:rsid w:val="005C0FA3"/>
    <w:rsid w:val="005C131D"/>
    <w:rsid w:val="005C19C4"/>
    <w:rsid w:val="005C1B83"/>
    <w:rsid w:val="005C21AC"/>
    <w:rsid w:val="005C25FF"/>
    <w:rsid w:val="005C2D55"/>
    <w:rsid w:val="005C336B"/>
    <w:rsid w:val="005C346B"/>
    <w:rsid w:val="005C4338"/>
    <w:rsid w:val="005C4E67"/>
    <w:rsid w:val="005C58A4"/>
    <w:rsid w:val="005C59DE"/>
    <w:rsid w:val="005C5ABC"/>
    <w:rsid w:val="005C5D86"/>
    <w:rsid w:val="005C5F23"/>
    <w:rsid w:val="005C6B22"/>
    <w:rsid w:val="005C6D7B"/>
    <w:rsid w:val="005C7A43"/>
    <w:rsid w:val="005C7EF5"/>
    <w:rsid w:val="005D044D"/>
    <w:rsid w:val="005D04BD"/>
    <w:rsid w:val="005D0ABD"/>
    <w:rsid w:val="005D0F0A"/>
    <w:rsid w:val="005D1192"/>
    <w:rsid w:val="005D1690"/>
    <w:rsid w:val="005D18AD"/>
    <w:rsid w:val="005D1B4B"/>
    <w:rsid w:val="005D26B4"/>
    <w:rsid w:val="005D270F"/>
    <w:rsid w:val="005D56F0"/>
    <w:rsid w:val="005D5C29"/>
    <w:rsid w:val="005D5E0B"/>
    <w:rsid w:val="005D64FA"/>
    <w:rsid w:val="005E03A5"/>
    <w:rsid w:val="005E04D6"/>
    <w:rsid w:val="005E0988"/>
    <w:rsid w:val="005E0A1D"/>
    <w:rsid w:val="005E0F68"/>
    <w:rsid w:val="005E1995"/>
    <w:rsid w:val="005E20B2"/>
    <w:rsid w:val="005E2218"/>
    <w:rsid w:val="005E3631"/>
    <w:rsid w:val="005E364F"/>
    <w:rsid w:val="005E4985"/>
    <w:rsid w:val="005E5FCA"/>
    <w:rsid w:val="005E6937"/>
    <w:rsid w:val="005E6CBC"/>
    <w:rsid w:val="005E6F2D"/>
    <w:rsid w:val="005E72FF"/>
    <w:rsid w:val="005E73C0"/>
    <w:rsid w:val="005F07ED"/>
    <w:rsid w:val="005F129E"/>
    <w:rsid w:val="005F1D94"/>
    <w:rsid w:val="005F2706"/>
    <w:rsid w:val="005F2FBD"/>
    <w:rsid w:val="005F3F99"/>
    <w:rsid w:val="005F420A"/>
    <w:rsid w:val="005F4412"/>
    <w:rsid w:val="005F4F13"/>
    <w:rsid w:val="005F5B1C"/>
    <w:rsid w:val="005F5F83"/>
    <w:rsid w:val="005F6373"/>
    <w:rsid w:val="005F6859"/>
    <w:rsid w:val="005F6A8F"/>
    <w:rsid w:val="005F6BB7"/>
    <w:rsid w:val="005F7588"/>
    <w:rsid w:val="005F7630"/>
    <w:rsid w:val="005F7895"/>
    <w:rsid w:val="005F78F7"/>
    <w:rsid w:val="00600FA8"/>
    <w:rsid w:val="00602223"/>
    <w:rsid w:val="00602377"/>
    <w:rsid w:val="00603248"/>
    <w:rsid w:val="00603DB9"/>
    <w:rsid w:val="00604665"/>
    <w:rsid w:val="006046BD"/>
    <w:rsid w:val="0060482A"/>
    <w:rsid w:val="006048BE"/>
    <w:rsid w:val="00604919"/>
    <w:rsid w:val="00606B7C"/>
    <w:rsid w:val="00606BF2"/>
    <w:rsid w:val="00606FBA"/>
    <w:rsid w:val="00607669"/>
    <w:rsid w:val="006076F4"/>
    <w:rsid w:val="00607AFD"/>
    <w:rsid w:val="00610A13"/>
    <w:rsid w:val="00610EA1"/>
    <w:rsid w:val="00611790"/>
    <w:rsid w:val="00611B12"/>
    <w:rsid w:val="00611B7A"/>
    <w:rsid w:val="00612F97"/>
    <w:rsid w:val="00613432"/>
    <w:rsid w:val="0061345D"/>
    <w:rsid w:val="00614283"/>
    <w:rsid w:val="006145DB"/>
    <w:rsid w:val="00614630"/>
    <w:rsid w:val="0061549B"/>
    <w:rsid w:val="00616802"/>
    <w:rsid w:val="006179B3"/>
    <w:rsid w:val="00617E12"/>
    <w:rsid w:val="00617E2B"/>
    <w:rsid w:val="00617EC8"/>
    <w:rsid w:val="006208D4"/>
    <w:rsid w:val="00620BB5"/>
    <w:rsid w:val="00620C25"/>
    <w:rsid w:val="00620F86"/>
    <w:rsid w:val="00621477"/>
    <w:rsid w:val="00621ADA"/>
    <w:rsid w:val="00621D5D"/>
    <w:rsid w:val="00622001"/>
    <w:rsid w:val="00622039"/>
    <w:rsid w:val="006222DC"/>
    <w:rsid w:val="006227EF"/>
    <w:rsid w:val="00622FCF"/>
    <w:rsid w:val="00623280"/>
    <w:rsid w:val="006236A1"/>
    <w:rsid w:val="0062392F"/>
    <w:rsid w:val="00623F7B"/>
    <w:rsid w:val="006240D8"/>
    <w:rsid w:val="00624AEE"/>
    <w:rsid w:val="00624BD4"/>
    <w:rsid w:val="00627169"/>
    <w:rsid w:val="00630B36"/>
    <w:rsid w:val="0063148E"/>
    <w:rsid w:val="0063158F"/>
    <w:rsid w:val="00631D6B"/>
    <w:rsid w:val="00632183"/>
    <w:rsid w:val="006330A1"/>
    <w:rsid w:val="0063417B"/>
    <w:rsid w:val="00634265"/>
    <w:rsid w:val="0063479F"/>
    <w:rsid w:val="006353F0"/>
    <w:rsid w:val="0063564C"/>
    <w:rsid w:val="006357B5"/>
    <w:rsid w:val="0063644D"/>
    <w:rsid w:val="00636473"/>
    <w:rsid w:val="006364A1"/>
    <w:rsid w:val="0063678E"/>
    <w:rsid w:val="00636946"/>
    <w:rsid w:val="0063750D"/>
    <w:rsid w:val="00637BFD"/>
    <w:rsid w:val="00637C5C"/>
    <w:rsid w:val="00640208"/>
    <w:rsid w:val="00641C4E"/>
    <w:rsid w:val="00641EF1"/>
    <w:rsid w:val="00641FB3"/>
    <w:rsid w:val="0064221C"/>
    <w:rsid w:val="006425B0"/>
    <w:rsid w:val="006431C1"/>
    <w:rsid w:val="006436D1"/>
    <w:rsid w:val="0064434C"/>
    <w:rsid w:val="0064479C"/>
    <w:rsid w:val="00644927"/>
    <w:rsid w:val="006452E3"/>
    <w:rsid w:val="00645549"/>
    <w:rsid w:val="0064589C"/>
    <w:rsid w:val="00645B01"/>
    <w:rsid w:val="00645C5C"/>
    <w:rsid w:val="00645D91"/>
    <w:rsid w:val="006471CC"/>
    <w:rsid w:val="006472FE"/>
    <w:rsid w:val="00647A29"/>
    <w:rsid w:val="0065079F"/>
    <w:rsid w:val="0065191F"/>
    <w:rsid w:val="00652A28"/>
    <w:rsid w:val="00652AD4"/>
    <w:rsid w:val="006530A9"/>
    <w:rsid w:val="00653222"/>
    <w:rsid w:val="0065379F"/>
    <w:rsid w:val="00655BDC"/>
    <w:rsid w:val="00656188"/>
    <w:rsid w:val="00656512"/>
    <w:rsid w:val="006567F1"/>
    <w:rsid w:val="00656E7A"/>
    <w:rsid w:val="0065715A"/>
    <w:rsid w:val="00657184"/>
    <w:rsid w:val="006572A6"/>
    <w:rsid w:val="006573DC"/>
    <w:rsid w:val="00657582"/>
    <w:rsid w:val="00657E23"/>
    <w:rsid w:val="0066005F"/>
    <w:rsid w:val="006610F1"/>
    <w:rsid w:val="00661396"/>
    <w:rsid w:val="00661A6F"/>
    <w:rsid w:val="00661C6B"/>
    <w:rsid w:val="00662B96"/>
    <w:rsid w:val="00662BA9"/>
    <w:rsid w:val="00662D3E"/>
    <w:rsid w:val="00662E27"/>
    <w:rsid w:val="00662EF2"/>
    <w:rsid w:val="00664AB0"/>
    <w:rsid w:val="00664C48"/>
    <w:rsid w:val="00664EBA"/>
    <w:rsid w:val="006657F5"/>
    <w:rsid w:val="006664B7"/>
    <w:rsid w:val="00667232"/>
    <w:rsid w:val="00667428"/>
    <w:rsid w:val="00667625"/>
    <w:rsid w:val="00667BE3"/>
    <w:rsid w:val="006700DA"/>
    <w:rsid w:val="00671004"/>
    <w:rsid w:val="00671441"/>
    <w:rsid w:val="006721AB"/>
    <w:rsid w:val="00672646"/>
    <w:rsid w:val="0067311F"/>
    <w:rsid w:val="0067363B"/>
    <w:rsid w:val="00674E42"/>
    <w:rsid w:val="006756A1"/>
    <w:rsid w:val="00675B93"/>
    <w:rsid w:val="0067634C"/>
    <w:rsid w:val="00676563"/>
    <w:rsid w:val="006770EB"/>
    <w:rsid w:val="006776DB"/>
    <w:rsid w:val="0068074C"/>
    <w:rsid w:val="00681294"/>
    <w:rsid w:val="006813F8"/>
    <w:rsid w:val="00681F2B"/>
    <w:rsid w:val="00681F71"/>
    <w:rsid w:val="006820A4"/>
    <w:rsid w:val="00682112"/>
    <w:rsid w:val="0068260A"/>
    <w:rsid w:val="00682BA6"/>
    <w:rsid w:val="0068349C"/>
    <w:rsid w:val="00683D03"/>
    <w:rsid w:val="006856A8"/>
    <w:rsid w:val="00685F65"/>
    <w:rsid w:val="00686957"/>
    <w:rsid w:val="006869AB"/>
    <w:rsid w:val="006872BA"/>
    <w:rsid w:val="00690795"/>
    <w:rsid w:val="00691648"/>
    <w:rsid w:val="00691747"/>
    <w:rsid w:val="006917D7"/>
    <w:rsid w:val="00691A52"/>
    <w:rsid w:val="0069282B"/>
    <w:rsid w:val="00692B83"/>
    <w:rsid w:val="00692D56"/>
    <w:rsid w:val="00693EC8"/>
    <w:rsid w:val="0069434C"/>
    <w:rsid w:val="006943F4"/>
    <w:rsid w:val="00694F44"/>
    <w:rsid w:val="00695999"/>
    <w:rsid w:val="00695F39"/>
    <w:rsid w:val="00696338"/>
    <w:rsid w:val="00696824"/>
    <w:rsid w:val="00696EF9"/>
    <w:rsid w:val="00696F51"/>
    <w:rsid w:val="0069719F"/>
    <w:rsid w:val="00697353"/>
    <w:rsid w:val="006975C9"/>
    <w:rsid w:val="0069792F"/>
    <w:rsid w:val="006979A5"/>
    <w:rsid w:val="00697CF2"/>
    <w:rsid w:val="006A016F"/>
    <w:rsid w:val="006A0713"/>
    <w:rsid w:val="006A0DF7"/>
    <w:rsid w:val="006A0EFE"/>
    <w:rsid w:val="006A24BE"/>
    <w:rsid w:val="006A2CC7"/>
    <w:rsid w:val="006A357C"/>
    <w:rsid w:val="006A3799"/>
    <w:rsid w:val="006A3A6C"/>
    <w:rsid w:val="006A424E"/>
    <w:rsid w:val="006A428F"/>
    <w:rsid w:val="006A4321"/>
    <w:rsid w:val="006A43D9"/>
    <w:rsid w:val="006A46E8"/>
    <w:rsid w:val="006A526E"/>
    <w:rsid w:val="006A59F2"/>
    <w:rsid w:val="006A6203"/>
    <w:rsid w:val="006A6B99"/>
    <w:rsid w:val="006A759E"/>
    <w:rsid w:val="006A7611"/>
    <w:rsid w:val="006A7B40"/>
    <w:rsid w:val="006A7BFE"/>
    <w:rsid w:val="006A7D91"/>
    <w:rsid w:val="006A7E5F"/>
    <w:rsid w:val="006B0CEA"/>
    <w:rsid w:val="006B0D41"/>
    <w:rsid w:val="006B102A"/>
    <w:rsid w:val="006B113B"/>
    <w:rsid w:val="006B1319"/>
    <w:rsid w:val="006B1C4F"/>
    <w:rsid w:val="006B20D4"/>
    <w:rsid w:val="006B261B"/>
    <w:rsid w:val="006B2C90"/>
    <w:rsid w:val="006B35AA"/>
    <w:rsid w:val="006B35E6"/>
    <w:rsid w:val="006B4022"/>
    <w:rsid w:val="006B462F"/>
    <w:rsid w:val="006B465A"/>
    <w:rsid w:val="006B5618"/>
    <w:rsid w:val="006B64A9"/>
    <w:rsid w:val="006B66FF"/>
    <w:rsid w:val="006B6DD0"/>
    <w:rsid w:val="006B746B"/>
    <w:rsid w:val="006B76AD"/>
    <w:rsid w:val="006C0116"/>
    <w:rsid w:val="006C0399"/>
    <w:rsid w:val="006C0B5A"/>
    <w:rsid w:val="006C117E"/>
    <w:rsid w:val="006C1671"/>
    <w:rsid w:val="006C16F3"/>
    <w:rsid w:val="006C1978"/>
    <w:rsid w:val="006C1B73"/>
    <w:rsid w:val="006C1B79"/>
    <w:rsid w:val="006C273F"/>
    <w:rsid w:val="006C2A8E"/>
    <w:rsid w:val="006C3255"/>
    <w:rsid w:val="006C3667"/>
    <w:rsid w:val="006C3686"/>
    <w:rsid w:val="006C3F26"/>
    <w:rsid w:val="006C4DFF"/>
    <w:rsid w:val="006C4E7B"/>
    <w:rsid w:val="006C5675"/>
    <w:rsid w:val="006C654F"/>
    <w:rsid w:val="006C66A7"/>
    <w:rsid w:val="006C6872"/>
    <w:rsid w:val="006C6B02"/>
    <w:rsid w:val="006C6B07"/>
    <w:rsid w:val="006C6F7A"/>
    <w:rsid w:val="006C742A"/>
    <w:rsid w:val="006C7EEA"/>
    <w:rsid w:val="006D0BC7"/>
    <w:rsid w:val="006D0D17"/>
    <w:rsid w:val="006D19BA"/>
    <w:rsid w:val="006D1FE4"/>
    <w:rsid w:val="006D35EC"/>
    <w:rsid w:val="006D3C7D"/>
    <w:rsid w:val="006D4659"/>
    <w:rsid w:val="006D5092"/>
    <w:rsid w:val="006D5CAE"/>
    <w:rsid w:val="006D5D5F"/>
    <w:rsid w:val="006D68FB"/>
    <w:rsid w:val="006D754A"/>
    <w:rsid w:val="006D7974"/>
    <w:rsid w:val="006E0113"/>
    <w:rsid w:val="006E0309"/>
    <w:rsid w:val="006E0890"/>
    <w:rsid w:val="006E0B80"/>
    <w:rsid w:val="006E1000"/>
    <w:rsid w:val="006E165F"/>
    <w:rsid w:val="006E2868"/>
    <w:rsid w:val="006E2BA1"/>
    <w:rsid w:val="006E2BE6"/>
    <w:rsid w:val="006E3C8E"/>
    <w:rsid w:val="006E3F17"/>
    <w:rsid w:val="006E47EC"/>
    <w:rsid w:val="006E73EF"/>
    <w:rsid w:val="006E7514"/>
    <w:rsid w:val="006E7BFC"/>
    <w:rsid w:val="006F09CA"/>
    <w:rsid w:val="006F0AA8"/>
    <w:rsid w:val="006F1E69"/>
    <w:rsid w:val="006F2355"/>
    <w:rsid w:val="006F2D13"/>
    <w:rsid w:val="006F306C"/>
    <w:rsid w:val="006F3256"/>
    <w:rsid w:val="006F3E75"/>
    <w:rsid w:val="006F59C2"/>
    <w:rsid w:val="006F5B08"/>
    <w:rsid w:val="006F60D4"/>
    <w:rsid w:val="006F612F"/>
    <w:rsid w:val="006F6183"/>
    <w:rsid w:val="006F6377"/>
    <w:rsid w:val="006F63A5"/>
    <w:rsid w:val="006F73C1"/>
    <w:rsid w:val="006F7549"/>
    <w:rsid w:val="006F763B"/>
    <w:rsid w:val="006F7BA3"/>
    <w:rsid w:val="007001D7"/>
    <w:rsid w:val="0070123E"/>
    <w:rsid w:val="0070142B"/>
    <w:rsid w:val="00701FCF"/>
    <w:rsid w:val="0070276E"/>
    <w:rsid w:val="007028CF"/>
    <w:rsid w:val="00702F8F"/>
    <w:rsid w:val="0070319C"/>
    <w:rsid w:val="00703479"/>
    <w:rsid w:val="0070357D"/>
    <w:rsid w:val="007036D3"/>
    <w:rsid w:val="0070395C"/>
    <w:rsid w:val="0070424E"/>
    <w:rsid w:val="00704D5B"/>
    <w:rsid w:val="00704EB7"/>
    <w:rsid w:val="00704F57"/>
    <w:rsid w:val="0070534F"/>
    <w:rsid w:val="00705405"/>
    <w:rsid w:val="007059D6"/>
    <w:rsid w:val="00705D66"/>
    <w:rsid w:val="00706493"/>
    <w:rsid w:val="00707365"/>
    <w:rsid w:val="0070765E"/>
    <w:rsid w:val="007079FC"/>
    <w:rsid w:val="00707DF8"/>
    <w:rsid w:val="00711830"/>
    <w:rsid w:val="00711A36"/>
    <w:rsid w:val="00711B90"/>
    <w:rsid w:val="007125D3"/>
    <w:rsid w:val="007132C6"/>
    <w:rsid w:val="00714AD4"/>
    <w:rsid w:val="00714BF5"/>
    <w:rsid w:val="00714C26"/>
    <w:rsid w:val="00714D46"/>
    <w:rsid w:val="00714E38"/>
    <w:rsid w:val="00714EB1"/>
    <w:rsid w:val="0071529C"/>
    <w:rsid w:val="0071683D"/>
    <w:rsid w:val="00716C31"/>
    <w:rsid w:val="00716E45"/>
    <w:rsid w:val="007170DA"/>
    <w:rsid w:val="007172AD"/>
    <w:rsid w:val="00717546"/>
    <w:rsid w:val="0071781A"/>
    <w:rsid w:val="00717D87"/>
    <w:rsid w:val="00720801"/>
    <w:rsid w:val="00721516"/>
    <w:rsid w:val="00721745"/>
    <w:rsid w:val="00721EA3"/>
    <w:rsid w:val="00722B1B"/>
    <w:rsid w:val="00724114"/>
    <w:rsid w:val="0072416F"/>
    <w:rsid w:val="0072481B"/>
    <w:rsid w:val="00725109"/>
    <w:rsid w:val="00725C75"/>
    <w:rsid w:val="0072692A"/>
    <w:rsid w:val="00726935"/>
    <w:rsid w:val="00727A69"/>
    <w:rsid w:val="00727C47"/>
    <w:rsid w:val="00727C94"/>
    <w:rsid w:val="0073024E"/>
    <w:rsid w:val="0073044D"/>
    <w:rsid w:val="00731B0A"/>
    <w:rsid w:val="00731EAE"/>
    <w:rsid w:val="00731ED9"/>
    <w:rsid w:val="007326A9"/>
    <w:rsid w:val="00732C3B"/>
    <w:rsid w:val="00732E52"/>
    <w:rsid w:val="00733073"/>
    <w:rsid w:val="00733E9F"/>
    <w:rsid w:val="0073421B"/>
    <w:rsid w:val="00734355"/>
    <w:rsid w:val="007344D8"/>
    <w:rsid w:val="00735033"/>
    <w:rsid w:val="00735328"/>
    <w:rsid w:val="00736673"/>
    <w:rsid w:val="0073685B"/>
    <w:rsid w:val="007368DA"/>
    <w:rsid w:val="00737439"/>
    <w:rsid w:val="0073788C"/>
    <w:rsid w:val="007402C1"/>
    <w:rsid w:val="00742309"/>
    <w:rsid w:val="007430A8"/>
    <w:rsid w:val="0074373B"/>
    <w:rsid w:val="00743B37"/>
    <w:rsid w:val="0074472B"/>
    <w:rsid w:val="007449BF"/>
    <w:rsid w:val="00744B0E"/>
    <w:rsid w:val="00744E39"/>
    <w:rsid w:val="00744EEB"/>
    <w:rsid w:val="00745352"/>
    <w:rsid w:val="00745439"/>
    <w:rsid w:val="007463FE"/>
    <w:rsid w:val="00746BC0"/>
    <w:rsid w:val="00747C24"/>
    <w:rsid w:val="00747EAA"/>
    <w:rsid w:val="00750051"/>
    <w:rsid w:val="00750B13"/>
    <w:rsid w:val="007510B4"/>
    <w:rsid w:val="0075138E"/>
    <w:rsid w:val="00751738"/>
    <w:rsid w:val="00751E06"/>
    <w:rsid w:val="00751ECB"/>
    <w:rsid w:val="00751FCA"/>
    <w:rsid w:val="00751FFE"/>
    <w:rsid w:val="00752142"/>
    <w:rsid w:val="007523F9"/>
    <w:rsid w:val="0075255E"/>
    <w:rsid w:val="007534D0"/>
    <w:rsid w:val="0075357E"/>
    <w:rsid w:val="00753845"/>
    <w:rsid w:val="00753B29"/>
    <w:rsid w:val="007549D2"/>
    <w:rsid w:val="00755F95"/>
    <w:rsid w:val="0075626B"/>
    <w:rsid w:val="0075632C"/>
    <w:rsid w:val="00756701"/>
    <w:rsid w:val="00756F3D"/>
    <w:rsid w:val="00756FB0"/>
    <w:rsid w:val="007571F0"/>
    <w:rsid w:val="00757246"/>
    <w:rsid w:val="007573E8"/>
    <w:rsid w:val="00757678"/>
    <w:rsid w:val="00757C83"/>
    <w:rsid w:val="00757FDA"/>
    <w:rsid w:val="0076006F"/>
    <w:rsid w:val="00760261"/>
    <w:rsid w:val="00760337"/>
    <w:rsid w:val="00760C4E"/>
    <w:rsid w:val="00760F9E"/>
    <w:rsid w:val="007616E6"/>
    <w:rsid w:val="00761E6A"/>
    <w:rsid w:val="007627BE"/>
    <w:rsid w:val="00764104"/>
    <w:rsid w:val="00764168"/>
    <w:rsid w:val="007643BD"/>
    <w:rsid w:val="007643F3"/>
    <w:rsid w:val="00764F03"/>
    <w:rsid w:val="00765B1A"/>
    <w:rsid w:val="00765DC1"/>
    <w:rsid w:val="00766000"/>
    <w:rsid w:val="00766BAD"/>
    <w:rsid w:val="00766C7A"/>
    <w:rsid w:val="00770013"/>
    <w:rsid w:val="00770295"/>
    <w:rsid w:val="007702C3"/>
    <w:rsid w:val="0077034E"/>
    <w:rsid w:val="00770BE6"/>
    <w:rsid w:val="00770CD7"/>
    <w:rsid w:val="00770CF8"/>
    <w:rsid w:val="007715BF"/>
    <w:rsid w:val="00772C6C"/>
    <w:rsid w:val="00772E23"/>
    <w:rsid w:val="00772F3A"/>
    <w:rsid w:val="007730DB"/>
    <w:rsid w:val="00773850"/>
    <w:rsid w:val="00773B56"/>
    <w:rsid w:val="00773CC3"/>
    <w:rsid w:val="00776191"/>
    <w:rsid w:val="00776605"/>
    <w:rsid w:val="007768B2"/>
    <w:rsid w:val="007771E9"/>
    <w:rsid w:val="00777335"/>
    <w:rsid w:val="00777DAE"/>
    <w:rsid w:val="0078084A"/>
    <w:rsid w:val="00780ADD"/>
    <w:rsid w:val="00781DA1"/>
    <w:rsid w:val="00781E24"/>
    <w:rsid w:val="007834BD"/>
    <w:rsid w:val="00783788"/>
    <w:rsid w:val="00784109"/>
    <w:rsid w:val="007843F2"/>
    <w:rsid w:val="007846FA"/>
    <w:rsid w:val="007853B1"/>
    <w:rsid w:val="00785400"/>
    <w:rsid w:val="00785A9F"/>
    <w:rsid w:val="00786A16"/>
    <w:rsid w:val="00786E80"/>
    <w:rsid w:val="007874B3"/>
    <w:rsid w:val="007900F6"/>
    <w:rsid w:val="00790823"/>
    <w:rsid w:val="00790835"/>
    <w:rsid w:val="007925DF"/>
    <w:rsid w:val="0079261C"/>
    <w:rsid w:val="00792662"/>
    <w:rsid w:val="00792B22"/>
    <w:rsid w:val="00792E1C"/>
    <w:rsid w:val="0079343A"/>
    <w:rsid w:val="0079386E"/>
    <w:rsid w:val="00793924"/>
    <w:rsid w:val="00794002"/>
    <w:rsid w:val="007944F0"/>
    <w:rsid w:val="0079469B"/>
    <w:rsid w:val="00795ED6"/>
    <w:rsid w:val="0079607F"/>
    <w:rsid w:val="00797298"/>
    <w:rsid w:val="0079758B"/>
    <w:rsid w:val="007A00CA"/>
    <w:rsid w:val="007A08AA"/>
    <w:rsid w:val="007A0A12"/>
    <w:rsid w:val="007A132D"/>
    <w:rsid w:val="007A1345"/>
    <w:rsid w:val="007A1809"/>
    <w:rsid w:val="007A1AC8"/>
    <w:rsid w:val="007A2DDB"/>
    <w:rsid w:val="007A3BFA"/>
    <w:rsid w:val="007A56F2"/>
    <w:rsid w:val="007A610F"/>
    <w:rsid w:val="007A6128"/>
    <w:rsid w:val="007A70BA"/>
    <w:rsid w:val="007A70E1"/>
    <w:rsid w:val="007A77A8"/>
    <w:rsid w:val="007A7BCC"/>
    <w:rsid w:val="007A7D8F"/>
    <w:rsid w:val="007B04A0"/>
    <w:rsid w:val="007B0D68"/>
    <w:rsid w:val="007B18C1"/>
    <w:rsid w:val="007B1A69"/>
    <w:rsid w:val="007B251D"/>
    <w:rsid w:val="007B3533"/>
    <w:rsid w:val="007B388E"/>
    <w:rsid w:val="007B398C"/>
    <w:rsid w:val="007B3C28"/>
    <w:rsid w:val="007B4529"/>
    <w:rsid w:val="007B4610"/>
    <w:rsid w:val="007B472F"/>
    <w:rsid w:val="007B4969"/>
    <w:rsid w:val="007B4F58"/>
    <w:rsid w:val="007B4FDE"/>
    <w:rsid w:val="007B528D"/>
    <w:rsid w:val="007B63CA"/>
    <w:rsid w:val="007B6B01"/>
    <w:rsid w:val="007B77D1"/>
    <w:rsid w:val="007B7988"/>
    <w:rsid w:val="007B7F50"/>
    <w:rsid w:val="007C07C7"/>
    <w:rsid w:val="007C0C0A"/>
    <w:rsid w:val="007C1614"/>
    <w:rsid w:val="007C1CD9"/>
    <w:rsid w:val="007C225E"/>
    <w:rsid w:val="007C283E"/>
    <w:rsid w:val="007C2979"/>
    <w:rsid w:val="007C32EF"/>
    <w:rsid w:val="007C32FF"/>
    <w:rsid w:val="007C361D"/>
    <w:rsid w:val="007C3F07"/>
    <w:rsid w:val="007C4339"/>
    <w:rsid w:val="007C4B84"/>
    <w:rsid w:val="007C4DFD"/>
    <w:rsid w:val="007C4E22"/>
    <w:rsid w:val="007C55BE"/>
    <w:rsid w:val="007C611F"/>
    <w:rsid w:val="007C6363"/>
    <w:rsid w:val="007C6B12"/>
    <w:rsid w:val="007C6B6F"/>
    <w:rsid w:val="007C6F5C"/>
    <w:rsid w:val="007C70FF"/>
    <w:rsid w:val="007C736F"/>
    <w:rsid w:val="007C73A6"/>
    <w:rsid w:val="007C7BB4"/>
    <w:rsid w:val="007C7C25"/>
    <w:rsid w:val="007D004F"/>
    <w:rsid w:val="007D035F"/>
    <w:rsid w:val="007D04AC"/>
    <w:rsid w:val="007D0519"/>
    <w:rsid w:val="007D06B2"/>
    <w:rsid w:val="007D093F"/>
    <w:rsid w:val="007D0B38"/>
    <w:rsid w:val="007D2E4F"/>
    <w:rsid w:val="007D40FC"/>
    <w:rsid w:val="007D44A4"/>
    <w:rsid w:val="007D47EA"/>
    <w:rsid w:val="007D5267"/>
    <w:rsid w:val="007D5440"/>
    <w:rsid w:val="007D6516"/>
    <w:rsid w:val="007D69EB"/>
    <w:rsid w:val="007D74E1"/>
    <w:rsid w:val="007D7C7D"/>
    <w:rsid w:val="007D7D84"/>
    <w:rsid w:val="007D7FBF"/>
    <w:rsid w:val="007E128F"/>
    <w:rsid w:val="007E1513"/>
    <w:rsid w:val="007E1A8B"/>
    <w:rsid w:val="007E1EA0"/>
    <w:rsid w:val="007E25B1"/>
    <w:rsid w:val="007E26CD"/>
    <w:rsid w:val="007E2974"/>
    <w:rsid w:val="007E341E"/>
    <w:rsid w:val="007E3BF3"/>
    <w:rsid w:val="007E40B5"/>
    <w:rsid w:val="007E462B"/>
    <w:rsid w:val="007E52C0"/>
    <w:rsid w:val="007E5935"/>
    <w:rsid w:val="007E5A0C"/>
    <w:rsid w:val="007E62D3"/>
    <w:rsid w:val="007E6E52"/>
    <w:rsid w:val="007E7277"/>
    <w:rsid w:val="007F0191"/>
    <w:rsid w:val="007F1017"/>
    <w:rsid w:val="007F1FD7"/>
    <w:rsid w:val="007F2316"/>
    <w:rsid w:val="007F37F2"/>
    <w:rsid w:val="007F3E69"/>
    <w:rsid w:val="007F4A3F"/>
    <w:rsid w:val="007F4A61"/>
    <w:rsid w:val="007F5255"/>
    <w:rsid w:val="007F56CC"/>
    <w:rsid w:val="007F5DFB"/>
    <w:rsid w:val="007F61C2"/>
    <w:rsid w:val="007F7888"/>
    <w:rsid w:val="007F7B4F"/>
    <w:rsid w:val="007F7CB3"/>
    <w:rsid w:val="007F7CC6"/>
    <w:rsid w:val="0080063A"/>
    <w:rsid w:val="008009A4"/>
    <w:rsid w:val="00802150"/>
    <w:rsid w:val="008040E7"/>
    <w:rsid w:val="00804A75"/>
    <w:rsid w:val="00805142"/>
    <w:rsid w:val="00805C9B"/>
    <w:rsid w:val="00805FCE"/>
    <w:rsid w:val="0080674F"/>
    <w:rsid w:val="00807173"/>
    <w:rsid w:val="008075C7"/>
    <w:rsid w:val="00807A8B"/>
    <w:rsid w:val="00807B9E"/>
    <w:rsid w:val="00807BFD"/>
    <w:rsid w:val="00807EEC"/>
    <w:rsid w:val="00807F9A"/>
    <w:rsid w:val="0081008F"/>
    <w:rsid w:val="00811383"/>
    <w:rsid w:val="00811529"/>
    <w:rsid w:val="0081160A"/>
    <w:rsid w:val="00811751"/>
    <w:rsid w:val="00811CEE"/>
    <w:rsid w:val="00812149"/>
    <w:rsid w:val="00812C3D"/>
    <w:rsid w:val="00812C51"/>
    <w:rsid w:val="00812CAC"/>
    <w:rsid w:val="00812F76"/>
    <w:rsid w:val="008146F7"/>
    <w:rsid w:val="00815910"/>
    <w:rsid w:val="00815BB6"/>
    <w:rsid w:val="00816123"/>
    <w:rsid w:val="00816150"/>
    <w:rsid w:val="00816361"/>
    <w:rsid w:val="00816613"/>
    <w:rsid w:val="008166EF"/>
    <w:rsid w:val="00816A0D"/>
    <w:rsid w:val="00816FEF"/>
    <w:rsid w:val="00817718"/>
    <w:rsid w:val="00817722"/>
    <w:rsid w:val="00817792"/>
    <w:rsid w:val="00817BFB"/>
    <w:rsid w:val="00817E9B"/>
    <w:rsid w:val="00820036"/>
    <w:rsid w:val="008203A9"/>
    <w:rsid w:val="008205B5"/>
    <w:rsid w:val="00820838"/>
    <w:rsid w:val="00820A8C"/>
    <w:rsid w:val="008215FB"/>
    <w:rsid w:val="00821DBA"/>
    <w:rsid w:val="008220CC"/>
    <w:rsid w:val="00822310"/>
    <w:rsid w:val="008223C5"/>
    <w:rsid w:val="00822FC8"/>
    <w:rsid w:val="00823097"/>
    <w:rsid w:val="00823174"/>
    <w:rsid w:val="00823707"/>
    <w:rsid w:val="00823727"/>
    <w:rsid w:val="00823FF1"/>
    <w:rsid w:val="008241E0"/>
    <w:rsid w:val="00824A0B"/>
    <w:rsid w:val="00825001"/>
    <w:rsid w:val="00825751"/>
    <w:rsid w:val="008264EB"/>
    <w:rsid w:val="008264FA"/>
    <w:rsid w:val="008268CE"/>
    <w:rsid w:val="00827009"/>
    <w:rsid w:val="00827514"/>
    <w:rsid w:val="00827C23"/>
    <w:rsid w:val="008311BE"/>
    <w:rsid w:val="00832A90"/>
    <w:rsid w:val="00832F3F"/>
    <w:rsid w:val="0083310C"/>
    <w:rsid w:val="00833B05"/>
    <w:rsid w:val="00833B33"/>
    <w:rsid w:val="00834BD5"/>
    <w:rsid w:val="008352DE"/>
    <w:rsid w:val="00836112"/>
    <w:rsid w:val="008362B4"/>
    <w:rsid w:val="0083670D"/>
    <w:rsid w:val="00840CA2"/>
    <w:rsid w:val="00840DEF"/>
    <w:rsid w:val="0084156F"/>
    <w:rsid w:val="008419D4"/>
    <w:rsid w:val="00842A81"/>
    <w:rsid w:val="0084374F"/>
    <w:rsid w:val="00844A22"/>
    <w:rsid w:val="0084550A"/>
    <w:rsid w:val="00845F42"/>
    <w:rsid w:val="00846E06"/>
    <w:rsid w:val="00847703"/>
    <w:rsid w:val="00847896"/>
    <w:rsid w:val="008479C1"/>
    <w:rsid w:val="00847DF5"/>
    <w:rsid w:val="00850852"/>
    <w:rsid w:val="008518AD"/>
    <w:rsid w:val="008524F4"/>
    <w:rsid w:val="0085263A"/>
    <w:rsid w:val="00852B85"/>
    <w:rsid w:val="0085309D"/>
    <w:rsid w:val="0085319E"/>
    <w:rsid w:val="00853C49"/>
    <w:rsid w:val="0085491B"/>
    <w:rsid w:val="00854F1C"/>
    <w:rsid w:val="00855475"/>
    <w:rsid w:val="0085548C"/>
    <w:rsid w:val="008562A2"/>
    <w:rsid w:val="008563DD"/>
    <w:rsid w:val="00856897"/>
    <w:rsid w:val="00856E9A"/>
    <w:rsid w:val="008571CD"/>
    <w:rsid w:val="00857610"/>
    <w:rsid w:val="008577D8"/>
    <w:rsid w:val="00857B54"/>
    <w:rsid w:val="00860628"/>
    <w:rsid w:val="0086075D"/>
    <w:rsid w:val="00860B1C"/>
    <w:rsid w:val="008617D9"/>
    <w:rsid w:val="00862502"/>
    <w:rsid w:val="008628D0"/>
    <w:rsid w:val="00862CC1"/>
    <w:rsid w:val="00862D7C"/>
    <w:rsid w:val="008631C2"/>
    <w:rsid w:val="00863DCC"/>
    <w:rsid w:val="00863F2E"/>
    <w:rsid w:val="008642A7"/>
    <w:rsid w:val="0086436E"/>
    <w:rsid w:val="00864D53"/>
    <w:rsid w:val="00864DFF"/>
    <w:rsid w:val="008653FF"/>
    <w:rsid w:val="0086543E"/>
    <w:rsid w:val="00865E40"/>
    <w:rsid w:val="0086608B"/>
    <w:rsid w:val="008660D4"/>
    <w:rsid w:val="008672A7"/>
    <w:rsid w:val="0087147B"/>
    <w:rsid w:val="00871FA9"/>
    <w:rsid w:val="00872677"/>
    <w:rsid w:val="008726C2"/>
    <w:rsid w:val="00872713"/>
    <w:rsid w:val="008728E9"/>
    <w:rsid w:val="0087536E"/>
    <w:rsid w:val="00875892"/>
    <w:rsid w:val="00875AFA"/>
    <w:rsid w:val="00877275"/>
    <w:rsid w:val="00877CA9"/>
    <w:rsid w:val="00880E02"/>
    <w:rsid w:val="00880E2E"/>
    <w:rsid w:val="00880EED"/>
    <w:rsid w:val="00880FEC"/>
    <w:rsid w:val="00882874"/>
    <w:rsid w:val="00882E3C"/>
    <w:rsid w:val="0088308A"/>
    <w:rsid w:val="00883787"/>
    <w:rsid w:val="008846D1"/>
    <w:rsid w:val="008855E4"/>
    <w:rsid w:val="00885BDD"/>
    <w:rsid w:val="00886CD2"/>
    <w:rsid w:val="00886DDC"/>
    <w:rsid w:val="0088728E"/>
    <w:rsid w:val="00887733"/>
    <w:rsid w:val="00891C6F"/>
    <w:rsid w:val="00891E6F"/>
    <w:rsid w:val="00892731"/>
    <w:rsid w:val="0089275D"/>
    <w:rsid w:val="0089294C"/>
    <w:rsid w:val="00892A36"/>
    <w:rsid w:val="00893239"/>
    <w:rsid w:val="00894489"/>
    <w:rsid w:val="00894876"/>
    <w:rsid w:val="00894CD6"/>
    <w:rsid w:val="00894E87"/>
    <w:rsid w:val="00895225"/>
    <w:rsid w:val="0089547C"/>
    <w:rsid w:val="008963A5"/>
    <w:rsid w:val="00896D5D"/>
    <w:rsid w:val="00896E42"/>
    <w:rsid w:val="0089795A"/>
    <w:rsid w:val="00897F60"/>
    <w:rsid w:val="00897F78"/>
    <w:rsid w:val="008A0775"/>
    <w:rsid w:val="008A089F"/>
    <w:rsid w:val="008A15E8"/>
    <w:rsid w:val="008A1BA4"/>
    <w:rsid w:val="008A26E1"/>
    <w:rsid w:val="008A3088"/>
    <w:rsid w:val="008A3158"/>
    <w:rsid w:val="008A3357"/>
    <w:rsid w:val="008A3363"/>
    <w:rsid w:val="008A3371"/>
    <w:rsid w:val="008A3C3E"/>
    <w:rsid w:val="008A4954"/>
    <w:rsid w:val="008A4B47"/>
    <w:rsid w:val="008A589F"/>
    <w:rsid w:val="008A5BBF"/>
    <w:rsid w:val="008A6054"/>
    <w:rsid w:val="008A70BE"/>
    <w:rsid w:val="008A79DE"/>
    <w:rsid w:val="008B02F0"/>
    <w:rsid w:val="008B0BD2"/>
    <w:rsid w:val="008B15F2"/>
    <w:rsid w:val="008B1757"/>
    <w:rsid w:val="008B1C33"/>
    <w:rsid w:val="008B3430"/>
    <w:rsid w:val="008B3659"/>
    <w:rsid w:val="008B36A1"/>
    <w:rsid w:val="008B3895"/>
    <w:rsid w:val="008B4B6F"/>
    <w:rsid w:val="008B4C9D"/>
    <w:rsid w:val="008B4ED6"/>
    <w:rsid w:val="008B4F7B"/>
    <w:rsid w:val="008B55B5"/>
    <w:rsid w:val="008B5B08"/>
    <w:rsid w:val="008B6C6A"/>
    <w:rsid w:val="008B711F"/>
    <w:rsid w:val="008B77B6"/>
    <w:rsid w:val="008B7992"/>
    <w:rsid w:val="008B7D7E"/>
    <w:rsid w:val="008C001E"/>
    <w:rsid w:val="008C0463"/>
    <w:rsid w:val="008C08CC"/>
    <w:rsid w:val="008C0BAF"/>
    <w:rsid w:val="008C21A6"/>
    <w:rsid w:val="008C432C"/>
    <w:rsid w:val="008C4A4F"/>
    <w:rsid w:val="008C5610"/>
    <w:rsid w:val="008C5739"/>
    <w:rsid w:val="008C6866"/>
    <w:rsid w:val="008C692C"/>
    <w:rsid w:val="008C6E1A"/>
    <w:rsid w:val="008C7282"/>
    <w:rsid w:val="008C7ECB"/>
    <w:rsid w:val="008D0057"/>
    <w:rsid w:val="008D0173"/>
    <w:rsid w:val="008D0B74"/>
    <w:rsid w:val="008D1C2A"/>
    <w:rsid w:val="008D2097"/>
    <w:rsid w:val="008D2193"/>
    <w:rsid w:val="008D2852"/>
    <w:rsid w:val="008D380C"/>
    <w:rsid w:val="008D3B86"/>
    <w:rsid w:val="008D43FD"/>
    <w:rsid w:val="008D4755"/>
    <w:rsid w:val="008D4C3D"/>
    <w:rsid w:val="008D56F8"/>
    <w:rsid w:val="008D5E36"/>
    <w:rsid w:val="008D6B58"/>
    <w:rsid w:val="008D6C9C"/>
    <w:rsid w:val="008D6F5B"/>
    <w:rsid w:val="008D71CD"/>
    <w:rsid w:val="008D743C"/>
    <w:rsid w:val="008E0113"/>
    <w:rsid w:val="008E0C0B"/>
    <w:rsid w:val="008E0D3C"/>
    <w:rsid w:val="008E0DB2"/>
    <w:rsid w:val="008E0DE1"/>
    <w:rsid w:val="008E12DF"/>
    <w:rsid w:val="008E1B9E"/>
    <w:rsid w:val="008E2AA9"/>
    <w:rsid w:val="008E2C57"/>
    <w:rsid w:val="008E2D5A"/>
    <w:rsid w:val="008E3546"/>
    <w:rsid w:val="008E429B"/>
    <w:rsid w:val="008E55AB"/>
    <w:rsid w:val="008E5667"/>
    <w:rsid w:val="008E57B3"/>
    <w:rsid w:val="008E6375"/>
    <w:rsid w:val="008E72D1"/>
    <w:rsid w:val="008E73E7"/>
    <w:rsid w:val="008E7ACB"/>
    <w:rsid w:val="008E7AE2"/>
    <w:rsid w:val="008E7B15"/>
    <w:rsid w:val="008E7FC1"/>
    <w:rsid w:val="008F0B5C"/>
    <w:rsid w:val="008F120A"/>
    <w:rsid w:val="008F12A3"/>
    <w:rsid w:val="008F13A7"/>
    <w:rsid w:val="008F17C9"/>
    <w:rsid w:val="008F1EFB"/>
    <w:rsid w:val="008F22F6"/>
    <w:rsid w:val="008F23DB"/>
    <w:rsid w:val="008F27E0"/>
    <w:rsid w:val="008F2E9E"/>
    <w:rsid w:val="008F4231"/>
    <w:rsid w:val="008F48EB"/>
    <w:rsid w:val="008F4CA4"/>
    <w:rsid w:val="008F4CFC"/>
    <w:rsid w:val="008F4F0B"/>
    <w:rsid w:val="008F781B"/>
    <w:rsid w:val="008F7DCF"/>
    <w:rsid w:val="009002E1"/>
    <w:rsid w:val="00900724"/>
    <w:rsid w:val="0090075E"/>
    <w:rsid w:val="00902176"/>
    <w:rsid w:val="009028F2"/>
    <w:rsid w:val="00902B23"/>
    <w:rsid w:val="009046C4"/>
    <w:rsid w:val="00904EFB"/>
    <w:rsid w:val="009062A5"/>
    <w:rsid w:val="00906D34"/>
    <w:rsid w:val="00906ECA"/>
    <w:rsid w:val="00907699"/>
    <w:rsid w:val="00910506"/>
    <w:rsid w:val="00910509"/>
    <w:rsid w:val="009106D2"/>
    <w:rsid w:val="00910CFD"/>
    <w:rsid w:val="00910FA7"/>
    <w:rsid w:val="00911272"/>
    <w:rsid w:val="0091132F"/>
    <w:rsid w:val="00911339"/>
    <w:rsid w:val="0091142C"/>
    <w:rsid w:val="009115B6"/>
    <w:rsid w:val="0091261A"/>
    <w:rsid w:val="00913397"/>
    <w:rsid w:val="009135D6"/>
    <w:rsid w:val="00913E15"/>
    <w:rsid w:val="00913F38"/>
    <w:rsid w:val="009146AE"/>
    <w:rsid w:val="009149CB"/>
    <w:rsid w:val="00914C77"/>
    <w:rsid w:val="00915430"/>
    <w:rsid w:val="00917180"/>
    <w:rsid w:val="0092039F"/>
    <w:rsid w:val="00920E40"/>
    <w:rsid w:val="00921ACB"/>
    <w:rsid w:val="009227BF"/>
    <w:rsid w:val="0092296B"/>
    <w:rsid w:val="0092336D"/>
    <w:rsid w:val="0092369B"/>
    <w:rsid w:val="0092497E"/>
    <w:rsid w:val="00925637"/>
    <w:rsid w:val="00927442"/>
    <w:rsid w:val="0092780A"/>
    <w:rsid w:val="00927817"/>
    <w:rsid w:val="00927D96"/>
    <w:rsid w:val="00931E3E"/>
    <w:rsid w:val="00932408"/>
    <w:rsid w:val="0093259D"/>
    <w:rsid w:val="00932617"/>
    <w:rsid w:val="0093299F"/>
    <w:rsid w:val="00932CC8"/>
    <w:rsid w:val="00932F3F"/>
    <w:rsid w:val="00933FF0"/>
    <w:rsid w:val="00934545"/>
    <w:rsid w:val="00934988"/>
    <w:rsid w:val="00934B78"/>
    <w:rsid w:val="00935DA6"/>
    <w:rsid w:val="00935E6E"/>
    <w:rsid w:val="00936783"/>
    <w:rsid w:val="00937089"/>
    <w:rsid w:val="0093715B"/>
    <w:rsid w:val="00940ADB"/>
    <w:rsid w:val="00941549"/>
    <w:rsid w:val="00942CEE"/>
    <w:rsid w:val="00942E4D"/>
    <w:rsid w:val="00942F78"/>
    <w:rsid w:val="00943744"/>
    <w:rsid w:val="00944F8A"/>
    <w:rsid w:val="00945179"/>
    <w:rsid w:val="00945830"/>
    <w:rsid w:val="00945B93"/>
    <w:rsid w:val="009478DD"/>
    <w:rsid w:val="009510A2"/>
    <w:rsid w:val="00952202"/>
    <w:rsid w:val="0095220C"/>
    <w:rsid w:val="00952B96"/>
    <w:rsid w:val="00952D5F"/>
    <w:rsid w:val="009531C8"/>
    <w:rsid w:val="00953257"/>
    <w:rsid w:val="009533EC"/>
    <w:rsid w:val="00953DF1"/>
    <w:rsid w:val="00953E9A"/>
    <w:rsid w:val="0095474C"/>
    <w:rsid w:val="009549FE"/>
    <w:rsid w:val="009558A6"/>
    <w:rsid w:val="00955C29"/>
    <w:rsid w:val="00956468"/>
    <w:rsid w:val="00957061"/>
    <w:rsid w:val="0095743C"/>
    <w:rsid w:val="00957D92"/>
    <w:rsid w:val="00960C28"/>
    <w:rsid w:val="009613EA"/>
    <w:rsid w:val="00962466"/>
    <w:rsid w:val="00962686"/>
    <w:rsid w:val="0096292A"/>
    <w:rsid w:val="00962C39"/>
    <w:rsid w:val="00962CB9"/>
    <w:rsid w:val="00964312"/>
    <w:rsid w:val="009643E5"/>
    <w:rsid w:val="00965488"/>
    <w:rsid w:val="009656A1"/>
    <w:rsid w:val="00965B8A"/>
    <w:rsid w:val="0096604F"/>
    <w:rsid w:val="0096645A"/>
    <w:rsid w:val="00967F9D"/>
    <w:rsid w:val="00967FF8"/>
    <w:rsid w:val="00967FFA"/>
    <w:rsid w:val="00970091"/>
    <w:rsid w:val="00970123"/>
    <w:rsid w:val="009702AB"/>
    <w:rsid w:val="0097071F"/>
    <w:rsid w:val="00970C68"/>
    <w:rsid w:val="00970FE4"/>
    <w:rsid w:val="009717AC"/>
    <w:rsid w:val="00972616"/>
    <w:rsid w:val="00972BAB"/>
    <w:rsid w:val="00972F92"/>
    <w:rsid w:val="009732DE"/>
    <w:rsid w:val="0097366F"/>
    <w:rsid w:val="009737A9"/>
    <w:rsid w:val="009738F2"/>
    <w:rsid w:val="009743E0"/>
    <w:rsid w:val="00974A1B"/>
    <w:rsid w:val="009751C1"/>
    <w:rsid w:val="009753BB"/>
    <w:rsid w:val="009757E1"/>
    <w:rsid w:val="009758DE"/>
    <w:rsid w:val="00975C9B"/>
    <w:rsid w:val="00975E36"/>
    <w:rsid w:val="00976221"/>
    <w:rsid w:val="009769D2"/>
    <w:rsid w:val="009779AD"/>
    <w:rsid w:val="009800E2"/>
    <w:rsid w:val="009811F1"/>
    <w:rsid w:val="00981E9D"/>
    <w:rsid w:val="009820F2"/>
    <w:rsid w:val="00982893"/>
    <w:rsid w:val="009829F0"/>
    <w:rsid w:val="00983E57"/>
    <w:rsid w:val="00984C10"/>
    <w:rsid w:val="00985300"/>
    <w:rsid w:val="009854B9"/>
    <w:rsid w:val="00985BEA"/>
    <w:rsid w:val="00985DDA"/>
    <w:rsid w:val="00985DE2"/>
    <w:rsid w:val="0098675D"/>
    <w:rsid w:val="00986794"/>
    <w:rsid w:val="0098767C"/>
    <w:rsid w:val="0098781C"/>
    <w:rsid w:val="00987A09"/>
    <w:rsid w:val="00987BA4"/>
    <w:rsid w:val="0099079E"/>
    <w:rsid w:val="0099197D"/>
    <w:rsid w:val="0099199F"/>
    <w:rsid w:val="00991AF7"/>
    <w:rsid w:val="00991D9B"/>
    <w:rsid w:val="00991E61"/>
    <w:rsid w:val="00992315"/>
    <w:rsid w:val="009926E0"/>
    <w:rsid w:val="00993D42"/>
    <w:rsid w:val="00994464"/>
    <w:rsid w:val="0099451E"/>
    <w:rsid w:val="0099484B"/>
    <w:rsid w:val="00994A47"/>
    <w:rsid w:val="00994E46"/>
    <w:rsid w:val="0099501F"/>
    <w:rsid w:val="00995310"/>
    <w:rsid w:val="00995BFB"/>
    <w:rsid w:val="00995EB1"/>
    <w:rsid w:val="009960BE"/>
    <w:rsid w:val="009967DB"/>
    <w:rsid w:val="00996B1A"/>
    <w:rsid w:val="009970DD"/>
    <w:rsid w:val="00997206"/>
    <w:rsid w:val="009A0D8A"/>
    <w:rsid w:val="009A1125"/>
    <w:rsid w:val="009A1800"/>
    <w:rsid w:val="009A18F6"/>
    <w:rsid w:val="009A2953"/>
    <w:rsid w:val="009A2D97"/>
    <w:rsid w:val="009A2DCC"/>
    <w:rsid w:val="009A2FA4"/>
    <w:rsid w:val="009A36E4"/>
    <w:rsid w:val="009A3961"/>
    <w:rsid w:val="009A413C"/>
    <w:rsid w:val="009A4525"/>
    <w:rsid w:val="009A464E"/>
    <w:rsid w:val="009A4AF7"/>
    <w:rsid w:val="009A5680"/>
    <w:rsid w:val="009A5ABC"/>
    <w:rsid w:val="009A609F"/>
    <w:rsid w:val="009A6D53"/>
    <w:rsid w:val="009A7400"/>
    <w:rsid w:val="009A7780"/>
    <w:rsid w:val="009A7A3D"/>
    <w:rsid w:val="009A7A86"/>
    <w:rsid w:val="009A7EFF"/>
    <w:rsid w:val="009A7F10"/>
    <w:rsid w:val="009B09BD"/>
    <w:rsid w:val="009B0A48"/>
    <w:rsid w:val="009B16A2"/>
    <w:rsid w:val="009B18AD"/>
    <w:rsid w:val="009B2A7C"/>
    <w:rsid w:val="009B3359"/>
    <w:rsid w:val="009B3C31"/>
    <w:rsid w:val="009B3CF0"/>
    <w:rsid w:val="009B3E26"/>
    <w:rsid w:val="009B3EB7"/>
    <w:rsid w:val="009B519A"/>
    <w:rsid w:val="009C00C2"/>
    <w:rsid w:val="009C0AF1"/>
    <w:rsid w:val="009C1271"/>
    <w:rsid w:val="009C27B2"/>
    <w:rsid w:val="009C2873"/>
    <w:rsid w:val="009C3706"/>
    <w:rsid w:val="009C37B0"/>
    <w:rsid w:val="009C3A3A"/>
    <w:rsid w:val="009C3AF0"/>
    <w:rsid w:val="009C549C"/>
    <w:rsid w:val="009C56DE"/>
    <w:rsid w:val="009C6C24"/>
    <w:rsid w:val="009C6CEA"/>
    <w:rsid w:val="009C7B01"/>
    <w:rsid w:val="009C7B85"/>
    <w:rsid w:val="009C7C78"/>
    <w:rsid w:val="009D0254"/>
    <w:rsid w:val="009D0B33"/>
    <w:rsid w:val="009D10C8"/>
    <w:rsid w:val="009D1A64"/>
    <w:rsid w:val="009D2B76"/>
    <w:rsid w:val="009D52AB"/>
    <w:rsid w:val="009D54D3"/>
    <w:rsid w:val="009D5682"/>
    <w:rsid w:val="009D5B91"/>
    <w:rsid w:val="009D5CE8"/>
    <w:rsid w:val="009D7133"/>
    <w:rsid w:val="009D78DE"/>
    <w:rsid w:val="009D792E"/>
    <w:rsid w:val="009D7F98"/>
    <w:rsid w:val="009E02B1"/>
    <w:rsid w:val="009E044D"/>
    <w:rsid w:val="009E0DFE"/>
    <w:rsid w:val="009E1ED0"/>
    <w:rsid w:val="009E31F6"/>
    <w:rsid w:val="009E4C07"/>
    <w:rsid w:val="009E777F"/>
    <w:rsid w:val="009F0832"/>
    <w:rsid w:val="009F1AD4"/>
    <w:rsid w:val="009F1CB5"/>
    <w:rsid w:val="009F1DA8"/>
    <w:rsid w:val="009F20D1"/>
    <w:rsid w:val="009F2442"/>
    <w:rsid w:val="009F2DA0"/>
    <w:rsid w:val="009F3777"/>
    <w:rsid w:val="009F395D"/>
    <w:rsid w:val="009F4278"/>
    <w:rsid w:val="009F4B5B"/>
    <w:rsid w:val="009F4BA2"/>
    <w:rsid w:val="009F50EE"/>
    <w:rsid w:val="009F5B1A"/>
    <w:rsid w:val="009F6120"/>
    <w:rsid w:val="009F6384"/>
    <w:rsid w:val="009F6C7E"/>
    <w:rsid w:val="009F7430"/>
    <w:rsid w:val="009F76A4"/>
    <w:rsid w:val="00A00D76"/>
    <w:rsid w:val="00A01184"/>
    <w:rsid w:val="00A011EA"/>
    <w:rsid w:val="00A01449"/>
    <w:rsid w:val="00A02079"/>
    <w:rsid w:val="00A02080"/>
    <w:rsid w:val="00A0254A"/>
    <w:rsid w:val="00A02BAB"/>
    <w:rsid w:val="00A02EE9"/>
    <w:rsid w:val="00A037C2"/>
    <w:rsid w:val="00A03A32"/>
    <w:rsid w:val="00A03D43"/>
    <w:rsid w:val="00A04380"/>
    <w:rsid w:val="00A04786"/>
    <w:rsid w:val="00A04C3B"/>
    <w:rsid w:val="00A04FAE"/>
    <w:rsid w:val="00A05472"/>
    <w:rsid w:val="00A05C32"/>
    <w:rsid w:val="00A06135"/>
    <w:rsid w:val="00A06317"/>
    <w:rsid w:val="00A0653F"/>
    <w:rsid w:val="00A06587"/>
    <w:rsid w:val="00A10148"/>
    <w:rsid w:val="00A10A42"/>
    <w:rsid w:val="00A11003"/>
    <w:rsid w:val="00A11224"/>
    <w:rsid w:val="00A114EF"/>
    <w:rsid w:val="00A11614"/>
    <w:rsid w:val="00A11CD0"/>
    <w:rsid w:val="00A12374"/>
    <w:rsid w:val="00A13948"/>
    <w:rsid w:val="00A13EA2"/>
    <w:rsid w:val="00A141CE"/>
    <w:rsid w:val="00A14757"/>
    <w:rsid w:val="00A1486A"/>
    <w:rsid w:val="00A148EC"/>
    <w:rsid w:val="00A14EE6"/>
    <w:rsid w:val="00A1555B"/>
    <w:rsid w:val="00A155C5"/>
    <w:rsid w:val="00A15B9D"/>
    <w:rsid w:val="00A160F9"/>
    <w:rsid w:val="00A169FE"/>
    <w:rsid w:val="00A16AD8"/>
    <w:rsid w:val="00A2021E"/>
    <w:rsid w:val="00A20795"/>
    <w:rsid w:val="00A20B8D"/>
    <w:rsid w:val="00A20F7D"/>
    <w:rsid w:val="00A2140C"/>
    <w:rsid w:val="00A219AB"/>
    <w:rsid w:val="00A21C95"/>
    <w:rsid w:val="00A21CF3"/>
    <w:rsid w:val="00A229B9"/>
    <w:rsid w:val="00A23FCC"/>
    <w:rsid w:val="00A24813"/>
    <w:rsid w:val="00A25E40"/>
    <w:rsid w:val="00A26A29"/>
    <w:rsid w:val="00A26A34"/>
    <w:rsid w:val="00A26D56"/>
    <w:rsid w:val="00A26D85"/>
    <w:rsid w:val="00A27774"/>
    <w:rsid w:val="00A27AEC"/>
    <w:rsid w:val="00A3154B"/>
    <w:rsid w:val="00A318C7"/>
    <w:rsid w:val="00A31C69"/>
    <w:rsid w:val="00A31F9F"/>
    <w:rsid w:val="00A320DB"/>
    <w:rsid w:val="00A320E7"/>
    <w:rsid w:val="00A32197"/>
    <w:rsid w:val="00A32F0B"/>
    <w:rsid w:val="00A33C61"/>
    <w:rsid w:val="00A348DA"/>
    <w:rsid w:val="00A3561F"/>
    <w:rsid w:val="00A35D16"/>
    <w:rsid w:val="00A3745D"/>
    <w:rsid w:val="00A378FA"/>
    <w:rsid w:val="00A37BCD"/>
    <w:rsid w:val="00A405D9"/>
    <w:rsid w:val="00A405DB"/>
    <w:rsid w:val="00A40647"/>
    <w:rsid w:val="00A40A34"/>
    <w:rsid w:val="00A40A69"/>
    <w:rsid w:val="00A40AAD"/>
    <w:rsid w:val="00A4154A"/>
    <w:rsid w:val="00A41689"/>
    <w:rsid w:val="00A41A35"/>
    <w:rsid w:val="00A421E2"/>
    <w:rsid w:val="00A42592"/>
    <w:rsid w:val="00A432FE"/>
    <w:rsid w:val="00A43C42"/>
    <w:rsid w:val="00A43C59"/>
    <w:rsid w:val="00A44698"/>
    <w:rsid w:val="00A452A3"/>
    <w:rsid w:val="00A45796"/>
    <w:rsid w:val="00A501A9"/>
    <w:rsid w:val="00A50ECD"/>
    <w:rsid w:val="00A50F2E"/>
    <w:rsid w:val="00A511C6"/>
    <w:rsid w:val="00A518F3"/>
    <w:rsid w:val="00A51915"/>
    <w:rsid w:val="00A5202E"/>
    <w:rsid w:val="00A52729"/>
    <w:rsid w:val="00A53675"/>
    <w:rsid w:val="00A54243"/>
    <w:rsid w:val="00A54362"/>
    <w:rsid w:val="00A548EF"/>
    <w:rsid w:val="00A54DD6"/>
    <w:rsid w:val="00A56139"/>
    <w:rsid w:val="00A564D7"/>
    <w:rsid w:val="00A565B1"/>
    <w:rsid w:val="00A566FA"/>
    <w:rsid w:val="00A56B6A"/>
    <w:rsid w:val="00A578DC"/>
    <w:rsid w:val="00A57CF4"/>
    <w:rsid w:val="00A57E5C"/>
    <w:rsid w:val="00A60595"/>
    <w:rsid w:val="00A60661"/>
    <w:rsid w:val="00A609B8"/>
    <w:rsid w:val="00A61F04"/>
    <w:rsid w:val="00A621AC"/>
    <w:rsid w:val="00A622A8"/>
    <w:rsid w:val="00A62DB7"/>
    <w:rsid w:val="00A62E45"/>
    <w:rsid w:val="00A63411"/>
    <w:rsid w:val="00A63562"/>
    <w:rsid w:val="00A6406F"/>
    <w:rsid w:val="00A640E2"/>
    <w:rsid w:val="00A64D65"/>
    <w:rsid w:val="00A65919"/>
    <w:rsid w:val="00A65EA7"/>
    <w:rsid w:val="00A662F2"/>
    <w:rsid w:val="00A6725B"/>
    <w:rsid w:val="00A678A0"/>
    <w:rsid w:val="00A67A57"/>
    <w:rsid w:val="00A704B8"/>
    <w:rsid w:val="00A70574"/>
    <w:rsid w:val="00A70605"/>
    <w:rsid w:val="00A7092D"/>
    <w:rsid w:val="00A70ACA"/>
    <w:rsid w:val="00A70B82"/>
    <w:rsid w:val="00A70F38"/>
    <w:rsid w:val="00A712D7"/>
    <w:rsid w:val="00A729AD"/>
    <w:rsid w:val="00A73134"/>
    <w:rsid w:val="00A7365A"/>
    <w:rsid w:val="00A7376E"/>
    <w:rsid w:val="00A74905"/>
    <w:rsid w:val="00A755D7"/>
    <w:rsid w:val="00A75701"/>
    <w:rsid w:val="00A75C06"/>
    <w:rsid w:val="00A76001"/>
    <w:rsid w:val="00A7635B"/>
    <w:rsid w:val="00A77252"/>
    <w:rsid w:val="00A777B2"/>
    <w:rsid w:val="00A80CB8"/>
    <w:rsid w:val="00A8212F"/>
    <w:rsid w:val="00A82468"/>
    <w:rsid w:val="00A825D4"/>
    <w:rsid w:val="00A828F6"/>
    <w:rsid w:val="00A82B73"/>
    <w:rsid w:val="00A83453"/>
    <w:rsid w:val="00A8369B"/>
    <w:rsid w:val="00A84022"/>
    <w:rsid w:val="00A84839"/>
    <w:rsid w:val="00A84C76"/>
    <w:rsid w:val="00A84D81"/>
    <w:rsid w:val="00A85A0F"/>
    <w:rsid w:val="00A86853"/>
    <w:rsid w:val="00A86E8B"/>
    <w:rsid w:val="00A87164"/>
    <w:rsid w:val="00A871A9"/>
    <w:rsid w:val="00A87FB3"/>
    <w:rsid w:val="00A9014B"/>
    <w:rsid w:val="00A90AE9"/>
    <w:rsid w:val="00A91FFE"/>
    <w:rsid w:val="00A93072"/>
    <w:rsid w:val="00A937B8"/>
    <w:rsid w:val="00A938BD"/>
    <w:rsid w:val="00A93953"/>
    <w:rsid w:val="00A939BF"/>
    <w:rsid w:val="00A939E2"/>
    <w:rsid w:val="00A94733"/>
    <w:rsid w:val="00A950FF"/>
    <w:rsid w:val="00A95576"/>
    <w:rsid w:val="00A959D8"/>
    <w:rsid w:val="00A973F1"/>
    <w:rsid w:val="00A97484"/>
    <w:rsid w:val="00A97643"/>
    <w:rsid w:val="00A97755"/>
    <w:rsid w:val="00A97DCC"/>
    <w:rsid w:val="00AA099A"/>
    <w:rsid w:val="00AA0AAD"/>
    <w:rsid w:val="00AA113D"/>
    <w:rsid w:val="00AA1597"/>
    <w:rsid w:val="00AA1D12"/>
    <w:rsid w:val="00AA1DAD"/>
    <w:rsid w:val="00AA2D55"/>
    <w:rsid w:val="00AA43C5"/>
    <w:rsid w:val="00AA472A"/>
    <w:rsid w:val="00AA4995"/>
    <w:rsid w:val="00AA4FB2"/>
    <w:rsid w:val="00AA5ECD"/>
    <w:rsid w:val="00AA65C5"/>
    <w:rsid w:val="00AA69B3"/>
    <w:rsid w:val="00AA6BD5"/>
    <w:rsid w:val="00AA6BD8"/>
    <w:rsid w:val="00AA6C7D"/>
    <w:rsid w:val="00AA72AA"/>
    <w:rsid w:val="00AA73AA"/>
    <w:rsid w:val="00AA7A04"/>
    <w:rsid w:val="00AA7A8D"/>
    <w:rsid w:val="00AA7CD8"/>
    <w:rsid w:val="00AA7FD6"/>
    <w:rsid w:val="00AB042A"/>
    <w:rsid w:val="00AB04FB"/>
    <w:rsid w:val="00AB0E10"/>
    <w:rsid w:val="00AB0E3C"/>
    <w:rsid w:val="00AB11AD"/>
    <w:rsid w:val="00AB19EF"/>
    <w:rsid w:val="00AB2495"/>
    <w:rsid w:val="00AB2D34"/>
    <w:rsid w:val="00AB3430"/>
    <w:rsid w:val="00AB37B9"/>
    <w:rsid w:val="00AB3989"/>
    <w:rsid w:val="00AB3AB4"/>
    <w:rsid w:val="00AB3CF0"/>
    <w:rsid w:val="00AB3EB0"/>
    <w:rsid w:val="00AB4A4D"/>
    <w:rsid w:val="00AB4AD1"/>
    <w:rsid w:val="00AB5E07"/>
    <w:rsid w:val="00AB5E1B"/>
    <w:rsid w:val="00AB6FB0"/>
    <w:rsid w:val="00AB73A1"/>
    <w:rsid w:val="00AB7B1E"/>
    <w:rsid w:val="00AB7CFA"/>
    <w:rsid w:val="00AC0A87"/>
    <w:rsid w:val="00AC1FB6"/>
    <w:rsid w:val="00AC2EEB"/>
    <w:rsid w:val="00AC2F1E"/>
    <w:rsid w:val="00AC3465"/>
    <w:rsid w:val="00AC3476"/>
    <w:rsid w:val="00AC3BD1"/>
    <w:rsid w:val="00AC3BFC"/>
    <w:rsid w:val="00AC436F"/>
    <w:rsid w:val="00AC476B"/>
    <w:rsid w:val="00AC4B3E"/>
    <w:rsid w:val="00AC5958"/>
    <w:rsid w:val="00AC5B42"/>
    <w:rsid w:val="00AC5B48"/>
    <w:rsid w:val="00AC61EC"/>
    <w:rsid w:val="00AC6D9A"/>
    <w:rsid w:val="00AC70F7"/>
    <w:rsid w:val="00AD0C4B"/>
    <w:rsid w:val="00AD1450"/>
    <w:rsid w:val="00AD1518"/>
    <w:rsid w:val="00AD15E8"/>
    <w:rsid w:val="00AD1720"/>
    <w:rsid w:val="00AD1CEA"/>
    <w:rsid w:val="00AD1EC6"/>
    <w:rsid w:val="00AD2B74"/>
    <w:rsid w:val="00AD2C7E"/>
    <w:rsid w:val="00AD2F46"/>
    <w:rsid w:val="00AD310A"/>
    <w:rsid w:val="00AD356D"/>
    <w:rsid w:val="00AD3786"/>
    <w:rsid w:val="00AD3B85"/>
    <w:rsid w:val="00AD4319"/>
    <w:rsid w:val="00AD5085"/>
    <w:rsid w:val="00AD53DF"/>
    <w:rsid w:val="00AD5F85"/>
    <w:rsid w:val="00AD644A"/>
    <w:rsid w:val="00AD6502"/>
    <w:rsid w:val="00AD69E2"/>
    <w:rsid w:val="00AD786C"/>
    <w:rsid w:val="00AD7A2C"/>
    <w:rsid w:val="00AE0023"/>
    <w:rsid w:val="00AE0695"/>
    <w:rsid w:val="00AE06A7"/>
    <w:rsid w:val="00AE0B78"/>
    <w:rsid w:val="00AE1120"/>
    <w:rsid w:val="00AE1565"/>
    <w:rsid w:val="00AE1F4E"/>
    <w:rsid w:val="00AE23E2"/>
    <w:rsid w:val="00AE2971"/>
    <w:rsid w:val="00AE3E7E"/>
    <w:rsid w:val="00AE58AF"/>
    <w:rsid w:val="00AE5F13"/>
    <w:rsid w:val="00AE7770"/>
    <w:rsid w:val="00AE7AB2"/>
    <w:rsid w:val="00AE7E53"/>
    <w:rsid w:val="00AF1315"/>
    <w:rsid w:val="00AF19BF"/>
    <w:rsid w:val="00AF2DC3"/>
    <w:rsid w:val="00AF7ABA"/>
    <w:rsid w:val="00AF7F42"/>
    <w:rsid w:val="00B002DF"/>
    <w:rsid w:val="00B02627"/>
    <w:rsid w:val="00B02736"/>
    <w:rsid w:val="00B033E5"/>
    <w:rsid w:val="00B03A63"/>
    <w:rsid w:val="00B03F93"/>
    <w:rsid w:val="00B04479"/>
    <w:rsid w:val="00B046E3"/>
    <w:rsid w:val="00B0579E"/>
    <w:rsid w:val="00B05FF9"/>
    <w:rsid w:val="00B06423"/>
    <w:rsid w:val="00B07317"/>
    <w:rsid w:val="00B07911"/>
    <w:rsid w:val="00B07EBF"/>
    <w:rsid w:val="00B121FE"/>
    <w:rsid w:val="00B129A4"/>
    <w:rsid w:val="00B13FF1"/>
    <w:rsid w:val="00B14955"/>
    <w:rsid w:val="00B157CA"/>
    <w:rsid w:val="00B163F8"/>
    <w:rsid w:val="00B16B41"/>
    <w:rsid w:val="00B17A8A"/>
    <w:rsid w:val="00B201A4"/>
    <w:rsid w:val="00B201D1"/>
    <w:rsid w:val="00B20559"/>
    <w:rsid w:val="00B20CD9"/>
    <w:rsid w:val="00B210AA"/>
    <w:rsid w:val="00B213A6"/>
    <w:rsid w:val="00B213E4"/>
    <w:rsid w:val="00B21B5C"/>
    <w:rsid w:val="00B22746"/>
    <w:rsid w:val="00B235B0"/>
    <w:rsid w:val="00B2379F"/>
    <w:rsid w:val="00B2411E"/>
    <w:rsid w:val="00B2476C"/>
    <w:rsid w:val="00B24A6D"/>
    <w:rsid w:val="00B24DF6"/>
    <w:rsid w:val="00B24DFD"/>
    <w:rsid w:val="00B25A7A"/>
    <w:rsid w:val="00B27413"/>
    <w:rsid w:val="00B27A61"/>
    <w:rsid w:val="00B27F28"/>
    <w:rsid w:val="00B30555"/>
    <w:rsid w:val="00B31326"/>
    <w:rsid w:val="00B31DED"/>
    <w:rsid w:val="00B31F7F"/>
    <w:rsid w:val="00B321AE"/>
    <w:rsid w:val="00B32531"/>
    <w:rsid w:val="00B33DA5"/>
    <w:rsid w:val="00B33DDC"/>
    <w:rsid w:val="00B34FE2"/>
    <w:rsid w:val="00B35166"/>
    <w:rsid w:val="00B357D8"/>
    <w:rsid w:val="00B360F4"/>
    <w:rsid w:val="00B364EC"/>
    <w:rsid w:val="00B36A00"/>
    <w:rsid w:val="00B370C6"/>
    <w:rsid w:val="00B3712E"/>
    <w:rsid w:val="00B3792B"/>
    <w:rsid w:val="00B37BFC"/>
    <w:rsid w:val="00B401CA"/>
    <w:rsid w:val="00B40358"/>
    <w:rsid w:val="00B411DA"/>
    <w:rsid w:val="00B41614"/>
    <w:rsid w:val="00B42851"/>
    <w:rsid w:val="00B42F80"/>
    <w:rsid w:val="00B435CB"/>
    <w:rsid w:val="00B43961"/>
    <w:rsid w:val="00B452E7"/>
    <w:rsid w:val="00B45B3A"/>
    <w:rsid w:val="00B4659A"/>
    <w:rsid w:val="00B465EC"/>
    <w:rsid w:val="00B46DF8"/>
    <w:rsid w:val="00B46E7A"/>
    <w:rsid w:val="00B4768E"/>
    <w:rsid w:val="00B477FE"/>
    <w:rsid w:val="00B50499"/>
    <w:rsid w:val="00B505C8"/>
    <w:rsid w:val="00B50DB8"/>
    <w:rsid w:val="00B522B5"/>
    <w:rsid w:val="00B524CB"/>
    <w:rsid w:val="00B52854"/>
    <w:rsid w:val="00B53409"/>
    <w:rsid w:val="00B53654"/>
    <w:rsid w:val="00B5370E"/>
    <w:rsid w:val="00B53905"/>
    <w:rsid w:val="00B5399D"/>
    <w:rsid w:val="00B53B26"/>
    <w:rsid w:val="00B53C0E"/>
    <w:rsid w:val="00B53F47"/>
    <w:rsid w:val="00B542E7"/>
    <w:rsid w:val="00B546DB"/>
    <w:rsid w:val="00B54B5B"/>
    <w:rsid w:val="00B54E8C"/>
    <w:rsid w:val="00B55373"/>
    <w:rsid w:val="00B5562E"/>
    <w:rsid w:val="00B55862"/>
    <w:rsid w:val="00B55D65"/>
    <w:rsid w:val="00B56305"/>
    <w:rsid w:val="00B57000"/>
    <w:rsid w:val="00B57516"/>
    <w:rsid w:val="00B60939"/>
    <w:rsid w:val="00B60AFD"/>
    <w:rsid w:val="00B613B6"/>
    <w:rsid w:val="00B613FC"/>
    <w:rsid w:val="00B62715"/>
    <w:rsid w:val="00B62EE1"/>
    <w:rsid w:val="00B6321C"/>
    <w:rsid w:val="00B65379"/>
    <w:rsid w:val="00B65611"/>
    <w:rsid w:val="00B65B01"/>
    <w:rsid w:val="00B668D5"/>
    <w:rsid w:val="00B67D11"/>
    <w:rsid w:val="00B7050E"/>
    <w:rsid w:val="00B705A3"/>
    <w:rsid w:val="00B70AF2"/>
    <w:rsid w:val="00B70E8E"/>
    <w:rsid w:val="00B71082"/>
    <w:rsid w:val="00B71675"/>
    <w:rsid w:val="00B719F2"/>
    <w:rsid w:val="00B72296"/>
    <w:rsid w:val="00B730AB"/>
    <w:rsid w:val="00B73350"/>
    <w:rsid w:val="00B7369B"/>
    <w:rsid w:val="00B73BE7"/>
    <w:rsid w:val="00B74479"/>
    <w:rsid w:val="00B7500D"/>
    <w:rsid w:val="00B754A2"/>
    <w:rsid w:val="00B75CC2"/>
    <w:rsid w:val="00B75D3D"/>
    <w:rsid w:val="00B75EDC"/>
    <w:rsid w:val="00B7666C"/>
    <w:rsid w:val="00B76AB0"/>
    <w:rsid w:val="00B76C92"/>
    <w:rsid w:val="00B775CC"/>
    <w:rsid w:val="00B80EFD"/>
    <w:rsid w:val="00B817BA"/>
    <w:rsid w:val="00B818A4"/>
    <w:rsid w:val="00B81992"/>
    <w:rsid w:val="00B8289C"/>
    <w:rsid w:val="00B83739"/>
    <w:rsid w:val="00B84117"/>
    <w:rsid w:val="00B843D6"/>
    <w:rsid w:val="00B85477"/>
    <w:rsid w:val="00B858F0"/>
    <w:rsid w:val="00B85AA2"/>
    <w:rsid w:val="00B86147"/>
    <w:rsid w:val="00B8649C"/>
    <w:rsid w:val="00B8695D"/>
    <w:rsid w:val="00B87F0A"/>
    <w:rsid w:val="00B90835"/>
    <w:rsid w:val="00B9085A"/>
    <w:rsid w:val="00B9213A"/>
    <w:rsid w:val="00B92C8F"/>
    <w:rsid w:val="00B92D0B"/>
    <w:rsid w:val="00B932DC"/>
    <w:rsid w:val="00B93C64"/>
    <w:rsid w:val="00B9470F"/>
    <w:rsid w:val="00B94945"/>
    <w:rsid w:val="00B94DD6"/>
    <w:rsid w:val="00B95B1B"/>
    <w:rsid w:val="00B95BE3"/>
    <w:rsid w:val="00B9721B"/>
    <w:rsid w:val="00B97617"/>
    <w:rsid w:val="00BA1661"/>
    <w:rsid w:val="00BA16ED"/>
    <w:rsid w:val="00BA23DA"/>
    <w:rsid w:val="00BA247D"/>
    <w:rsid w:val="00BA293F"/>
    <w:rsid w:val="00BA322D"/>
    <w:rsid w:val="00BA37EF"/>
    <w:rsid w:val="00BA3CDA"/>
    <w:rsid w:val="00BA4145"/>
    <w:rsid w:val="00BA4C05"/>
    <w:rsid w:val="00BA5439"/>
    <w:rsid w:val="00BA63FA"/>
    <w:rsid w:val="00BA6B9B"/>
    <w:rsid w:val="00BA6E38"/>
    <w:rsid w:val="00BA6F9C"/>
    <w:rsid w:val="00BA7473"/>
    <w:rsid w:val="00BB00B3"/>
    <w:rsid w:val="00BB0BDD"/>
    <w:rsid w:val="00BB0D6B"/>
    <w:rsid w:val="00BB1451"/>
    <w:rsid w:val="00BB176C"/>
    <w:rsid w:val="00BB1831"/>
    <w:rsid w:val="00BB2A73"/>
    <w:rsid w:val="00BB3649"/>
    <w:rsid w:val="00BB36EF"/>
    <w:rsid w:val="00BB3A45"/>
    <w:rsid w:val="00BB4ACC"/>
    <w:rsid w:val="00BB5CAD"/>
    <w:rsid w:val="00BB6299"/>
    <w:rsid w:val="00BB6B61"/>
    <w:rsid w:val="00BB703E"/>
    <w:rsid w:val="00BB732D"/>
    <w:rsid w:val="00BB7405"/>
    <w:rsid w:val="00BB7FBD"/>
    <w:rsid w:val="00BC0E7C"/>
    <w:rsid w:val="00BC11E7"/>
    <w:rsid w:val="00BC1480"/>
    <w:rsid w:val="00BC1775"/>
    <w:rsid w:val="00BC2A5F"/>
    <w:rsid w:val="00BC2B4A"/>
    <w:rsid w:val="00BC312C"/>
    <w:rsid w:val="00BC330F"/>
    <w:rsid w:val="00BC3631"/>
    <w:rsid w:val="00BC3C54"/>
    <w:rsid w:val="00BC5629"/>
    <w:rsid w:val="00BC591F"/>
    <w:rsid w:val="00BC5C8F"/>
    <w:rsid w:val="00BC7420"/>
    <w:rsid w:val="00BC7583"/>
    <w:rsid w:val="00BC7C6F"/>
    <w:rsid w:val="00BC7D6D"/>
    <w:rsid w:val="00BD056B"/>
    <w:rsid w:val="00BD095D"/>
    <w:rsid w:val="00BD12CA"/>
    <w:rsid w:val="00BD1438"/>
    <w:rsid w:val="00BD2108"/>
    <w:rsid w:val="00BD2192"/>
    <w:rsid w:val="00BD2928"/>
    <w:rsid w:val="00BD336B"/>
    <w:rsid w:val="00BD38AB"/>
    <w:rsid w:val="00BD46FF"/>
    <w:rsid w:val="00BD4F90"/>
    <w:rsid w:val="00BD5D66"/>
    <w:rsid w:val="00BD60EE"/>
    <w:rsid w:val="00BD624E"/>
    <w:rsid w:val="00BD68A3"/>
    <w:rsid w:val="00BD6938"/>
    <w:rsid w:val="00BD6B08"/>
    <w:rsid w:val="00BD6CF3"/>
    <w:rsid w:val="00BD7B35"/>
    <w:rsid w:val="00BD7F72"/>
    <w:rsid w:val="00BE0362"/>
    <w:rsid w:val="00BE0CCD"/>
    <w:rsid w:val="00BE0D87"/>
    <w:rsid w:val="00BE0ECA"/>
    <w:rsid w:val="00BE1762"/>
    <w:rsid w:val="00BE1A13"/>
    <w:rsid w:val="00BE2180"/>
    <w:rsid w:val="00BE21F2"/>
    <w:rsid w:val="00BE221A"/>
    <w:rsid w:val="00BE2550"/>
    <w:rsid w:val="00BE299A"/>
    <w:rsid w:val="00BE4199"/>
    <w:rsid w:val="00BE4275"/>
    <w:rsid w:val="00BE466A"/>
    <w:rsid w:val="00BE4986"/>
    <w:rsid w:val="00BE4BE1"/>
    <w:rsid w:val="00BE4D52"/>
    <w:rsid w:val="00BE5BFA"/>
    <w:rsid w:val="00BE6A05"/>
    <w:rsid w:val="00BE6C85"/>
    <w:rsid w:val="00BE73D1"/>
    <w:rsid w:val="00BF0455"/>
    <w:rsid w:val="00BF04FA"/>
    <w:rsid w:val="00BF06AE"/>
    <w:rsid w:val="00BF0F95"/>
    <w:rsid w:val="00BF18BB"/>
    <w:rsid w:val="00BF2433"/>
    <w:rsid w:val="00BF2A0E"/>
    <w:rsid w:val="00BF2B96"/>
    <w:rsid w:val="00BF2E6E"/>
    <w:rsid w:val="00BF3837"/>
    <w:rsid w:val="00BF39FC"/>
    <w:rsid w:val="00BF4C41"/>
    <w:rsid w:val="00BF55BB"/>
    <w:rsid w:val="00BF5624"/>
    <w:rsid w:val="00BF57A6"/>
    <w:rsid w:val="00BF57FA"/>
    <w:rsid w:val="00BF5B97"/>
    <w:rsid w:val="00BF5E63"/>
    <w:rsid w:val="00BF61C9"/>
    <w:rsid w:val="00BF688D"/>
    <w:rsid w:val="00BF6C94"/>
    <w:rsid w:val="00BF6D7A"/>
    <w:rsid w:val="00BF711D"/>
    <w:rsid w:val="00BF77D5"/>
    <w:rsid w:val="00BF7CBE"/>
    <w:rsid w:val="00C00424"/>
    <w:rsid w:val="00C00603"/>
    <w:rsid w:val="00C00B4F"/>
    <w:rsid w:val="00C00BB0"/>
    <w:rsid w:val="00C00DE2"/>
    <w:rsid w:val="00C00ED4"/>
    <w:rsid w:val="00C0230D"/>
    <w:rsid w:val="00C024B3"/>
    <w:rsid w:val="00C02BFD"/>
    <w:rsid w:val="00C042D1"/>
    <w:rsid w:val="00C042D3"/>
    <w:rsid w:val="00C05734"/>
    <w:rsid w:val="00C05DD2"/>
    <w:rsid w:val="00C065BA"/>
    <w:rsid w:val="00C06E93"/>
    <w:rsid w:val="00C07574"/>
    <w:rsid w:val="00C076BE"/>
    <w:rsid w:val="00C07E1F"/>
    <w:rsid w:val="00C113E5"/>
    <w:rsid w:val="00C1179F"/>
    <w:rsid w:val="00C11A58"/>
    <w:rsid w:val="00C127B9"/>
    <w:rsid w:val="00C128FA"/>
    <w:rsid w:val="00C12A3B"/>
    <w:rsid w:val="00C12C14"/>
    <w:rsid w:val="00C1396D"/>
    <w:rsid w:val="00C14EFB"/>
    <w:rsid w:val="00C1543A"/>
    <w:rsid w:val="00C15878"/>
    <w:rsid w:val="00C15F04"/>
    <w:rsid w:val="00C1627C"/>
    <w:rsid w:val="00C16E87"/>
    <w:rsid w:val="00C17007"/>
    <w:rsid w:val="00C1760A"/>
    <w:rsid w:val="00C179B3"/>
    <w:rsid w:val="00C17E3F"/>
    <w:rsid w:val="00C200AA"/>
    <w:rsid w:val="00C21237"/>
    <w:rsid w:val="00C213A5"/>
    <w:rsid w:val="00C22827"/>
    <w:rsid w:val="00C23725"/>
    <w:rsid w:val="00C237ED"/>
    <w:rsid w:val="00C23875"/>
    <w:rsid w:val="00C23C97"/>
    <w:rsid w:val="00C242DE"/>
    <w:rsid w:val="00C242EC"/>
    <w:rsid w:val="00C243AC"/>
    <w:rsid w:val="00C24632"/>
    <w:rsid w:val="00C247F8"/>
    <w:rsid w:val="00C2480E"/>
    <w:rsid w:val="00C25418"/>
    <w:rsid w:val="00C25801"/>
    <w:rsid w:val="00C2595B"/>
    <w:rsid w:val="00C25D9C"/>
    <w:rsid w:val="00C25F1B"/>
    <w:rsid w:val="00C25F99"/>
    <w:rsid w:val="00C26BF6"/>
    <w:rsid w:val="00C2778B"/>
    <w:rsid w:val="00C27B40"/>
    <w:rsid w:val="00C30F91"/>
    <w:rsid w:val="00C31649"/>
    <w:rsid w:val="00C3264B"/>
    <w:rsid w:val="00C32748"/>
    <w:rsid w:val="00C32EF2"/>
    <w:rsid w:val="00C33FFD"/>
    <w:rsid w:val="00C3434C"/>
    <w:rsid w:val="00C34A0B"/>
    <w:rsid w:val="00C34BA0"/>
    <w:rsid w:val="00C357F2"/>
    <w:rsid w:val="00C35A80"/>
    <w:rsid w:val="00C35D4C"/>
    <w:rsid w:val="00C36839"/>
    <w:rsid w:val="00C37FFB"/>
    <w:rsid w:val="00C40385"/>
    <w:rsid w:val="00C40D11"/>
    <w:rsid w:val="00C41624"/>
    <w:rsid w:val="00C41768"/>
    <w:rsid w:val="00C42BC4"/>
    <w:rsid w:val="00C42ED7"/>
    <w:rsid w:val="00C4367F"/>
    <w:rsid w:val="00C436BC"/>
    <w:rsid w:val="00C44FBC"/>
    <w:rsid w:val="00C4606C"/>
    <w:rsid w:val="00C4659D"/>
    <w:rsid w:val="00C46A42"/>
    <w:rsid w:val="00C46C9E"/>
    <w:rsid w:val="00C4758E"/>
    <w:rsid w:val="00C475AA"/>
    <w:rsid w:val="00C479C0"/>
    <w:rsid w:val="00C47C5E"/>
    <w:rsid w:val="00C47F47"/>
    <w:rsid w:val="00C50A5C"/>
    <w:rsid w:val="00C50DC5"/>
    <w:rsid w:val="00C512DE"/>
    <w:rsid w:val="00C51386"/>
    <w:rsid w:val="00C51859"/>
    <w:rsid w:val="00C51884"/>
    <w:rsid w:val="00C524C0"/>
    <w:rsid w:val="00C527C7"/>
    <w:rsid w:val="00C52AE2"/>
    <w:rsid w:val="00C5301D"/>
    <w:rsid w:val="00C53C98"/>
    <w:rsid w:val="00C54E87"/>
    <w:rsid w:val="00C54F58"/>
    <w:rsid w:val="00C552ED"/>
    <w:rsid w:val="00C555CA"/>
    <w:rsid w:val="00C55BBF"/>
    <w:rsid w:val="00C55C9E"/>
    <w:rsid w:val="00C55E0E"/>
    <w:rsid w:val="00C569AB"/>
    <w:rsid w:val="00C56CE2"/>
    <w:rsid w:val="00C56FCF"/>
    <w:rsid w:val="00C57B6C"/>
    <w:rsid w:val="00C57C8B"/>
    <w:rsid w:val="00C57FF5"/>
    <w:rsid w:val="00C60038"/>
    <w:rsid w:val="00C60051"/>
    <w:rsid w:val="00C6014B"/>
    <w:rsid w:val="00C605FD"/>
    <w:rsid w:val="00C60BBC"/>
    <w:rsid w:val="00C6163B"/>
    <w:rsid w:val="00C619AD"/>
    <w:rsid w:val="00C61A59"/>
    <w:rsid w:val="00C61F1C"/>
    <w:rsid w:val="00C628A6"/>
    <w:rsid w:val="00C62B91"/>
    <w:rsid w:val="00C63B74"/>
    <w:rsid w:val="00C63C8B"/>
    <w:rsid w:val="00C64344"/>
    <w:rsid w:val="00C65108"/>
    <w:rsid w:val="00C652B4"/>
    <w:rsid w:val="00C65576"/>
    <w:rsid w:val="00C65645"/>
    <w:rsid w:val="00C65CEC"/>
    <w:rsid w:val="00C65E17"/>
    <w:rsid w:val="00C66165"/>
    <w:rsid w:val="00C701E2"/>
    <w:rsid w:val="00C7060A"/>
    <w:rsid w:val="00C70E4C"/>
    <w:rsid w:val="00C7151A"/>
    <w:rsid w:val="00C717E3"/>
    <w:rsid w:val="00C71AED"/>
    <w:rsid w:val="00C71BF3"/>
    <w:rsid w:val="00C71E00"/>
    <w:rsid w:val="00C71F60"/>
    <w:rsid w:val="00C7209C"/>
    <w:rsid w:val="00C72241"/>
    <w:rsid w:val="00C73B68"/>
    <w:rsid w:val="00C74098"/>
    <w:rsid w:val="00C74273"/>
    <w:rsid w:val="00C74FEC"/>
    <w:rsid w:val="00C750C8"/>
    <w:rsid w:val="00C7560F"/>
    <w:rsid w:val="00C765E8"/>
    <w:rsid w:val="00C765FF"/>
    <w:rsid w:val="00C7721B"/>
    <w:rsid w:val="00C80491"/>
    <w:rsid w:val="00C80A0E"/>
    <w:rsid w:val="00C81BDB"/>
    <w:rsid w:val="00C8213F"/>
    <w:rsid w:val="00C82FB3"/>
    <w:rsid w:val="00C8303F"/>
    <w:rsid w:val="00C83C0D"/>
    <w:rsid w:val="00C83CA0"/>
    <w:rsid w:val="00C85154"/>
    <w:rsid w:val="00C8569E"/>
    <w:rsid w:val="00C85756"/>
    <w:rsid w:val="00C85A70"/>
    <w:rsid w:val="00C86092"/>
    <w:rsid w:val="00C860D5"/>
    <w:rsid w:val="00C861C9"/>
    <w:rsid w:val="00C8778C"/>
    <w:rsid w:val="00C8797A"/>
    <w:rsid w:val="00C87B4C"/>
    <w:rsid w:val="00C900B8"/>
    <w:rsid w:val="00C90197"/>
    <w:rsid w:val="00C904ED"/>
    <w:rsid w:val="00C90C71"/>
    <w:rsid w:val="00C90F8B"/>
    <w:rsid w:val="00C90FB6"/>
    <w:rsid w:val="00C91266"/>
    <w:rsid w:val="00C91FD1"/>
    <w:rsid w:val="00C9258A"/>
    <w:rsid w:val="00C92639"/>
    <w:rsid w:val="00C929C6"/>
    <w:rsid w:val="00C929EC"/>
    <w:rsid w:val="00C931CF"/>
    <w:rsid w:val="00C938CF"/>
    <w:rsid w:val="00C93A07"/>
    <w:rsid w:val="00C93CFE"/>
    <w:rsid w:val="00C94053"/>
    <w:rsid w:val="00C95E1D"/>
    <w:rsid w:val="00C95F87"/>
    <w:rsid w:val="00C9624D"/>
    <w:rsid w:val="00C969DA"/>
    <w:rsid w:val="00C977F1"/>
    <w:rsid w:val="00CA0472"/>
    <w:rsid w:val="00CA0539"/>
    <w:rsid w:val="00CA2C77"/>
    <w:rsid w:val="00CA2FD8"/>
    <w:rsid w:val="00CA3FC7"/>
    <w:rsid w:val="00CA4141"/>
    <w:rsid w:val="00CA4297"/>
    <w:rsid w:val="00CA444F"/>
    <w:rsid w:val="00CA4796"/>
    <w:rsid w:val="00CA4870"/>
    <w:rsid w:val="00CA4AB4"/>
    <w:rsid w:val="00CA4CE6"/>
    <w:rsid w:val="00CA5245"/>
    <w:rsid w:val="00CA5A6B"/>
    <w:rsid w:val="00CA646D"/>
    <w:rsid w:val="00CA6E79"/>
    <w:rsid w:val="00CA71F4"/>
    <w:rsid w:val="00CA798A"/>
    <w:rsid w:val="00CA7B09"/>
    <w:rsid w:val="00CA7FC1"/>
    <w:rsid w:val="00CA7FD1"/>
    <w:rsid w:val="00CB03D4"/>
    <w:rsid w:val="00CB0ACC"/>
    <w:rsid w:val="00CB12A5"/>
    <w:rsid w:val="00CB1CAC"/>
    <w:rsid w:val="00CB1ECC"/>
    <w:rsid w:val="00CB2B8B"/>
    <w:rsid w:val="00CB2E3D"/>
    <w:rsid w:val="00CB2F2A"/>
    <w:rsid w:val="00CB3980"/>
    <w:rsid w:val="00CB3D19"/>
    <w:rsid w:val="00CB3E86"/>
    <w:rsid w:val="00CB4BBB"/>
    <w:rsid w:val="00CB4ED7"/>
    <w:rsid w:val="00CB5648"/>
    <w:rsid w:val="00CB5B1A"/>
    <w:rsid w:val="00CB5E2C"/>
    <w:rsid w:val="00CB6B22"/>
    <w:rsid w:val="00CB77AD"/>
    <w:rsid w:val="00CB7F5F"/>
    <w:rsid w:val="00CB7FBE"/>
    <w:rsid w:val="00CC10EB"/>
    <w:rsid w:val="00CC1B0D"/>
    <w:rsid w:val="00CC1B39"/>
    <w:rsid w:val="00CC1BFA"/>
    <w:rsid w:val="00CC1C83"/>
    <w:rsid w:val="00CC1C86"/>
    <w:rsid w:val="00CC284A"/>
    <w:rsid w:val="00CC2B62"/>
    <w:rsid w:val="00CC2E9F"/>
    <w:rsid w:val="00CC35EA"/>
    <w:rsid w:val="00CC3848"/>
    <w:rsid w:val="00CC446F"/>
    <w:rsid w:val="00CC4B03"/>
    <w:rsid w:val="00CC4B77"/>
    <w:rsid w:val="00CC4FB8"/>
    <w:rsid w:val="00CC5A43"/>
    <w:rsid w:val="00CC5D28"/>
    <w:rsid w:val="00CC6596"/>
    <w:rsid w:val="00CC6D1B"/>
    <w:rsid w:val="00CC6D5E"/>
    <w:rsid w:val="00CC778B"/>
    <w:rsid w:val="00CD0200"/>
    <w:rsid w:val="00CD05DF"/>
    <w:rsid w:val="00CD1214"/>
    <w:rsid w:val="00CD15AF"/>
    <w:rsid w:val="00CD1E21"/>
    <w:rsid w:val="00CD207F"/>
    <w:rsid w:val="00CD24E7"/>
    <w:rsid w:val="00CD26A6"/>
    <w:rsid w:val="00CD2A06"/>
    <w:rsid w:val="00CD3F77"/>
    <w:rsid w:val="00CD4283"/>
    <w:rsid w:val="00CD458C"/>
    <w:rsid w:val="00CD4B2B"/>
    <w:rsid w:val="00CD4CF2"/>
    <w:rsid w:val="00CD551C"/>
    <w:rsid w:val="00CD5566"/>
    <w:rsid w:val="00CD6ADC"/>
    <w:rsid w:val="00CD6B43"/>
    <w:rsid w:val="00CD6F84"/>
    <w:rsid w:val="00CD7193"/>
    <w:rsid w:val="00CD7ED8"/>
    <w:rsid w:val="00CE0462"/>
    <w:rsid w:val="00CE06EC"/>
    <w:rsid w:val="00CE2375"/>
    <w:rsid w:val="00CE31A5"/>
    <w:rsid w:val="00CE381E"/>
    <w:rsid w:val="00CE38C8"/>
    <w:rsid w:val="00CE40AF"/>
    <w:rsid w:val="00CE524F"/>
    <w:rsid w:val="00CE5379"/>
    <w:rsid w:val="00CE575F"/>
    <w:rsid w:val="00CE58CC"/>
    <w:rsid w:val="00CE59E5"/>
    <w:rsid w:val="00CE6274"/>
    <w:rsid w:val="00CE77B6"/>
    <w:rsid w:val="00CF0230"/>
    <w:rsid w:val="00CF0FD1"/>
    <w:rsid w:val="00CF1158"/>
    <w:rsid w:val="00CF12A3"/>
    <w:rsid w:val="00CF26D3"/>
    <w:rsid w:val="00CF2B8D"/>
    <w:rsid w:val="00CF2F3A"/>
    <w:rsid w:val="00CF3A1B"/>
    <w:rsid w:val="00CF3C19"/>
    <w:rsid w:val="00CF40F7"/>
    <w:rsid w:val="00CF456B"/>
    <w:rsid w:val="00CF4E69"/>
    <w:rsid w:val="00CF5A22"/>
    <w:rsid w:val="00CF6171"/>
    <w:rsid w:val="00CF6699"/>
    <w:rsid w:val="00CF6866"/>
    <w:rsid w:val="00CF6F23"/>
    <w:rsid w:val="00CF7617"/>
    <w:rsid w:val="00D00532"/>
    <w:rsid w:val="00D006DC"/>
    <w:rsid w:val="00D00A70"/>
    <w:rsid w:val="00D016FD"/>
    <w:rsid w:val="00D023DC"/>
    <w:rsid w:val="00D0262E"/>
    <w:rsid w:val="00D02A99"/>
    <w:rsid w:val="00D032FA"/>
    <w:rsid w:val="00D034F9"/>
    <w:rsid w:val="00D03671"/>
    <w:rsid w:val="00D03679"/>
    <w:rsid w:val="00D04B3F"/>
    <w:rsid w:val="00D05B41"/>
    <w:rsid w:val="00D05E3D"/>
    <w:rsid w:val="00D06139"/>
    <w:rsid w:val="00D06502"/>
    <w:rsid w:val="00D06634"/>
    <w:rsid w:val="00D0745F"/>
    <w:rsid w:val="00D10A86"/>
    <w:rsid w:val="00D10CE1"/>
    <w:rsid w:val="00D110BD"/>
    <w:rsid w:val="00D1173E"/>
    <w:rsid w:val="00D12AA9"/>
    <w:rsid w:val="00D13675"/>
    <w:rsid w:val="00D13C6A"/>
    <w:rsid w:val="00D141E1"/>
    <w:rsid w:val="00D14400"/>
    <w:rsid w:val="00D1524B"/>
    <w:rsid w:val="00D15314"/>
    <w:rsid w:val="00D1585D"/>
    <w:rsid w:val="00D15B48"/>
    <w:rsid w:val="00D15EBF"/>
    <w:rsid w:val="00D17D1D"/>
    <w:rsid w:val="00D17D6C"/>
    <w:rsid w:val="00D2155B"/>
    <w:rsid w:val="00D22009"/>
    <w:rsid w:val="00D230E5"/>
    <w:rsid w:val="00D23D11"/>
    <w:rsid w:val="00D243F1"/>
    <w:rsid w:val="00D244B6"/>
    <w:rsid w:val="00D253C7"/>
    <w:rsid w:val="00D258C7"/>
    <w:rsid w:val="00D26CAF"/>
    <w:rsid w:val="00D2754D"/>
    <w:rsid w:val="00D279A7"/>
    <w:rsid w:val="00D27B27"/>
    <w:rsid w:val="00D30D5B"/>
    <w:rsid w:val="00D31E79"/>
    <w:rsid w:val="00D32791"/>
    <w:rsid w:val="00D33BE9"/>
    <w:rsid w:val="00D33F93"/>
    <w:rsid w:val="00D34A0C"/>
    <w:rsid w:val="00D34E5C"/>
    <w:rsid w:val="00D356D5"/>
    <w:rsid w:val="00D357FF"/>
    <w:rsid w:val="00D35A58"/>
    <w:rsid w:val="00D35BE1"/>
    <w:rsid w:val="00D363A4"/>
    <w:rsid w:val="00D40252"/>
    <w:rsid w:val="00D4088E"/>
    <w:rsid w:val="00D40DED"/>
    <w:rsid w:val="00D410E4"/>
    <w:rsid w:val="00D41377"/>
    <w:rsid w:val="00D424C7"/>
    <w:rsid w:val="00D4304D"/>
    <w:rsid w:val="00D4319A"/>
    <w:rsid w:val="00D435B0"/>
    <w:rsid w:val="00D43B2A"/>
    <w:rsid w:val="00D43CF1"/>
    <w:rsid w:val="00D43D83"/>
    <w:rsid w:val="00D44089"/>
    <w:rsid w:val="00D44092"/>
    <w:rsid w:val="00D44C93"/>
    <w:rsid w:val="00D44CEA"/>
    <w:rsid w:val="00D455EF"/>
    <w:rsid w:val="00D4579C"/>
    <w:rsid w:val="00D46C26"/>
    <w:rsid w:val="00D470AA"/>
    <w:rsid w:val="00D47575"/>
    <w:rsid w:val="00D47CB8"/>
    <w:rsid w:val="00D47FE9"/>
    <w:rsid w:val="00D508A4"/>
    <w:rsid w:val="00D51E8A"/>
    <w:rsid w:val="00D5243B"/>
    <w:rsid w:val="00D52A24"/>
    <w:rsid w:val="00D533EC"/>
    <w:rsid w:val="00D53439"/>
    <w:rsid w:val="00D536AD"/>
    <w:rsid w:val="00D53CA3"/>
    <w:rsid w:val="00D546C7"/>
    <w:rsid w:val="00D54986"/>
    <w:rsid w:val="00D5551E"/>
    <w:rsid w:val="00D55769"/>
    <w:rsid w:val="00D56A95"/>
    <w:rsid w:val="00D5702E"/>
    <w:rsid w:val="00D5752A"/>
    <w:rsid w:val="00D57B1E"/>
    <w:rsid w:val="00D6076E"/>
    <w:rsid w:val="00D60A1C"/>
    <w:rsid w:val="00D60C79"/>
    <w:rsid w:val="00D60F32"/>
    <w:rsid w:val="00D60FB3"/>
    <w:rsid w:val="00D626A3"/>
    <w:rsid w:val="00D627BE"/>
    <w:rsid w:val="00D63D60"/>
    <w:rsid w:val="00D648CD"/>
    <w:rsid w:val="00D64933"/>
    <w:rsid w:val="00D64DEF"/>
    <w:rsid w:val="00D670B2"/>
    <w:rsid w:val="00D671E0"/>
    <w:rsid w:val="00D67859"/>
    <w:rsid w:val="00D67C3A"/>
    <w:rsid w:val="00D67E2B"/>
    <w:rsid w:val="00D702D9"/>
    <w:rsid w:val="00D7033F"/>
    <w:rsid w:val="00D70811"/>
    <w:rsid w:val="00D70F16"/>
    <w:rsid w:val="00D72147"/>
    <w:rsid w:val="00D72617"/>
    <w:rsid w:val="00D72A33"/>
    <w:rsid w:val="00D72E6A"/>
    <w:rsid w:val="00D72F57"/>
    <w:rsid w:val="00D741AF"/>
    <w:rsid w:val="00D74975"/>
    <w:rsid w:val="00D74AB4"/>
    <w:rsid w:val="00D76259"/>
    <w:rsid w:val="00D7633D"/>
    <w:rsid w:val="00D76523"/>
    <w:rsid w:val="00D76A44"/>
    <w:rsid w:val="00D76F30"/>
    <w:rsid w:val="00D76F45"/>
    <w:rsid w:val="00D775B3"/>
    <w:rsid w:val="00D77ACD"/>
    <w:rsid w:val="00D8005F"/>
    <w:rsid w:val="00D8046E"/>
    <w:rsid w:val="00D806A5"/>
    <w:rsid w:val="00D80B28"/>
    <w:rsid w:val="00D815EF"/>
    <w:rsid w:val="00D816F0"/>
    <w:rsid w:val="00D81949"/>
    <w:rsid w:val="00D81F26"/>
    <w:rsid w:val="00D822E2"/>
    <w:rsid w:val="00D828C3"/>
    <w:rsid w:val="00D829AA"/>
    <w:rsid w:val="00D835CA"/>
    <w:rsid w:val="00D842B4"/>
    <w:rsid w:val="00D84365"/>
    <w:rsid w:val="00D843F2"/>
    <w:rsid w:val="00D84EB2"/>
    <w:rsid w:val="00D8599C"/>
    <w:rsid w:val="00D85ABC"/>
    <w:rsid w:val="00D85CE7"/>
    <w:rsid w:val="00D85F47"/>
    <w:rsid w:val="00D86231"/>
    <w:rsid w:val="00D8714A"/>
    <w:rsid w:val="00D875C6"/>
    <w:rsid w:val="00D90878"/>
    <w:rsid w:val="00D912AB"/>
    <w:rsid w:val="00D91399"/>
    <w:rsid w:val="00D9158D"/>
    <w:rsid w:val="00D91923"/>
    <w:rsid w:val="00D9201E"/>
    <w:rsid w:val="00D920AC"/>
    <w:rsid w:val="00D92784"/>
    <w:rsid w:val="00D93052"/>
    <w:rsid w:val="00D934ED"/>
    <w:rsid w:val="00D936BE"/>
    <w:rsid w:val="00D93753"/>
    <w:rsid w:val="00D9375D"/>
    <w:rsid w:val="00D9577F"/>
    <w:rsid w:val="00D95896"/>
    <w:rsid w:val="00D975E9"/>
    <w:rsid w:val="00DA00B4"/>
    <w:rsid w:val="00DA11DB"/>
    <w:rsid w:val="00DA170C"/>
    <w:rsid w:val="00DA2338"/>
    <w:rsid w:val="00DA287C"/>
    <w:rsid w:val="00DA3167"/>
    <w:rsid w:val="00DA3447"/>
    <w:rsid w:val="00DA3932"/>
    <w:rsid w:val="00DA4DC3"/>
    <w:rsid w:val="00DA4DFE"/>
    <w:rsid w:val="00DA59E4"/>
    <w:rsid w:val="00DA6479"/>
    <w:rsid w:val="00DA6525"/>
    <w:rsid w:val="00DA68BA"/>
    <w:rsid w:val="00DA6BE6"/>
    <w:rsid w:val="00DA72AD"/>
    <w:rsid w:val="00DA77A5"/>
    <w:rsid w:val="00DA79A5"/>
    <w:rsid w:val="00DB0020"/>
    <w:rsid w:val="00DB0999"/>
    <w:rsid w:val="00DB0E36"/>
    <w:rsid w:val="00DB18D0"/>
    <w:rsid w:val="00DB197B"/>
    <w:rsid w:val="00DB1DE5"/>
    <w:rsid w:val="00DB23CA"/>
    <w:rsid w:val="00DB24E0"/>
    <w:rsid w:val="00DB2859"/>
    <w:rsid w:val="00DB304B"/>
    <w:rsid w:val="00DB3296"/>
    <w:rsid w:val="00DB3DBF"/>
    <w:rsid w:val="00DB484F"/>
    <w:rsid w:val="00DB5544"/>
    <w:rsid w:val="00DB6482"/>
    <w:rsid w:val="00DB651C"/>
    <w:rsid w:val="00DB742E"/>
    <w:rsid w:val="00DC04F6"/>
    <w:rsid w:val="00DC0690"/>
    <w:rsid w:val="00DC1587"/>
    <w:rsid w:val="00DC18E7"/>
    <w:rsid w:val="00DC1A51"/>
    <w:rsid w:val="00DC1D65"/>
    <w:rsid w:val="00DC1E01"/>
    <w:rsid w:val="00DC26EE"/>
    <w:rsid w:val="00DC3C57"/>
    <w:rsid w:val="00DC47EA"/>
    <w:rsid w:val="00DC49E2"/>
    <w:rsid w:val="00DC4FD2"/>
    <w:rsid w:val="00DC53A5"/>
    <w:rsid w:val="00DC5501"/>
    <w:rsid w:val="00DC5B02"/>
    <w:rsid w:val="00DC5DE4"/>
    <w:rsid w:val="00DC6399"/>
    <w:rsid w:val="00DC6415"/>
    <w:rsid w:val="00DC652A"/>
    <w:rsid w:val="00DC7154"/>
    <w:rsid w:val="00DC7D5E"/>
    <w:rsid w:val="00DC7E8A"/>
    <w:rsid w:val="00DD05F9"/>
    <w:rsid w:val="00DD0F78"/>
    <w:rsid w:val="00DD1A02"/>
    <w:rsid w:val="00DD273C"/>
    <w:rsid w:val="00DD2B02"/>
    <w:rsid w:val="00DD3922"/>
    <w:rsid w:val="00DD3F28"/>
    <w:rsid w:val="00DD42E7"/>
    <w:rsid w:val="00DD4446"/>
    <w:rsid w:val="00DD4537"/>
    <w:rsid w:val="00DD4682"/>
    <w:rsid w:val="00DD4A4A"/>
    <w:rsid w:val="00DD4B37"/>
    <w:rsid w:val="00DD4E15"/>
    <w:rsid w:val="00DD4E49"/>
    <w:rsid w:val="00DD5420"/>
    <w:rsid w:val="00DD58A5"/>
    <w:rsid w:val="00DD68D0"/>
    <w:rsid w:val="00DD7DAE"/>
    <w:rsid w:val="00DE2304"/>
    <w:rsid w:val="00DE25EA"/>
    <w:rsid w:val="00DE26FD"/>
    <w:rsid w:val="00DE2A4A"/>
    <w:rsid w:val="00DE2AAB"/>
    <w:rsid w:val="00DE2F1D"/>
    <w:rsid w:val="00DE3138"/>
    <w:rsid w:val="00DE37F8"/>
    <w:rsid w:val="00DE4273"/>
    <w:rsid w:val="00DE46ED"/>
    <w:rsid w:val="00DE4FCB"/>
    <w:rsid w:val="00DE50A7"/>
    <w:rsid w:val="00DE56E3"/>
    <w:rsid w:val="00DE5D07"/>
    <w:rsid w:val="00DE621C"/>
    <w:rsid w:val="00DE66C4"/>
    <w:rsid w:val="00DE72A7"/>
    <w:rsid w:val="00DE7832"/>
    <w:rsid w:val="00DF18FC"/>
    <w:rsid w:val="00DF26CE"/>
    <w:rsid w:val="00DF27B7"/>
    <w:rsid w:val="00DF3078"/>
    <w:rsid w:val="00DF339E"/>
    <w:rsid w:val="00DF3AB3"/>
    <w:rsid w:val="00DF4A91"/>
    <w:rsid w:val="00DF4AD5"/>
    <w:rsid w:val="00DF4D77"/>
    <w:rsid w:val="00DF5292"/>
    <w:rsid w:val="00DF5D2B"/>
    <w:rsid w:val="00DF6276"/>
    <w:rsid w:val="00DF6341"/>
    <w:rsid w:val="00DF6CD1"/>
    <w:rsid w:val="00DF6D16"/>
    <w:rsid w:val="00DF6E03"/>
    <w:rsid w:val="00DF6E59"/>
    <w:rsid w:val="00DF74F9"/>
    <w:rsid w:val="00E00CC5"/>
    <w:rsid w:val="00E00DF9"/>
    <w:rsid w:val="00E00E8E"/>
    <w:rsid w:val="00E00F49"/>
    <w:rsid w:val="00E010B1"/>
    <w:rsid w:val="00E01D34"/>
    <w:rsid w:val="00E02A2D"/>
    <w:rsid w:val="00E031F9"/>
    <w:rsid w:val="00E0456C"/>
    <w:rsid w:val="00E05630"/>
    <w:rsid w:val="00E06501"/>
    <w:rsid w:val="00E06A10"/>
    <w:rsid w:val="00E06DBB"/>
    <w:rsid w:val="00E0735A"/>
    <w:rsid w:val="00E10149"/>
    <w:rsid w:val="00E11340"/>
    <w:rsid w:val="00E11AF8"/>
    <w:rsid w:val="00E12262"/>
    <w:rsid w:val="00E122A1"/>
    <w:rsid w:val="00E126FB"/>
    <w:rsid w:val="00E1386C"/>
    <w:rsid w:val="00E13ECA"/>
    <w:rsid w:val="00E14656"/>
    <w:rsid w:val="00E14E22"/>
    <w:rsid w:val="00E151A9"/>
    <w:rsid w:val="00E16372"/>
    <w:rsid w:val="00E16AD8"/>
    <w:rsid w:val="00E16C92"/>
    <w:rsid w:val="00E17121"/>
    <w:rsid w:val="00E1726C"/>
    <w:rsid w:val="00E17EE4"/>
    <w:rsid w:val="00E17FFA"/>
    <w:rsid w:val="00E2039E"/>
    <w:rsid w:val="00E20438"/>
    <w:rsid w:val="00E20E40"/>
    <w:rsid w:val="00E20E4D"/>
    <w:rsid w:val="00E20ED6"/>
    <w:rsid w:val="00E21358"/>
    <w:rsid w:val="00E216D0"/>
    <w:rsid w:val="00E21981"/>
    <w:rsid w:val="00E21AD7"/>
    <w:rsid w:val="00E2249B"/>
    <w:rsid w:val="00E22A0D"/>
    <w:rsid w:val="00E22EE8"/>
    <w:rsid w:val="00E23132"/>
    <w:rsid w:val="00E23510"/>
    <w:rsid w:val="00E23ADF"/>
    <w:rsid w:val="00E244F6"/>
    <w:rsid w:val="00E254C5"/>
    <w:rsid w:val="00E258DB"/>
    <w:rsid w:val="00E2634D"/>
    <w:rsid w:val="00E2654C"/>
    <w:rsid w:val="00E26562"/>
    <w:rsid w:val="00E26D91"/>
    <w:rsid w:val="00E2771E"/>
    <w:rsid w:val="00E27A4E"/>
    <w:rsid w:val="00E27EFB"/>
    <w:rsid w:val="00E3094B"/>
    <w:rsid w:val="00E309BE"/>
    <w:rsid w:val="00E311EF"/>
    <w:rsid w:val="00E31832"/>
    <w:rsid w:val="00E31CAD"/>
    <w:rsid w:val="00E32180"/>
    <w:rsid w:val="00E3287D"/>
    <w:rsid w:val="00E329D8"/>
    <w:rsid w:val="00E32E1B"/>
    <w:rsid w:val="00E33537"/>
    <w:rsid w:val="00E3386C"/>
    <w:rsid w:val="00E3388F"/>
    <w:rsid w:val="00E33A1E"/>
    <w:rsid w:val="00E340BF"/>
    <w:rsid w:val="00E3423F"/>
    <w:rsid w:val="00E3430C"/>
    <w:rsid w:val="00E34948"/>
    <w:rsid w:val="00E34B5A"/>
    <w:rsid w:val="00E37569"/>
    <w:rsid w:val="00E375D8"/>
    <w:rsid w:val="00E3760F"/>
    <w:rsid w:val="00E378E3"/>
    <w:rsid w:val="00E401B2"/>
    <w:rsid w:val="00E411BB"/>
    <w:rsid w:val="00E41471"/>
    <w:rsid w:val="00E41E30"/>
    <w:rsid w:val="00E41F8F"/>
    <w:rsid w:val="00E42DE3"/>
    <w:rsid w:val="00E42F73"/>
    <w:rsid w:val="00E434E7"/>
    <w:rsid w:val="00E43624"/>
    <w:rsid w:val="00E43D70"/>
    <w:rsid w:val="00E4447A"/>
    <w:rsid w:val="00E44776"/>
    <w:rsid w:val="00E45DA9"/>
    <w:rsid w:val="00E46668"/>
    <w:rsid w:val="00E466F3"/>
    <w:rsid w:val="00E4679E"/>
    <w:rsid w:val="00E4699E"/>
    <w:rsid w:val="00E46D4A"/>
    <w:rsid w:val="00E474BE"/>
    <w:rsid w:val="00E47B2C"/>
    <w:rsid w:val="00E47F66"/>
    <w:rsid w:val="00E47F77"/>
    <w:rsid w:val="00E50A75"/>
    <w:rsid w:val="00E51560"/>
    <w:rsid w:val="00E51821"/>
    <w:rsid w:val="00E53FC8"/>
    <w:rsid w:val="00E5413B"/>
    <w:rsid w:val="00E54347"/>
    <w:rsid w:val="00E55256"/>
    <w:rsid w:val="00E55424"/>
    <w:rsid w:val="00E558EE"/>
    <w:rsid w:val="00E55915"/>
    <w:rsid w:val="00E55BB5"/>
    <w:rsid w:val="00E55F91"/>
    <w:rsid w:val="00E56B04"/>
    <w:rsid w:val="00E56C9F"/>
    <w:rsid w:val="00E57722"/>
    <w:rsid w:val="00E5772A"/>
    <w:rsid w:val="00E57A66"/>
    <w:rsid w:val="00E60127"/>
    <w:rsid w:val="00E6043B"/>
    <w:rsid w:val="00E6055C"/>
    <w:rsid w:val="00E607AB"/>
    <w:rsid w:val="00E611DF"/>
    <w:rsid w:val="00E617DB"/>
    <w:rsid w:val="00E617F7"/>
    <w:rsid w:val="00E61DA7"/>
    <w:rsid w:val="00E6345E"/>
    <w:rsid w:val="00E6355E"/>
    <w:rsid w:val="00E63BEF"/>
    <w:rsid w:val="00E65DF5"/>
    <w:rsid w:val="00E65E79"/>
    <w:rsid w:val="00E66380"/>
    <w:rsid w:val="00E66B41"/>
    <w:rsid w:val="00E66BA2"/>
    <w:rsid w:val="00E66C4E"/>
    <w:rsid w:val="00E66FDC"/>
    <w:rsid w:val="00E671D2"/>
    <w:rsid w:val="00E67416"/>
    <w:rsid w:val="00E67F4C"/>
    <w:rsid w:val="00E7012B"/>
    <w:rsid w:val="00E7062D"/>
    <w:rsid w:val="00E70896"/>
    <w:rsid w:val="00E715DE"/>
    <w:rsid w:val="00E718B6"/>
    <w:rsid w:val="00E723BA"/>
    <w:rsid w:val="00E73278"/>
    <w:rsid w:val="00E73581"/>
    <w:rsid w:val="00E73ED3"/>
    <w:rsid w:val="00E742E5"/>
    <w:rsid w:val="00E74634"/>
    <w:rsid w:val="00E74FA7"/>
    <w:rsid w:val="00E75618"/>
    <w:rsid w:val="00E75BA0"/>
    <w:rsid w:val="00E76927"/>
    <w:rsid w:val="00E7737F"/>
    <w:rsid w:val="00E7796E"/>
    <w:rsid w:val="00E80DDB"/>
    <w:rsid w:val="00E810C9"/>
    <w:rsid w:val="00E81778"/>
    <w:rsid w:val="00E81DD9"/>
    <w:rsid w:val="00E82E49"/>
    <w:rsid w:val="00E82F0C"/>
    <w:rsid w:val="00E833F7"/>
    <w:rsid w:val="00E83557"/>
    <w:rsid w:val="00E83BDF"/>
    <w:rsid w:val="00E84336"/>
    <w:rsid w:val="00E84E77"/>
    <w:rsid w:val="00E86238"/>
    <w:rsid w:val="00E868D8"/>
    <w:rsid w:val="00E86FCC"/>
    <w:rsid w:val="00E87620"/>
    <w:rsid w:val="00E87A1D"/>
    <w:rsid w:val="00E87DB7"/>
    <w:rsid w:val="00E908A2"/>
    <w:rsid w:val="00E9094A"/>
    <w:rsid w:val="00E91D35"/>
    <w:rsid w:val="00E92198"/>
    <w:rsid w:val="00E92260"/>
    <w:rsid w:val="00E926A5"/>
    <w:rsid w:val="00E93E99"/>
    <w:rsid w:val="00E94389"/>
    <w:rsid w:val="00E9443F"/>
    <w:rsid w:val="00E946F9"/>
    <w:rsid w:val="00E94BD5"/>
    <w:rsid w:val="00E94ECA"/>
    <w:rsid w:val="00E952E5"/>
    <w:rsid w:val="00E95E2C"/>
    <w:rsid w:val="00E95F08"/>
    <w:rsid w:val="00E962CC"/>
    <w:rsid w:val="00E9692C"/>
    <w:rsid w:val="00E977F0"/>
    <w:rsid w:val="00EA0440"/>
    <w:rsid w:val="00EA09F9"/>
    <w:rsid w:val="00EA0F99"/>
    <w:rsid w:val="00EA1481"/>
    <w:rsid w:val="00EA17C3"/>
    <w:rsid w:val="00EA1AAE"/>
    <w:rsid w:val="00EA1CC5"/>
    <w:rsid w:val="00EA1F0A"/>
    <w:rsid w:val="00EA25F0"/>
    <w:rsid w:val="00EA2CAA"/>
    <w:rsid w:val="00EA3136"/>
    <w:rsid w:val="00EA3864"/>
    <w:rsid w:val="00EA38F8"/>
    <w:rsid w:val="00EA3A3C"/>
    <w:rsid w:val="00EA3B92"/>
    <w:rsid w:val="00EA4856"/>
    <w:rsid w:val="00EA4BD4"/>
    <w:rsid w:val="00EA4D25"/>
    <w:rsid w:val="00EA521C"/>
    <w:rsid w:val="00EA53DC"/>
    <w:rsid w:val="00EA68F7"/>
    <w:rsid w:val="00EA726C"/>
    <w:rsid w:val="00EA7DA1"/>
    <w:rsid w:val="00EA7F1C"/>
    <w:rsid w:val="00EB024D"/>
    <w:rsid w:val="00EB061F"/>
    <w:rsid w:val="00EB0808"/>
    <w:rsid w:val="00EB15B6"/>
    <w:rsid w:val="00EB1961"/>
    <w:rsid w:val="00EB1C54"/>
    <w:rsid w:val="00EB2239"/>
    <w:rsid w:val="00EB22C7"/>
    <w:rsid w:val="00EB3253"/>
    <w:rsid w:val="00EB3334"/>
    <w:rsid w:val="00EB36FA"/>
    <w:rsid w:val="00EB3A00"/>
    <w:rsid w:val="00EB3ACB"/>
    <w:rsid w:val="00EB3D06"/>
    <w:rsid w:val="00EB3FD9"/>
    <w:rsid w:val="00EB4916"/>
    <w:rsid w:val="00EB5137"/>
    <w:rsid w:val="00EB67AC"/>
    <w:rsid w:val="00EB6B3C"/>
    <w:rsid w:val="00EB7C89"/>
    <w:rsid w:val="00EC00C9"/>
    <w:rsid w:val="00EC062A"/>
    <w:rsid w:val="00EC0DD9"/>
    <w:rsid w:val="00EC1C09"/>
    <w:rsid w:val="00EC1E67"/>
    <w:rsid w:val="00EC2081"/>
    <w:rsid w:val="00EC2649"/>
    <w:rsid w:val="00EC31ED"/>
    <w:rsid w:val="00EC37B6"/>
    <w:rsid w:val="00EC519B"/>
    <w:rsid w:val="00EC5836"/>
    <w:rsid w:val="00EC5865"/>
    <w:rsid w:val="00EC5D4E"/>
    <w:rsid w:val="00EC688C"/>
    <w:rsid w:val="00EC6AF6"/>
    <w:rsid w:val="00EC6FE9"/>
    <w:rsid w:val="00EC7FEF"/>
    <w:rsid w:val="00ED0927"/>
    <w:rsid w:val="00ED0FBC"/>
    <w:rsid w:val="00ED12E3"/>
    <w:rsid w:val="00ED1334"/>
    <w:rsid w:val="00ED1BDB"/>
    <w:rsid w:val="00ED2F46"/>
    <w:rsid w:val="00ED3B93"/>
    <w:rsid w:val="00ED3DA3"/>
    <w:rsid w:val="00ED400C"/>
    <w:rsid w:val="00ED4597"/>
    <w:rsid w:val="00ED4877"/>
    <w:rsid w:val="00ED4B04"/>
    <w:rsid w:val="00ED4D82"/>
    <w:rsid w:val="00ED57EA"/>
    <w:rsid w:val="00ED5BD4"/>
    <w:rsid w:val="00ED5C3B"/>
    <w:rsid w:val="00ED667E"/>
    <w:rsid w:val="00EE07D3"/>
    <w:rsid w:val="00EE0C4B"/>
    <w:rsid w:val="00EE11B8"/>
    <w:rsid w:val="00EE1996"/>
    <w:rsid w:val="00EE1C01"/>
    <w:rsid w:val="00EE22AF"/>
    <w:rsid w:val="00EE26AC"/>
    <w:rsid w:val="00EE3DE6"/>
    <w:rsid w:val="00EE549C"/>
    <w:rsid w:val="00EE63C8"/>
    <w:rsid w:val="00EE7B49"/>
    <w:rsid w:val="00EE7B56"/>
    <w:rsid w:val="00EF0171"/>
    <w:rsid w:val="00EF164A"/>
    <w:rsid w:val="00EF1B25"/>
    <w:rsid w:val="00EF1DA0"/>
    <w:rsid w:val="00EF309F"/>
    <w:rsid w:val="00EF3BE4"/>
    <w:rsid w:val="00EF4747"/>
    <w:rsid w:val="00EF498D"/>
    <w:rsid w:val="00EF4BF8"/>
    <w:rsid w:val="00EF5200"/>
    <w:rsid w:val="00EF5626"/>
    <w:rsid w:val="00EF58E0"/>
    <w:rsid w:val="00EF590D"/>
    <w:rsid w:val="00EF70D7"/>
    <w:rsid w:val="00EF717C"/>
    <w:rsid w:val="00EF7AA8"/>
    <w:rsid w:val="00F00549"/>
    <w:rsid w:val="00F01D2E"/>
    <w:rsid w:val="00F02253"/>
    <w:rsid w:val="00F0341C"/>
    <w:rsid w:val="00F03A84"/>
    <w:rsid w:val="00F03B06"/>
    <w:rsid w:val="00F03C2E"/>
    <w:rsid w:val="00F03D57"/>
    <w:rsid w:val="00F03F18"/>
    <w:rsid w:val="00F04A66"/>
    <w:rsid w:val="00F04B4B"/>
    <w:rsid w:val="00F0516C"/>
    <w:rsid w:val="00F05940"/>
    <w:rsid w:val="00F05CAA"/>
    <w:rsid w:val="00F063C7"/>
    <w:rsid w:val="00F067A2"/>
    <w:rsid w:val="00F074BD"/>
    <w:rsid w:val="00F07849"/>
    <w:rsid w:val="00F07B9E"/>
    <w:rsid w:val="00F07C0C"/>
    <w:rsid w:val="00F105B3"/>
    <w:rsid w:val="00F1116F"/>
    <w:rsid w:val="00F1171A"/>
    <w:rsid w:val="00F11750"/>
    <w:rsid w:val="00F117AA"/>
    <w:rsid w:val="00F11916"/>
    <w:rsid w:val="00F11D62"/>
    <w:rsid w:val="00F12233"/>
    <w:rsid w:val="00F12493"/>
    <w:rsid w:val="00F1263A"/>
    <w:rsid w:val="00F12E95"/>
    <w:rsid w:val="00F139C5"/>
    <w:rsid w:val="00F151A4"/>
    <w:rsid w:val="00F15B77"/>
    <w:rsid w:val="00F17E36"/>
    <w:rsid w:val="00F211C7"/>
    <w:rsid w:val="00F21236"/>
    <w:rsid w:val="00F22B88"/>
    <w:rsid w:val="00F22C78"/>
    <w:rsid w:val="00F23881"/>
    <w:rsid w:val="00F239DF"/>
    <w:rsid w:val="00F23A7A"/>
    <w:rsid w:val="00F245BF"/>
    <w:rsid w:val="00F24837"/>
    <w:rsid w:val="00F2575F"/>
    <w:rsid w:val="00F258D5"/>
    <w:rsid w:val="00F25A93"/>
    <w:rsid w:val="00F262A3"/>
    <w:rsid w:val="00F2657C"/>
    <w:rsid w:val="00F26F8F"/>
    <w:rsid w:val="00F27565"/>
    <w:rsid w:val="00F27623"/>
    <w:rsid w:val="00F27769"/>
    <w:rsid w:val="00F30251"/>
    <w:rsid w:val="00F30710"/>
    <w:rsid w:val="00F30D8C"/>
    <w:rsid w:val="00F310D4"/>
    <w:rsid w:val="00F31C3F"/>
    <w:rsid w:val="00F31D5A"/>
    <w:rsid w:val="00F323C2"/>
    <w:rsid w:val="00F32D50"/>
    <w:rsid w:val="00F33058"/>
    <w:rsid w:val="00F33975"/>
    <w:rsid w:val="00F33DE9"/>
    <w:rsid w:val="00F33EC4"/>
    <w:rsid w:val="00F34090"/>
    <w:rsid w:val="00F344FA"/>
    <w:rsid w:val="00F3469A"/>
    <w:rsid w:val="00F346DD"/>
    <w:rsid w:val="00F34F75"/>
    <w:rsid w:val="00F35292"/>
    <w:rsid w:val="00F35E6D"/>
    <w:rsid w:val="00F35F97"/>
    <w:rsid w:val="00F360ED"/>
    <w:rsid w:val="00F3619A"/>
    <w:rsid w:val="00F36851"/>
    <w:rsid w:val="00F369B7"/>
    <w:rsid w:val="00F36EEF"/>
    <w:rsid w:val="00F37B51"/>
    <w:rsid w:val="00F40112"/>
    <w:rsid w:val="00F40117"/>
    <w:rsid w:val="00F40AAA"/>
    <w:rsid w:val="00F40BA7"/>
    <w:rsid w:val="00F40CD1"/>
    <w:rsid w:val="00F40F9D"/>
    <w:rsid w:val="00F413A0"/>
    <w:rsid w:val="00F4148F"/>
    <w:rsid w:val="00F4193C"/>
    <w:rsid w:val="00F41990"/>
    <w:rsid w:val="00F41ACD"/>
    <w:rsid w:val="00F41AEF"/>
    <w:rsid w:val="00F41E38"/>
    <w:rsid w:val="00F423DE"/>
    <w:rsid w:val="00F42ADA"/>
    <w:rsid w:val="00F42DD3"/>
    <w:rsid w:val="00F4324F"/>
    <w:rsid w:val="00F446D1"/>
    <w:rsid w:val="00F44B7B"/>
    <w:rsid w:val="00F44C57"/>
    <w:rsid w:val="00F450A4"/>
    <w:rsid w:val="00F45478"/>
    <w:rsid w:val="00F463B0"/>
    <w:rsid w:val="00F46CB6"/>
    <w:rsid w:val="00F4756D"/>
    <w:rsid w:val="00F47DE8"/>
    <w:rsid w:val="00F5042B"/>
    <w:rsid w:val="00F51968"/>
    <w:rsid w:val="00F542C1"/>
    <w:rsid w:val="00F54D83"/>
    <w:rsid w:val="00F550E3"/>
    <w:rsid w:val="00F55E73"/>
    <w:rsid w:val="00F55EDA"/>
    <w:rsid w:val="00F5645B"/>
    <w:rsid w:val="00F566D8"/>
    <w:rsid w:val="00F5692C"/>
    <w:rsid w:val="00F56C80"/>
    <w:rsid w:val="00F573DB"/>
    <w:rsid w:val="00F60092"/>
    <w:rsid w:val="00F60688"/>
    <w:rsid w:val="00F6083A"/>
    <w:rsid w:val="00F6116C"/>
    <w:rsid w:val="00F61C18"/>
    <w:rsid w:val="00F621C1"/>
    <w:rsid w:val="00F62664"/>
    <w:rsid w:val="00F62777"/>
    <w:rsid w:val="00F628EA"/>
    <w:rsid w:val="00F632C2"/>
    <w:rsid w:val="00F63CA1"/>
    <w:rsid w:val="00F6551B"/>
    <w:rsid w:val="00F65F4B"/>
    <w:rsid w:val="00F65FF8"/>
    <w:rsid w:val="00F668F5"/>
    <w:rsid w:val="00F66A4C"/>
    <w:rsid w:val="00F66BBE"/>
    <w:rsid w:val="00F67A69"/>
    <w:rsid w:val="00F70929"/>
    <w:rsid w:val="00F709E7"/>
    <w:rsid w:val="00F70AF4"/>
    <w:rsid w:val="00F70BFF"/>
    <w:rsid w:val="00F70C9D"/>
    <w:rsid w:val="00F7133C"/>
    <w:rsid w:val="00F715C5"/>
    <w:rsid w:val="00F715CC"/>
    <w:rsid w:val="00F73C9C"/>
    <w:rsid w:val="00F73E08"/>
    <w:rsid w:val="00F74CB3"/>
    <w:rsid w:val="00F74CD9"/>
    <w:rsid w:val="00F75295"/>
    <w:rsid w:val="00F753CA"/>
    <w:rsid w:val="00F756C2"/>
    <w:rsid w:val="00F75B1A"/>
    <w:rsid w:val="00F75E61"/>
    <w:rsid w:val="00F76262"/>
    <w:rsid w:val="00F77371"/>
    <w:rsid w:val="00F77B7B"/>
    <w:rsid w:val="00F77BAC"/>
    <w:rsid w:val="00F80A7B"/>
    <w:rsid w:val="00F80B31"/>
    <w:rsid w:val="00F80C6C"/>
    <w:rsid w:val="00F80E5D"/>
    <w:rsid w:val="00F81E78"/>
    <w:rsid w:val="00F8215A"/>
    <w:rsid w:val="00F8272B"/>
    <w:rsid w:val="00F82AA4"/>
    <w:rsid w:val="00F82AD4"/>
    <w:rsid w:val="00F82D32"/>
    <w:rsid w:val="00F830D7"/>
    <w:rsid w:val="00F83916"/>
    <w:rsid w:val="00F847E0"/>
    <w:rsid w:val="00F84908"/>
    <w:rsid w:val="00F84FA8"/>
    <w:rsid w:val="00F8505E"/>
    <w:rsid w:val="00F8512B"/>
    <w:rsid w:val="00F851CE"/>
    <w:rsid w:val="00F85574"/>
    <w:rsid w:val="00F85788"/>
    <w:rsid w:val="00F862B3"/>
    <w:rsid w:val="00F868F2"/>
    <w:rsid w:val="00F86AB7"/>
    <w:rsid w:val="00F91219"/>
    <w:rsid w:val="00F9126F"/>
    <w:rsid w:val="00F914D9"/>
    <w:rsid w:val="00F92444"/>
    <w:rsid w:val="00F926FB"/>
    <w:rsid w:val="00F929C2"/>
    <w:rsid w:val="00F9388F"/>
    <w:rsid w:val="00F9393E"/>
    <w:rsid w:val="00F93DEC"/>
    <w:rsid w:val="00F9464B"/>
    <w:rsid w:val="00F9518F"/>
    <w:rsid w:val="00F9547D"/>
    <w:rsid w:val="00F958FF"/>
    <w:rsid w:val="00F95936"/>
    <w:rsid w:val="00F965F3"/>
    <w:rsid w:val="00F96FD0"/>
    <w:rsid w:val="00F97524"/>
    <w:rsid w:val="00F97A78"/>
    <w:rsid w:val="00F97AE0"/>
    <w:rsid w:val="00F97B1D"/>
    <w:rsid w:val="00F97CD4"/>
    <w:rsid w:val="00FA0B20"/>
    <w:rsid w:val="00FA0EA1"/>
    <w:rsid w:val="00FA0F92"/>
    <w:rsid w:val="00FA2163"/>
    <w:rsid w:val="00FA24E7"/>
    <w:rsid w:val="00FA2807"/>
    <w:rsid w:val="00FA2A8D"/>
    <w:rsid w:val="00FA2AB5"/>
    <w:rsid w:val="00FA2D4B"/>
    <w:rsid w:val="00FA3D8C"/>
    <w:rsid w:val="00FA53A2"/>
    <w:rsid w:val="00FA5EE6"/>
    <w:rsid w:val="00FA5F2D"/>
    <w:rsid w:val="00FA5F60"/>
    <w:rsid w:val="00FA69F4"/>
    <w:rsid w:val="00FA6DB9"/>
    <w:rsid w:val="00FA7634"/>
    <w:rsid w:val="00FA7956"/>
    <w:rsid w:val="00FA7A73"/>
    <w:rsid w:val="00FB0824"/>
    <w:rsid w:val="00FB14D4"/>
    <w:rsid w:val="00FB2F92"/>
    <w:rsid w:val="00FB2FCB"/>
    <w:rsid w:val="00FB33CA"/>
    <w:rsid w:val="00FB4098"/>
    <w:rsid w:val="00FB436F"/>
    <w:rsid w:val="00FB47F5"/>
    <w:rsid w:val="00FB4C9C"/>
    <w:rsid w:val="00FB56F7"/>
    <w:rsid w:val="00FB64A8"/>
    <w:rsid w:val="00FB6A0E"/>
    <w:rsid w:val="00FB7229"/>
    <w:rsid w:val="00FB7BF3"/>
    <w:rsid w:val="00FB7C55"/>
    <w:rsid w:val="00FC0181"/>
    <w:rsid w:val="00FC1074"/>
    <w:rsid w:val="00FC10F6"/>
    <w:rsid w:val="00FC1397"/>
    <w:rsid w:val="00FC1884"/>
    <w:rsid w:val="00FC2D6F"/>
    <w:rsid w:val="00FC2E88"/>
    <w:rsid w:val="00FC371D"/>
    <w:rsid w:val="00FC3FCF"/>
    <w:rsid w:val="00FC4063"/>
    <w:rsid w:val="00FC469B"/>
    <w:rsid w:val="00FC4F42"/>
    <w:rsid w:val="00FC5624"/>
    <w:rsid w:val="00FC564E"/>
    <w:rsid w:val="00FC5966"/>
    <w:rsid w:val="00FC5B75"/>
    <w:rsid w:val="00FC5D99"/>
    <w:rsid w:val="00FC5F0B"/>
    <w:rsid w:val="00FC638F"/>
    <w:rsid w:val="00FC66A5"/>
    <w:rsid w:val="00FC688E"/>
    <w:rsid w:val="00FC712F"/>
    <w:rsid w:val="00FC7B41"/>
    <w:rsid w:val="00FD0BD2"/>
    <w:rsid w:val="00FD13A8"/>
    <w:rsid w:val="00FD2100"/>
    <w:rsid w:val="00FD242C"/>
    <w:rsid w:val="00FD2A94"/>
    <w:rsid w:val="00FD2DD0"/>
    <w:rsid w:val="00FD3713"/>
    <w:rsid w:val="00FD3B3E"/>
    <w:rsid w:val="00FD3FD1"/>
    <w:rsid w:val="00FD436C"/>
    <w:rsid w:val="00FD444B"/>
    <w:rsid w:val="00FD446D"/>
    <w:rsid w:val="00FD4649"/>
    <w:rsid w:val="00FD4744"/>
    <w:rsid w:val="00FD4907"/>
    <w:rsid w:val="00FD4D1B"/>
    <w:rsid w:val="00FD4ED6"/>
    <w:rsid w:val="00FD4F2C"/>
    <w:rsid w:val="00FD5227"/>
    <w:rsid w:val="00FD58C6"/>
    <w:rsid w:val="00FD5E07"/>
    <w:rsid w:val="00FD6394"/>
    <w:rsid w:val="00FD699C"/>
    <w:rsid w:val="00FD77B6"/>
    <w:rsid w:val="00FD7B4C"/>
    <w:rsid w:val="00FD7D05"/>
    <w:rsid w:val="00FE0E6C"/>
    <w:rsid w:val="00FE1CDC"/>
    <w:rsid w:val="00FE24A8"/>
    <w:rsid w:val="00FE2EC3"/>
    <w:rsid w:val="00FE3172"/>
    <w:rsid w:val="00FE32E6"/>
    <w:rsid w:val="00FE36BF"/>
    <w:rsid w:val="00FE39FC"/>
    <w:rsid w:val="00FE5174"/>
    <w:rsid w:val="00FE5EB7"/>
    <w:rsid w:val="00FE62D0"/>
    <w:rsid w:val="00FE62ED"/>
    <w:rsid w:val="00FE644F"/>
    <w:rsid w:val="00FE6FFB"/>
    <w:rsid w:val="00FE70C3"/>
    <w:rsid w:val="00FE71D6"/>
    <w:rsid w:val="00FE7954"/>
    <w:rsid w:val="00FE79CE"/>
    <w:rsid w:val="00FF0978"/>
    <w:rsid w:val="00FF0DAD"/>
    <w:rsid w:val="00FF1A8B"/>
    <w:rsid w:val="00FF223C"/>
    <w:rsid w:val="00FF2AD9"/>
    <w:rsid w:val="00FF359F"/>
    <w:rsid w:val="00FF35AC"/>
    <w:rsid w:val="00FF39DC"/>
    <w:rsid w:val="00FF3B64"/>
    <w:rsid w:val="00FF3DCF"/>
    <w:rsid w:val="00FF44CA"/>
    <w:rsid w:val="00FF4901"/>
    <w:rsid w:val="00FF492C"/>
    <w:rsid w:val="00FF4A21"/>
    <w:rsid w:val="00FF4EDC"/>
    <w:rsid w:val="00FF55BB"/>
    <w:rsid w:val="00FF5AA3"/>
    <w:rsid w:val="00FF5AD8"/>
    <w:rsid w:val="00FF5E11"/>
    <w:rsid w:val="00FF6E06"/>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407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qFormat="1"/>
    <w:lsdException w:name="heading 7" w:semiHidden="1" w:unhideWhenUsed="1"/>
    <w:lsdException w:name="heading 8" w:semiHidden="1" w:uiPriority="7" w:unhideWhenUsed="1" w:qFormat="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F55BB"/>
    <w:pPr>
      <w:jc w:val="both"/>
    </w:pPr>
    <w:rPr>
      <w:rFonts w:ascii="Calibri" w:hAnsi="Calibri" w:cs="Arial"/>
      <w:sz w:val="24"/>
      <w:szCs w:val="24"/>
    </w:rPr>
  </w:style>
  <w:style w:type="paragraph" w:styleId="Heading1">
    <w:name w:val="heading 1"/>
    <w:basedOn w:val="Normal"/>
    <w:next w:val="Normal"/>
    <w:uiPriority w:val="1"/>
    <w:qFormat/>
    <w:rsid w:val="001B204E"/>
    <w:pPr>
      <w:ind w:left="720" w:hanging="720"/>
      <w:outlineLvl w:val="0"/>
    </w:pPr>
    <w:rPr>
      <w:b/>
      <w:caps/>
      <w:sz w:val="32"/>
    </w:rPr>
  </w:style>
  <w:style w:type="paragraph" w:styleId="Heading2">
    <w:name w:val="heading 2"/>
    <w:next w:val="Normal"/>
    <w:link w:val="Heading2Char"/>
    <w:rsid w:val="00D410E4"/>
    <w:pPr>
      <w:outlineLvl w:val="1"/>
    </w:pPr>
    <w:rPr>
      <w:rFonts w:ascii="Calibri" w:hAnsi="Calibri" w:cs="Arial"/>
      <w:b/>
      <w:i/>
      <w:sz w:val="28"/>
      <w:szCs w:val="24"/>
    </w:rPr>
  </w:style>
  <w:style w:type="paragraph" w:styleId="Heading3">
    <w:name w:val="heading 3"/>
    <w:basedOn w:val="Normal"/>
    <w:next w:val="Normal"/>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uiPriority w:val="7"/>
    <w:qFormat/>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410E4"/>
    <w:rPr>
      <w:rFonts w:ascii="Calibri" w:hAnsi="Calibri" w:cs="Arial"/>
      <w:b/>
      <w:i/>
      <w:sz w:val="28"/>
      <w:szCs w:val="24"/>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customStyle="1" w:styleId="COMexecsummbulletlist">
    <w:name w:val="COM exec summ bullet list"/>
    <w:basedOn w:val="ListParagraph"/>
    <w:link w:val="COMexecsummbulletlistChar"/>
    <w:qFormat/>
    <w:rsid w:val="00DB0020"/>
  </w:style>
  <w:style w:type="paragraph" w:customStyle="1" w:styleId="COMexecsummmainissuesbullets">
    <w:name w:val="COM exec summ main issues bullets"/>
    <w:basedOn w:val="ListParagraph"/>
    <w:link w:val="COMexecsummmainissuesbulletsChar"/>
    <w:qFormat/>
    <w:rsid w:val="00023AB6"/>
    <w:pPr>
      <w:numPr>
        <w:numId w:val="5"/>
      </w:numPr>
    </w:pPr>
    <w:rPr>
      <w:color w:val="0066FF"/>
    </w:rPr>
  </w:style>
  <w:style w:type="character" w:customStyle="1" w:styleId="COMexecsummbulletlistChar">
    <w:name w:val="COM exec summ bullet list Char"/>
    <w:basedOn w:val="ListParagraphChar"/>
    <w:link w:val="COMexecsummbulletlist"/>
    <w:rsid w:val="00DB0020"/>
    <w:rPr>
      <w:rFonts w:asciiTheme="minorHAnsi" w:hAnsiTheme="minorHAnsi" w:cs="Arial"/>
      <w:snapToGrid w:val="0"/>
      <w:sz w:val="24"/>
      <w:szCs w:val="24"/>
    </w:rPr>
  </w:style>
  <w:style w:type="paragraph" w:customStyle="1" w:styleId="COMH3">
    <w:name w:val="COM H3"/>
    <w:basedOn w:val="Normal"/>
    <w:next w:val="Normal"/>
    <w:link w:val="COMH3Char"/>
    <w:qFormat/>
    <w:rsid w:val="00C0230D"/>
    <w:pPr>
      <w:keepNext/>
    </w:pPr>
    <w:rPr>
      <w:b/>
      <w:iCs/>
      <w:sz w:val="28"/>
    </w:rPr>
  </w:style>
  <w:style w:type="paragraph" w:styleId="ListParagraph">
    <w:name w:val="List Paragraph"/>
    <w:aliases w:val="BulletPoints,Numbered para,Bullet point,List Paragraph1,List Paragraph11,Recommendation,Styl moj,Akapit z listą11,Table Legend,Footnote,ES Paragraph,PBAC ES Paragraph,PBAC normal points,Bullet List,Section heading,Bullet1,Bullet 1,Section"/>
    <w:next w:val="ListBullet"/>
    <w:link w:val="ListParagraphChar"/>
    <w:uiPriority w:val="34"/>
    <w:qFormat/>
    <w:rsid w:val="00BB00B3"/>
    <w:pPr>
      <w:numPr>
        <w:numId w:val="3"/>
      </w:numPr>
      <w:spacing w:after="120"/>
      <w:jc w:val="both"/>
    </w:pPr>
    <w:rPr>
      <w:rFonts w:asciiTheme="minorHAnsi" w:hAnsiTheme="minorHAnsi" w:cs="Arial"/>
      <w:snapToGrid w:val="0"/>
      <w:sz w:val="24"/>
      <w:szCs w:val="24"/>
    </w:rPr>
  </w:style>
  <w:style w:type="paragraph" w:styleId="ListBullet">
    <w:name w:val="List Bullet"/>
    <w:aliases w:val="zz List Bullet"/>
    <w:basedOn w:val="Normal"/>
    <w:link w:val="ListBulletChar"/>
    <w:unhideWhenUsed/>
    <w:rsid w:val="00EE1996"/>
    <w:pPr>
      <w:contextualSpacing/>
    </w:pPr>
  </w:style>
  <w:style w:type="character" w:customStyle="1" w:styleId="ListParagraphChar">
    <w:name w:val="List Paragraph Char"/>
    <w:aliases w:val="BulletPoints Char,Numbered para Char,Bullet point Char,List Paragraph1 Char,List Paragraph11 Char,Recommendation Char,Styl moj Char,Akapit z listą11 Char,Table Legend Char,Footnote Char,ES Paragraph Char,PBAC ES Paragraph Char"/>
    <w:basedOn w:val="DefaultParagraphFont"/>
    <w:link w:val="ListParagraph"/>
    <w:uiPriority w:val="34"/>
    <w:qFormat/>
    <w:locked/>
    <w:rsid w:val="00BB00B3"/>
    <w:rPr>
      <w:rFonts w:asciiTheme="minorHAnsi" w:hAnsiTheme="minorHAnsi" w:cs="Arial"/>
      <w:snapToGrid w:val="0"/>
      <w:sz w:val="24"/>
      <w:szCs w:val="24"/>
    </w:rPr>
  </w:style>
  <w:style w:type="table" w:styleId="TableGrid">
    <w:name w:val="Table Grid"/>
    <w:aliases w:val="Summary box,Table Gridbeth,CMA Table Template,ASD Table,PBAC table,new style,MSD Table Grid,HTAtableplain,Lash Style Table,Tabellengitternetz 9pt"/>
    <w:basedOn w:val="TableNormal"/>
    <w:uiPriority w:val="3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MH2-numbered">
    <w:name w:val="COM H2 - numbered"/>
    <w:basedOn w:val="Heading2"/>
    <w:link w:val="COMH2-numberedChar"/>
    <w:qFormat/>
    <w:rsid w:val="00C0230D"/>
    <w:pPr>
      <w:keepNext/>
    </w:pPr>
  </w:style>
  <w:style w:type="paragraph" w:styleId="TOC2">
    <w:name w:val="toc 2"/>
    <w:basedOn w:val="Normal"/>
    <w:next w:val="Normal"/>
    <w:autoRedefine/>
    <w:uiPriority w:val="39"/>
    <w:rsid w:val="0009262B"/>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5618D4"/>
    <w:pPr>
      <w:tabs>
        <w:tab w:val="left" w:pos="440"/>
        <w:tab w:val="right" w:leader="dot" w:pos="9016"/>
      </w:tabs>
      <w:spacing w:after="120"/>
      <w:jc w:val="left"/>
    </w:pPr>
    <w:rPr>
      <w:bCs/>
      <w:sz w:val="20"/>
    </w:rPr>
  </w:style>
  <w:style w:type="character" w:customStyle="1" w:styleId="COMexecsummmainissuesbulletsChar">
    <w:name w:val="COM exec summ main issues bullets Char"/>
    <w:basedOn w:val="ListParagraphChar"/>
    <w:link w:val="COMexecsummmainissuesbullets"/>
    <w:rsid w:val="00023AB6"/>
    <w:rPr>
      <w:rFonts w:asciiTheme="minorHAnsi" w:hAnsiTheme="minorHAnsi" w:cs="Arial"/>
      <w:snapToGrid w:val="0"/>
      <w:color w:val="0066FF"/>
      <w:sz w:val="24"/>
      <w:szCs w:val="24"/>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character" w:customStyle="1" w:styleId="COMH2-numberedChar">
    <w:name w:val="COM H2 - numbered Char"/>
    <w:basedOn w:val="Heading2Char"/>
    <w:link w:val="COMH2-numbered"/>
    <w:rsid w:val="00C0230D"/>
    <w:rPr>
      <w:rFonts w:ascii="Calibri" w:hAnsi="Calibri" w:cs="Arial"/>
      <w:b/>
      <w:i/>
      <w:sz w:val="28"/>
      <w:szCs w:val="24"/>
    </w:rPr>
  </w:style>
  <w:style w:type="paragraph" w:customStyle="1" w:styleId="COMH4">
    <w:name w:val="COM H4"/>
    <w:basedOn w:val="Normal"/>
    <w:link w:val="COMH4Char"/>
    <w:qFormat/>
    <w:rsid w:val="00BD7B35"/>
    <w:rPr>
      <w:b/>
      <w:i/>
    </w:rPr>
  </w:style>
  <w:style w:type="character" w:customStyle="1" w:styleId="COMH3Char">
    <w:name w:val="COM H3 Char"/>
    <w:basedOn w:val="DefaultParagraphFont"/>
    <w:link w:val="COMH3"/>
    <w:rsid w:val="00C0230D"/>
    <w:rPr>
      <w:rFonts w:ascii="Calibri" w:hAnsi="Calibri" w:cs="Arial"/>
      <w:b/>
      <w:iCs/>
      <w:sz w:val="28"/>
      <w:szCs w:val="24"/>
    </w:rPr>
  </w:style>
  <w:style w:type="paragraph" w:customStyle="1" w:styleId="COMbodybulletlist">
    <w:name w:val="COM body bullet list"/>
    <w:basedOn w:val="ListBullet"/>
    <w:link w:val="COMbodybulletlistChar"/>
    <w:qFormat/>
    <w:rsid w:val="00894E87"/>
  </w:style>
  <w:style w:type="character" w:customStyle="1" w:styleId="COMH4Char">
    <w:name w:val="COM H4 Char"/>
    <w:basedOn w:val="DefaultParagraphFont"/>
    <w:link w:val="COMH4"/>
    <w:rsid w:val="00BD7B35"/>
    <w:rPr>
      <w:rFonts w:ascii="Calibri" w:hAnsi="Calibri" w:cs="Arial"/>
      <w:b/>
      <w:i/>
      <w:sz w:val="24"/>
      <w:szCs w:val="24"/>
    </w:rPr>
  </w:style>
  <w:style w:type="paragraph" w:customStyle="1" w:styleId="zzBulletpoints">
    <w:name w:val="zz Bullet points"/>
    <w:basedOn w:val="ListParagraph"/>
    <w:rsid w:val="00B70E8E"/>
    <w:pPr>
      <w:numPr>
        <w:numId w:val="2"/>
      </w:numPr>
      <w:contextualSpacing/>
    </w:pPr>
  </w:style>
  <w:style w:type="paragraph" w:customStyle="1" w:styleId="COMBody">
    <w:name w:val="COM Body"/>
    <w:basedOn w:val="Normal"/>
    <w:link w:val="COMBodyChar"/>
    <w:qFormat/>
    <w:rsid w:val="00894E87"/>
  </w:style>
  <w:style w:type="character" w:customStyle="1" w:styleId="ListBulletChar">
    <w:name w:val="List Bullet Char"/>
    <w:aliases w:val="zz List Bullet Char"/>
    <w:basedOn w:val="DefaultParagraphFont"/>
    <w:link w:val="ListBullet"/>
    <w:rsid w:val="00894E87"/>
    <w:rPr>
      <w:rFonts w:ascii="Calibri" w:hAnsi="Calibri" w:cs="Arial"/>
      <w:sz w:val="24"/>
      <w:szCs w:val="24"/>
    </w:rPr>
  </w:style>
  <w:style w:type="paragraph" w:styleId="Revision">
    <w:name w:val="Revision"/>
    <w:hidden/>
    <w:uiPriority w:val="99"/>
    <w:semiHidden/>
    <w:rsid w:val="00043C37"/>
    <w:rPr>
      <w:rFonts w:ascii="Arial" w:hAnsi="Arial" w:cs="Arial"/>
      <w:snapToGrid w:val="0"/>
      <w:sz w:val="22"/>
      <w:lang w:eastAsia="en-US"/>
    </w:rPr>
  </w:style>
  <w:style w:type="character" w:customStyle="1" w:styleId="COMbodybulletlistChar">
    <w:name w:val="COM body bullet list Char"/>
    <w:basedOn w:val="ListBulletChar"/>
    <w:link w:val="COMbodybulletlist"/>
    <w:rsid w:val="00894E87"/>
    <w:rPr>
      <w:rFonts w:ascii="Calibri" w:hAnsi="Calibri" w:cs="Arial"/>
      <w:sz w:val="24"/>
      <w:szCs w:val="24"/>
    </w:rPr>
  </w:style>
  <w:style w:type="table" w:customStyle="1" w:styleId="PlainTable21">
    <w:name w:val="Plain Table 21"/>
    <w:basedOn w:val="TableNormal"/>
    <w:uiPriority w:val="42"/>
    <w:rsid w:val="00FF5AD8"/>
    <w:rPr>
      <w:rFonts w:asciiTheme="minorHAnsi" w:eastAsiaTheme="minorHAnsi" w:hAnsiTheme="minorHAnsi" w:cstheme="minorBidi"/>
      <w:sz w:val="22"/>
      <w:szCs w:val="22"/>
      <w:lang w:eastAsia="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536F42"/>
    <w:rPr>
      <w:color w:val="800080" w:themeColor="followedHyperlink"/>
      <w:u w:val="single"/>
    </w:rPr>
  </w:style>
  <w:style w:type="character" w:styleId="PageNumber">
    <w:name w:val="page number"/>
    <w:basedOn w:val="DefaultParagraphFont"/>
    <w:semiHidden/>
    <w:unhideWhenUsed/>
    <w:rsid w:val="00953257"/>
  </w:style>
  <w:style w:type="character" w:customStyle="1" w:styleId="COMBodyChar">
    <w:name w:val="COM Body Char"/>
    <w:basedOn w:val="DefaultParagraphFont"/>
    <w:link w:val="COMBody"/>
    <w:rsid w:val="00894E87"/>
    <w:rPr>
      <w:rFonts w:ascii="Calibri" w:hAnsi="Calibri" w:cs="Arial"/>
      <w:sz w:val="24"/>
      <w:szCs w:val="24"/>
    </w:rPr>
  </w:style>
  <w:style w:type="paragraph" w:styleId="BalloonText">
    <w:name w:val="Balloon Text"/>
    <w:basedOn w:val="Normal"/>
    <w:link w:val="BalloonTextChar"/>
    <w:semiHidden/>
    <w:unhideWhenUsed/>
    <w:rsid w:val="00B34FE2"/>
    <w:rPr>
      <w:rFonts w:ascii="Tahoma" w:hAnsi="Tahoma" w:cs="Tahoma"/>
      <w:sz w:val="16"/>
      <w:szCs w:val="16"/>
    </w:rPr>
  </w:style>
  <w:style w:type="character" w:customStyle="1" w:styleId="BalloonTextChar">
    <w:name w:val="Balloon Text Char"/>
    <w:basedOn w:val="DefaultParagraphFont"/>
    <w:link w:val="BalloonText"/>
    <w:semiHidden/>
    <w:rsid w:val="00B34FE2"/>
    <w:rPr>
      <w:rFonts w:ascii="Tahoma" w:hAnsi="Tahoma" w:cs="Tahoma"/>
      <w:snapToGrid w:val="0"/>
      <w:sz w:val="16"/>
      <w:szCs w:val="16"/>
      <w:lang w:eastAsia="en-US"/>
    </w:rPr>
  </w:style>
  <w:style w:type="paragraph" w:customStyle="1" w:styleId="COMTabletext">
    <w:name w:val="COM Table text"/>
    <w:link w:val="COMTabletextChar"/>
    <w:qFormat/>
    <w:rsid w:val="00D44089"/>
    <w:pPr>
      <w:keepNext/>
    </w:pPr>
    <w:rPr>
      <w:rFonts w:ascii="Arial Narrow" w:eastAsiaTheme="majorEastAsia" w:hAnsi="Arial Narrow" w:cstheme="majorBidi"/>
      <w:bCs/>
      <w:szCs w:val="24"/>
    </w:rPr>
  </w:style>
  <w:style w:type="character" w:customStyle="1" w:styleId="COMTabletextChar">
    <w:name w:val="COM Table text Char"/>
    <w:basedOn w:val="DefaultParagraphFont"/>
    <w:link w:val="COMTabletext"/>
    <w:rsid w:val="00D44089"/>
    <w:rPr>
      <w:rFonts w:ascii="Arial Narrow" w:eastAsiaTheme="majorEastAsia" w:hAnsi="Arial Narrow" w:cstheme="majorBidi"/>
      <w:bCs/>
      <w:szCs w:val="24"/>
    </w:rPr>
  </w:style>
  <w:style w:type="paragraph" w:customStyle="1" w:styleId="COMTableheadingrow">
    <w:name w:val="COM Table heading row"/>
    <w:qFormat/>
    <w:rsid w:val="00EE1996"/>
    <w:pPr>
      <w:keepNext/>
    </w:pPr>
    <w:rPr>
      <w:rFonts w:ascii="Arial Narrow" w:eastAsiaTheme="majorEastAsia" w:hAnsi="Arial Narrow"/>
      <w:b/>
      <w:szCs w:val="24"/>
      <w:lang w:val="en-US"/>
    </w:rPr>
  </w:style>
  <w:style w:type="paragraph" w:customStyle="1" w:styleId="COMH1numbered">
    <w:name w:val="COM H1 numbered"/>
    <w:next w:val="Normal"/>
    <w:link w:val="COMH1numberedChar"/>
    <w:qFormat/>
    <w:rsid w:val="00163E81"/>
    <w:pPr>
      <w:keepNext/>
      <w:numPr>
        <w:numId w:val="4"/>
      </w:numPr>
      <w:spacing w:before="240" w:after="120"/>
      <w:outlineLvl w:val="0"/>
    </w:pPr>
    <w:rPr>
      <w:rFonts w:asciiTheme="minorHAnsi" w:hAnsiTheme="minorHAnsi" w:cs="Arial"/>
      <w:b/>
      <w:snapToGrid w:val="0"/>
      <w:sz w:val="32"/>
      <w:szCs w:val="32"/>
    </w:rPr>
  </w:style>
  <w:style w:type="paragraph" w:customStyle="1" w:styleId="COMH1-non-numbered">
    <w:name w:val="COM H1 - non-numbered"/>
    <w:next w:val="Normal"/>
    <w:link w:val="COMH1-non-numberedChar"/>
    <w:qFormat/>
    <w:rsid w:val="00603248"/>
    <w:pPr>
      <w:keepNext/>
      <w:spacing w:before="120" w:after="160"/>
      <w:ind w:left="720" w:hanging="720"/>
      <w:outlineLvl w:val="0"/>
    </w:pPr>
    <w:rPr>
      <w:rFonts w:asciiTheme="minorHAnsi" w:eastAsiaTheme="majorEastAsia" w:hAnsiTheme="minorHAnsi" w:cstheme="majorBidi"/>
      <w:b/>
      <w:spacing w:val="5"/>
      <w:kern w:val="28"/>
      <w:sz w:val="32"/>
      <w:szCs w:val="36"/>
    </w:rPr>
  </w:style>
  <w:style w:type="character" w:customStyle="1" w:styleId="COMH1-non-numberedChar">
    <w:name w:val="COM H1 - non-numbered Char"/>
    <w:basedOn w:val="DefaultParagraphFont"/>
    <w:link w:val="COMH1-non-numbered"/>
    <w:rsid w:val="00603248"/>
    <w:rPr>
      <w:rFonts w:asciiTheme="minorHAnsi" w:eastAsiaTheme="majorEastAsia" w:hAnsiTheme="minorHAnsi" w:cstheme="majorBidi"/>
      <w:b/>
      <w:spacing w:val="5"/>
      <w:kern w:val="28"/>
      <w:sz w:val="32"/>
      <w:szCs w:val="36"/>
    </w:rPr>
  </w:style>
  <w:style w:type="paragraph" w:customStyle="1" w:styleId="COMtablefigcaption">
    <w:name w:val="COM table/fig caption"/>
    <w:next w:val="COMTableheadingrow"/>
    <w:link w:val="COMtablefigcaptionChar"/>
    <w:qFormat/>
    <w:rsid w:val="005478BD"/>
    <w:pPr>
      <w:keepNext/>
    </w:pPr>
    <w:rPr>
      <w:rFonts w:ascii="Arial Narrow" w:eastAsiaTheme="majorEastAsia" w:hAnsi="Arial Narrow" w:cstheme="majorBidi"/>
      <w:b/>
      <w:bCs/>
      <w:szCs w:val="24"/>
    </w:rPr>
  </w:style>
  <w:style w:type="character" w:customStyle="1" w:styleId="COMtablefigcaptionChar">
    <w:name w:val="COM table/fig caption Char"/>
    <w:basedOn w:val="DefaultParagraphFont"/>
    <w:link w:val="COMtablefigcaption"/>
    <w:rsid w:val="005478BD"/>
    <w:rPr>
      <w:rFonts w:ascii="Arial Narrow" w:eastAsiaTheme="majorEastAsia" w:hAnsi="Arial Narrow" w:cstheme="majorBidi"/>
      <w:b/>
      <w:bCs/>
      <w:szCs w:val="24"/>
    </w:rPr>
  </w:style>
  <w:style w:type="paragraph" w:customStyle="1" w:styleId="COMexecsumnumberedpara">
    <w:name w:val="COM exec sum numbered para"/>
    <w:basedOn w:val="ListParagraph"/>
    <w:link w:val="COMexecsumnumberedparaChar"/>
    <w:qFormat/>
    <w:rsid w:val="00B5370E"/>
    <w:pPr>
      <w:numPr>
        <w:ilvl w:val="1"/>
        <w:numId w:val="1"/>
      </w:numPr>
      <w:ind w:left="720" w:hanging="720"/>
    </w:pPr>
  </w:style>
  <w:style w:type="character" w:customStyle="1" w:styleId="COMexecsumnumberedparaChar">
    <w:name w:val="COM exec sum numbered para Char"/>
    <w:basedOn w:val="ListParagraphChar"/>
    <w:link w:val="COMexecsumnumberedpara"/>
    <w:rsid w:val="00B5370E"/>
    <w:rPr>
      <w:rFonts w:asciiTheme="minorHAnsi" w:hAnsiTheme="minorHAnsi" w:cs="Arial"/>
      <w:snapToGrid w:val="0"/>
      <w:sz w:val="24"/>
      <w:szCs w:val="24"/>
    </w:rPr>
  </w:style>
  <w:style w:type="paragraph" w:customStyle="1" w:styleId="COMTablefooter">
    <w:name w:val="COM Table footer"/>
    <w:basedOn w:val="Normal"/>
    <w:link w:val="COMTablefooterChar"/>
    <w:qFormat/>
    <w:rsid w:val="00B03F93"/>
    <w:pPr>
      <w:spacing w:after="120"/>
      <w:contextualSpacing/>
    </w:pPr>
    <w:rPr>
      <w:rFonts w:ascii="Arial Narrow" w:hAnsi="Arial Narrow"/>
      <w:snapToGrid w:val="0"/>
      <w:sz w:val="18"/>
      <w:szCs w:val="22"/>
    </w:rPr>
  </w:style>
  <w:style w:type="character" w:customStyle="1" w:styleId="COMTablefooterChar">
    <w:name w:val="COM Table footer Char"/>
    <w:link w:val="COMTablefooter"/>
    <w:rsid w:val="00B03F93"/>
    <w:rPr>
      <w:rFonts w:ascii="Arial Narrow" w:hAnsi="Arial Narrow" w:cs="Arial"/>
      <w:snapToGrid w:val="0"/>
      <w:sz w:val="18"/>
      <w:szCs w:val="22"/>
    </w:rPr>
  </w:style>
  <w:style w:type="paragraph" w:customStyle="1" w:styleId="COMH2-non-numbered">
    <w:name w:val="COM H2 - non-numbered"/>
    <w:basedOn w:val="Heading2"/>
    <w:next w:val="Normal"/>
    <w:link w:val="COMH2-non-numberedChar"/>
    <w:qFormat/>
    <w:rsid w:val="00EE1996"/>
    <w:pPr>
      <w:keepNext/>
      <w:spacing w:before="120" w:after="120"/>
    </w:pPr>
    <w:rPr>
      <w:rFonts w:asciiTheme="minorHAnsi" w:eastAsiaTheme="majorEastAsia" w:hAnsiTheme="minorHAnsi" w:cstheme="majorBidi"/>
      <w:spacing w:val="5"/>
      <w:kern w:val="28"/>
      <w:szCs w:val="36"/>
    </w:rPr>
  </w:style>
  <w:style w:type="character" w:customStyle="1" w:styleId="COMH2-non-numberedChar">
    <w:name w:val="COM H2 - non-numbered Char"/>
    <w:basedOn w:val="Heading2Char"/>
    <w:link w:val="COMH2-non-numbered"/>
    <w:rsid w:val="00EE1996"/>
    <w:rPr>
      <w:rFonts w:asciiTheme="minorHAnsi" w:eastAsiaTheme="majorEastAsia" w:hAnsiTheme="minorHAnsi" w:cstheme="majorBidi"/>
      <w:b/>
      <w:i/>
      <w:snapToGrid w:val="0"/>
      <w:spacing w:val="5"/>
      <w:kern w:val="28"/>
      <w:sz w:val="28"/>
      <w:szCs w:val="36"/>
      <w:lang w:eastAsia="en-US"/>
    </w:rPr>
  </w:style>
  <w:style w:type="character" w:customStyle="1" w:styleId="COMH1numberedChar">
    <w:name w:val="COM H1 numbered Char"/>
    <w:basedOn w:val="DefaultParagraphFont"/>
    <w:link w:val="COMH1numbered"/>
    <w:rsid w:val="00163E81"/>
    <w:rPr>
      <w:rFonts w:asciiTheme="minorHAnsi" w:hAnsiTheme="minorHAnsi" w:cs="Arial"/>
      <w:b/>
      <w:snapToGrid w:val="0"/>
      <w:sz w:val="32"/>
      <w:szCs w:val="32"/>
    </w:rPr>
  </w:style>
  <w:style w:type="character" w:styleId="Hyperlink">
    <w:name w:val="Hyperlink"/>
    <w:basedOn w:val="DefaultParagraphFont"/>
    <w:uiPriority w:val="99"/>
    <w:unhideWhenUsed/>
    <w:rsid w:val="003930DA"/>
    <w:rPr>
      <w:color w:val="0000FF" w:themeColor="hyperlink"/>
      <w:u w:val="single"/>
    </w:rPr>
  </w:style>
  <w:style w:type="character" w:styleId="CommentReference">
    <w:name w:val="annotation reference"/>
    <w:aliases w:val="Table Title,-H18,Annotationmark"/>
    <w:basedOn w:val="DefaultParagraphFont"/>
    <w:uiPriority w:val="99"/>
    <w:unhideWhenUsed/>
    <w:qFormat/>
    <w:rsid w:val="002009AA"/>
    <w:rPr>
      <w:sz w:val="16"/>
      <w:szCs w:val="16"/>
    </w:rPr>
  </w:style>
  <w:style w:type="paragraph" w:styleId="CommentText">
    <w:name w:val="annotation text"/>
    <w:aliases w:val="- H19,Comment Text Char2,Comment Text Char Char1,Comment Text Char2 Char Char,Comment Text Char Char1 Char Char,Comment Text Char2 Char Char Char Char,Comment Text Char1 Char Char Char Char1 Char"/>
    <w:basedOn w:val="Normal"/>
    <w:link w:val="CommentTextChar"/>
    <w:uiPriority w:val="99"/>
    <w:unhideWhenUsed/>
    <w:qFormat/>
    <w:rsid w:val="002009AA"/>
    <w:rPr>
      <w:sz w:val="20"/>
      <w:szCs w:val="20"/>
    </w:rPr>
  </w:style>
  <w:style w:type="character" w:customStyle="1" w:styleId="CommentTextChar">
    <w:name w:val="Comment Text Char"/>
    <w:aliases w:val="- H19 Char,Comment Text Char2 Char,Comment Text Char Char1 Char,Comment Text Char2 Char Char Char,Comment Text Char Char1 Char Char Char,Comment Text Char2 Char Char Char Char Char,Comment Text Char1 Char Char Char Char1 Char Char"/>
    <w:basedOn w:val="DefaultParagraphFont"/>
    <w:link w:val="CommentText"/>
    <w:uiPriority w:val="99"/>
    <w:rsid w:val="002009AA"/>
    <w:rPr>
      <w:rFonts w:ascii="Calibri" w:hAnsi="Calibri" w:cs="Arial"/>
    </w:rPr>
  </w:style>
  <w:style w:type="paragraph" w:styleId="CommentSubject">
    <w:name w:val="annotation subject"/>
    <w:basedOn w:val="CommentText"/>
    <w:next w:val="CommentText"/>
    <w:link w:val="CommentSubjectChar"/>
    <w:unhideWhenUsed/>
    <w:rsid w:val="002009AA"/>
    <w:rPr>
      <w:b/>
      <w:bCs/>
    </w:rPr>
  </w:style>
  <w:style w:type="character" w:customStyle="1" w:styleId="CommentSubjectChar">
    <w:name w:val="Comment Subject Char"/>
    <w:basedOn w:val="CommentTextChar"/>
    <w:link w:val="CommentSubject"/>
    <w:rsid w:val="002009AA"/>
    <w:rPr>
      <w:rFonts w:ascii="Calibri" w:hAnsi="Calibri" w:cs="Arial"/>
      <w:b/>
      <w:bCs/>
    </w:rPr>
  </w:style>
  <w:style w:type="paragraph" w:customStyle="1" w:styleId="TableText">
    <w:name w:val="Table Text"/>
    <w:link w:val="TableTextChar"/>
    <w:qFormat/>
    <w:rsid w:val="006721AB"/>
    <w:pPr>
      <w:keepNext/>
    </w:pPr>
    <w:rPr>
      <w:rFonts w:ascii="Arial Narrow" w:eastAsiaTheme="majorEastAsia" w:hAnsi="Arial Narrow" w:cstheme="majorBidi"/>
      <w:bCs/>
      <w:szCs w:val="24"/>
    </w:rPr>
  </w:style>
  <w:style w:type="character" w:customStyle="1" w:styleId="TableTextChar">
    <w:name w:val="Table Text Char"/>
    <w:basedOn w:val="DefaultParagraphFont"/>
    <w:link w:val="TableText"/>
    <w:rsid w:val="006721AB"/>
    <w:rPr>
      <w:rFonts w:ascii="Arial Narrow" w:eastAsiaTheme="majorEastAsia" w:hAnsi="Arial Narrow" w:cstheme="majorBidi"/>
      <w:bCs/>
      <w:szCs w:val="24"/>
    </w:rPr>
  </w:style>
  <w:style w:type="paragraph" w:customStyle="1" w:styleId="2-SectionHeading">
    <w:name w:val="2-Section Heading"/>
    <w:qFormat/>
    <w:rsid w:val="006721AB"/>
    <w:pPr>
      <w:keepNext/>
      <w:spacing w:before="240" w:after="120"/>
      <w:ind w:left="720" w:hanging="720"/>
      <w:outlineLvl w:val="0"/>
    </w:pPr>
    <w:rPr>
      <w:rFonts w:asciiTheme="minorHAnsi" w:hAnsiTheme="minorHAnsi" w:cs="Arial"/>
      <w:b/>
      <w:snapToGrid w:val="0"/>
      <w:sz w:val="32"/>
      <w:szCs w:val="32"/>
    </w:rPr>
  </w:style>
  <w:style w:type="paragraph" w:customStyle="1" w:styleId="ExecSumBodyText">
    <w:name w:val="Exec Sum Body Text"/>
    <w:basedOn w:val="Normal"/>
    <w:link w:val="ExecSumBodyTextChar"/>
    <w:uiPriority w:val="99"/>
    <w:qFormat/>
    <w:rsid w:val="006721AB"/>
    <w:pPr>
      <w:spacing w:after="120"/>
      <w:ind w:left="720" w:hanging="720"/>
    </w:pPr>
    <w:rPr>
      <w:rFonts w:asciiTheme="minorHAnsi" w:hAnsiTheme="minorHAnsi"/>
      <w:snapToGrid w:val="0"/>
    </w:rPr>
  </w:style>
  <w:style w:type="paragraph" w:customStyle="1" w:styleId="TableFigureFooter">
    <w:name w:val="Table/Figure Footer"/>
    <w:basedOn w:val="Normal"/>
    <w:link w:val="TableFigureFooterChar"/>
    <w:qFormat/>
    <w:rsid w:val="006721AB"/>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6721AB"/>
    <w:rPr>
      <w:rFonts w:ascii="Arial Narrow" w:hAnsi="Arial Narrow" w:cs="Arial"/>
      <w:snapToGrid w:val="0"/>
      <w:sz w:val="18"/>
      <w:szCs w:val="22"/>
    </w:rPr>
  </w:style>
  <w:style w:type="paragraph" w:customStyle="1" w:styleId="Tableheadingrow">
    <w:name w:val="Table heading row"/>
    <w:uiPriority w:val="99"/>
    <w:qFormat/>
    <w:rsid w:val="000C6C4A"/>
    <w:pPr>
      <w:keepNext/>
    </w:pPr>
    <w:rPr>
      <w:rFonts w:ascii="Arial Narrow" w:eastAsiaTheme="majorEastAsia" w:hAnsi="Arial Narrow"/>
      <w:b/>
      <w:szCs w:val="24"/>
      <w:lang w:val="en-US"/>
    </w:rPr>
  </w:style>
  <w:style w:type="paragraph" w:customStyle="1" w:styleId="TableBullet">
    <w:name w:val="Table Bullet"/>
    <w:basedOn w:val="Normal"/>
    <w:link w:val="TableBulletChar"/>
    <w:qFormat/>
    <w:rsid w:val="00502870"/>
    <w:pPr>
      <w:numPr>
        <w:numId w:val="7"/>
      </w:numPr>
      <w:spacing w:before="20" w:after="20" w:line="276" w:lineRule="auto"/>
      <w:jc w:val="left"/>
    </w:pPr>
    <w:rPr>
      <w:rFonts w:ascii="Arial Narrow" w:eastAsiaTheme="majorEastAsia" w:hAnsi="Arial Narrow"/>
      <w:sz w:val="20"/>
      <w:szCs w:val="20"/>
      <w:lang w:bidi="en-US"/>
    </w:rPr>
  </w:style>
  <w:style w:type="character" w:customStyle="1" w:styleId="TableBulletChar">
    <w:name w:val="Table Bullet Char"/>
    <w:basedOn w:val="DefaultParagraphFont"/>
    <w:link w:val="TableBullet"/>
    <w:rsid w:val="00502870"/>
    <w:rPr>
      <w:rFonts w:ascii="Arial Narrow" w:eastAsiaTheme="majorEastAsia" w:hAnsi="Arial Narrow" w:cs="Arial"/>
      <w:lang w:bidi="en-US"/>
    </w:rPr>
  </w:style>
  <w:style w:type="paragraph" w:customStyle="1" w:styleId="TableHeading">
    <w:name w:val="Table Heading"/>
    <w:basedOn w:val="TableText"/>
    <w:link w:val="TableHeadingChar"/>
    <w:qFormat/>
    <w:rsid w:val="009533EC"/>
    <w:pPr>
      <w:keepLines/>
      <w:spacing w:before="20" w:after="20" w:line="276" w:lineRule="auto"/>
    </w:pPr>
    <w:rPr>
      <w:rFonts w:cs="Arial"/>
      <w:b/>
      <w:bCs w:val="0"/>
      <w:szCs w:val="20"/>
      <w:lang w:bidi="en-US"/>
    </w:rPr>
  </w:style>
  <w:style w:type="character" w:customStyle="1" w:styleId="TableHeadingChar">
    <w:name w:val="Table Heading Char"/>
    <w:link w:val="TableHeading"/>
    <w:rsid w:val="009533EC"/>
    <w:rPr>
      <w:rFonts w:ascii="Arial Narrow" w:eastAsiaTheme="majorEastAsia" w:hAnsi="Arial Narrow" w:cs="Arial"/>
      <w:b/>
      <w:lang w:bidi="en-US"/>
    </w:rPr>
  </w:style>
  <w:style w:type="paragraph" w:customStyle="1" w:styleId="TableFigureCaption">
    <w:name w:val="Table/Figure Caption"/>
    <w:next w:val="Tableheadingrow"/>
    <w:link w:val="TableFigureCaptionChar"/>
    <w:qFormat/>
    <w:rsid w:val="00452DE9"/>
    <w:pPr>
      <w:keepNext/>
    </w:pPr>
    <w:rPr>
      <w:rFonts w:ascii="Arial Narrow" w:eastAsiaTheme="majorEastAsia" w:hAnsi="Arial Narrow" w:cstheme="majorBidi"/>
      <w:b/>
      <w:bCs/>
      <w:szCs w:val="24"/>
    </w:rPr>
  </w:style>
  <w:style w:type="character" w:customStyle="1" w:styleId="TableFigureCaptionChar">
    <w:name w:val="Table/Figure Caption Char"/>
    <w:basedOn w:val="DefaultParagraphFont"/>
    <w:link w:val="TableFigureCaption"/>
    <w:rsid w:val="00452DE9"/>
    <w:rPr>
      <w:rFonts w:ascii="Arial Narrow" w:eastAsiaTheme="majorEastAsia" w:hAnsi="Arial Narrow" w:cstheme="majorBidi"/>
      <w:b/>
      <w:bCs/>
      <w:szCs w:val="24"/>
    </w:rPr>
  </w:style>
  <w:style w:type="paragraph" w:customStyle="1" w:styleId="Tabletextcentred">
    <w:name w:val="Table text centred"/>
    <w:basedOn w:val="Normal"/>
    <w:link w:val="TabletextcentredChar"/>
    <w:qFormat/>
    <w:rsid w:val="00164D81"/>
    <w:pPr>
      <w:keepNext/>
      <w:jc w:val="center"/>
    </w:pPr>
    <w:rPr>
      <w:rFonts w:ascii="Arial Narrow" w:hAnsi="Arial Narrow" w:cs="Arial Narrow"/>
      <w:sz w:val="20"/>
      <w:szCs w:val="20"/>
      <w:lang w:eastAsia="en-US"/>
    </w:rPr>
  </w:style>
  <w:style w:type="character" w:customStyle="1" w:styleId="TabletextcentredChar">
    <w:name w:val="Table text centred Char"/>
    <w:link w:val="Tabletextcentred"/>
    <w:rsid w:val="00164D81"/>
    <w:rPr>
      <w:rFonts w:ascii="Arial Narrow" w:hAnsi="Arial Narrow" w:cs="Arial Narrow"/>
      <w:lang w:eastAsia="en-US"/>
    </w:rPr>
  </w:style>
  <w:style w:type="paragraph" w:customStyle="1" w:styleId="TableFooter">
    <w:name w:val="Table Footer"/>
    <w:basedOn w:val="Normal"/>
    <w:link w:val="TableFooterChar"/>
    <w:qFormat/>
    <w:rsid w:val="0016573A"/>
    <w:pPr>
      <w:widowControl w:val="0"/>
      <w:spacing w:after="120"/>
      <w:contextualSpacing/>
    </w:pPr>
    <w:rPr>
      <w:rFonts w:ascii="Arial Narrow" w:hAnsi="Arial Narrow"/>
      <w:snapToGrid w:val="0"/>
      <w:sz w:val="18"/>
      <w:szCs w:val="20"/>
      <w:lang w:eastAsia="en-US"/>
    </w:rPr>
  </w:style>
  <w:style w:type="character" w:customStyle="1" w:styleId="TableFooterChar">
    <w:name w:val="Table Footer Char"/>
    <w:link w:val="TableFooter"/>
    <w:rsid w:val="0016573A"/>
    <w:rPr>
      <w:rFonts w:ascii="Arial Narrow" w:hAnsi="Arial Narrow" w:cs="Arial"/>
      <w:snapToGrid w:val="0"/>
      <w:sz w:val="18"/>
      <w:lang w:eastAsia="en-US"/>
    </w:rPr>
  </w:style>
  <w:style w:type="paragraph" w:customStyle="1" w:styleId="V50Instructions">
    <w:name w:val="V5.0 Instructions"/>
    <w:basedOn w:val="Normal"/>
    <w:link w:val="V50InstructionsChar"/>
    <w:qFormat/>
    <w:rsid w:val="00333947"/>
    <w:rPr>
      <w:rFonts w:asciiTheme="minorHAnsi" w:eastAsiaTheme="minorHAnsi" w:hAnsiTheme="minorHAnsi" w:cstheme="minorBidi"/>
      <w:color w:val="4BACC6" w:themeColor="accent5"/>
      <w:szCs w:val="22"/>
      <w:lang w:eastAsia="en-US"/>
    </w:rPr>
  </w:style>
  <w:style w:type="character" w:customStyle="1" w:styleId="V50InstructionsChar">
    <w:name w:val="V5.0 Instructions Char"/>
    <w:basedOn w:val="DefaultParagraphFont"/>
    <w:link w:val="V50Instructions"/>
    <w:rsid w:val="00333947"/>
    <w:rPr>
      <w:rFonts w:asciiTheme="minorHAnsi" w:eastAsiaTheme="minorHAnsi" w:hAnsiTheme="minorHAnsi" w:cstheme="minorBidi"/>
      <w:color w:val="4BACC6" w:themeColor="accent5"/>
      <w:sz w:val="24"/>
      <w:szCs w:val="22"/>
      <w:lang w:eastAsia="en-US"/>
    </w:rPr>
  </w:style>
  <w:style w:type="paragraph" w:customStyle="1" w:styleId="5-SubSubSubHead">
    <w:name w:val="5-Sub Sub Sub Head"/>
    <w:basedOn w:val="Heading4"/>
    <w:qFormat/>
    <w:rsid w:val="009F50EE"/>
    <w:pPr>
      <w:spacing w:before="0" w:after="0"/>
    </w:pPr>
  </w:style>
  <w:style w:type="paragraph" w:styleId="Header">
    <w:name w:val="header"/>
    <w:basedOn w:val="Normal"/>
    <w:link w:val="HeaderChar"/>
    <w:uiPriority w:val="99"/>
    <w:unhideWhenUsed/>
    <w:qFormat/>
    <w:rsid w:val="006C1978"/>
    <w:pPr>
      <w:tabs>
        <w:tab w:val="center" w:pos="4513"/>
        <w:tab w:val="right" w:pos="9026"/>
      </w:tabs>
    </w:pPr>
  </w:style>
  <w:style w:type="character" w:customStyle="1" w:styleId="HeaderChar">
    <w:name w:val="Header Char"/>
    <w:basedOn w:val="DefaultParagraphFont"/>
    <w:link w:val="Header"/>
    <w:uiPriority w:val="99"/>
    <w:rsid w:val="006C1978"/>
    <w:rPr>
      <w:rFonts w:ascii="Calibri" w:hAnsi="Calibri" w:cs="Arial"/>
      <w:sz w:val="24"/>
      <w:szCs w:val="24"/>
    </w:rPr>
  </w:style>
  <w:style w:type="paragraph" w:styleId="Footer">
    <w:name w:val="footer"/>
    <w:basedOn w:val="Normal"/>
    <w:link w:val="FooterChar"/>
    <w:uiPriority w:val="99"/>
    <w:unhideWhenUsed/>
    <w:rsid w:val="006C1978"/>
    <w:pPr>
      <w:tabs>
        <w:tab w:val="center" w:pos="4513"/>
        <w:tab w:val="right" w:pos="9026"/>
      </w:tabs>
    </w:pPr>
  </w:style>
  <w:style w:type="character" w:customStyle="1" w:styleId="FooterChar">
    <w:name w:val="Footer Char"/>
    <w:basedOn w:val="DefaultParagraphFont"/>
    <w:link w:val="Footer"/>
    <w:uiPriority w:val="99"/>
    <w:rsid w:val="006C1978"/>
    <w:rPr>
      <w:rFonts w:ascii="Calibri" w:hAnsi="Calibri" w:cs="Arial"/>
      <w:sz w:val="24"/>
      <w:szCs w:val="24"/>
    </w:rPr>
  </w:style>
  <w:style w:type="paragraph" w:customStyle="1" w:styleId="BodytextAgency">
    <w:name w:val="Body text (Agency)"/>
    <w:basedOn w:val="Normal"/>
    <w:link w:val="BodytextAgencyChar"/>
    <w:qFormat/>
    <w:rsid w:val="00A13EA2"/>
    <w:pPr>
      <w:spacing w:after="140" w:line="280" w:lineRule="atLeast"/>
      <w:jc w:val="left"/>
    </w:pPr>
    <w:rPr>
      <w:rFonts w:asciiTheme="minorHAnsi" w:eastAsia="Verdana" w:hAnsiTheme="minorHAnsi" w:cs="Verdana"/>
      <w:szCs w:val="18"/>
      <w:lang w:val="en-GB" w:eastAsia="en-GB"/>
    </w:rPr>
  </w:style>
  <w:style w:type="character" w:customStyle="1" w:styleId="BodytextAgencyChar">
    <w:name w:val="Body text (Agency) Char"/>
    <w:link w:val="BodytextAgency"/>
    <w:qFormat/>
    <w:locked/>
    <w:rsid w:val="00A13EA2"/>
    <w:rPr>
      <w:rFonts w:asciiTheme="minorHAnsi" w:eastAsia="Verdana" w:hAnsiTheme="minorHAnsi" w:cs="Verdana"/>
      <w:sz w:val="24"/>
      <w:szCs w:val="18"/>
      <w:lang w:val="en-GB" w:eastAsia="en-GB"/>
    </w:rPr>
  </w:style>
  <w:style w:type="paragraph" w:customStyle="1" w:styleId="Tabletext0">
    <w:name w:val="Table text"/>
    <w:basedOn w:val="Normal"/>
    <w:link w:val="TabletextChar0"/>
    <w:uiPriority w:val="99"/>
    <w:qFormat/>
    <w:rsid w:val="00B0579E"/>
    <w:pPr>
      <w:jc w:val="left"/>
    </w:pPr>
    <w:rPr>
      <w:rFonts w:ascii="Arial Narrow" w:hAnsi="Arial Narrow" w:cs="Times New Roman"/>
      <w:snapToGrid w:val="0"/>
      <w:sz w:val="20"/>
    </w:rPr>
  </w:style>
  <w:style w:type="character" w:customStyle="1" w:styleId="TabletextChar0">
    <w:name w:val="Table text Char"/>
    <w:link w:val="Tabletext0"/>
    <w:uiPriority w:val="99"/>
    <w:rsid w:val="00B0579E"/>
    <w:rPr>
      <w:rFonts w:ascii="Arial Narrow" w:hAnsi="Arial Narrow"/>
      <w:snapToGrid w:val="0"/>
      <w:szCs w:val="24"/>
    </w:rPr>
  </w:style>
  <w:style w:type="paragraph" w:customStyle="1" w:styleId="4-SubsectSubhead">
    <w:name w:val="4-Subsect Subhead"/>
    <w:basedOn w:val="Heading3"/>
    <w:next w:val="ExecSumBodyText"/>
    <w:link w:val="4-SubsectSubheadChar"/>
    <w:qFormat/>
    <w:rsid w:val="00EF7AA8"/>
    <w:pPr>
      <w:keepNext/>
      <w:keepLines/>
    </w:pPr>
    <w:rPr>
      <w:rFonts w:asciiTheme="minorHAnsi" w:eastAsiaTheme="majorEastAsia" w:hAnsiTheme="minorHAnsi" w:cstheme="majorBidi"/>
      <w:b/>
      <w:color w:val="000000" w:themeColor="text1"/>
      <w:sz w:val="28"/>
      <w:szCs w:val="28"/>
      <w:u w:val="none"/>
    </w:rPr>
  </w:style>
  <w:style w:type="character" w:customStyle="1" w:styleId="4-SubsectSubheadChar">
    <w:name w:val="4-Subsect Subhead Char"/>
    <w:basedOn w:val="DefaultParagraphFont"/>
    <w:link w:val="4-SubsectSubhead"/>
    <w:rsid w:val="00EF7AA8"/>
    <w:rPr>
      <w:rFonts w:asciiTheme="minorHAnsi" w:eastAsiaTheme="majorEastAsia" w:hAnsiTheme="minorHAnsi" w:cstheme="majorBidi"/>
      <w:b/>
      <w:color w:val="000000" w:themeColor="text1"/>
      <w:sz w:val="28"/>
      <w:szCs w:val="28"/>
    </w:rPr>
  </w:style>
  <w:style w:type="paragraph" w:customStyle="1" w:styleId="3-SubsectionHeading">
    <w:name w:val="3-Subsection Heading"/>
    <w:basedOn w:val="Heading2"/>
    <w:next w:val="ExecSumBodyText"/>
    <w:link w:val="3-SubsectionHeadingChar"/>
    <w:qFormat/>
    <w:rsid w:val="00FD77B6"/>
    <w:pPr>
      <w:keepNext/>
      <w:jc w:val="both"/>
    </w:pPr>
    <w:rPr>
      <w:rFonts w:asciiTheme="minorHAnsi" w:eastAsiaTheme="majorEastAsia" w:hAnsiTheme="minorHAnsi" w:cstheme="majorBidi"/>
      <w:spacing w:val="5"/>
      <w:kern w:val="28"/>
      <w:szCs w:val="36"/>
    </w:rPr>
  </w:style>
  <w:style w:type="character" w:customStyle="1" w:styleId="3-SubsectionHeadingChar">
    <w:name w:val="3-Subsection Heading Char"/>
    <w:basedOn w:val="Heading2Char"/>
    <w:link w:val="3-SubsectionHeading"/>
    <w:rsid w:val="00FD77B6"/>
    <w:rPr>
      <w:rFonts w:asciiTheme="minorHAnsi" w:eastAsiaTheme="majorEastAsia" w:hAnsiTheme="minorHAnsi" w:cstheme="majorBidi"/>
      <w:b/>
      <w:i/>
      <w:spacing w:val="5"/>
      <w:kern w:val="28"/>
      <w:sz w:val="28"/>
      <w:szCs w:val="36"/>
    </w:rPr>
  </w:style>
  <w:style w:type="paragraph" w:customStyle="1" w:styleId="TableHeading0">
    <w:name w:val="TableHeading"/>
    <w:basedOn w:val="Caption"/>
    <w:qFormat/>
    <w:rsid w:val="00A54DD6"/>
    <w:pPr>
      <w:keepNext/>
      <w:spacing w:after="40"/>
      <w:ind w:left="709"/>
    </w:pPr>
    <w:rPr>
      <w:rFonts w:asciiTheme="minorHAnsi" w:eastAsiaTheme="minorHAnsi" w:hAnsiTheme="minorHAnsi" w:cstheme="minorBidi"/>
      <w:b/>
      <w:i w:val="0"/>
      <w:color w:val="auto"/>
      <w:sz w:val="20"/>
      <w:lang w:eastAsia="en-US"/>
    </w:rPr>
  </w:style>
  <w:style w:type="paragraph" w:styleId="Caption">
    <w:name w:val="caption"/>
    <w:basedOn w:val="Normal"/>
    <w:next w:val="Normal"/>
    <w:unhideWhenUsed/>
    <w:rsid w:val="00A54DD6"/>
    <w:pPr>
      <w:spacing w:after="200"/>
    </w:pPr>
    <w:rPr>
      <w:i/>
      <w:iCs/>
      <w:color w:val="1F497D" w:themeColor="text2"/>
      <w:sz w:val="18"/>
      <w:szCs w:val="18"/>
    </w:rPr>
  </w:style>
  <w:style w:type="character" w:customStyle="1" w:styleId="normaltextrun">
    <w:name w:val="normaltextrun"/>
    <w:basedOn w:val="DefaultParagraphFont"/>
    <w:rsid w:val="006A7D91"/>
  </w:style>
  <w:style w:type="paragraph" w:customStyle="1" w:styleId="paragraph">
    <w:name w:val="paragraph"/>
    <w:basedOn w:val="Normal"/>
    <w:rsid w:val="006A7D91"/>
    <w:pPr>
      <w:spacing w:before="100" w:beforeAutospacing="1" w:after="100" w:afterAutospacing="1"/>
      <w:jc w:val="left"/>
    </w:pPr>
    <w:rPr>
      <w:rFonts w:ascii="Times New Roman" w:hAnsi="Times New Roman" w:cs="Times New Roman"/>
    </w:rPr>
  </w:style>
  <w:style w:type="character" w:customStyle="1" w:styleId="eop">
    <w:name w:val="eop"/>
    <w:basedOn w:val="DefaultParagraphFont"/>
    <w:rsid w:val="006A7D91"/>
  </w:style>
  <w:style w:type="paragraph" w:customStyle="1" w:styleId="msonormal0">
    <w:name w:val="msonormal"/>
    <w:basedOn w:val="Normal"/>
    <w:rsid w:val="006A7D91"/>
    <w:pPr>
      <w:spacing w:before="100" w:beforeAutospacing="1" w:after="100" w:afterAutospacing="1"/>
      <w:jc w:val="left"/>
    </w:pPr>
    <w:rPr>
      <w:rFonts w:ascii="Times New Roman" w:hAnsi="Times New Roman" w:cs="Times New Roman"/>
    </w:rPr>
  </w:style>
  <w:style w:type="character" w:customStyle="1" w:styleId="textrun">
    <w:name w:val="textrun"/>
    <w:basedOn w:val="DefaultParagraphFont"/>
    <w:rsid w:val="006A7D91"/>
  </w:style>
  <w:style w:type="paragraph" w:customStyle="1" w:styleId="outlineelement">
    <w:name w:val="outlineelement"/>
    <w:basedOn w:val="Normal"/>
    <w:rsid w:val="006A7D91"/>
    <w:pPr>
      <w:spacing w:before="100" w:beforeAutospacing="1" w:after="100" w:afterAutospacing="1"/>
      <w:jc w:val="left"/>
    </w:pPr>
    <w:rPr>
      <w:rFonts w:ascii="Times New Roman" w:hAnsi="Times New Roman" w:cs="Times New Roman"/>
    </w:rPr>
  </w:style>
  <w:style w:type="character" w:customStyle="1" w:styleId="ExecSumBodyTextChar">
    <w:name w:val="Exec Sum Body Text Char"/>
    <w:basedOn w:val="DefaultParagraphFont"/>
    <w:link w:val="ExecSumBodyText"/>
    <w:uiPriority w:val="99"/>
    <w:rsid w:val="001245FA"/>
    <w:rPr>
      <w:rFonts w:asciiTheme="minorHAnsi" w:hAnsiTheme="minorHAnsi" w:cs="Arial"/>
      <w:snapToGrid w:val="0"/>
      <w:sz w:val="24"/>
      <w:szCs w:val="24"/>
    </w:rPr>
  </w:style>
  <w:style w:type="paragraph" w:styleId="TOCHeading">
    <w:name w:val="TOC Heading"/>
    <w:basedOn w:val="Heading1"/>
    <w:next w:val="Normal"/>
    <w:uiPriority w:val="39"/>
    <w:unhideWhenUsed/>
    <w:qFormat/>
    <w:rsid w:val="00CF7617"/>
    <w:pPr>
      <w:keepNext/>
      <w:keepLines/>
      <w:spacing w:before="240" w:line="259" w:lineRule="auto"/>
      <w:ind w:left="0" w:firstLine="0"/>
      <w:jc w:val="left"/>
      <w:outlineLvl w:val="9"/>
    </w:pPr>
    <w:rPr>
      <w:rFonts w:asciiTheme="majorHAnsi" w:eastAsiaTheme="majorEastAsia" w:hAnsiTheme="majorHAnsi" w:cstheme="majorBidi"/>
      <w:b w:val="0"/>
      <w:caps w:val="0"/>
      <w:color w:val="365F91" w:themeColor="accent1" w:themeShade="BF"/>
      <w:szCs w:val="32"/>
      <w:lang w:val="en-US" w:eastAsia="en-US"/>
    </w:rPr>
  </w:style>
  <w:style w:type="paragraph" w:styleId="TOC4">
    <w:name w:val="toc 4"/>
    <w:basedOn w:val="Normal"/>
    <w:next w:val="Normal"/>
    <w:autoRedefine/>
    <w:uiPriority w:val="39"/>
    <w:unhideWhenUsed/>
    <w:rsid w:val="00D435B0"/>
    <w:pPr>
      <w:spacing w:after="100"/>
      <w:ind w:left="720"/>
    </w:pPr>
  </w:style>
  <w:style w:type="paragraph" w:styleId="NormalWeb">
    <w:name w:val="Normal (Web)"/>
    <w:basedOn w:val="Normal"/>
    <w:uiPriority w:val="99"/>
    <w:semiHidden/>
    <w:unhideWhenUsed/>
    <w:rsid w:val="00A57E5C"/>
    <w:pPr>
      <w:spacing w:before="100" w:beforeAutospacing="1" w:after="100" w:afterAutospacing="1"/>
      <w:jc w:val="left"/>
    </w:pPr>
    <w:rPr>
      <w:rFonts w:eastAsiaTheme="minorHAnsi" w:cs="Calibri"/>
      <w:sz w:val="22"/>
      <w:szCs w:val="22"/>
    </w:rPr>
  </w:style>
  <w:style w:type="character" w:customStyle="1" w:styleId="highlight">
    <w:name w:val="highlight"/>
    <w:basedOn w:val="DefaultParagraphFont"/>
    <w:rsid w:val="00F573DB"/>
  </w:style>
  <w:style w:type="character" w:styleId="Strong">
    <w:name w:val="Strong"/>
    <w:basedOn w:val="DefaultParagraphFont"/>
    <w:uiPriority w:val="22"/>
    <w:qFormat/>
    <w:rsid w:val="00F573DB"/>
    <w:rPr>
      <w:b/>
      <w:bCs/>
    </w:rPr>
  </w:style>
  <w:style w:type="paragraph" w:customStyle="1" w:styleId="PBACHeading1">
    <w:name w:val="PBAC Heading 1"/>
    <w:qFormat/>
    <w:rsid w:val="006E2BA1"/>
    <w:pPr>
      <w:ind w:left="720" w:hanging="720"/>
      <w:outlineLvl w:val="0"/>
    </w:pPr>
    <w:rPr>
      <w:rFonts w:ascii="Calibri" w:hAnsi="Calibri" w:cs="Calibri"/>
      <w:b/>
      <w:snapToGrid w:val="0"/>
      <w:sz w:val="32"/>
      <w:szCs w:val="32"/>
      <w:lang w:eastAsia="en-US"/>
    </w:rPr>
  </w:style>
  <w:style w:type="character" w:styleId="IntenseEmphasis">
    <w:name w:val="Intense Emphasis"/>
    <w:basedOn w:val="DefaultParagraphFont"/>
    <w:uiPriority w:val="21"/>
    <w:qFormat/>
    <w:rsid w:val="00C042D1"/>
    <w:rPr>
      <w:i/>
      <w:iCs/>
      <w:color w:val="4F81BD" w:themeColor="accent1"/>
    </w:rPr>
  </w:style>
  <w:style w:type="paragraph" w:styleId="Subtitle">
    <w:name w:val="Subtitle"/>
    <w:basedOn w:val="Normal"/>
    <w:link w:val="SubtitleChar"/>
    <w:qFormat/>
    <w:rsid w:val="00D90878"/>
    <w:rPr>
      <w:rFonts w:ascii="Times New Roman" w:hAnsi="Times New Roman" w:cs="Times New Roman"/>
      <w:b/>
      <w:szCs w:val="20"/>
    </w:rPr>
  </w:style>
  <w:style w:type="character" w:customStyle="1" w:styleId="SubtitleChar">
    <w:name w:val="Subtitle Char"/>
    <w:basedOn w:val="DefaultParagraphFont"/>
    <w:link w:val="Subtitle"/>
    <w:rsid w:val="00D90878"/>
    <w:rPr>
      <w:b/>
      <w:sz w:val="24"/>
    </w:rPr>
  </w:style>
  <w:style w:type="paragraph" w:styleId="FootnoteText">
    <w:name w:val="footnote text"/>
    <w:basedOn w:val="Normal"/>
    <w:link w:val="FootnoteTextChar"/>
    <w:unhideWhenUsed/>
    <w:rsid w:val="00220CD5"/>
    <w:rPr>
      <w:sz w:val="20"/>
      <w:szCs w:val="20"/>
    </w:rPr>
  </w:style>
  <w:style w:type="character" w:customStyle="1" w:styleId="FootnoteTextChar">
    <w:name w:val="Footnote Text Char"/>
    <w:basedOn w:val="DefaultParagraphFont"/>
    <w:link w:val="FootnoteText"/>
    <w:rsid w:val="00220CD5"/>
    <w:rPr>
      <w:rFonts w:ascii="Calibri" w:hAnsi="Calibri" w:cs="Arial"/>
    </w:rPr>
  </w:style>
  <w:style w:type="character" w:styleId="FootnoteReference">
    <w:name w:val="footnote reference"/>
    <w:basedOn w:val="DefaultParagraphFont"/>
    <w:semiHidden/>
    <w:unhideWhenUsed/>
    <w:rsid w:val="00220CD5"/>
    <w:rPr>
      <w:vertAlign w:val="superscript"/>
    </w:rPr>
  </w:style>
  <w:style w:type="paragraph" w:customStyle="1" w:styleId="Bulletpoints">
    <w:name w:val="Bullet points"/>
    <w:basedOn w:val="Normal"/>
    <w:rsid w:val="00547B22"/>
    <w:pPr>
      <w:spacing w:after="120"/>
      <w:ind w:left="720"/>
      <w:contextualSpacing/>
    </w:pPr>
    <w:rPr>
      <w:snapToGrid w:val="0"/>
    </w:rPr>
  </w:style>
  <w:style w:type="paragraph" w:styleId="BodyText">
    <w:name w:val="Body Text"/>
    <w:link w:val="BodyTextChar"/>
    <w:rsid w:val="00E558EE"/>
    <w:pPr>
      <w:spacing w:after="120" w:line="276" w:lineRule="auto"/>
    </w:pPr>
    <w:rPr>
      <w:rFonts w:ascii="Calibri" w:eastAsia="Calibri" w:hAnsi="Calibri" w:cs="Calibri"/>
      <w:sz w:val="22"/>
      <w:lang w:eastAsia="en-US"/>
    </w:rPr>
  </w:style>
  <w:style w:type="character" w:customStyle="1" w:styleId="BodyTextChar">
    <w:name w:val="Body Text Char"/>
    <w:basedOn w:val="DefaultParagraphFont"/>
    <w:link w:val="BodyText"/>
    <w:rsid w:val="00E558EE"/>
    <w:rPr>
      <w:rFonts w:ascii="Calibri" w:eastAsia="Calibri" w:hAnsi="Calibri" w:cs="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30628">
      <w:bodyDiv w:val="1"/>
      <w:marLeft w:val="0"/>
      <w:marRight w:val="0"/>
      <w:marTop w:val="0"/>
      <w:marBottom w:val="0"/>
      <w:divBdr>
        <w:top w:val="none" w:sz="0" w:space="0" w:color="auto"/>
        <w:left w:val="none" w:sz="0" w:space="0" w:color="auto"/>
        <w:bottom w:val="none" w:sz="0" w:space="0" w:color="auto"/>
        <w:right w:val="none" w:sz="0" w:space="0" w:color="auto"/>
      </w:divBdr>
    </w:div>
    <w:div w:id="89085712">
      <w:bodyDiv w:val="1"/>
      <w:marLeft w:val="0"/>
      <w:marRight w:val="0"/>
      <w:marTop w:val="0"/>
      <w:marBottom w:val="0"/>
      <w:divBdr>
        <w:top w:val="none" w:sz="0" w:space="0" w:color="auto"/>
        <w:left w:val="none" w:sz="0" w:space="0" w:color="auto"/>
        <w:bottom w:val="none" w:sz="0" w:space="0" w:color="auto"/>
        <w:right w:val="none" w:sz="0" w:space="0" w:color="auto"/>
      </w:divBdr>
    </w:div>
    <w:div w:id="100999308">
      <w:bodyDiv w:val="1"/>
      <w:marLeft w:val="0"/>
      <w:marRight w:val="0"/>
      <w:marTop w:val="0"/>
      <w:marBottom w:val="0"/>
      <w:divBdr>
        <w:top w:val="none" w:sz="0" w:space="0" w:color="auto"/>
        <w:left w:val="none" w:sz="0" w:space="0" w:color="auto"/>
        <w:bottom w:val="none" w:sz="0" w:space="0" w:color="auto"/>
        <w:right w:val="none" w:sz="0" w:space="0" w:color="auto"/>
      </w:divBdr>
    </w:div>
    <w:div w:id="111094126">
      <w:bodyDiv w:val="1"/>
      <w:marLeft w:val="0"/>
      <w:marRight w:val="0"/>
      <w:marTop w:val="0"/>
      <w:marBottom w:val="0"/>
      <w:divBdr>
        <w:top w:val="none" w:sz="0" w:space="0" w:color="auto"/>
        <w:left w:val="none" w:sz="0" w:space="0" w:color="auto"/>
        <w:bottom w:val="none" w:sz="0" w:space="0" w:color="auto"/>
        <w:right w:val="none" w:sz="0" w:space="0" w:color="auto"/>
      </w:divBdr>
    </w:div>
    <w:div w:id="121578584">
      <w:bodyDiv w:val="1"/>
      <w:marLeft w:val="0"/>
      <w:marRight w:val="0"/>
      <w:marTop w:val="0"/>
      <w:marBottom w:val="0"/>
      <w:divBdr>
        <w:top w:val="none" w:sz="0" w:space="0" w:color="auto"/>
        <w:left w:val="none" w:sz="0" w:space="0" w:color="auto"/>
        <w:bottom w:val="none" w:sz="0" w:space="0" w:color="auto"/>
        <w:right w:val="none" w:sz="0" w:space="0" w:color="auto"/>
      </w:divBdr>
    </w:div>
    <w:div w:id="316298999">
      <w:bodyDiv w:val="1"/>
      <w:marLeft w:val="0"/>
      <w:marRight w:val="0"/>
      <w:marTop w:val="0"/>
      <w:marBottom w:val="0"/>
      <w:divBdr>
        <w:top w:val="none" w:sz="0" w:space="0" w:color="auto"/>
        <w:left w:val="none" w:sz="0" w:space="0" w:color="auto"/>
        <w:bottom w:val="none" w:sz="0" w:space="0" w:color="auto"/>
        <w:right w:val="none" w:sz="0" w:space="0" w:color="auto"/>
      </w:divBdr>
    </w:div>
    <w:div w:id="338240265">
      <w:bodyDiv w:val="1"/>
      <w:marLeft w:val="0"/>
      <w:marRight w:val="0"/>
      <w:marTop w:val="0"/>
      <w:marBottom w:val="0"/>
      <w:divBdr>
        <w:top w:val="none" w:sz="0" w:space="0" w:color="auto"/>
        <w:left w:val="none" w:sz="0" w:space="0" w:color="auto"/>
        <w:bottom w:val="none" w:sz="0" w:space="0" w:color="auto"/>
        <w:right w:val="none" w:sz="0" w:space="0" w:color="auto"/>
      </w:divBdr>
    </w:div>
    <w:div w:id="342441958">
      <w:bodyDiv w:val="1"/>
      <w:marLeft w:val="0"/>
      <w:marRight w:val="0"/>
      <w:marTop w:val="0"/>
      <w:marBottom w:val="0"/>
      <w:divBdr>
        <w:top w:val="none" w:sz="0" w:space="0" w:color="auto"/>
        <w:left w:val="none" w:sz="0" w:space="0" w:color="auto"/>
        <w:bottom w:val="none" w:sz="0" w:space="0" w:color="auto"/>
        <w:right w:val="none" w:sz="0" w:space="0" w:color="auto"/>
      </w:divBdr>
    </w:div>
    <w:div w:id="346106706">
      <w:bodyDiv w:val="1"/>
      <w:marLeft w:val="0"/>
      <w:marRight w:val="0"/>
      <w:marTop w:val="0"/>
      <w:marBottom w:val="0"/>
      <w:divBdr>
        <w:top w:val="none" w:sz="0" w:space="0" w:color="auto"/>
        <w:left w:val="none" w:sz="0" w:space="0" w:color="auto"/>
        <w:bottom w:val="none" w:sz="0" w:space="0" w:color="auto"/>
        <w:right w:val="none" w:sz="0" w:space="0" w:color="auto"/>
      </w:divBdr>
    </w:div>
    <w:div w:id="623660458">
      <w:bodyDiv w:val="1"/>
      <w:marLeft w:val="0"/>
      <w:marRight w:val="0"/>
      <w:marTop w:val="0"/>
      <w:marBottom w:val="0"/>
      <w:divBdr>
        <w:top w:val="none" w:sz="0" w:space="0" w:color="auto"/>
        <w:left w:val="none" w:sz="0" w:space="0" w:color="auto"/>
        <w:bottom w:val="none" w:sz="0" w:space="0" w:color="auto"/>
        <w:right w:val="none" w:sz="0" w:space="0" w:color="auto"/>
      </w:divBdr>
    </w:div>
    <w:div w:id="632324017">
      <w:bodyDiv w:val="1"/>
      <w:marLeft w:val="0"/>
      <w:marRight w:val="0"/>
      <w:marTop w:val="0"/>
      <w:marBottom w:val="0"/>
      <w:divBdr>
        <w:top w:val="none" w:sz="0" w:space="0" w:color="auto"/>
        <w:left w:val="none" w:sz="0" w:space="0" w:color="auto"/>
        <w:bottom w:val="none" w:sz="0" w:space="0" w:color="auto"/>
        <w:right w:val="none" w:sz="0" w:space="0" w:color="auto"/>
      </w:divBdr>
    </w:div>
    <w:div w:id="729425644">
      <w:bodyDiv w:val="1"/>
      <w:marLeft w:val="0"/>
      <w:marRight w:val="0"/>
      <w:marTop w:val="0"/>
      <w:marBottom w:val="0"/>
      <w:divBdr>
        <w:top w:val="none" w:sz="0" w:space="0" w:color="auto"/>
        <w:left w:val="none" w:sz="0" w:space="0" w:color="auto"/>
        <w:bottom w:val="none" w:sz="0" w:space="0" w:color="auto"/>
        <w:right w:val="none" w:sz="0" w:space="0" w:color="auto"/>
      </w:divBdr>
      <w:divsChild>
        <w:div w:id="386924919">
          <w:marLeft w:val="446"/>
          <w:marRight w:val="0"/>
          <w:marTop w:val="0"/>
          <w:marBottom w:val="0"/>
          <w:divBdr>
            <w:top w:val="none" w:sz="0" w:space="0" w:color="auto"/>
            <w:left w:val="none" w:sz="0" w:space="0" w:color="auto"/>
            <w:bottom w:val="none" w:sz="0" w:space="0" w:color="auto"/>
            <w:right w:val="none" w:sz="0" w:space="0" w:color="auto"/>
          </w:divBdr>
        </w:div>
        <w:div w:id="1581908079">
          <w:marLeft w:val="446"/>
          <w:marRight w:val="0"/>
          <w:marTop w:val="0"/>
          <w:marBottom w:val="0"/>
          <w:divBdr>
            <w:top w:val="none" w:sz="0" w:space="0" w:color="auto"/>
            <w:left w:val="none" w:sz="0" w:space="0" w:color="auto"/>
            <w:bottom w:val="none" w:sz="0" w:space="0" w:color="auto"/>
            <w:right w:val="none" w:sz="0" w:space="0" w:color="auto"/>
          </w:divBdr>
        </w:div>
      </w:divsChild>
    </w:div>
    <w:div w:id="771316043">
      <w:bodyDiv w:val="1"/>
      <w:marLeft w:val="0"/>
      <w:marRight w:val="0"/>
      <w:marTop w:val="0"/>
      <w:marBottom w:val="0"/>
      <w:divBdr>
        <w:top w:val="none" w:sz="0" w:space="0" w:color="auto"/>
        <w:left w:val="none" w:sz="0" w:space="0" w:color="auto"/>
        <w:bottom w:val="none" w:sz="0" w:space="0" w:color="auto"/>
        <w:right w:val="none" w:sz="0" w:space="0" w:color="auto"/>
      </w:divBdr>
      <w:divsChild>
        <w:div w:id="683823598">
          <w:marLeft w:val="446"/>
          <w:marRight w:val="0"/>
          <w:marTop w:val="0"/>
          <w:marBottom w:val="0"/>
          <w:divBdr>
            <w:top w:val="none" w:sz="0" w:space="0" w:color="auto"/>
            <w:left w:val="none" w:sz="0" w:space="0" w:color="auto"/>
            <w:bottom w:val="none" w:sz="0" w:space="0" w:color="auto"/>
            <w:right w:val="none" w:sz="0" w:space="0" w:color="auto"/>
          </w:divBdr>
        </w:div>
        <w:div w:id="955408384">
          <w:marLeft w:val="446"/>
          <w:marRight w:val="0"/>
          <w:marTop w:val="0"/>
          <w:marBottom w:val="0"/>
          <w:divBdr>
            <w:top w:val="none" w:sz="0" w:space="0" w:color="auto"/>
            <w:left w:val="none" w:sz="0" w:space="0" w:color="auto"/>
            <w:bottom w:val="none" w:sz="0" w:space="0" w:color="auto"/>
            <w:right w:val="none" w:sz="0" w:space="0" w:color="auto"/>
          </w:divBdr>
        </w:div>
        <w:div w:id="1894806484">
          <w:marLeft w:val="446"/>
          <w:marRight w:val="0"/>
          <w:marTop w:val="0"/>
          <w:marBottom w:val="0"/>
          <w:divBdr>
            <w:top w:val="none" w:sz="0" w:space="0" w:color="auto"/>
            <w:left w:val="none" w:sz="0" w:space="0" w:color="auto"/>
            <w:bottom w:val="none" w:sz="0" w:space="0" w:color="auto"/>
            <w:right w:val="none" w:sz="0" w:space="0" w:color="auto"/>
          </w:divBdr>
        </w:div>
        <w:div w:id="1991789865">
          <w:marLeft w:val="446"/>
          <w:marRight w:val="0"/>
          <w:marTop w:val="0"/>
          <w:marBottom w:val="0"/>
          <w:divBdr>
            <w:top w:val="none" w:sz="0" w:space="0" w:color="auto"/>
            <w:left w:val="none" w:sz="0" w:space="0" w:color="auto"/>
            <w:bottom w:val="none" w:sz="0" w:space="0" w:color="auto"/>
            <w:right w:val="none" w:sz="0" w:space="0" w:color="auto"/>
          </w:divBdr>
        </w:div>
      </w:divsChild>
    </w:div>
    <w:div w:id="831333547">
      <w:bodyDiv w:val="1"/>
      <w:marLeft w:val="0"/>
      <w:marRight w:val="0"/>
      <w:marTop w:val="0"/>
      <w:marBottom w:val="0"/>
      <w:divBdr>
        <w:top w:val="none" w:sz="0" w:space="0" w:color="auto"/>
        <w:left w:val="none" w:sz="0" w:space="0" w:color="auto"/>
        <w:bottom w:val="none" w:sz="0" w:space="0" w:color="auto"/>
        <w:right w:val="none" w:sz="0" w:space="0" w:color="auto"/>
      </w:divBdr>
    </w:div>
    <w:div w:id="871379100">
      <w:bodyDiv w:val="1"/>
      <w:marLeft w:val="0"/>
      <w:marRight w:val="0"/>
      <w:marTop w:val="0"/>
      <w:marBottom w:val="0"/>
      <w:divBdr>
        <w:top w:val="none" w:sz="0" w:space="0" w:color="auto"/>
        <w:left w:val="none" w:sz="0" w:space="0" w:color="auto"/>
        <w:bottom w:val="none" w:sz="0" w:space="0" w:color="auto"/>
        <w:right w:val="none" w:sz="0" w:space="0" w:color="auto"/>
      </w:divBdr>
      <w:divsChild>
        <w:div w:id="1709603668">
          <w:marLeft w:val="0"/>
          <w:marRight w:val="0"/>
          <w:marTop w:val="0"/>
          <w:marBottom w:val="0"/>
          <w:divBdr>
            <w:top w:val="none" w:sz="0" w:space="0" w:color="auto"/>
            <w:left w:val="none" w:sz="0" w:space="0" w:color="auto"/>
            <w:bottom w:val="none" w:sz="0" w:space="0" w:color="auto"/>
            <w:right w:val="none" w:sz="0" w:space="0" w:color="auto"/>
          </w:divBdr>
          <w:divsChild>
            <w:div w:id="36321529">
              <w:marLeft w:val="0"/>
              <w:marRight w:val="0"/>
              <w:marTop w:val="0"/>
              <w:marBottom w:val="0"/>
              <w:divBdr>
                <w:top w:val="none" w:sz="0" w:space="0" w:color="auto"/>
                <w:left w:val="none" w:sz="0" w:space="0" w:color="auto"/>
                <w:bottom w:val="none" w:sz="0" w:space="0" w:color="auto"/>
                <w:right w:val="none" w:sz="0" w:space="0" w:color="auto"/>
              </w:divBdr>
            </w:div>
            <w:div w:id="1869098630">
              <w:marLeft w:val="439"/>
              <w:marRight w:val="0"/>
              <w:marTop w:val="0"/>
              <w:marBottom w:val="0"/>
              <w:divBdr>
                <w:top w:val="none" w:sz="0" w:space="0" w:color="auto"/>
                <w:left w:val="none" w:sz="0" w:space="0" w:color="auto"/>
                <w:bottom w:val="none" w:sz="0" w:space="0" w:color="auto"/>
                <w:right w:val="none" w:sz="0" w:space="0" w:color="auto"/>
              </w:divBdr>
              <w:divsChild>
                <w:div w:id="639462040">
                  <w:marLeft w:val="0"/>
                  <w:marRight w:val="0"/>
                  <w:marTop w:val="0"/>
                  <w:marBottom w:val="0"/>
                  <w:divBdr>
                    <w:top w:val="none" w:sz="0" w:space="0" w:color="auto"/>
                    <w:left w:val="none" w:sz="0" w:space="0" w:color="auto"/>
                    <w:bottom w:val="none" w:sz="0" w:space="0" w:color="auto"/>
                    <w:right w:val="none" w:sz="0" w:space="0" w:color="auto"/>
                  </w:divBdr>
                  <w:divsChild>
                    <w:div w:id="107508828">
                      <w:marLeft w:val="176"/>
                      <w:marRight w:val="0"/>
                      <w:marTop w:val="0"/>
                      <w:marBottom w:val="0"/>
                      <w:divBdr>
                        <w:top w:val="none" w:sz="0" w:space="0" w:color="auto"/>
                        <w:left w:val="none" w:sz="0" w:space="0" w:color="auto"/>
                        <w:bottom w:val="none" w:sz="0" w:space="0" w:color="auto"/>
                        <w:right w:val="none" w:sz="0" w:space="0" w:color="auto"/>
                      </w:divBdr>
                    </w:div>
                    <w:div w:id="106753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2510">
          <w:marLeft w:val="0"/>
          <w:marRight w:val="0"/>
          <w:marTop w:val="0"/>
          <w:marBottom w:val="0"/>
          <w:divBdr>
            <w:top w:val="none" w:sz="0" w:space="0" w:color="auto"/>
            <w:left w:val="none" w:sz="0" w:space="0" w:color="auto"/>
            <w:bottom w:val="none" w:sz="0" w:space="0" w:color="auto"/>
            <w:right w:val="none" w:sz="0" w:space="0" w:color="auto"/>
          </w:divBdr>
        </w:div>
      </w:divsChild>
    </w:div>
    <w:div w:id="904217312">
      <w:bodyDiv w:val="1"/>
      <w:marLeft w:val="0"/>
      <w:marRight w:val="0"/>
      <w:marTop w:val="0"/>
      <w:marBottom w:val="0"/>
      <w:divBdr>
        <w:top w:val="none" w:sz="0" w:space="0" w:color="auto"/>
        <w:left w:val="none" w:sz="0" w:space="0" w:color="auto"/>
        <w:bottom w:val="none" w:sz="0" w:space="0" w:color="auto"/>
        <w:right w:val="none" w:sz="0" w:space="0" w:color="auto"/>
      </w:divBdr>
    </w:div>
    <w:div w:id="960770542">
      <w:bodyDiv w:val="1"/>
      <w:marLeft w:val="0"/>
      <w:marRight w:val="0"/>
      <w:marTop w:val="0"/>
      <w:marBottom w:val="0"/>
      <w:divBdr>
        <w:top w:val="none" w:sz="0" w:space="0" w:color="auto"/>
        <w:left w:val="none" w:sz="0" w:space="0" w:color="auto"/>
        <w:bottom w:val="none" w:sz="0" w:space="0" w:color="auto"/>
        <w:right w:val="none" w:sz="0" w:space="0" w:color="auto"/>
      </w:divBdr>
    </w:div>
    <w:div w:id="977029625">
      <w:bodyDiv w:val="1"/>
      <w:marLeft w:val="0"/>
      <w:marRight w:val="0"/>
      <w:marTop w:val="0"/>
      <w:marBottom w:val="0"/>
      <w:divBdr>
        <w:top w:val="none" w:sz="0" w:space="0" w:color="auto"/>
        <w:left w:val="none" w:sz="0" w:space="0" w:color="auto"/>
        <w:bottom w:val="none" w:sz="0" w:space="0" w:color="auto"/>
        <w:right w:val="none" w:sz="0" w:space="0" w:color="auto"/>
      </w:divBdr>
      <w:divsChild>
        <w:div w:id="2002276037">
          <w:marLeft w:val="1800"/>
          <w:marRight w:val="0"/>
          <w:marTop w:val="100"/>
          <w:marBottom w:val="0"/>
          <w:divBdr>
            <w:top w:val="none" w:sz="0" w:space="0" w:color="auto"/>
            <w:left w:val="none" w:sz="0" w:space="0" w:color="auto"/>
            <w:bottom w:val="none" w:sz="0" w:space="0" w:color="auto"/>
            <w:right w:val="none" w:sz="0" w:space="0" w:color="auto"/>
          </w:divBdr>
        </w:div>
        <w:div w:id="1603342203">
          <w:marLeft w:val="1800"/>
          <w:marRight w:val="0"/>
          <w:marTop w:val="100"/>
          <w:marBottom w:val="0"/>
          <w:divBdr>
            <w:top w:val="none" w:sz="0" w:space="0" w:color="auto"/>
            <w:left w:val="none" w:sz="0" w:space="0" w:color="auto"/>
            <w:bottom w:val="none" w:sz="0" w:space="0" w:color="auto"/>
            <w:right w:val="none" w:sz="0" w:space="0" w:color="auto"/>
          </w:divBdr>
        </w:div>
        <w:div w:id="2097239658">
          <w:marLeft w:val="1800"/>
          <w:marRight w:val="0"/>
          <w:marTop w:val="100"/>
          <w:marBottom w:val="0"/>
          <w:divBdr>
            <w:top w:val="none" w:sz="0" w:space="0" w:color="auto"/>
            <w:left w:val="none" w:sz="0" w:space="0" w:color="auto"/>
            <w:bottom w:val="none" w:sz="0" w:space="0" w:color="auto"/>
            <w:right w:val="none" w:sz="0" w:space="0" w:color="auto"/>
          </w:divBdr>
        </w:div>
      </w:divsChild>
    </w:div>
    <w:div w:id="994718575">
      <w:bodyDiv w:val="1"/>
      <w:marLeft w:val="0"/>
      <w:marRight w:val="0"/>
      <w:marTop w:val="0"/>
      <w:marBottom w:val="0"/>
      <w:divBdr>
        <w:top w:val="none" w:sz="0" w:space="0" w:color="auto"/>
        <w:left w:val="none" w:sz="0" w:space="0" w:color="auto"/>
        <w:bottom w:val="none" w:sz="0" w:space="0" w:color="auto"/>
        <w:right w:val="none" w:sz="0" w:space="0" w:color="auto"/>
      </w:divBdr>
    </w:div>
    <w:div w:id="1072896536">
      <w:bodyDiv w:val="1"/>
      <w:marLeft w:val="0"/>
      <w:marRight w:val="0"/>
      <w:marTop w:val="0"/>
      <w:marBottom w:val="0"/>
      <w:divBdr>
        <w:top w:val="none" w:sz="0" w:space="0" w:color="auto"/>
        <w:left w:val="none" w:sz="0" w:space="0" w:color="auto"/>
        <w:bottom w:val="none" w:sz="0" w:space="0" w:color="auto"/>
        <w:right w:val="none" w:sz="0" w:space="0" w:color="auto"/>
      </w:divBdr>
    </w:div>
    <w:div w:id="1152675713">
      <w:bodyDiv w:val="1"/>
      <w:marLeft w:val="0"/>
      <w:marRight w:val="0"/>
      <w:marTop w:val="0"/>
      <w:marBottom w:val="0"/>
      <w:divBdr>
        <w:top w:val="none" w:sz="0" w:space="0" w:color="auto"/>
        <w:left w:val="none" w:sz="0" w:space="0" w:color="auto"/>
        <w:bottom w:val="none" w:sz="0" w:space="0" w:color="auto"/>
        <w:right w:val="none" w:sz="0" w:space="0" w:color="auto"/>
      </w:divBdr>
    </w:div>
    <w:div w:id="1160389916">
      <w:bodyDiv w:val="1"/>
      <w:marLeft w:val="0"/>
      <w:marRight w:val="0"/>
      <w:marTop w:val="0"/>
      <w:marBottom w:val="0"/>
      <w:divBdr>
        <w:top w:val="none" w:sz="0" w:space="0" w:color="auto"/>
        <w:left w:val="none" w:sz="0" w:space="0" w:color="auto"/>
        <w:bottom w:val="none" w:sz="0" w:space="0" w:color="auto"/>
        <w:right w:val="none" w:sz="0" w:space="0" w:color="auto"/>
      </w:divBdr>
      <w:divsChild>
        <w:div w:id="1878201260">
          <w:marLeft w:val="360"/>
          <w:marRight w:val="0"/>
          <w:marTop w:val="200"/>
          <w:marBottom w:val="0"/>
          <w:divBdr>
            <w:top w:val="none" w:sz="0" w:space="0" w:color="auto"/>
            <w:left w:val="none" w:sz="0" w:space="0" w:color="auto"/>
            <w:bottom w:val="none" w:sz="0" w:space="0" w:color="auto"/>
            <w:right w:val="none" w:sz="0" w:space="0" w:color="auto"/>
          </w:divBdr>
        </w:div>
      </w:divsChild>
    </w:div>
    <w:div w:id="1173183840">
      <w:bodyDiv w:val="1"/>
      <w:marLeft w:val="0"/>
      <w:marRight w:val="0"/>
      <w:marTop w:val="0"/>
      <w:marBottom w:val="0"/>
      <w:divBdr>
        <w:top w:val="none" w:sz="0" w:space="0" w:color="auto"/>
        <w:left w:val="none" w:sz="0" w:space="0" w:color="auto"/>
        <w:bottom w:val="none" w:sz="0" w:space="0" w:color="auto"/>
        <w:right w:val="none" w:sz="0" w:space="0" w:color="auto"/>
      </w:divBdr>
      <w:divsChild>
        <w:div w:id="574321363">
          <w:marLeft w:val="0"/>
          <w:marRight w:val="0"/>
          <w:marTop w:val="0"/>
          <w:marBottom w:val="0"/>
          <w:divBdr>
            <w:top w:val="none" w:sz="0" w:space="0" w:color="auto"/>
            <w:left w:val="none" w:sz="0" w:space="0" w:color="auto"/>
            <w:bottom w:val="none" w:sz="0" w:space="0" w:color="auto"/>
            <w:right w:val="none" w:sz="0" w:space="0" w:color="auto"/>
          </w:divBdr>
          <w:divsChild>
            <w:div w:id="1144078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093063">
      <w:bodyDiv w:val="1"/>
      <w:marLeft w:val="0"/>
      <w:marRight w:val="0"/>
      <w:marTop w:val="0"/>
      <w:marBottom w:val="0"/>
      <w:divBdr>
        <w:top w:val="none" w:sz="0" w:space="0" w:color="auto"/>
        <w:left w:val="none" w:sz="0" w:space="0" w:color="auto"/>
        <w:bottom w:val="none" w:sz="0" w:space="0" w:color="auto"/>
        <w:right w:val="none" w:sz="0" w:space="0" w:color="auto"/>
      </w:divBdr>
    </w:div>
    <w:div w:id="1227960595">
      <w:bodyDiv w:val="1"/>
      <w:marLeft w:val="0"/>
      <w:marRight w:val="0"/>
      <w:marTop w:val="0"/>
      <w:marBottom w:val="0"/>
      <w:divBdr>
        <w:top w:val="none" w:sz="0" w:space="0" w:color="auto"/>
        <w:left w:val="none" w:sz="0" w:space="0" w:color="auto"/>
        <w:bottom w:val="none" w:sz="0" w:space="0" w:color="auto"/>
        <w:right w:val="none" w:sz="0" w:space="0" w:color="auto"/>
      </w:divBdr>
    </w:div>
    <w:div w:id="1262295112">
      <w:bodyDiv w:val="1"/>
      <w:marLeft w:val="0"/>
      <w:marRight w:val="0"/>
      <w:marTop w:val="0"/>
      <w:marBottom w:val="0"/>
      <w:divBdr>
        <w:top w:val="none" w:sz="0" w:space="0" w:color="auto"/>
        <w:left w:val="none" w:sz="0" w:space="0" w:color="auto"/>
        <w:bottom w:val="none" w:sz="0" w:space="0" w:color="auto"/>
        <w:right w:val="none" w:sz="0" w:space="0" w:color="auto"/>
      </w:divBdr>
    </w:div>
    <w:div w:id="1376004686">
      <w:bodyDiv w:val="1"/>
      <w:marLeft w:val="0"/>
      <w:marRight w:val="0"/>
      <w:marTop w:val="0"/>
      <w:marBottom w:val="0"/>
      <w:divBdr>
        <w:top w:val="none" w:sz="0" w:space="0" w:color="auto"/>
        <w:left w:val="none" w:sz="0" w:space="0" w:color="auto"/>
        <w:bottom w:val="none" w:sz="0" w:space="0" w:color="auto"/>
        <w:right w:val="none" w:sz="0" w:space="0" w:color="auto"/>
      </w:divBdr>
    </w:div>
    <w:div w:id="1840264440">
      <w:bodyDiv w:val="1"/>
      <w:marLeft w:val="0"/>
      <w:marRight w:val="0"/>
      <w:marTop w:val="0"/>
      <w:marBottom w:val="0"/>
      <w:divBdr>
        <w:top w:val="none" w:sz="0" w:space="0" w:color="auto"/>
        <w:left w:val="none" w:sz="0" w:space="0" w:color="auto"/>
        <w:bottom w:val="none" w:sz="0" w:space="0" w:color="auto"/>
        <w:right w:val="none" w:sz="0" w:space="0" w:color="auto"/>
      </w:divBdr>
    </w:div>
    <w:div w:id="1876962861">
      <w:bodyDiv w:val="1"/>
      <w:marLeft w:val="0"/>
      <w:marRight w:val="0"/>
      <w:marTop w:val="0"/>
      <w:marBottom w:val="0"/>
      <w:divBdr>
        <w:top w:val="none" w:sz="0" w:space="0" w:color="auto"/>
        <w:left w:val="none" w:sz="0" w:space="0" w:color="auto"/>
        <w:bottom w:val="none" w:sz="0" w:space="0" w:color="auto"/>
        <w:right w:val="none" w:sz="0" w:space="0" w:color="auto"/>
      </w:divBdr>
    </w:div>
    <w:div w:id="1893535376">
      <w:bodyDiv w:val="1"/>
      <w:marLeft w:val="0"/>
      <w:marRight w:val="0"/>
      <w:marTop w:val="0"/>
      <w:marBottom w:val="0"/>
      <w:divBdr>
        <w:top w:val="none" w:sz="0" w:space="0" w:color="auto"/>
        <w:left w:val="none" w:sz="0" w:space="0" w:color="auto"/>
        <w:bottom w:val="none" w:sz="0" w:space="0" w:color="auto"/>
        <w:right w:val="none" w:sz="0" w:space="0" w:color="auto"/>
      </w:divBdr>
      <w:divsChild>
        <w:div w:id="1418559166">
          <w:marLeft w:val="446"/>
          <w:marRight w:val="0"/>
          <w:marTop w:val="0"/>
          <w:marBottom w:val="0"/>
          <w:divBdr>
            <w:top w:val="none" w:sz="0" w:space="0" w:color="auto"/>
            <w:left w:val="none" w:sz="0" w:space="0" w:color="auto"/>
            <w:bottom w:val="none" w:sz="0" w:space="0" w:color="auto"/>
            <w:right w:val="none" w:sz="0" w:space="0" w:color="auto"/>
          </w:divBdr>
        </w:div>
        <w:div w:id="1951163877">
          <w:marLeft w:val="446"/>
          <w:marRight w:val="0"/>
          <w:marTop w:val="0"/>
          <w:marBottom w:val="0"/>
          <w:divBdr>
            <w:top w:val="none" w:sz="0" w:space="0" w:color="auto"/>
            <w:left w:val="none" w:sz="0" w:space="0" w:color="auto"/>
            <w:bottom w:val="none" w:sz="0" w:space="0" w:color="auto"/>
            <w:right w:val="none" w:sz="0" w:space="0" w:color="auto"/>
          </w:divBdr>
        </w:div>
      </w:divsChild>
    </w:div>
    <w:div w:id="1904832123">
      <w:bodyDiv w:val="1"/>
      <w:marLeft w:val="0"/>
      <w:marRight w:val="0"/>
      <w:marTop w:val="0"/>
      <w:marBottom w:val="0"/>
      <w:divBdr>
        <w:top w:val="none" w:sz="0" w:space="0" w:color="auto"/>
        <w:left w:val="none" w:sz="0" w:space="0" w:color="auto"/>
        <w:bottom w:val="none" w:sz="0" w:space="0" w:color="auto"/>
        <w:right w:val="none" w:sz="0" w:space="0" w:color="auto"/>
      </w:divBdr>
    </w:div>
    <w:div w:id="1905607759">
      <w:bodyDiv w:val="1"/>
      <w:marLeft w:val="0"/>
      <w:marRight w:val="0"/>
      <w:marTop w:val="0"/>
      <w:marBottom w:val="0"/>
      <w:divBdr>
        <w:top w:val="none" w:sz="0" w:space="0" w:color="auto"/>
        <w:left w:val="none" w:sz="0" w:space="0" w:color="auto"/>
        <w:bottom w:val="none" w:sz="0" w:space="0" w:color="auto"/>
        <w:right w:val="none" w:sz="0" w:space="0" w:color="auto"/>
      </w:divBdr>
    </w:div>
    <w:div w:id="1932928087">
      <w:bodyDiv w:val="1"/>
      <w:marLeft w:val="0"/>
      <w:marRight w:val="0"/>
      <w:marTop w:val="0"/>
      <w:marBottom w:val="0"/>
      <w:divBdr>
        <w:top w:val="none" w:sz="0" w:space="0" w:color="auto"/>
        <w:left w:val="none" w:sz="0" w:space="0" w:color="auto"/>
        <w:bottom w:val="none" w:sz="0" w:space="0" w:color="auto"/>
        <w:right w:val="none" w:sz="0" w:space="0" w:color="auto"/>
      </w:divBdr>
      <w:divsChild>
        <w:div w:id="543711492">
          <w:marLeft w:val="547"/>
          <w:marRight w:val="0"/>
          <w:marTop w:val="200"/>
          <w:marBottom w:val="120"/>
          <w:divBdr>
            <w:top w:val="none" w:sz="0" w:space="0" w:color="auto"/>
            <w:left w:val="none" w:sz="0" w:space="0" w:color="auto"/>
            <w:bottom w:val="none" w:sz="0" w:space="0" w:color="auto"/>
            <w:right w:val="none" w:sz="0" w:space="0" w:color="auto"/>
          </w:divBdr>
        </w:div>
      </w:divsChild>
    </w:div>
    <w:div w:id="1953391969">
      <w:bodyDiv w:val="1"/>
      <w:marLeft w:val="0"/>
      <w:marRight w:val="0"/>
      <w:marTop w:val="0"/>
      <w:marBottom w:val="0"/>
      <w:divBdr>
        <w:top w:val="none" w:sz="0" w:space="0" w:color="auto"/>
        <w:left w:val="none" w:sz="0" w:space="0" w:color="auto"/>
        <w:bottom w:val="none" w:sz="0" w:space="0" w:color="auto"/>
        <w:right w:val="none" w:sz="0" w:space="0" w:color="auto"/>
      </w:divBdr>
    </w:div>
    <w:div w:id="2034912307">
      <w:bodyDiv w:val="1"/>
      <w:marLeft w:val="0"/>
      <w:marRight w:val="0"/>
      <w:marTop w:val="0"/>
      <w:marBottom w:val="0"/>
      <w:divBdr>
        <w:top w:val="none" w:sz="0" w:space="0" w:color="auto"/>
        <w:left w:val="none" w:sz="0" w:space="0" w:color="auto"/>
        <w:bottom w:val="none" w:sz="0" w:space="0" w:color="auto"/>
        <w:right w:val="none" w:sz="0" w:space="0" w:color="auto"/>
      </w:divBdr>
    </w:div>
    <w:div w:id="2046366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E83014-4E88-420D-9D25-5F827ED8D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19726</Words>
  <Characters>112439</Characters>
  <Application>Microsoft Office Word</Application>
  <DocSecurity>0</DocSecurity>
  <Lines>936</Lines>
  <Paragraphs>263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2023-04-04T05:29:00Z</dcterms:created>
  <dcterms:modified xsi:type="dcterms:W3CDTF">2023-04-04T06:55:00Z</dcterms:modified>
</cp:coreProperties>
</file>