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7A900201" w:rsidR="00B60939" w:rsidRPr="002F733E" w:rsidRDefault="001071D0" w:rsidP="004A6040">
      <w:pPr>
        <w:pStyle w:val="1-MainHeading"/>
      </w:pPr>
      <w:bookmarkStart w:id="0" w:name="_Toc124521437"/>
      <w:r w:rsidRPr="002F733E">
        <w:t>7.02</w:t>
      </w:r>
      <w:r w:rsidR="00163F66" w:rsidRPr="002F733E">
        <w:tab/>
      </w:r>
      <w:r w:rsidR="007A5FEF" w:rsidRPr="002F733E">
        <w:t>ANIFROLUMAB</w:t>
      </w:r>
      <w:r w:rsidR="00163F66" w:rsidRPr="002F733E">
        <w:br/>
      </w:r>
      <w:r w:rsidR="007A5FEF" w:rsidRPr="002F733E">
        <w:t>Solution concentrate for I.V. infusion 300 mg in 2 mL</w:t>
      </w:r>
      <w:r w:rsidR="003134CF" w:rsidRPr="002F733E">
        <w:t xml:space="preserve"> vial</w:t>
      </w:r>
      <w:r w:rsidR="007A5FEF" w:rsidRPr="002F733E">
        <w:t>,</w:t>
      </w:r>
      <w:r w:rsidR="00163F66" w:rsidRPr="002F733E">
        <w:br/>
      </w:r>
      <w:r w:rsidR="007A5FEF" w:rsidRPr="002F733E">
        <w:t>Saphnelo</w:t>
      </w:r>
      <w:r w:rsidR="007A5FEF" w:rsidRPr="002F733E">
        <w:rPr>
          <w:vertAlign w:val="superscript"/>
        </w:rPr>
        <w:t>®</w:t>
      </w:r>
      <w:r w:rsidR="007A5FEF" w:rsidRPr="002F733E">
        <w:t>,</w:t>
      </w:r>
      <w:r w:rsidR="004A6040" w:rsidRPr="002F733E">
        <w:br/>
      </w:r>
      <w:r w:rsidR="007A5FEF" w:rsidRPr="002F733E">
        <w:t>AstraZeneca Pty Ltd.</w:t>
      </w:r>
      <w:bookmarkEnd w:id="0"/>
      <w:r w:rsidR="007A5FEF" w:rsidRPr="002F733E" w:rsidDel="007A5FEF">
        <w:t xml:space="preserve"> </w:t>
      </w:r>
      <w:r w:rsidR="00CD4CC4" w:rsidRPr="002F733E">
        <w:t xml:space="preserve"> </w:t>
      </w:r>
    </w:p>
    <w:p w14:paraId="11C00795" w14:textId="3DFB6D23" w:rsidR="00B50DB8" w:rsidRPr="002F733E" w:rsidRDefault="00B50DB8" w:rsidP="004A6040">
      <w:pPr>
        <w:pStyle w:val="2-SectionHeading"/>
      </w:pPr>
      <w:bookmarkStart w:id="1" w:name="_Toc124521439"/>
      <w:r w:rsidRPr="002F733E">
        <w:t xml:space="preserve">Purpose of </w:t>
      </w:r>
      <w:r w:rsidR="00CD7193" w:rsidRPr="002F733E">
        <w:t>s</w:t>
      </w:r>
      <w:r w:rsidR="00BB3A45" w:rsidRPr="002F733E">
        <w:t>ubmission</w:t>
      </w:r>
      <w:bookmarkEnd w:id="1"/>
    </w:p>
    <w:p w14:paraId="307C5F7E" w14:textId="64865FFE" w:rsidR="00FC1D6B" w:rsidRPr="002F733E" w:rsidRDefault="00FC1D6B" w:rsidP="004E18E9">
      <w:pPr>
        <w:pStyle w:val="3-BodyText"/>
      </w:pPr>
      <w:r w:rsidRPr="002F733E">
        <w:t xml:space="preserve">The Standard Re-Entry resubmission requested a Section 100 Highly Specialised Drugs (S100 HSD) Authority Required (In Writing/HPOS) listing of anifrolumab </w:t>
      </w:r>
      <w:r w:rsidR="00160066" w:rsidRPr="002F733E">
        <w:t xml:space="preserve">for the </w:t>
      </w:r>
      <w:r w:rsidRPr="002F733E">
        <w:t xml:space="preserve">treatment </w:t>
      </w:r>
      <w:r w:rsidR="00160066" w:rsidRPr="002F733E">
        <w:t xml:space="preserve">of </w:t>
      </w:r>
      <w:r w:rsidRPr="002F733E">
        <w:t>patients with severe systemic lupus erythematosus (SLE) with high disease activity despite standard of care (SOC).</w:t>
      </w:r>
      <w:r w:rsidR="003571D6" w:rsidRPr="002F733E">
        <w:t xml:space="preserve"> </w:t>
      </w:r>
      <w:r w:rsidR="003571D6" w:rsidRPr="002F733E">
        <w:rPr>
          <w:iCs/>
        </w:rPr>
        <w:t>This is the second submission for anifrolumab, the previous submission was in July 2022.</w:t>
      </w:r>
      <w:r w:rsidR="003571D6" w:rsidRPr="002F733E">
        <w:rPr>
          <w:i/>
        </w:rPr>
        <w:t xml:space="preserve"> </w:t>
      </w:r>
    </w:p>
    <w:p w14:paraId="76211B37" w14:textId="3C8CE3B5" w:rsidR="004B7098" w:rsidRPr="002F733E" w:rsidRDefault="004B7098" w:rsidP="004B7098">
      <w:pPr>
        <w:pStyle w:val="3-BodyText"/>
      </w:pPr>
      <w:r w:rsidRPr="002F733E">
        <w:t xml:space="preserve">Anifrolumab is to be used in combination with SOC. As with the July 2022 submission, the listing was requested on a cost-utility basis versus SOC alone. </w:t>
      </w:r>
      <w:r w:rsidR="005A67D0" w:rsidRPr="002F733E">
        <w:rPr>
          <w:highlight w:val="yellow"/>
        </w:rPr>
        <w:fldChar w:fldCharType="begin" w:fldLock="1"/>
      </w:r>
      <w:r w:rsidR="005A67D0" w:rsidRPr="002F733E">
        <w:instrText xml:space="preserve"> REF _Ref121737154 \h </w:instrText>
      </w:r>
      <w:r w:rsidR="005A67D0" w:rsidRPr="002F733E">
        <w:rPr>
          <w:highlight w:val="yellow"/>
        </w:rPr>
      </w:r>
      <w:r w:rsidR="005A67D0" w:rsidRPr="002F733E">
        <w:rPr>
          <w:highlight w:val="yellow"/>
        </w:rPr>
        <w:fldChar w:fldCharType="separate"/>
      </w:r>
      <w:r w:rsidR="001316D2" w:rsidRPr="002F733E">
        <w:t>Table 1</w:t>
      </w:r>
      <w:r w:rsidR="005A67D0" w:rsidRPr="002F733E">
        <w:rPr>
          <w:highlight w:val="yellow"/>
        </w:rPr>
        <w:fldChar w:fldCharType="end"/>
      </w:r>
      <w:r w:rsidR="005A67D0" w:rsidRPr="002F733E">
        <w:t xml:space="preserve"> </w:t>
      </w:r>
      <w:r w:rsidRPr="002F733E">
        <w:t>summarises the components of the overall clinical claim addressed by the resubmission.</w:t>
      </w:r>
    </w:p>
    <w:p w14:paraId="26E7728A" w14:textId="2D03E5FA" w:rsidR="004B7098" w:rsidRPr="002F733E" w:rsidRDefault="005A67D0" w:rsidP="004B7098">
      <w:pPr>
        <w:pStyle w:val="TableFigureHeading"/>
        <w:keepNext w:val="0"/>
      </w:pPr>
      <w:bookmarkStart w:id="2" w:name="_Ref121737154"/>
      <w:r w:rsidRPr="002F733E">
        <w:t xml:space="preserve">Table </w:t>
      </w:r>
      <w:fldSimple w:instr=" SEQ Table \* ARABIC " w:fldLock="1">
        <w:r w:rsidR="00781A0F" w:rsidRPr="002F733E">
          <w:t>1</w:t>
        </w:r>
      </w:fldSimple>
      <w:bookmarkEnd w:id="2"/>
      <w:r w:rsidR="004B7098" w:rsidRPr="002F733E">
        <w:rPr>
          <w:rStyle w:val="CommentReference"/>
          <w:b/>
          <w:szCs w:val="24"/>
        </w:rPr>
        <w:t>: Key components of the clinical issue addressed by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3"/>
        <w:gridCol w:w="7904"/>
      </w:tblGrid>
      <w:tr w:rsidR="004B7098" w:rsidRPr="002F733E" w14:paraId="08BA9C0E" w14:textId="77777777" w:rsidTr="00C664C8">
        <w:tc>
          <w:tcPr>
            <w:tcW w:w="617" w:type="pct"/>
            <w:shd w:val="clear" w:color="auto" w:fill="B8CCE4" w:themeFill="accent1" w:themeFillTint="66"/>
            <w:vAlign w:val="center"/>
          </w:tcPr>
          <w:p w14:paraId="1821F233" w14:textId="77777777" w:rsidR="004B7098" w:rsidRPr="002F733E" w:rsidRDefault="004B7098" w:rsidP="00C664C8">
            <w:pPr>
              <w:pStyle w:val="In-tableHeading"/>
              <w:keepNext w:val="0"/>
              <w:rPr>
                <w:lang w:val="en-AU"/>
              </w:rPr>
            </w:pPr>
            <w:r w:rsidRPr="002F733E">
              <w:rPr>
                <w:lang w:val="en-AU"/>
              </w:rPr>
              <w:t>Component</w:t>
            </w:r>
          </w:p>
        </w:tc>
        <w:tc>
          <w:tcPr>
            <w:tcW w:w="4383" w:type="pct"/>
            <w:shd w:val="clear" w:color="auto" w:fill="B8CCE4" w:themeFill="accent1" w:themeFillTint="66"/>
            <w:vAlign w:val="center"/>
          </w:tcPr>
          <w:p w14:paraId="69554EBD" w14:textId="77777777" w:rsidR="004B7098" w:rsidRPr="002F733E" w:rsidRDefault="004B7098" w:rsidP="00C664C8">
            <w:pPr>
              <w:pStyle w:val="In-tableHeading"/>
              <w:keepNext w:val="0"/>
              <w:rPr>
                <w:lang w:val="en-AU"/>
              </w:rPr>
            </w:pPr>
            <w:r w:rsidRPr="002F733E">
              <w:rPr>
                <w:lang w:val="en-AU"/>
              </w:rPr>
              <w:t>Description</w:t>
            </w:r>
          </w:p>
        </w:tc>
      </w:tr>
      <w:tr w:rsidR="004B7098" w:rsidRPr="002F733E" w14:paraId="2BEC9D65" w14:textId="77777777" w:rsidTr="00C664C8">
        <w:tc>
          <w:tcPr>
            <w:tcW w:w="617" w:type="pct"/>
            <w:shd w:val="clear" w:color="auto" w:fill="B8CCE4" w:themeFill="accent1" w:themeFillTint="66"/>
            <w:vAlign w:val="center"/>
          </w:tcPr>
          <w:p w14:paraId="7A016E12" w14:textId="77777777" w:rsidR="004B7098" w:rsidRPr="002F733E" w:rsidRDefault="004B7098" w:rsidP="00C664C8">
            <w:pPr>
              <w:pStyle w:val="TableText0"/>
              <w:keepNext w:val="0"/>
            </w:pPr>
            <w:r w:rsidRPr="002F733E">
              <w:t>Population</w:t>
            </w:r>
          </w:p>
        </w:tc>
        <w:tc>
          <w:tcPr>
            <w:tcW w:w="4383" w:type="pct"/>
            <w:shd w:val="clear" w:color="auto" w:fill="B8CCE4" w:themeFill="accent1" w:themeFillTint="66"/>
            <w:vAlign w:val="center"/>
          </w:tcPr>
          <w:p w14:paraId="23E89018" w14:textId="77777777" w:rsidR="004B7098" w:rsidRPr="002F733E" w:rsidRDefault="004B7098" w:rsidP="00C664C8">
            <w:pPr>
              <w:pStyle w:val="TableText0"/>
              <w:keepNext w:val="0"/>
            </w:pPr>
            <w:r w:rsidRPr="002F733E">
              <w:t>Adult patients with severe SLE with a high degree of disease activity (SLEDAI-2K ≥10) despite SOC (triple therapy).</w:t>
            </w:r>
          </w:p>
        </w:tc>
      </w:tr>
      <w:tr w:rsidR="004B7098" w:rsidRPr="002F733E" w14:paraId="55CE5BD2" w14:textId="77777777" w:rsidTr="00C664C8">
        <w:tc>
          <w:tcPr>
            <w:tcW w:w="617" w:type="pct"/>
            <w:shd w:val="clear" w:color="auto" w:fill="B8CCE4" w:themeFill="accent1" w:themeFillTint="66"/>
            <w:vAlign w:val="center"/>
          </w:tcPr>
          <w:p w14:paraId="2F5EF9C5" w14:textId="77777777" w:rsidR="004B7098" w:rsidRPr="002F733E" w:rsidRDefault="004B7098" w:rsidP="00C664C8">
            <w:pPr>
              <w:pStyle w:val="TableText0"/>
              <w:keepNext w:val="0"/>
            </w:pPr>
            <w:r w:rsidRPr="002F733E">
              <w:t>Intervention</w:t>
            </w:r>
          </w:p>
        </w:tc>
        <w:tc>
          <w:tcPr>
            <w:tcW w:w="4383" w:type="pct"/>
            <w:shd w:val="clear" w:color="auto" w:fill="B8CCE4" w:themeFill="accent1" w:themeFillTint="66"/>
            <w:vAlign w:val="center"/>
          </w:tcPr>
          <w:p w14:paraId="69A0B861" w14:textId="77777777" w:rsidR="004B7098" w:rsidRPr="002F733E" w:rsidRDefault="004B7098" w:rsidP="00C664C8">
            <w:pPr>
              <w:pStyle w:val="TableText0"/>
              <w:keepNext w:val="0"/>
            </w:pPr>
            <w:r w:rsidRPr="002F733E">
              <w:t>Anifrolumab 300 mg intravenous injection every four weeks added to SOC</w:t>
            </w:r>
          </w:p>
        </w:tc>
      </w:tr>
      <w:tr w:rsidR="004B7098" w:rsidRPr="002F733E" w14:paraId="641CEB99" w14:textId="77777777" w:rsidTr="00C664C8">
        <w:tc>
          <w:tcPr>
            <w:tcW w:w="617" w:type="pct"/>
            <w:shd w:val="clear" w:color="auto" w:fill="B8CCE4" w:themeFill="accent1" w:themeFillTint="66"/>
            <w:vAlign w:val="center"/>
          </w:tcPr>
          <w:p w14:paraId="68A5676B" w14:textId="77777777" w:rsidR="004B7098" w:rsidRPr="002F733E" w:rsidRDefault="004B7098" w:rsidP="00C664C8">
            <w:pPr>
              <w:pStyle w:val="TableText0"/>
              <w:keepNext w:val="0"/>
            </w:pPr>
            <w:r w:rsidRPr="002F733E">
              <w:t>Comparator</w:t>
            </w:r>
          </w:p>
        </w:tc>
        <w:tc>
          <w:tcPr>
            <w:tcW w:w="4383" w:type="pct"/>
            <w:shd w:val="clear" w:color="auto" w:fill="B8CCE4" w:themeFill="accent1" w:themeFillTint="66"/>
            <w:vAlign w:val="center"/>
          </w:tcPr>
          <w:p w14:paraId="2C7D75CC" w14:textId="77777777" w:rsidR="004B7098" w:rsidRPr="002F733E" w:rsidRDefault="004B7098" w:rsidP="00C664C8">
            <w:pPr>
              <w:pStyle w:val="TableText0"/>
              <w:keepNext w:val="0"/>
            </w:pPr>
            <w:r w:rsidRPr="002F733E">
              <w:t>SOC alone (placebo).</w:t>
            </w:r>
          </w:p>
        </w:tc>
      </w:tr>
      <w:tr w:rsidR="004B7098" w:rsidRPr="002F733E" w14:paraId="58C710B2" w14:textId="77777777" w:rsidTr="00DA4F8C">
        <w:tc>
          <w:tcPr>
            <w:tcW w:w="617" w:type="pct"/>
            <w:shd w:val="clear" w:color="auto" w:fill="B8CCE4" w:themeFill="accent1" w:themeFillTint="66"/>
            <w:vAlign w:val="center"/>
          </w:tcPr>
          <w:p w14:paraId="44873A47" w14:textId="77777777" w:rsidR="004B7098" w:rsidRPr="002F733E" w:rsidRDefault="004B7098" w:rsidP="00C664C8">
            <w:pPr>
              <w:pStyle w:val="TableText0"/>
              <w:keepNext w:val="0"/>
            </w:pPr>
            <w:r w:rsidRPr="002F733E">
              <w:t>Outcomes</w:t>
            </w:r>
          </w:p>
        </w:tc>
        <w:tc>
          <w:tcPr>
            <w:tcW w:w="4383" w:type="pct"/>
            <w:shd w:val="clear" w:color="auto" w:fill="B8CCE4" w:themeFill="accent1" w:themeFillTint="66"/>
            <w:vAlign w:val="center"/>
          </w:tcPr>
          <w:p w14:paraId="12D38CA3" w14:textId="77777777" w:rsidR="004B7098" w:rsidRPr="002F733E" w:rsidRDefault="004B7098" w:rsidP="00C664C8">
            <w:pPr>
              <w:pStyle w:val="TableText0"/>
              <w:keepNext w:val="0"/>
            </w:pPr>
            <w:r w:rsidRPr="002F733E">
              <w:rPr>
                <w:shd w:val="clear" w:color="auto" w:fill="B8CCE4" w:themeFill="accent1" w:themeFillTint="66"/>
              </w:rPr>
              <w:t>SLE Responder Index (SRI(4)) (a composite outcome consisting of SLEDAI-2K, PGA, BILAG), BICLA response (a composite outcome consisting of BILAG, PGA, SLEDAI-2K), reduction in OCS use, annualised flare rate SDI, CLASI, active (swollen and tender) joint count, HRQoL, and adverse events.</w:t>
            </w:r>
          </w:p>
        </w:tc>
      </w:tr>
      <w:tr w:rsidR="004B7098" w:rsidRPr="002F733E" w14:paraId="09F51933" w14:textId="77777777" w:rsidTr="00C664C8">
        <w:tc>
          <w:tcPr>
            <w:tcW w:w="617" w:type="pct"/>
            <w:shd w:val="clear" w:color="auto" w:fill="B8CCE4" w:themeFill="accent1" w:themeFillTint="66"/>
            <w:vAlign w:val="center"/>
          </w:tcPr>
          <w:p w14:paraId="67D86171" w14:textId="77777777" w:rsidR="004B7098" w:rsidRPr="002F733E" w:rsidRDefault="004B7098" w:rsidP="00C664C8">
            <w:pPr>
              <w:pStyle w:val="TableText0"/>
              <w:keepNext w:val="0"/>
            </w:pPr>
            <w:r w:rsidRPr="002F733E">
              <w:t>Clinical claim</w:t>
            </w:r>
          </w:p>
        </w:tc>
        <w:tc>
          <w:tcPr>
            <w:tcW w:w="4383" w:type="pct"/>
            <w:shd w:val="clear" w:color="auto" w:fill="B8CCE4" w:themeFill="accent1" w:themeFillTint="66"/>
            <w:vAlign w:val="center"/>
          </w:tcPr>
          <w:p w14:paraId="731F11A7" w14:textId="3436C7DA" w:rsidR="004B7098" w:rsidRPr="002F733E" w:rsidRDefault="004B7098" w:rsidP="00C664C8">
            <w:pPr>
              <w:pStyle w:val="TableText0"/>
              <w:keepNext w:val="0"/>
            </w:pPr>
            <w:r w:rsidRPr="002F733E">
              <w:t>In patients with SLE and a high degree of disease activity (SLEDAI-2K ≥10) despite SOC (triple therapy comprising of an antimalarial, immunosuppressant (MTX, AZA, or mycophenolate) and 7.5 mg/day prednisone (or equivalent)), anifrolumab 300 mg IV added to SOC has superior effectiveness and inferior safety compared to SOC alone</w:t>
            </w:r>
            <w:r w:rsidR="00C51C19" w:rsidRPr="002F733E">
              <w:t>*</w:t>
            </w:r>
            <w:r w:rsidRPr="002F733E">
              <w:t>.</w:t>
            </w:r>
          </w:p>
        </w:tc>
      </w:tr>
    </w:tbl>
    <w:p w14:paraId="1AD471CD" w14:textId="77777777" w:rsidR="004B7098" w:rsidRPr="002F733E" w:rsidRDefault="004B7098" w:rsidP="004B7098">
      <w:pPr>
        <w:pStyle w:val="TableFigureFooter"/>
        <w:keepNext/>
        <w:spacing w:after="0"/>
        <w:rPr>
          <w:iCs/>
        </w:rPr>
      </w:pPr>
      <w:r w:rsidRPr="002F733E">
        <w:rPr>
          <w:iCs/>
          <w:shd w:val="clear" w:color="auto" w:fill="B8CCE4" w:themeFill="accent1" w:themeFillTint="66"/>
        </w:rPr>
        <w:t>Blue</w:t>
      </w:r>
      <w:r w:rsidRPr="002F733E">
        <w:rPr>
          <w:iCs/>
        </w:rPr>
        <w:t xml:space="preserve"> shading represents information previously considered by the PBAC.</w:t>
      </w:r>
    </w:p>
    <w:p w14:paraId="631E88C2" w14:textId="77777777" w:rsidR="004B7098" w:rsidRPr="002F733E" w:rsidRDefault="004B7098" w:rsidP="004B7098">
      <w:pPr>
        <w:pStyle w:val="TableFigureFooter"/>
      </w:pPr>
      <w:r w:rsidRPr="002F733E">
        <w:t>Source: Table 1.1-4, p19 of the resubmission.</w:t>
      </w:r>
    </w:p>
    <w:p w14:paraId="257158AA" w14:textId="24F85C4F" w:rsidR="004B7098" w:rsidRPr="002F733E" w:rsidRDefault="004B7098" w:rsidP="004B7098">
      <w:pPr>
        <w:pStyle w:val="TableFigureFooter"/>
      </w:pPr>
      <w:r w:rsidRPr="002F733E">
        <w:t>AZA=azathioprine; BICLA=BILAG–Based Composite Lupus Assessment; BILAG=British Isles Lupus Assessment Group; CLASI=Cutaneous Lupus Erythematosus Disease Area and Severity Index; HRQoL=health related quality of life; MTX=methotrexate; OCS=oral corticosteroids; PGA=physician’s global assessment; SDI=SLICC/ACR (Systemic Lupus International Collaborating Clinics/American College of Rheumatology) Damage Index; SLE=Systemic Lupus Erythematosus; SLEDIA-2K=Systemic Lupus Erythematosus Disease Activity Index 2000; SOC=standard of care; SRI(4)=4-point reduction on the SLE Responder Index.</w:t>
      </w:r>
    </w:p>
    <w:p w14:paraId="66FA1531" w14:textId="4FDF9D2A" w:rsidR="00C51C19" w:rsidRPr="002F733E" w:rsidRDefault="00C51C19" w:rsidP="004B7098">
      <w:pPr>
        <w:pStyle w:val="TableFigureFooter"/>
      </w:pPr>
      <w:r w:rsidRPr="002F733E">
        <w:t xml:space="preserve">* The safety claim was revised from non-inferior to inferior in the </w:t>
      </w:r>
      <w:r w:rsidR="00965F66">
        <w:t>Pre-Sub-Committee Response (</w:t>
      </w:r>
      <w:r w:rsidRPr="002F733E">
        <w:t>PSCR</w:t>
      </w:r>
      <w:r w:rsidR="00965F66">
        <w:t>).</w:t>
      </w:r>
    </w:p>
    <w:p w14:paraId="6B4AB6C2" w14:textId="7F01D731" w:rsidR="005C25FF" w:rsidRPr="002F733E" w:rsidRDefault="005C25FF" w:rsidP="004A6040">
      <w:pPr>
        <w:pStyle w:val="2-SectionHeading"/>
      </w:pPr>
      <w:bookmarkStart w:id="3" w:name="_Toc124521440"/>
      <w:r w:rsidRPr="002F733E">
        <w:t>Background</w:t>
      </w:r>
      <w:bookmarkEnd w:id="3"/>
    </w:p>
    <w:p w14:paraId="2C521D6D" w14:textId="78CF03EE" w:rsidR="005C25FF" w:rsidRPr="002F733E" w:rsidRDefault="005C25FF" w:rsidP="004A6040">
      <w:pPr>
        <w:pStyle w:val="4-SubsectionHeading"/>
      </w:pPr>
      <w:bookmarkStart w:id="4" w:name="_Toc22897638"/>
      <w:bookmarkStart w:id="5" w:name="_Toc124521441"/>
      <w:r w:rsidRPr="002F733E">
        <w:t>Registration status</w:t>
      </w:r>
      <w:bookmarkEnd w:id="4"/>
      <w:bookmarkEnd w:id="5"/>
    </w:p>
    <w:p w14:paraId="252E9D1E" w14:textId="3175D7DE" w:rsidR="004B7098" w:rsidRPr="002F733E" w:rsidRDefault="004B7098" w:rsidP="004E18E9">
      <w:pPr>
        <w:pStyle w:val="3-BodyText"/>
      </w:pPr>
      <w:r w:rsidRPr="002F733E">
        <w:t>Anifrolumab was registered by the TGA on 29 March 2022 for the following indication:</w:t>
      </w:r>
    </w:p>
    <w:p w14:paraId="694668A9" w14:textId="4E16EEBC" w:rsidR="004B7098" w:rsidRPr="002F733E" w:rsidRDefault="004B7098" w:rsidP="00CD7E46">
      <w:pPr>
        <w:pStyle w:val="3-BodyText"/>
        <w:numPr>
          <w:ilvl w:val="0"/>
          <w:numId w:val="0"/>
        </w:numPr>
        <w:ind w:left="720"/>
        <w:rPr>
          <w:iCs/>
        </w:rPr>
      </w:pPr>
      <w:r w:rsidRPr="002F733E">
        <w:rPr>
          <w:iCs/>
        </w:rPr>
        <w:lastRenderedPageBreak/>
        <w:t>“SAPHNELO (anifrolumab) is indicated as add on treatment of adult patients with moderate to severe, active systemic lupus erythematosus (SLE), despite standard therapy. The safety and efficacy of SAPHNELO have not been evaluated in patients with severe active lupus nephritis or severe active central nervous system lupus.”</w:t>
      </w:r>
    </w:p>
    <w:p w14:paraId="3DC188F8" w14:textId="65F4F0A3" w:rsidR="004B7098" w:rsidRPr="002F733E" w:rsidRDefault="004B7098" w:rsidP="004E18E9">
      <w:pPr>
        <w:pStyle w:val="3-BodyText"/>
        <w:rPr>
          <w:iCs/>
        </w:rPr>
      </w:pPr>
      <w:r w:rsidRPr="002F733E">
        <w:rPr>
          <w:iCs/>
        </w:rPr>
        <w:t>In the July 2022 draft HTA review, the Canadian Agency for Drugs and Technologies in Health (CADTH)</w:t>
      </w:r>
      <w:r w:rsidRPr="002F733E">
        <w:rPr>
          <w:rStyle w:val="FootnoteReference"/>
          <w:iCs/>
        </w:rPr>
        <w:footnoteReference w:id="2"/>
      </w:r>
      <w:r w:rsidRPr="002F733E">
        <w:rPr>
          <w:iCs/>
        </w:rPr>
        <w:t xml:space="preserve"> did not recommend anifrolumab for reimbursement in the treatment of adults with SLE, on the basis that there was insufficient evidence to demonstrate that treatment with anifrolumab results in a meaningful clinical benefit when compared to placebo. </w:t>
      </w:r>
      <w:r w:rsidR="00DC7889">
        <w:rPr>
          <w:iCs/>
        </w:rPr>
        <w:t>T</w:t>
      </w:r>
      <w:r w:rsidRPr="002F733E">
        <w:rPr>
          <w:iCs/>
        </w:rPr>
        <w:t>he National Institute of Clinical Excellence (NICE)</w:t>
      </w:r>
      <w:r w:rsidRPr="002F733E">
        <w:rPr>
          <w:rStyle w:val="FootnoteReference"/>
          <w:iCs/>
        </w:rPr>
        <w:footnoteReference w:id="3"/>
      </w:r>
      <w:r w:rsidRPr="002F733E">
        <w:rPr>
          <w:iCs/>
        </w:rPr>
        <w:t xml:space="preserve"> did not make a recommendation on anifrolumab for treatment of SLE because </w:t>
      </w:r>
      <w:r w:rsidR="006B70A0" w:rsidRPr="002F733E">
        <w:rPr>
          <w:iCs/>
        </w:rPr>
        <w:t xml:space="preserve">the appraisal was terminated when </w:t>
      </w:r>
      <w:r w:rsidR="00DC7889">
        <w:rPr>
          <w:iCs/>
        </w:rPr>
        <w:t>NICE</w:t>
      </w:r>
      <w:r w:rsidR="006B70A0" w:rsidRPr="002F733E">
        <w:rPr>
          <w:iCs/>
        </w:rPr>
        <w:t xml:space="preserve"> was advised that </w:t>
      </w:r>
      <w:r w:rsidRPr="002F733E">
        <w:rPr>
          <w:iCs/>
        </w:rPr>
        <w:t xml:space="preserve">the sponsor </w:t>
      </w:r>
      <w:r w:rsidR="006B70A0" w:rsidRPr="002F733E">
        <w:rPr>
          <w:iCs/>
        </w:rPr>
        <w:t xml:space="preserve">would not be providing </w:t>
      </w:r>
      <w:r w:rsidRPr="002F733E">
        <w:rPr>
          <w:iCs/>
        </w:rPr>
        <w:t xml:space="preserve">an evidence submission for the appraisal. The sponsor considered that there </w:t>
      </w:r>
      <w:r w:rsidR="006B70A0" w:rsidRPr="002F733E">
        <w:rPr>
          <w:iCs/>
        </w:rPr>
        <w:t xml:space="preserve">was </w:t>
      </w:r>
      <w:r w:rsidRPr="002F733E">
        <w:rPr>
          <w:iCs/>
        </w:rPr>
        <w:t xml:space="preserve">unlikely to be enough evidence that the technology </w:t>
      </w:r>
      <w:r w:rsidR="006B70A0" w:rsidRPr="002F733E">
        <w:rPr>
          <w:iCs/>
        </w:rPr>
        <w:t>was</w:t>
      </w:r>
      <w:r w:rsidRPr="002F733E">
        <w:rPr>
          <w:iCs/>
        </w:rPr>
        <w:t xml:space="preserve"> a cost-effective use of National Health Service (NHS) resources for this population.</w:t>
      </w:r>
    </w:p>
    <w:p w14:paraId="3E2A6EAB" w14:textId="469C8C0C" w:rsidR="005C25FF" w:rsidRPr="002F733E" w:rsidRDefault="005C25FF" w:rsidP="004E18E9">
      <w:pPr>
        <w:pStyle w:val="4-SubsectionHeading"/>
      </w:pPr>
      <w:bookmarkStart w:id="6" w:name="_Toc22897639"/>
      <w:bookmarkStart w:id="7" w:name="_Toc124521442"/>
      <w:r w:rsidRPr="002F733E">
        <w:t>Previous PBAC consideration</w:t>
      </w:r>
      <w:bookmarkEnd w:id="6"/>
      <w:bookmarkEnd w:id="7"/>
    </w:p>
    <w:p w14:paraId="263E3247" w14:textId="4680E5A2" w:rsidR="004B7098" w:rsidRPr="002F733E" w:rsidRDefault="005A67D0" w:rsidP="002E4F02">
      <w:pPr>
        <w:pStyle w:val="3-BodyText"/>
      </w:pPr>
      <w:r w:rsidRPr="002F733E">
        <w:fldChar w:fldCharType="begin" w:fldLock="1"/>
      </w:r>
      <w:r w:rsidRPr="002F733E">
        <w:instrText xml:space="preserve"> REF _Ref121736764 \h  \* MERGEFORMAT </w:instrText>
      </w:r>
      <w:r w:rsidRPr="002F733E">
        <w:fldChar w:fldCharType="separate"/>
      </w:r>
      <w:r w:rsidR="001316D2" w:rsidRPr="002F733E">
        <w:t>Table 2</w:t>
      </w:r>
      <w:r w:rsidRPr="002F733E">
        <w:fldChar w:fldCharType="end"/>
      </w:r>
      <w:r w:rsidRPr="002F733E">
        <w:t xml:space="preserve"> </w:t>
      </w:r>
      <w:r w:rsidR="00EE14B9" w:rsidRPr="002F733E">
        <w:t xml:space="preserve">summarises the key concerns identified in the </w:t>
      </w:r>
      <w:r w:rsidR="00C37A84" w:rsidRPr="002F733E">
        <w:t xml:space="preserve">July 2022 </w:t>
      </w:r>
      <w:r w:rsidR="00EE14B9" w:rsidRPr="002F733E">
        <w:t>submission and the response taken by the resubmission.</w:t>
      </w:r>
    </w:p>
    <w:p w14:paraId="079BD0B4" w14:textId="572769D1" w:rsidR="00EE14B9" w:rsidRPr="002F733E" w:rsidRDefault="00EE14B9" w:rsidP="00C51C19">
      <w:pPr>
        <w:keepNext/>
        <w:rPr>
          <w:rFonts w:ascii="Arial Narrow" w:eastAsiaTheme="majorEastAsia" w:hAnsi="Arial Narrow"/>
          <w:b/>
          <w:bCs/>
          <w:sz w:val="20"/>
          <w:szCs w:val="20"/>
        </w:rPr>
      </w:pPr>
      <w:bookmarkStart w:id="8" w:name="_Ref121736764"/>
      <w:r w:rsidRPr="002F733E">
        <w:rPr>
          <w:rFonts w:ascii="Arial Narrow" w:eastAsiaTheme="majorEastAsia" w:hAnsi="Arial Narrow"/>
          <w:b/>
          <w:bCs/>
          <w:sz w:val="20"/>
          <w:szCs w:val="20"/>
        </w:rPr>
        <w:t xml:space="preserve">Table </w:t>
      </w:r>
      <w:r w:rsidRPr="002F733E">
        <w:rPr>
          <w:rFonts w:ascii="Arial Narrow" w:eastAsiaTheme="majorEastAsia" w:hAnsi="Arial Narrow"/>
          <w:b/>
          <w:bCs/>
          <w:sz w:val="20"/>
          <w:szCs w:val="20"/>
        </w:rPr>
        <w:fldChar w:fldCharType="begin" w:fldLock="1"/>
      </w:r>
      <w:r w:rsidRPr="002F733E">
        <w:rPr>
          <w:rFonts w:ascii="Arial Narrow" w:eastAsiaTheme="majorEastAsia" w:hAnsi="Arial Narrow"/>
          <w:b/>
          <w:bCs/>
          <w:sz w:val="20"/>
          <w:szCs w:val="20"/>
        </w:rPr>
        <w:instrText xml:space="preserve"> SEQ Table \* ARABIC </w:instrText>
      </w:r>
      <w:r w:rsidRPr="002F733E">
        <w:rPr>
          <w:rFonts w:ascii="Arial Narrow" w:eastAsiaTheme="majorEastAsia" w:hAnsi="Arial Narrow"/>
          <w:b/>
          <w:bCs/>
          <w:sz w:val="20"/>
          <w:szCs w:val="20"/>
        </w:rPr>
        <w:fldChar w:fldCharType="separate"/>
      </w:r>
      <w:r w:rsidR="00781A0F" w:rsidRPr="002F733E">
        <w:rPr>
          <w:rFonts w:ascii="Arial Narrow" w:eastAsiaTheme="majorEastAsia" w:hAnsi="Arial Narrow"/>
          <w:b/>
          <w:bCs/>
          <w:sz w:val="20"/>
          <w:szCs w:val="20"/>
        </w:rPr>
        <w:t>2</w:t>
      </w:r>
      <w:r w:rsidRPr="002F733E">
        <w:rPr>
          <w:rFonts w:ascii="Arial Narrow" w:eastAsiaTheme="majorEastAsia" w:hAnsi="Arial Narrow"/>
          <w:b/>
          <w:bCs/>
          <w:sz w:val="20"/>
          <w:szCs w:val="20"/>
        </w:rPr>
        <w:fldChar w:fldCharType="end"/>
      </w:r>
      <w:bookmarkEnd w:id="8"/>
      <w:r w:rsidRPr="002F733E">
        <w:rPr>
          <w:rFonts w:ascii="Arial Narrow" w:eastAsiaTheme="majorEastAsia" w:hAnsi="Arial Narrow"/>
          <w:b/>
          <w:bCs/>
          <w:sz w:val="20"/>
          <w:szCs w:val="20"/>
        </w:rPr>
        <w:t>: Summary of key matters of concern and how the resubmission addressed them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29"/>
        <w:gridCol w:w="4395"/>
        <w:gridCol w:w="3493"/>
      </w:tblGrid>
      <w:tr w:rsidR="00EE14B9" w:rsidRPr="002F733E" w14:paraId="7C2DE1D5" w14:textId="77777777" w:rsidTr="00B84D30">
        <w:trPr>
          <w:tblHeader/>
        </w:trPr>
        <w:tc>
          <w:tcPr>
            <w:tcW w:w="626" w:type="pct"/>
            <w:vAlign w:val="center"/>
          </w:tcPr>
          <w:p w14:paraId="7FA22D5A" w14:textId="77777777" w:rsidR="00EE14B9" w:rsidRPr="002F733E" w:rsidRDefault="00EE14B9" w:rsidP="00C51C19">
            <w:pPr>
              <w:keepNext/>
              <w:jc w:val="left"/>
              <w:rPr>
                <w:rFonts w:ascii="Arial Narrow" w:eastAsiaTheme="majorEastAsia" w:hAnsi="Arial Narrow" w:cs="Times New Roman"/>
                <w:b/>
                <w:sz w:val="20"/>
              </w:rPr>
            </w:pPr>
            <w:r w:rsidRPr="002F733E">
              <w:rPr>
                <w:rFonts w:ascii="Arial Narrow" w:eastAsiaTheme="majorEastAsia" w:hAnsi="Arial Narrow" w:cs="Times New Roman"/>
                <w:b/>
                <w:sz w:val="20"/>
              </w:rPr>
              <w:t>Component</w:t>
            </w:r>
          </w:p>
        </w:tc>
        <w:tc>
          <w:tcPr>
            <w:tcW w:w="2437" w:type="pct"/>
            <w:vAlign w:val="center"/>
          </w:tcPr>
          <w:p w14:paraId="0BB2DD18" w14:textId="4F964A88" w:rsidR="00EE14B9" w:rsidRPr="002F733E" w:rsidRDefault="00EE14B9" w:rsidP="00C51C19">
            <w:pPr>
              <w:keepNext/>
              <w:jc w:val="left"/>
              <w:rPr>
                <w:rFonts w:ascii="Arial Narrow" w:eastAsiaTheme="majorEastAsia" w:hAnsi="Arial Narrow" w:cs="Times New Roman"/>
                <w:b/>
                <w:sz w:val="20"/>
              </w:rPr>
            </w:pPr>
            <w:r w:rsidRPr="002F733E">
              <w:rPr>
                <w:rFonts w:ascii="Arial Narrow" w:eastAsiaTheme="majorEastAsia" w:hAnsi="Arial Narrow" w:cs="Times New Roman"/>
                <w:b/>
                <w:sz w:val="20"/>
              </w:rPr>
              <w:t>Matter of concern raised at the July 2022 PBAC meeting</w:t>
            </w:r>
          </w:p>
        </w:tc>
        <w:tc>
          <w:tcPr>
            <w:tcW w:w="1937" w:type="pct"/>
            <w:vAlign w:val="center"/>
          </w:tcPr>
          <w:p w14:paraId="67D89DE2" w14:textId="77777777" w:rsidR="00EE14B9" w:rsidRPr="002F733E" w:rsidRDefault="00EE14B9" w:rsidP="00C51C19">
            <w:pPr>
              <w:keepNext/>
              <w:jc w:val="left"/>
              <w:rPr>
                <w:rFonts w:ascii="Arial Narrow" w:eastAsiaTheme="majorEastAsia" w:hAnsi="Arial Narrow" w:cs="Times New Roman"/>
                <w:b/>
                <w:sz w:val="20"/>
                <w:szCs w:val="20"/>
              </w:rPr>
            </w:pPr>
            <w:r w:rsidRPr="002F733E">
              <w:rPr>
                <w:rFonts w:ascii="Arial Narrow" w:eastAsiaTheme="majorEastAsia" w:hAnsi="Arial Narrow" w:cs="Times New Roman"/>
                <w:b/>
                <w:sz w:val="20"/>
                <w:szCs w:val="20"/>
              </w:rPr>
              <w:t>How the resubmission addresses the concern</w:t>
            </w:r>
          </w:p>
        </w:tc>
      </w:tr>
      <w:tr w:rsidR="00EE14B9" w:rsidRPr="002F733E" w14:paraId="65078754" w14:textId="77777777" w:rsidTr="00B84D30">
        <w:tc>
          <w:tcPr>
            <w:tcW w:w="626" w:type="pct"/>
          </w:tcPr>
          <w:p w14:paraId="073D9674" w14:textId="77777777" w:rsidR="00EE14B9" w:rsidRPr="002F733E" w:rsidRDefault="00EE14B9" w:rsidP="00B84D30">
            <w:pPr>
              <w:jc w:val="left"/>
              <w:rPr>
                <w:rFonts w:ascii="Arial Narrow" w:eastAsiaTheme="majorEastAsia" w:hAnsi="Arial Narrow" w:cstheme="majorBidi"/>
                <w:bCs/>
                <w:sz w:val="20"/>
              </w:rPr>
            </w:pPr>
            <w:r w:rsidRPr="002F733E">
              <w:rPr>
                <w:rFonts w:ascii="Arial Narrow" w:eastAsiaTheme="majorEastAsia" w:hAnsi="Arial Narrow" w:cstheme="majorBidi"/>
                <w:bCs/>
                <w:sz w:val="20"/>
              </w:rPr>
              <w:t>Requested restriction</w:t>
            </w:r>
          </w:p>
        </w:tc>
        <w:tc>
          <w:tcPr>
            <w:tcW w:w="2437" w:type="pct"/>
          </w:tcPr>
          <w:p w14:paraId="43E5B83B" w14:textId="47F33428" w:rsidR="00832207" w:rsidRPr="002F733E" w:rsidRDefault="00832207" w:rsidP="00B84D30">
            <w:pPr>
              <w:autoSpaceDE w:val="0"/>
              <w:autoSpaceDN w:val="0"/>
              <w:adjustRightInd w:val="0"/>
              <w:jc w:val="left"/>
              <w:rPr>
                <w:rFonts w:ascii="Arial Narrow" w:hAnsi="Arial Narrow" w:cs="Calibri"/>
                <w:sz w:val="20"/>
                <w:szCs w:val="20"/>
              </w:rPr>
            </w:pPr>
            <w:r w:rsidRPr="002F733E">
              <w:rPr>
                <w:rFonts w:ascii="Arial Narrow" w:hAnsi="Arial Narrow" w:cs="Calibri"/>
                <w:sz w:val="20"/>
                <w:szCs w:val="20"/>
              </w:rPr>
              <w:t>Some differences were noted in the restriction for anifrolumab and the wording proposed by the PBAC for belimumab (para 3.5, anifrolumab PSD</w:t>
            </w:r>
            <w:r w:rsidR="00D75FD7" w:rsidRPr="002F733E">
              <w:rPr>
                <w:rFonts w:ascii="Arial Narrow" w:hAnsi="Arial Narrow" w:cs="Calibri"/>
                <w:sz w:val="20"/>
                <w:szCs w:val="20"/>
              </w:rPr>
              <w:t>,</w:t>
            </w:r>
            <w:r w:rsidRPr="002F733E">
              <w:rPr>
                <w:rFonts w:ascii="Arial Narrow" w:hAnsi="Arial Narrow" w:cs="Calibri"/>
                <w:sz w:val="20"/>
                <w:szCs w:val="20"/>
              </w:rPr>
              <w:t xml:space="preserve"> July 2022): </w:t>
            </w:r>
          </w:p>
          <w:p w14:paraId="5ED999AE" w14:textId="42FD1155" w:rsidR="00832207" w:rsidRPr="002F733E" w:rsidRDefault="00832207" w:rsidP="00B84D30">
            <w:pPr>
              <w:pStyle w:val="ListParagraph"/>
              <w:spacing w:after="0"/>
              <w:ind w:left="253" w:hanging="253"/>
              <w:jc w:val="left"/>
              <w:rPr>
                <w:rFonts w:ascii="Arial Narrow" w:hAnsi="Arial Narrow" w:cs="Calibri"/>
                <w:sz w:val="20"/>
                <w:szCs w:val="20"/>
              </w:rPr>
            </w:pPr>
            <w:r w:rsidRPr="002F733E">
              <w:rPr>
                <w:rFonts w:ascii="Arial Narrow" w:hAnsi="Arial Narrow" w:cs="Calibri"/>
                <w:snapToGrid/>
                <w:sz w:val="20"/>
                <w:szCs w:val="20"/>
              </w:rPr>
              <w:t>The restriction does not limit access to patients based on laboratory evidence of serological activity.</w:t>
            </w:r>
            <w:r w:rsidRPr="002F733E">
              <w:rPr>
                <w:rFonts w:ascii="Arial Narrow" w:hAnsi="Arial Narrow" w:cs="Calibri"/>
                <w:sz w:val="20"/>
                <w:szCs w:val="20"/>
              </w:rPr>
              <w:t xml:space="preserve"> </w:t>
            </w:r>
          </w:p>
          <w:p w14:paraId="5CE997C7" w14:textId="5824B241" w:rsidR="00832207" w:rsidRPr="002F733E" w:rsidRDefault="00832207" w:rsidP="00B84D30">
            <w:pPr>
              <w:pStyle w:val="ListParagraph"/>
              <w:spacing w:after="0"/>
              <w:ind w:left="253" w:hanging="253"/>
              <w:jc w:val="left"/>
              <w:rPr>
                <w:rFonts w:ascii="Arial Narrow" w:hAnsi="Arial Narrow" w:cs="Calibri"/>
                <w:snapToGrid/>
                <w:sz w:val="20"/>
                <w:szCs w:val="20"/>
              </w:rPr>
            </w:pPr>
            <w:r w:rsidRPr="002F733E">
              <w:rPr>
                <w:rFonts w:ascii="Arial Narrow" w:hAnsi="Arial Narrow" w:cs="Calibri"/>
                <w:snapToGrid/>
                <w:sz w:val="20"/>
                <w:szCs w:val="20"/>
              </w:rPr>
              <w:t>The criterion that patients must not have “severe renal active lupus nephritis or severe active central nervous system” was consistent with previous PBAC advice for belimumab (para 3.6, belimumab PSD</w:t>
            </w:r>
            <w:r w:rsidR="00D75FD7" w:rsidRPr="002F733E">
              <w:rPr>
                <w:rFonts w:ascii="Arial Narrow" w:hAnsi="Arial Narrow" w:cs="Calibri"/>
                <w:snapToGrid/>
                <w:sz w:val="20"/>
                <w:szCs w:val="20"/>
              </w:rPr>
              <w:t>,</w:t>
            </w:r>
            <w:r w:rsidRPr="002F733E">
              <w:rPr>
                <w:rFonts w:ascii="Arial Narrow" w:hAnsi="Arial Narrow" w:cs="Calibri"/>
                <w:snapToGrid/>
                <w:sz w:val="20"/>
                <w:szCs w:val="20"/>
              </w:rPr>
              <w:t xml:space="preserve"> July 2020); however, the evaluation considered that the word ‘renal’ could be removed to align more closely with the TGA approved indication.</w:t>
            </w:r>
          </w:p>
          <w:p w14:paraId="087098E5" w14:textId="6C7F98B3" w:rsidR="00832207" w:rsidRPr="002F733E" w:rsidRDefault="00832207" w:rsidP="00B84D30">
            <w:pPr>
              <w:pStyle w:val="ListParagraph"/>
              <w:spacing w:after="0"/>
              <w:ind w:left="253" w:hanging="253"/>
              <w:jc w:val="left"/>
              <w:rPr>
                <w:rFonts w:ascii="Arial Narrow" w:hAnsi="Arial Narrow" w:cs="Calibri"/>
                <w:sz w:val="20"/>
                <w:szCs w:val="20"/>
              </w:rPr>
            </w:pPr>
            <w:r w:rsidRPr="002F733E">
              <w:rPr>
                <w:rFonts w:ascii="Arial Narrow" w:hAnsi="Arial Narrow" w:cs="Calibri"/>
                <w:snapToGrid/>
                <w:sz w:val="20"/>
                <w:szCs w:val="20"/>
              </w:rPr>
              <w:t>The restriction did not include a criterion to prevent patients from re-</w:t>
            </w:r>
            <w:r w:rsidR="00160066" w:rsidRPr="002F733E">
              <w:rPr>
                <w:rFonts w:ascii="Arial Narrow" w:hAnsi="Arial Narrow" w:cs="Calibri"/>
                <w:snapToGrid/>
                <w:sz w:val="20"/>
                <w:szCs w:val="20"/>
              </w:rPr>
              <w:t>trial</w:t>
            </w:r>
            <w:r w:rsidR="00CD7E46" w:rsidRPr="002F733E">
              <w:rPr>
                <w:rFonts w:ascii="Arial Narrow" w:hAnsi="Arial Narrow" w:cs="Calibri"/>
                <w:snapToGrid/>
                <w:sz w:val="20"/>
                <w:szCs w:val="20"/>
              </w:rPr>
              <w:t>l</w:t>
            </w:r>
            <w:r w:rsidR="00160066" w:rsidRPr="002F733E">
              <w:rPr>
                <w:rFonts w:ascii="Arial Narrow" w:hAnsi="Arial Narrow" w:cs="Calibri"/>
                <w:snapToGrid/>
                <w:sz w:val="20"/>
                <w:szCs w:val="20"/>
              </w:rPr>
              <w:t>ing</w:t>
            </w:r>
            <w:r w:rsidRPr="002F733E">
              <w:rPr>
                <w:rFonts w:ascii="Arial Narrow" w:hAnsi="Arial Narrow" w:cs="Calibri"/>
                <w:snapToGrid/>
                <w:sz w:val="20"/>
                <w:szCs w:val="20"/>
              </w:rPr>
              <w:t xml:space="preserve"> anifrolumab. The ESC considered that there may be a need to allow patients who no longer need treatment to discontinue, without excluding them from future treatment for flares (particularly if it had been efficacious previously).</w:t>
            </w:r>
          </w:p>
          <w:p w14:paraId="495A53BC" w14:textId="77777777" w:rsidR="00894CDB" w:rsidRPr="002F733E" w:rsidRDefault="00894CDB" w:rsidP="00B84D30">
            <w:pPr>
              <w:jc w:val="left"/>
              <w:rPr>
                <w:rFonts w:ascii="Arial Narrow" w:hAnsi="Arial Narrow" w:cs="Calibri"/>
                <w:sz w:val="20"/>
                <w:szCs w:val="20"/>
              </w:rPr>
            </w:pPr>
          </w:p>
          <w:p w14:paraId="0B147DB6" w14:textId="44BAB263" w:rsidR="00832207" w:rsidRPr="002F733E" w:rsidRDefault="00832207" w:rsidP="00B84D30">
            <w:pPr>
              <w:jc w:val="left"/>
              <w:rPr>
                <w:rFonts w:ascii="Arial Narrow" w:hAnsi="Arial Narrow" w:cs="Calibri"/>
                <w:sz w:val="20"/>
                <w:szCs w:val="20"/>
              </w:rPr>
            </w:pPr>
            <w:r w:rsidRPr="002F733E">
              <w:rPr>
                <w:rFonts w:ascii="Arial Narrow" w:hAnsi="Arial Narrow" w:cs="Calibri"/>
                <w:sz w:val="20"/>
                <w:szCs w:val="20"/>
              </w:rPr>
              <w:t>The PBAC also suggested 6 repeats was required for the requested maximum quantities of initial/continuing treatment that would be sufficient to allow for assessment of response at 24 weeks and 24 weeks of continuing therapy on the PBS (para 3.3, anifrolumab PSD</w:t>
            </w:r>
            <w:r w:rsidR="00D75FD7" w:rsidRPr="002F733E">
              <w:rPr>
                <w:rFonts w:ascii="Arial Narrow" w:hAnsi="Arial Narrow" w:cs="Calibri"/>
                <w:sz w:val="20"/>
                <w:szCs w:val="20"/>
              </w:rPr>
              <w:t>,</w:t>
            </w:r>
            <w:r w:rsidRPr="002F733E">
              <w:rPr>
                <w:rFonts w:ascii="Arial Narrow" w:hAnsi="Arial Narrow" w:cs="Calibri"/>
                <w:sz w:val="20"/>
                <w:szCs w:val="20"/>
              </w:rPr>
              <w:t xml:space="preserve"> July 2022). </w:t>
            </w:r>
          </w:p>
          <w:p w14:paraId="447CA479" w14:textId="77777777" w:rsidR="00894CDB" w:rsidRPr="002F733E" w:rsidRDefault="00894CDB" w:rsidP="00B84D30">
            <w:pPr>
              <w:jc w:val="left"/>
              <w:rPr>
                <w:rFonts w:ascii="Arial Narrow" w:hAnsi="Arial Narrow" w:cs="Calibri"/>
                <w:sz w:val="20"/>
                <w:szCs w:val="20"/>
              </w:rPr>
            </w:pPr>
          </w:p>
          <w:p w14:paraId="60C18D2C" w14:textId="294B2FFC" w:rsidR="00EE14B9" w:rsidRPr="002F733E" w:rsidRDefault="00832207" w:rsidP="00B84D30">
            <w:pPr>
              <w:jc w:val="left"/>
              <w:rPr>
                <w:rFonts w:ascii="Arial Narrow" w:eastAsiaTheme="majorEastAsia" w:hAnsi="Arial Narrow" w:cstheme="majorBidi"/>
                <w:bCs/>
                <w:sz w:val="20"/>
                <w:szCs w:val="20"/>
              </w:rPr>
            </w:pPr>
            <w:r w:rsidRPr="002F733E">
              <w:rPr>
                <w:rFonts w:ascii="Arial Narrow" w:hAnsi="Arial Narrow" w:cs="Calibri"/>
                <w:sz w:val="20"/>
                <w:szCs w:val="20"/>
              </w:rPr>
              <w:t xml:space="preserve">The sponsor was requested to propose a grandfather restriction, given that the submission stated a patient access program (PAP) was planned to commence post TGA approval (para 3.4, anifrolumab </w:t>
            </w:r>
            <w:r w:rsidR="00C664C8" w:rsidRPr="002F733E">
              <w:rPr>
                <w:rFonts w:ascii="Arial Narrow" w:hAnsi="Arial Narrow" w:cs="Calibri"/>
                <w:sz w:val="20"/>
                <w:szCs w:val="20"/>
              </w:rPr>
              <w:t>PSD</w:t>
            </w:r>
            <w:r w:rsidR="00D75FD7" w:rsidRPr="002F733E">
              <w:rPr>
                <w:rFonts w:ascii="Arial Narrow" w:hAnsi="Arial Narrow" w:cs="Calibri"/>
                <w:sz w:val="20"/>
                <w:szCs w:val="20"/>
              </w:rPr>
              <w:t>,</w:t>
            </w:r>
            <w:r w:rsidRPr="002F733E">
              <w:rPr>
                <w:rFonts w:ascii="Arial Narrow" w:hAnsi="Arial Narrow" w:cs="Calibri"/>
                <w:sz w:val="20"/>
                <w:szCs w:val="20"/>
              </w:rPr>
              <w:t xml:space="preserve"> July 2022).</w:t>
            </w:r>
          </w:p>
        </w:tc>
        <w:tc>
          <w:tcPr>
            <w:tcW w:w="1937" w:type="pct"/>
          </w:tcPr>
          <w:p w14:paraId="7E1BEEE9" w14:textId="1B6C01EA" w:rsidR="00832207" w:rsidRPr="002F733E" w:rsidRDefault="00A4517D" w:rsidP="00B84D30">
            <w:pPr>
              <w:autoSpaceDE w:val="0"/>
              <w:autoSpaceDN w:val="0"/>
              <w:adjustRightInd w:val="0"/>
              <w:jc w:val="left"/>
              <w:rPr>
                <w:rFonts w:ascii="Arial Narrow" w:hAnsi="Arial Narrow" w:cs="Calibri"/>
                <w:sz w:val="20"/>
                <w:szCs w:val="20"/>
              </w:rPr>
            </w:pPr>
            <w:r w:rsidRPr="002F733E">
              <w:rPr>
                <w:rFonts w:ascii="Arial Narrow" w:hAnsi="Arial Narrow" w:cs="Calibri"/>
                <w:sz w:val="20"/>
                <w:szCs w:val="20"/>
              </w:rPr>
              <w:t>T</w:t>
            </w:r>
            <w:r w:rsidR="00832207" w:rsidRPr="002F733E">
              <w:rPr>
                <w:rFonts w:ascii="Arial Narrow" w:hAnsi="Arial Narrow" w:cs="Calibri"/>
                <w:sz w:val="20"/>
                <w:szCs w:val="20"/>
              </w:rPr>
              <w:t>he clinical criteri</w:t>
            </w:r>
            <w:r w:rsidR="00160576" w:rsidRPr="002F733E">
              <w:rPr>
                <w:rFonts w:ascii="Arial Narrow" w:hAnsi="Arial Narrow" w:cs="Calibri"/>
                <w:sz w:val="20"/>
                <w:szCs w:val="20"/>
              </w:rPr>
              <w:t>on</w:t>
            </w:r>
            <w:r w:rsidR="00832207" w:rsidRPr="002F733E">
              <w:rPr>
                <w:rFonts w:ascii="Arial Narrow" w:hAnsi="Arial Narrow" w:cs="Calibri"/>
                <w:sz w:val="20"/>
                <w:szCs w:val="20"/>
              </w:rPr>
              <w:t xml:space="preserve"> for initial treatment was changed to remove the word ‘renal’ in severe lupus nephritis. </w:t>
            </w:r>
          </w:p>
          <w:p w14:paraId="10A95550" w14:textId="77777777" w:rsidR="00832207" w:rsidRPr="002F733E" w:rsidRDefault="00832207" w:rsidP="00B84D30">
            <w:pPr>
              <w:autoSpaceDE w:val="0"/>
              <w:autoSpaceDN w:val="0"/>
              <w:adjustRightInd w:val="0"/>
              <w:jc w:val="left"/>
              <w:rPr>
                <w:rFonts w:ascii="Arial Narrow" w:hAnsi="Arial Narrow" w:cs="Calibri"/>
                <w:sz w:val="20"/>
                <w:szCs w:val="20"/>
              </w:rPr>
            </w:pPr>
          </w:p>
          <w:p w14:paraId="4B3A8A7F" w14:textId="30D88BF1" w:rsidR="00832207" w:rsidRPr="002F733E" w:rsidRDefault="00832207" w:rsidP="00B84D30">
            <w:pPr>
              <w:autoSpaceDE w:val="0"/>
              <w:autoSpaceDN w:val="0"/>
              <w:adjustRightInd w:val="0"/>
              <w:jc w:val="left"/>
              <w:rPr>
                <w:rFonts w:ascii="Arial Narrow" w:hAnsi="Arial Narrow" w:cs="Calibri"/>
                <w:sz w:val="20"/>
                <w:szCs w:val="20"/>
              </w:rPr>
            </w:pPr>
            <w:r w:rsidRPr="002F733E">
              <w:rPr>
                <w:rFonts w:ascii="Arial Narrow" w:hAnsi="Arial Narrow" w:cs="Calibri"/>
                <w:sz w:val="20"/>
                <w:szCs w:val="20"/>
              </w:rPr>
              <w:t xml:space="preserve">The requested maximum quantities </w:t>
            </w:r>
            <w:r w:rsidR="00CF50C8" w:rsidRPr="002F733E">
              <w:rPr>
                <w:rFonts w:ascii="Arial Narrow" w:hAnsi="Arial Narrow" w:cs="Calibri"/>
                <w:sz w:val="20"/>
                <w:szCs w:val="20"/>
              </w:rPr>
              <w:t>were</w:t>
            </w:r>
            <w:r w:rsidRPr="002F733E">
              <w:rPr>
                <w:rFonts w:ascii="Arial Narrow" w:hAnsi="Arial Narrow" w:cs="Calibri"/>
                <w:sz w:val="20"/>
                <w:szCs w:val="20"/>
              </w:rPr>
              <w:t xml:space="preserve"> changed to 6 repeats for initial/continuing treatment (i.e. 1 initial plus 6 repeats) to allow for assessment of response at 24 weeks and six months of continuing treatment.</w:t>
            </w:r>
          </w:p>
          <w:p w14:paraId="1FDFF8F7" w14:textId="77777777" w:rsidR="00832207" w:rsidRPr="002F733E" w:rsidRDefault="00832207" w:rsidP="00B84D30">
            <w:pPr>
              <w:autoSpaceDE w:val="0"/>
              <w:autoSpaceDN w:val="0"/>
              <w:adjustRightInd w:val="0"/>
              <w:jc w:val="left"/>
              <w:rPr>
                <w:rFonts w:ascii="Arial Narrow" w:hAnsi="Arial Narrow" w:cs="Calibri"/>
                <w:sz w:val="20"/>
                <w:szCs w:val="20"/>
              </w:rPr>
            </w:pPr>
          </w:p>
          <w:p w14:paraId="6E5ED280" w14:textId="7511B816" w:rsidR="00832207" w:rsidRPr="002F733E" w:rsidRDefault="00832207" w:rsidP="00B84D30">
            <w:pPr>
              <w:autoSpaceDE w:val="0"/>
              <w:autoSpaceDN w:val="0"/>
              <w:adjustRightInd w:val="0"/>
              <w:jc w:val="left"/>
              <w:rPr>
                <w:rFonts w:ascii="Arial Narrow" w:hAnsi="Arial Narrow" w:cs="Calibri"/>
                <w:sz w:val="20"/>
                <w:szCs w:val="20"/>
              </w:rPr>
            </w:pPr>
            <w:r w:rsidRPr="002F733E">
              <w:rPr>
                <w:rFonts w:ascii="Arial Narrow" w:hAnsi="Arial Narrow" w:cs="Calibri"/>
                <w:sz w:val="20"/>
                <w:szCs w:val="20"/>
              </w:rPr>
              <w:t xml:space="preserve">A separate grandfathering restriction was proposed for eligible patients enrolled in the patient access program. If listed, the resubmission estimated approximately </w:t>
            </w:r>
            <w:r w:rsidR="00EB6544" w:rsidRPr="00EB6544">
              <w:rPr>
                <w:rFonts w:ascii="Arial Narrow" w:hAnsi="Arial Narrow" w:cs="Calibri"/>
                <w:color w:val="000000"/>
                <w:spacing w:val="29"/>
                <w:sz w:val="20"/>
                <w:szCs w:val="20"/>
                <w:shd w:val="solid" w:color="000000" w:fill="000000"/>
                <w:fitText w:val="550" w:id="-1236572928"/>
                <w14:textFill>
                  <w14:solidFill>
                    <w14:srgbClr w14:val="000000">
                      <w14:alpha w14:val="100000"/>
                    </w14:srgbClr>
                  </w14:solidFill>
                </w14:textFill>
              </w:rPr>
              <w:t>|||||||</w:t>
            </w:r>
            <w:r w:rsidR="00EB6544" w:rsidRPr="00EB6544">
              <w:rPr>
                <w:rFonts w:ascii="Arial Narrow" w:hAnsi="Arial Narrow" w:cs="Calibri"/>
                <w:color w:val="000000"/>
                <w:spacing w:val="7"/>
                <w:sz w:val="20"/>
                <w:szCs w:val="20"/>
                <w:shd w:val="solid" w:color="000000" w:fill="000000"/>
                <w:fitText w:val="550" w:id="-1236572928"/>
                <w14:textFill>
                  <w14:solidFill>
                    <w14:srgbClr w14:val="000000">
                      <w14:alpha w14:val="100000"/>
                    </w14:srgbClr>
                  </w14:solidFill>
                </w14:textFill>
              </w:rPr>
              <w:t>|</w:t>
            </w:r>
            <w:r w:rsidR="00965F66">
              <w:rPr>
                <w:rFonts w:ascii="Arial Narrow" w:hAnsi="Arial Narrow" w:cs="Calibri"/>
                <w:sz w:val="18"/>
                <w:szCs w:val="18"/>
                <w:vertAlign w:val="superscript"/>
              </w:rPr>
              <w:t>1</w:t>
            </w:r>
            <w:r w:rsidR="00965F66">
              <w:rPr>
                <w:rFonts w:ascii="Arial Narrow" w:hAnsi="Arial Narrow" w:cs="Calibri"/>
                <w:sz w:val="18"/>
                <w:szCs w:val="18"/>
              </w:rPr>
              <w:t xml:space="preserve"> </w:t>
            </w:r>
            <w:r w:rsidRPr="002F733E">
              <w:rPr>
                <w:rFonts w:ascii="Arial Narrow" w:hAnsi="Arial Narrow" w:cs="Calibri"/>
                <w:sz w:val="20"/>
                <w:szCs w:val="20"/>
              </w:rPr>
              <w:t xml:space="preserve"> patients will be eligible for anifrolumab on the PBS.</w:t>
            </w:r>
            <w:r w:rsidR="00894CDB" w:rsidRPr="002F733E">
              <w:rPr>
                <w:rFonts w:ascii="Arial Narrow" w:hAnsi="Arial Narrow" w:cs="Calibri"/>
                <w:sz w:val="20"/>
                <w:szCs w:val="20"/>
              </w:rPr>
              <w:t xml:space="preserve"> This was reduced to </w:t>
            </w:r>
            <w:r w:rsidR="00EB6544" w:rsidRPr="00EB6544">
              <w:rPr>
                <w:rFonts w:ascii="Arial Narrow" w:hAnsi="Arial Narrow" w:cs="Calibri"/>
                <w:color w:val="000000"/>
                <w:spacing w:val="29"/>
                <w:sz w:val="20"/>
                <w:szCs w:val="20"/>
                <w:shd w:val="solid" w:color="000000" w:fill="000000"/>
                <w:fitText w:val="550" w:id="-1236572927"/>
                <w14:textFill>
                  <w14:solidFill>
                    <w14:srgbClr w14:val="000000">
                      <w14:alpha w14:val="100000"/>
                    </w14:srgbClr>
                  </w14:solidFill>
                </w14:textFill>
              </w:rPr>
              <w:t>|||||||</w:t>
            </w:r>
            <w:r w:rsidR="00EB6544" w:rsidRPr="00EB6544">
              <w:rPr>
                <w:rFonts w:ascii="Arial Narrow" w:hAnsi="Arial Narrow" w:cs="Calibri"/>
                <w:color w:val="000000"/>
                <w:spacing w:val="7"/>
                <w:sz w:val="20"/>
                <w:szCs w:val="20"/>
                <w:shd w:val="solid" w:color="000000" w:fill="000000"/>
                <w:fitText w:val="550" w:id="-1236572927"/>
                <w14:textFill>
                  <w14:solidFill>
                    <w14:srgbClr w14:val="000000">
                      <w14:alpha w14:val="100000"/>
                    </w14:srgbClr>
                  </w14:solidFill>
                </w14:textFill>
              </w:rPr>
              <w:t>|</w:t>
            </w:r>
            <w:r w:rsidR="00965F66">
              <w:rPr>
                <w:rFonts w:ascii="Arial Narrow" w:hAnsi="Arial Narrow" w:cs="Calibri"/>
                <w:sz w:val="18"/>
                <w:szCs w:val="18"/>
                <w:vertAlign w:val="superscript"/>
              </w:rPr>
              <w:t>1</w:t>
            </w:r>
            <w:r w:rsidR="00965F66">
              <w:rPr>
                <w:rFonts w:ascii="Arial Narrow" w:hAnsi="Arial Narrow" w:cs="Calibri"/>
                <w:sz w:val="18"/>
                <w:szCs w:val="18"/>
              </w:rPr>
              <w:t xml:space="preserve"> </w:t>
            </w:r>
            <w:r w:rsidR="00894CDB" w:rsidRPr="002F733E">
              <w:rPr>
                <w:rFonts w:ascii="Arial Narrow" w:hAnsi="Arial Narrow" w:cs="Calibri"/>
                <w:sz w:val="20"/>
                <w:szCs w:val="20"/>
              </w:rPr>
              <w:t xml:space="preserve"> in the PSCR.</w:t>
            </w:r>
          </w:p>
          <w:p w14:paraId="46BE703C" w14:textId="77777777" w:rsidR="00832207" w:rsidRPr="002F733E" w:rsidRDefault="00832207" w:rsidP="00B84D30">
            <w:pPr>
              <w:autoSpaceDE w:val="0"/>
              <w:autoSpaceDN w:val="0"/>
              <w:adjustRightInd w:val="0"/>
              <w:jc w:val="left"/>
              <w:rPr>
                <w:rFonts w:ascii="Arial Narrow" w:hAnsi="Arial Narrow" w:cs="Calibri"/>
                <w:sz w:val="20"/>
                <w:szCs w:val="20"/>
              </w:rPr>
            </w:pPr>
          </w:p>
          <w:p w14:paraId="7C51B130" w14:textId="465EEA2E" w:rsidR="00EE14B9" w:rsidRPr="002F733E" w:rsidRDefault="00832207" w:rsidP="00B84D30">
            <w:pPr>
              <w:jc w:val="left"/>
              <w:rPr>
                <w:rFonts w:ascii="Arial Narrow" w:eastAsiaTheme="majorEastAsia" w:hAnsi="Arial Narrow" w:cstheme="majorBidi"/>
                <w:bCs/>
                <w:sz w:val="20"/>
                <w:szCs w:val="20"/>
              </w:rPr>
            </w:pPr>
            <w:r w:rsidRPr="002F733E">
              <w:rPr>
                <w:rFonts w:ascii="Arial Narrow" w:hAnsi="Arial Narrow" w:cs="Calibri"/>
                <w:sz w:val="20"/>
                <w:szCs w:val="20"/>
              </w:rPr>
              <w:t xml:space="preserve">The resubmission requests a special pricing arrangement, with an effective price that represents </w:t>
            </w:r>
            <w:r w:rsidR="00EB6544" w:rsidRPr="00EB6544">
              <w:rPr>
                <w:rFonts w:ascii="Arial Narrow" w:hAnsi="Arial Narrow" w:cs="Calibri"/>
                <w:color w:val="000000"/>
                <w:spacing w:val="28"/>
                <w:sz w:val="20"/>
                <w:szCs w:val="20"/>
                <w:shd w:val="solid" w:color="000000" w:fill="000000"/>
                <w:fitText w:val="542" w:id="-1236572926"/>
                <w14:textFill>
                  <w14:solidFill>
                    <w14:srgbClr w14:val="000000">
                      <w14:alpha w14:val="100000"/>
                    </w14:srgbClr>
                  </w14:solidFill>
                </w14:textFill>
              </w:rPr>
              <w:t>|||||||</w:t>
            </w:r>
            <w:r w:rsidR="00EB6544" w:rsidRPr="00EB6544">
              <w:rPr>
                <w:rFonts w:ascii="Arial Narrow" w:hAnsi="Arial Narrow" w:cs="Calibri"/>
                <w:color w:val="000000"/>
                <w:spacing w:val="6"/>
                <w:sz w:val="20"/>
                <w:szCs w:val="20"/>
                <w:shd w:val="solid" w:color="000000" w:fill="000000"/>
                <w:fitText w:val="542" w:id="-1236572926"/>
                <w14:textFill>
                  <w14:solidFill>
                    <w14:srgbClr w14:val="000000">
                      <w14:alpha w14:val="100000"/>
                    </w14:srgbClr>
                  </w14:solidFill>
                </w14:textFill>
              </w:rPr>
              <w:t>|</w:t>
            </w:r>
            <w:r w:rsidRPr="002F733E">
              <w:rPr>
                <w:rFonts w:ascii="Arial Narrow" w:hAnsi="Arial Narrow" w:cs="Calibri"/>
                <w:sz w:val="20"/>
                <w:szCs w:val="20"/>
              </w:rPr>
              <w:t>% reduction on the published price in the July 2022 submission.</w:t>
            </w:r>
          </w:p>
        </w:tc>
      </w:tr>
      <w:tr w:rsidR="00EE14B9" w:rsidRPr="002F733E" w14:paraId="2A1A5556" w14:textId="77777777" w:rsidTr="007A5FEF">
        <w:tc>
          <w:tcPr>
            <w:tcW w:w="626" w:type="pct"/>
          </w:tcPr>
          <w:p w14:paraId="6CDF9C52" w14:textId="77777777" w:rsidR="00EE14B9" w:rsidRPr="002F733E" w:rsidRDefault="00EE14B9" w:rsidP="007A5FEF">
            <w:pPr>
              <w:jc w:val="left"/>
              <w:rPr>
                <w:rFonts w:ascii="Arial Narrow" w:eastAsiaTheme="majorEastAsia" w:hAnsi="Arial Narrow" w:cstheme="majorBidi"/>
                <w:bCs/>
                <w:sz w:val="20"/>
              </w:rPr>
            </w:pPr>
            <w:r w:rsidRPr="002F733E">
              <w:rPr>
                <w:rFonts w:ascii="Arial Narrow" w:eastAsiaTheme="majorEastAsia" w:hAnsi="Arial Narrow" w:cstheme="majorBidi"/>
                <w:bCs/>
                <w:sz w:val="20"/>
              </w:rPr>
              <w:t>Clinical evidence &amp; clinical claim</w:t>
            </w:r>
          </w:p>
        </w:tc>
        <w:tc>
          <w:tcPr>
            <w:tcW w:w="2437" w:type="pct"/>
          </w:tcPr>
          <w:p w14:paraId="1077C53A" w14:textId="3B1DD615" w:rsidR="00A4517D" w:rsidRPr="002F733E" w:rsidRDefault="00A4517D" w:rsidP="007A5FEF">
            <w:pPr>
              <w:autoSpaceDE w:val="0"/>
              <w:autoSpaceDN w:val="0"/>
              <w:adjustRightInd w:val="0"/>
              <w:jc w:val="left"/>
              <w:rPr>
                <w:rFonts w:ascii="Arial Narrow" w:hAnsi="Arial Narrow" w:cs="Calibri"/>
                <w:sz w:val="20"/>
                <w:szCs w:val="20"/>
              </w:rPr>
            </w:pPr>
            <w:r w:rsidRPr="002F733E">
              <w:rPr>
                <w:rFonts w:ascii="Arial Narrow" w:hAnsi="Arial Narrow" w:cs="Calibri"/>
                <w:sz w:val="20"/>
                <w:szCs w:val="20"/>
              </w:rPr>
              <w:t>The PBAC considered that the magnitude of benefit was uncertain due to the (para 7.5, anifrolumab PSD</w:t>
            </w:r>
            <w:r w:rsidR="00D75FD7" w:rsidRPr="002F733E">
              <w:rPr>
                <w:rFonts w:ascii="Arial Narrow" w:hAnsi="Arial Narrow" w:cs="Calibri"/>
                <w:sz w:val="20"/>
                <w:szCs w:val="20"/>
              </w:rPr>
              <w:t>,</w:t>
            </w:r>
            <w:r w:rsidRPr="002F733E">
              <w:rPr>
                <w:rFonts w:ascii="Arial Narrow" w:hAnsi="Arial Narrow" w:cs="Calibri"/>
                <w:sz w:val="20"/>
                <w:szCs w:val="20"/>
              </w:rPr>
              <w:t xml:space="preserve"> July 2022):</w:t>
            </w:r>
          </w:p>
          <w:p w14:paraId="55252663" w14:textId="285F2D97" w:rsidR="00A4517D" w:rsidRPr="002F733E" w:rsidRDefault="00A4517D" w:rsidP="00DC7889">
            <w:pPr>
              <w:pStyle w:val="ListParagraph"/>
              <w:numPr>
                <w:ilvl w:val="0"/>
                <w:numId w:val="8"/>
              </w:numPr>
              <w:spacing w:after="0"/>
              <w:ind w:left="258" w:hanging="218"/>
              <w:jc w:val="left"/>
              <w:rPr>
                <w:rFonts w:ascii="Arial Narrow" w:hAnsi="Arial Narrow" w:cs="Calibri"/>
                <w:sz w:val="20"/>
                <w:szCs w:val="20"/>
              </w:rPr>
            </w:pPr>
            <w:r w:rsidRPr="002F733E">
              <w:rPr>
                <w:rFonts w:ascii="Arial Narrow" w:hAnsi="Arial Narrow" w:cs="Calibri"/>
                <w:sz w:val="20"/>
                <w:szCs w:val="20"/>
              </w:rPr>
              <w:t>Differing results between TULIP-1 and TULIP-2 with respect to SRI(4), despite similar trial designs and patient characteristics.</w:t>
            </w:r>
          </w:p>
          <w:p w14:paraId="6664C8C1" w14:textId="55638BE3" w:rsidR="00A4517D" w:rsidRPr="002F733E" w:rsidRDefault="00A4517D" w:rsidP="00DC7889">
            <w:pPr>
              <w:pStyle w:val="ListParagraph"/>
              <w:numPr>
                <w:ilvl w:val="0"/>
                <w:numId w:val="8"/>
              </w:numPr>
              <w:spacing w:after="0"/>
              <w:ind w:left="258" w:hanging="218"/>
              <w:jc w:val="left"/>
              <w:rPr>
                <w:rFonts w:ascii="Arial Narrow" w:hAnsi="Arial Narrow" w:cs="Calibri"/>
                <w:sz w:val="20"/>
                <w:szCs w:val="20"/>
              </w:rPr>
            </w:pPr>
            <w:r w:rsidRPr="002F733E">
              <w:rPr>
                <w:rFonts w:ascii="Arial Narrow" w:hAnsi="Arial Narrow" w:cs="Calibri"/>
                <w:sz w:val="20"/>
                <w:szCs w:val="20"/>
              </w:rPr>
              <w:t>Changes in trial design which likely biased results in favour of anifrolumab</w:t>
            </w:r>
            <w:r w:rsidR="004B6D51" w:rsidRPr="002F733E">
              <w:rPr>
                <w:rFonts w:ascii="Arial Narrow" w:hAnsi="Arial Narrow" w:cs="Calibri"/>
                <w:sz w:val="20"/>
                <w:szCs w:val="20"/>
              </w:rPr>
              <w:t xml:space="preserve">: (1) a change in the primary endpoint for TULIP-2 from SRI(4) response to BICLA response; and (2) a change in the threshold for use of restricted medications during both TULIP-1 (in the final 2 weeks of the 52-week trial) and TULIP-2. </w:t>
            </w:r>
            <w:r w:rsidRPr="002F733E">
              <w:rPr>
                <w:rFonts w:ascii="Arial Narrow" w:hAnsi="Arial Narrow" w:cs="Calibri"/>
                <w:sz w:val="20"/>
                <w:szCs w:val="20"/>
              </w:rPr>
              <w:t>The PBAC noted these amendments were introduced following unblinding of TULIP-1</w:t>
            </w:r>
          </w:p>
          <w:p w14:paraId="3102BE4B" w14:textId="77777777" w:rsidR="00A4517D" w:rsidRPr="002F733E" w:rsidRDefault="00A4517D" w:rsidP="007A5FEF">
            <w:pPr>
              <w:jc w:val="left"/>
              <w:rPr>
                <w:rFonts w:ascii="Arial Narrow" w:hAnsi="Arial Narrow"/>
                <w:snapToGrid w:val="0"/>
                <w:sz w:val="20"/>
                <w:szCs w:val="20"/>
              </w:rPr>
            </w:pPr>
          </w:p>
          <w:p w14:paraId="597CEAD3" w14:textId="4BFABC4D" w:rsidR="00EE14B9" w:rsidRPr="002F733E" w:rsidRDefault="00A4517D" w:rsidP="007A5FEF">
            <w:pPr>
              <w:jc w:val="left"/>
              <w:rPr>
                <w:rFonts w:ascii="Arial Narrow" w:hAnsi="Arial Narrow"/>
                <w:snapToGrid w:val="0"/>
                <w:sz w:val="20"/>
                <w:szCs w:val="20"/>
              </w:rPr>
            </w:pPr>
            <w:r w:rsidRPr="002F733E">
              <w:rPr>
                <w:rFonts w:ascii="Arial Narrow" w:hAnsi="Arial Narrow"/>
                <w:snapToGrid w:val="0"/>
                <w:sz w:val="20"/>
                <w:szCs w:val="20"/>
              </w:rPr>
              <w:t xml:space="preserve">The PBAC considered the claim of superiority to SOC alone in terms of effectiveness was supported based on the small improvement in disease activity observed. The PBAC acknowledged that the low level of certainty in the evidence and the small difference between anifrolumab and placebo likely reflects, in part, the complex and variable nature of the condition and the challenges associated with assessing outcomes in SLE. The PBAC noted that there is no core outcomes set for SLE (i.e. there is a lack of consensus on core outcomes for use in clinical trials in SLE, unlike in rheumatoid arthritis where the American College of </w:t>
            </w:r>
            <w:r w:rsidR="001278FA" w:rsidRPr="002F733E">
              <w:rPr>
                <w:rFonts w:ascii="Arial Narrow" w:hAnsi="Arial Narrow"/>
                <w:snapToGrid w:val="0"/>
                <w:sz w:val="20"/>
                <w:szCs w:val="20"/>
              </w:rPr>
              <w:t>Rheumatology</w:t>
            </w:r>
            <w:r w:rsidRPr="002F733E">
              <w:rPr>
                <w:rFonts w:ascii="Arial Narrow" w:hAnsi="Arial Narrow"/>
                <w:snapToGrid w:val="0"/>
                <w:sz w:val="20"/>
                <w:szCs w:val="20"/>
              </w:rPr>
              <w:t xml:space="preserve"> (ACR) response criteria are used, or psoriasis where the Psoriasis Area and Severity Index (PASI) score is used). The PBAC considered that a claim of inferior but manageable safety was reasonable (paras 7.6 and 7.7, anifrolumab PSD</w:t>
            </w:r>
            <w:r w:rsidR="00D75FD7" w:rsidRPr="002F733E">
              <w:rPr>
                <w:rFonts w:ascii="Arial Narrow" w:hAnsi="Arial Narrow"/>
                <w:snapToGrid w:val="0"/>
                <w:sz w:val="20"/>
                <w:szCs w:val="20"/>
              </w:rPr>
              <w:t>,</w:t>
            </w:r>
            <w:r w:rsidRPr="002F733E">
              <w:rPr>
                <w:rFonts w:ascii="Arial Narrow" w:hAnsi="Arial Narrow"/>
                <w:snapToGrid w:val="0"/>
                <w:sz w:val="20"/>
                <w:szCs w:val="20"/>
              </w:rPr>
              <w:t xml:space="preserve"> July 2022).</w:t>
            </w:r>
          </w:p>
        </w:tc>
        <w:tc>
          <w:tcPr>
            <w:tcW w:w="1937" w:type="pct"/>
          </w:tcPr>
          <w:p w14:paraId="7249EF6F" w14:textId="6A8E2F4A" w:rsidR="00EE14B9" w:rsidRPr="002F733E" w:rsidRDefault="00A4517D" w:rsidP="00B84D30">
            <w:pPr>
              <w:jc w:val="left"/>
              <w:rPr>
                <w:rFonts w:ascii="Arial Narrow" w:hAnsi="Arial Narrow"/>
                <w:snapToGrid w:val="0"/>
                <w:sz w:val="20"/>
                <w:szCs w:val="20"/>
              </w:rPr>
            </w:pPr>
            <w:r w:rsidRPr="002F733E">
              <w:rPr>
                <w:rFonts w:ascii="Arial Narrow" w:hAnsi="Arial Narrow"/>
                <w:snapToGrid w:val="0"/>
                <w:sz w:val="20"/>
                <w:szCs w:val="20"/>
              </w:rPr>
              <w:t>The resubmission presented new data from TULIP LTE (NCT02794285), which was a long-term safety extension study to Week 216 (i</w:t>
            </w:r>
            <w:r w:rsidR="006A7AE4" w:rsidRPr="002F733E">
              <w:rPr>
                <w:rFonts w:ascii="Arial Narrow" w:hAnsi="Arial Narrow"/>
                <w:snapToGrid w:val="0"/>
                <w:sz w:val="20"/>
                <w:szCs w:val="20"/>
              </w:rPr>
              <w:t>.</w:t>
            </w:r>
            <w:r w:rsidRPr="002F733E">
              <w:rPr>
                <w:rFonts w:ascii="Arial Narrow" w:hAnsi="Arial Narrow"/>
                <w:snapToGrid w:val="0"/>
                <w:sz w:val="20"/>
                <w:szCs w:val="20"/>
              </w:rPr>
              <w:t>e</w:t>
            </w:r>
            <w:r w:rsidR="006A7AE4" w:rsidRPr="002F733E">
              <w:rPr>
                <w:rFonts w:ascii="Arial Narrow" w:hAnsi="Arial Narrow"/>
                <w:snapToGrid w:val="0"/>
                <w:sz w:val="20"/>
                <w:szCs w:val="20"/>
              </w:rPr>
              <w:t>.</w:t>
            </w:r>
            <w:r w:rsidRPr="002F733E">
              <w:rPr>
                <w:rFonts w:ascii="Arial Narrow" w:hAnsi="Arial Narrow"/>
                <w:snapToGrid w:val="0"/>
                <w:sz w:val="20"/>
                <w:szCs w:val="20"/>
              </w:rPr>
              <w:t xml:space="preserve">, 4 years) </w:t>
            </w:r>
            <w:r w:rsidR="004F500D" w:rsidRPr="002F733E">
              <w:rPr>
                <w:rFonts w:ascii="Arial Narrow" w:hAnsi="Arial Narrow"/>
                <w:snapToGrid w:val="0"/>
                <w:sz w:val="20"/>
                <w:szCs w:val="20"/>
              </w:rPr>
              <w:t>for</w:t>
            </w:r>
            <w:r w:rsidRPr="002F733E">
              <w:rPr>
                <w:rFonts w:ascii="Arial Narrow" w:hAnsi="Arial Narrow"/>
                <w:snapToGrid w:val="0"/>
                <w:sz w:val="20"/>
                <w:szCs w:val="20"/>
              </w:rPr>
              <w:t xml:space="preserve"> patients who completed the TULIP 1 or TULIP 2 trials. In addition, nine published meta-analyses of TULIP-1, TULIP-2 and MUSE were also presented.</w:t>
            </w:r>
          </w:p>
          <w:p w14:paraId="34B47418" w14:textId="7175BDF7" w:rsidR="00A4517D" w:rsidRPr="002F733E" w:rsidRDefault="00A4517D" w:rsidP="00B84D30">
            <w:pPr>
              <w:jc w:val="left"/>
              <w:rPr>
                <w:rFonts w:ascii="Arial Narrow" w:hAnsi="Arial Narrow"/>
                <w:snapToGrid w:val="0"/>
                <w:sz w:val="20"/>
                <w:szCs w:val="20"/>
              </w:rPr>
            </w:pPr>
          </w:p>
          <w:p w14:paraId="7AEC7701" w14:textId="3CDE36CF" w:rsidR="00A4517D" w:rsidRPr="002F733E" w:rsidRDefault="00A4517D" w:rsidP="00A76D9D">
            <w:pPr>
              <w:autoSpaceDE w:val="0"/>
              <w:autoSpaceDN w:val="0"/>
              <w:adjustRightInd w:val="0"/>
              <w:jc w:val="left"/>
              <w:rPr>
                <w:rFonts w:ascii="Arial Narrow" w:hAnsi="Arial Narrow" w:cs="Calibri"/>
                <w:sz w:val="20"/>
                <w:szCs w:val="20"/>
              </w:rPr>
            </w:pPr>
            <w:r w:rsidRPr="002F733E">
              <w:rPr>
                <w:rFonts w:ascii="Arial Narrow" w:hAnsi="Arial Narrow" w:cs="Calibri"/>
                <w:sz w:val="20"/>
                <w:szCs w:val="20"/>
              </w:rPr>
              <w:t xml:space="preserve">The resubmission maintained that discordant SRI(4) response between the TULIP trials, was primarily driven by sensitivity of SRI(4) to single organ (arthritis) improvement as the discordant placebo group was enriched for patients with lower baseline joint counts. </w:t>
            </w:r>
            <w:r w:rsidR="004B6D51" w:rsidRPr="002F733E">
              <w:rPr>
                <w:rFonts w:ascii="Arial Narrow" w:hAnsi="Arial Narrow" w:cs="Calibri"/>
                <w:sz w:val="20"/>
                <w:szCs w:val="20"/>
              </w:rPr>
              <w:t>The resubmission presented a</w:t>
            </w:r>
            <w:r w:rsidRPr="002F733E">
              <w:rPr>
                <w:rFonts w:ascii="Arial Narrow" w:hAnsi="Arial Narrow" w:cs="Calibri"/>
                <w:sz w:val="20"/>
                <w:szCs w:val="20"/>
              </w:rPr>
              <w:t xml:space="preserve"> post-hoc analysis conducted by Bruce et al. 2022a, </w:t>
            </w:r>
            <w:r w:rsidR="004B6D51" w:rsidRPr="002F733E">
              <w:rPr>
                <w:rFonts w:ascii="Arial Narrow" w:hAnsi="Arial Narrow" w:cs="Calibri"/>
                <w:sz w:val="20"/>
                <w:szCs w:val="20"/>
              </w:rPr>
              <w:t xml:space="preserve">which </w:t>
            </w:r>
            <w:r w:rsidRPr="002F733E">
              <w:rPr>
                <w:rFonts w:ascii="Arial Narrow" w:hAnsi="Arial Narrow" w:cs="Calibri"/>
                <w:sz w:val="20"/>
                <w:szCs w:val="20"/>
              </w:rPr>
              <w:t xml:space="preserve">identified </w:t>
            </w:r>
            <w:r w:rsidR="004B6D51" w:rsidRPr="002F733E">
              <w:rPr>
                <w:rFonts w:ascii="Arial Narrow" w:hAnsi="Arial Narrow" w:cs="Calibri"/>
                <w:sz w:val="20"/>
                <w:szCs w:val="20"/>
              </w:rPr>
              <w:t>that the</w:t>
            </w:r>
            <w:r w:rsidRPr="002F733E">
              <w:rPr>
                <w:rFonts w:ascii="Arial Narrow" w:hAnsi="Arial Narrow" w:cs="Calibri"/>
                <w:sz w:val="20"/>
                <w:szCs w:val="20"/>
              </w:rPr>
              <w:t xml:space="preserve"> subgroup of discordant BICLA non-responders/SRI(4) responders was larger in the TULIP-1 placebo group (Bruce, Furie et al. 2022a).</w:t>
            </w:r>
          </w:p>
          <w:p w14:paraId="1363EFE3" w14:textId="77777777" w:rsidR="004B6D51" w:rsidRPr="002F733E" w:rsidRDefault="004B6D51" w:rsidP="00B84D30">
            <w:pPr>
              <w:jc w:val="left"/>
              <w:rPr>
                <w:rFonts w:ascii="Arial Narrow" w:hAnsi="Arial Narrow" w:cs="Calibri"/>
                <w:sz w:val="20"/>
                <w:szCs w:val="20"/>
              </w:rPr>
            </w:pPr>
          </w:p>
          <w:p w14:paraId="4D05AA3C" w14:textId="4659C4AE" w:rsidR="00A4517D" w:rsidRPr="002F733E" w:rsidRDefault="004B6D51" w:rsidP="00B84D30">
            <w:pPr>
              <w:jc w:val="left"/>
              <w:rPr>
                <w:rFonts w:ascii="Arial Narrow" w:hAnsi="Arial Narrow"/>
                <w:snapToGrid w:val="0"/>
                <w:sz w:val="20"/>
                <w:szCs w:val="20"/>
              </w:rPr>
            </w:pPr>
            <w:r w:rsidRPr="002F733E">
              <w:rPr>
                <w:rFonts w:ascii="Arial Narrow" w:hAnsi="Arial Narrow" w:cs="Calibri"/>
                <w:sz w:val="20"/>
                <w:szCs w:val="20"/>
              </w:rPr>
              <w:t xml:space="preserve">The resubmission stated that based on </w:t>
            </w:r>
            <w:r w:rsidR="00F2361E" w:rsidRPr="002F733E">
              <w:rPr>
                <w:rFonts w:ascii="Arial Narrow" w:hAnsi="Arial Narrow" w:cs="Calibri"/>
                <w:sz w:val="20"/>
                <w:szCs w:val="20"/>
              </w:rPr>
              <w:t xml:space="preserve">the </w:t>
            </w:r>
            <w:r w:rsidRPr="002F733E">
              <w:rPr>
                <w:rFonts w:ascii="Arial Narrow" w:hAnsi="Arial Narrow" w:cs="Calibri"/>
                <w:sz w:val="20"/>
                <w:szCs w:val="20"/>
              </w:rPr>
              <w:t xml:space="preserve">clinician hearing, the revised medication rules in the TULIP trials reflect current clinical practice in Australia. </w:t>
            </w:r>
          </w:p>
          <w:p w14:paraId="2F62C356" w14:textId="77777777" w:rsidR="00A4517D" w:rsidRPr="002F733E" w:rsidRDefault="00A4517D" w:rsidP="00B84D30">
            <w:pPr>
              <w:jc w:val="left"/>
              <w:rPr>
                <w:rFonts w:ascii="Arial Narrow" w:hAnsi="Arial Narrow"/>
                <w:snapToGrid w:val="0"/>
                <w:sz w:val="20"/>
                <w:szCs w:val="20"/>
              </w:rPr>
            </w:pPr>
          </w:p>
          <w:p w14:paraId="2849965E" w14:textId="0141EC5B" w:rsidR="00A4517D" w:rsidRPr="002F733E" w:rsidRDefault="004B6D51" w:rsidP="00B84D30">
            <w:pPr>
              <w:jc w:val="left"/>
              <w:rPr>
                <w:rFonts w:ascii="Arial Narrow" w:hAnsi="Arial Narrow"/>
                <w:snapToGrid w:val="0"/>
                <w:sz w:val="20"/>
                <w:szCs w:val="20"/>
              </w:rPr>
            </w:pPr>
            <w:r w:rsidRPr="002F733E">
              <w:rPr>
                <w:rFonts w:ascii="Arial Narrow" w:hAnsi="Arial Narrow"/>
                <w:snapToGrid w:val="0"/>
                <w:sz w:val="20"/>
                <w:szCs w:val="20"/>
              </w:rPr>
              <w:t>The clinical claim was unchanged from the previous submission.</w:t>
            </w:r>
          </w:p>
        </w:tc>
      </w:tr>
      <w:tr w:rsidR="00EE14B9" w:rsidRPr="002F733E" w14:paraId="244E1F3F" w14:textId="77777777" w:rsidTr="00B84D30">
        <w:tc>
          <w:tcPr>
            <w:tcW w:w="626" w:type="pct"/>
            <w:vAlign w:val="center"/>
          </w:tcPr>
          <w:p w14:paraId="4F489F21" w14:textId="77777777" w:rsidR="00EE14B9" w:rsidRPr="002F733E" w:rsidRDefault="00EE14B9" w:rsidP="00A76D9D">
            <w:pPr>
              <w:jc w:val="left"/>
              <w:rPr>
                <w:rFonts w:ascii="Arial Narrow" w:eastAsiaTheme="majorEastAsia" w:hAnsi="Arial Narrow" w:cstheme="majorBidi"/>
                <w:bCs/>
                <w:sz w:val="20"/>
              </w:rPr>
            </w:pPr>
            <w:r w:rsidRPr="002F733E">
              <w:rPr>
                <w:rFonts w:ascii="Arial Narrow" w:eastAsiaTheme="majorEastAsia" w:hAnsi="Arial Narrow" w:cstheme="majorBidi"/>
                <w:bCs/>
                <w:sz w:val="20"/>
              </w:rPr>
              <w:t>Economic evaluation</w:t>
            </w:r>
          </w:p>
        </w:tc>
        <w:tc>
          <w:tcPr>
            <w:tcW w:w="2437" w:type="pct"/>
          </w:tcPr>
          <w:p w14:paraId="24C7D795" w14:textId="6B58D495" w:rsidR="00EE14B9" w:rsidRPr="002F733E" w:rsidRDefault="004F500D" w:rsidP="00A76D9D">
            <w:pPr>
              <w:jc w:val="left"/>
              <w:rPr>
                <w:rFonts w:ascii="Arial Narrow" w:hAnsi="Arial Narrow"/>
                <w:snapToGrid w:val="0"/>
                <w:sz w:val="20"/>
                <w:szCs w:val="20"/>
              </w:rPr>
            </w:pPr>
            <w:r w:rsidRPr="002F733E">
              <w:rPr>
                <w:rFonts w:ascii="Arial Narrow" w:hAnsi="Arial Narrow"/>
                <w:snapToGrid w:val="0"/>
                <w:sz w:val="20"/>
                <w:szCs w:val="20"/>
              </w:rPr>
              <w:t>The PBAC considered the ICER was highly uncertain and favour</w:t>
            </w:r>
            <w:r w:rsidR="00160066" w:rsidRPr="002F733E">
              <w:rPr>
                <w:rFonts w:ascii="Arial Narrow" w:hAnsi="Arial Narrow"/>
                <w:snapToGrid w:val="0"/>
                <w:sz w:val="20"/>
                <w:szCs w:val="20"/>
              </w:rPr>
              <w:t xml:space="preserve">ed </w:t>
            </w:r>
            <w:r w:rsidRPr="002F733E">
              <w:rPr>
                <w:rFonts w:ascii="Arial Narrow" w:hAnsi="Arial Narrow"/>
                <w:snapToGrid w:val="0"/>
                <w:sz w:val="20"/>
                <w:szCs w:val="20"/>
              </w:rPr>
              <w:t xml:space="preserve">anifrolumab. </w:t>
            </w:r>
            <w:r w:rsidR="004B6D51" w:rsidRPr="002F733E">
              <w:rPr>
                <w:rFonts w:ascii="Arial Narrow" w:hAnsi="Arial Narrow"/>
                <w:snapToGrid w:val="0"/>
                <w:sz w:val="20"/>
                <w:szCs w:val="20"/>
              </w:rPr>
              <w:t>The PBAC considered the resubmission should present a revised economic evaluation addressing the concerns raised, including a reduction in the anifrolumab price to achieve acceptable incremental cost-effectiveness</w:t>
            </w:r>
            <w:r w:rsidRPr="002F733E">
              <w:rPr>
                <w:rFonts w:ascii="Arial Narrow" w:hAnsi="Arial Narrow"/>
                <w:snapToGrid w:val="0"/>
                <w:sz w:val="20"/>
                <w:szCs w:val="20"/>
              </w:rPr>
              <w:t xml:space="preserve"> (paras 7.10, 7.11 and 7.14, anifrolumab PSD</w:t>
            </w:r>
            <w:r w:rsidR="00D75FD7" w:rsidRPr="002F733E">
              <w:rPr>
                <w:rFonts w:ascii="Arial Narrow" w:hAnsi="Arial Narrow"/>
                <w:snapToGrid w:val="0"/>
                <w:sz w:val="20"/>
                <w:szCs w:val="20"/>
              </w:rPr>
              <w:t>,</w:t>
            </w:r>
            <w:r w:rsidRPr="002F733E">
              <w:rPr>
                <w:rFonts w:ascii="Arial Narrow" w:hAnsi="Arial Narrow"/>
                <w:snapToGrid w:val="0"/>
                <w:sz w:val="20"/>
                <w:szCs w:val="20"/>
              </w:rPr>
              <w:t xml:space="preserve"> July 2022)</w:t>
            </w:r>
            <w:r w:rsidR="004B6D51" w:rsidRPr="002F733E">
              <w:rPr>
                <w:rFonts w:ascii="Arial Narrow" w:hAnsi="Arial Narrow"/>
                <w:snapToGrid w:val="0"/>
                <w:sz w:val="20"/>
                <w:szCs w:val="20"/>
              </w:rPr>
              <w:t>. The concerns</w:t>
            </w:r>
            <w:r w:rsidRPr="002F733E">
              <w:rPr>
                <w:rFonts w:ascii="Arial Narrow" w:hAnsi="Arial Narrow"/>
                <w:snapToGrid w:val="0"/>
                <w:sz w:val="20"/>
                <w:szCs w:val="20"/>
              </w:rPr>
              <w:t xml:space="preserve"> with the economic model</w:t>
            </w:r>
            <w:r w:rsidR="004B6D51" w:rsidRPr="002F733E">
              <w:rPr>
                <w:rFonts w:ascii="Arial Narrow" w:hAnsi="Arial Narrow"/>
                <w:snapToGrid w:val="0"/>
                <w:sz w:val="20"/>
                <w:szCs w:val="20"/>
              </w:rPr>
              <w:t xml:space="preserve"> included: </w:t>
            </w:r>
          </w:p>
          <w:p w14:paraId="21A63018" w14:textId="77777777" w:rsidR="004F500D" w:rsidRPr="002F733E" w:rsidRDefault="004F500D" w:rsidP="00A76D9D">
            <w:pPr>
              <w:pStyle w:val="ListParagraph"/>
              <w:spacing w:after="0"/>
              <w:ind w:left="253" w:hanging="253"/>
              <w:jc w:val="left"/>
              <w:rPr>
                <w:rFonts w:ascii="Arial Narrow" w:hAnsi="Arial Narrow" w:cs="Calibri"/>
                <w:sz w:val="20"/>
                <w:szCs w:val="20"/>
              </w:rPr>
            </w:pPr>
            <w:r w:rsidRPr="002F733E">
              <w:rPr>
                <w:rFonts w:ascii="Arial Narrow" w:hAnsi="Arial Narrow" w:cs="Calibri"/>
                <w:sz w:val="20"/>
                <w:szCs w:val="20"/>
              </w:rPr>
              <w:t>the trial follow-up (52 weeks) was comparatively short in relation to the time horizon applied (30 years).</w:t>
            </w:r>
          </w:p>
          <w:p w14:paraId="7F8FCEB3" w14:textId="77777777" w:rsidR="004F500D" w:rsidRPr="002F733E" w:rsidRDefault="004F500D" w:rsidP="00A76D9D">
            <w:pPr>
              <w:pStyle w:val="ListParagraph"/>
              <w:spacing w:after="0"/>
              <w:ind w:left="253" w:hanging="253"/>
              <w:jc w:val="left"/>
              <w:rPr>
                <w:rFonts w:ascii="Arial Narrow" w:hAnsi="Arial Narrow" w:cs="Calibri"/>
                <w:sz w:val="20"/>
                <w:szCs w:val="20"/>
              </w:rPr>
            </w:pPr>
            <w:r w:rsidRPr="002F733E">
              <w:rPr>
                <w:rFonts w:ascii="Arial Narrow" w:hAnsi="Arial Narrow" w:cs="Calibri"/>
                <w:sz w:val="20"/>
                <w:szCs w:val="20"/>
              </w:rPr>
              <w:t xml:space="preserve">there was a lack of direct evidence on organ damage and mortality and limited clinical evidence of the relationship between SLEDAI-2K and the long-term outcomes to which it contributed. </w:t>
            </w:r>
          </w:p>
          <w:p w14:paraId="4AF99BE4" w14:textId="48ACE056" w:rsidR="004F500D" w:rsidRPr="002F733E" w:rsidRDefault="004F500D" w:rsidP="00A76D9D">
            <w:pPr>
              <w:pStyle w:val="ListParagraph"/>
              <w:spacing w:after="0"/>
              <w:ind w:left="253" w:hanging="253"/>
              <w:jc w:val="left"/>
              <w:rPr>
                <w:rFonts w:ascii="Arial Narrow" w:hAnsi="Arial Narrow" w:cs="Calibri"/>
                <w:sz w:val="20"/>
                <w:szCs w:val="20"/>
              </w:rPr>
            </w:pPr>
            <w:r w:rsidRPr="002F733E">
              <w:rPr>
                <w:rFonts w:ascii="Arial Narrow" w:hAnsi="Arial Narrow" w:cs="Calibri"/>
                <w:sz w:val="20"/>
                <w:szCs w:val="20"/>
              </w:rPr>
              <w:t>the multicollinearity of regressors, the appropriateness of model fit and the extrapolation of the regression coefficients across the time horizon. ESC also considered there was a high chance of double counting the SLEDAI-2K effect.</w:t>
            </w:r>
          </w:p>
          <w:p w14:paraId="14183CE3" w14:textId="77777777" w:rsidR="004F500D" w:rsidRPr="002F733E" w:rsidRDefault="004F500D" w:rsidP="00A76D9D">
            <w:pPr>
              <w:pStyle w:val="ListParagraph"/>
              <w:spacing w:after="0"/>
              <w:ind w:left="253" w:hanging="253"/>
              <w:jc w:val="left"/>
              <w:rPr>
                <w:rFonts w:ascii="Arial Narrow" w:hAnsi="Arial Narrow" w:cs="Calibri"/>
                <w:sz w:val="20"/>
                <w:szCs w:val="20"/>
              </w:rPr>
            </w:pPr>
            <w:r w:rsidRPr="002F733E">
              <w:rPr>
                <w:rFonts w:ascii="Arial Narrow" w:hAnsi="Arial Narrow" w:cs="Calibri"/>
                <w:sz w:val="20"/>
                <w:szCs w:val="20"/>
              </w:rPr>
              <w:t xml:space="preserve">the PBAC considered the changes in SLEDAI-2K were implausible as patient discontinued anifrolumab at Year 1, however the greatest difference between the arms in SLEDAI-2K occurred after Year 10. It was unreasonable that differences would commence so long after the patient had discontinued anifrolumab. </w:t>
            </w:r>
          </w:p>
          <w:p w14:paraId="00E47988" w14:textId="0DCAA7FB" w:rsidR="004F500D" w:rsidRPr="002F733E" w:rsidRDefault="004F500D" w:rsidP="00A76D9D">
            <w:pPr>
              <w:pStyle w:val="ListParagraph"/>
              <w:spacing w:after="0"/>
              <w:ind w:left="253" w:hanging="253"/>
              <w:jc w:val="left"/>
              <w:rPr>
                <w:rFonts w:ascii="Arial Narrow" w:hAnsi="Arial Narrow" w:cs="Calibri"/>
                <w:sz w:val="20"/>
                <w:szCs w:val="20"/>
              </w:rPr>
            </w:pPr>
            <w:r w:rsidRPr="002F733E">
              <w:rPr>
                <w:rFonts w:ascii="Arial Narrow" w:hAnsi="Arial Narrow" w:cs="Calibri"/>
                <w:sz w:val="20"/>
                <w:szCs w:val="20"/>
              </w:rPr>
              <w:t xml:space="preserve">there was a 10% difference in survival between the arms at Year 30 despite fewer than 10% of patients still being on treatment at Year 15. </w:t>
            </w:r>
          </w:p>
          <w:p w14:paraId="5816F833" w14:textId="77777777" w:rsidR="004F500D" w:rsidRPr="002F733E" w:rsidRDefault="004F500D" w:rsidP="00A76D9D">
            <w:pPr>
              <w:pStyle w:val="ListParagraph"/>
              <w:spacing w:after="0"/>
              <w:ind w:left="253" w:hanging="253"/>
              <w:jc w:val="left"/>
              <w:rPr>
                <w:rFonts w:ascii="Arial Narrow" w:hAnsi="Arial Narrow" w:cs="Calibri"/>
                <w:sz w:val="20"/>
                <w:szCs w:val="20"/>
              </w:rPr>
            </w:pPr>
            <w:r w:rsidRPr="002F733E">
              <w:rPr>
                <w:rFonts w:ascii="Arial Narrow" w:hAnsi="Arial Narrow" w:cs="Calibri"/>
                <w:sz w:val="20"/>
                <w:szCs w:val="20"/>
              </w:rPr>
              <w:t xml:space="preserve">compared with data from ALRB, the model appeared to overestimate the average mean SLEDAI-2K for patients receiving only SOC. </w:t>
            </w:r>
          </w:p>
          <w:p w14:paraId="4609150D" w14:textId="734E7A41" w:rsidR="004F500D" w:rsidRPr="002F733E" w:rsidRDefault="004F500D" w:rsidP="00A76D9D">
            <w:pPr>
              <w:pStyle w:val="ListParagraph"/>
              <w:spacing w:after="0"/>
              <w:ind w:left="253" w:hanging="253"/>
              <w:jc w:val="left"/>
              <w:rPr>
                <w:rFonts w:ascii="Arial Narrow" w:hAnsi="Arial Narrow"/>
                <w:sz w:val="20"/>
                <w:szCs w:val="20"/>
              </w:rPr>
            </w:pPr>
            <w:r w:rsidRPr="002F733E">
              <w:rPr>
                <w:rFonts w:ascii="Arial Narrow" w:hAnsi="Arial Narrow" w:cs="Calibri"/>
                <w:sz w:val="20"/>
                <w:szCs w:val="20"/>
              </w:rPr>
              <w:t>small changes in flare duration had very large impacts on the ICER, which the PBAC considered may not be plausible. Further, the PBAC considered that flare duration was likely overestimated in the model.</w:t>
            </w:r>
          </w:p>
        </w:tc>
        <w:tc>
          <w:tcPr>
            <w:tcW w:w="1937" w:type="pct"/>
          </w:tcPr>
          <w:p w14:paraId="05EE16C8" w14:textId="77777777" w:rsidR="004F500D" w:rsidRPr="002F733E" w:rsidRDefault="004F500D" w:rsidP="00A76D9D">
            <w:pPr>
              <w:autoSpaceDE w:val="0"/>
              <w:autoSpaceDN w:val="0"/>
              <w:adjustRightInd w:val="0"/>
              <w:jc w:val="left"/>
              <w:rPr>
                <w:rFonts w:ascii="Arial Narrow" w:hAnsi="Arial Narrow" w:cs="Calibri"/>
                <w:sz w:val="20"/>
                <w:szCs w:val="20"/>
              </w:rPr>
            </w:pPr>
            <w:r w:rsidRPr="002F733E">
              <w:rPr>
                <w:rFonts w:ascii="Arial Narrow" w:hAnsi="Arial Narrow" w:cs="Calibri"/>
                <w:sz w:val="20"/>
                <w:szCs w:val="20"/>
              </w:rPr>
              <w:t>The resubmission presented a revised base-case, which included:</w:t>
            </w:r>
          </w:p>
          <w:p w14:paraId="19ECBD51" w14:textId="77777777" w:rsidR="004F500D" w:rsidRPr="002F733E" w:rsidRDefault="004F500D" w:rsidP="00A76D9D">
            <w:pPr>
              <w:pStyle w:val="ListParagraph"/>
              <w:spacing w:after="0"/>
              <w:ind w:left="253" w:hanging="253"/>
              <w:jc w:val="left"/>
              <w:rPr>
                <w:rFonts w:ascii="Arial Narrow" w:hAnsi="Arial Narrow" w:cs="Calibri"/>
                <w:sz w:val="20"/>
                <w:szCs w:val="20"/>
              </w:rPr>
            </w:pPr>
            <w:r w:rsidRPr="002F733E">
              <w:rPr>
                <w:rFonts w:ascii="Arial Narrow" w:hAnsi="Arial Narrow" w:cs="Calibri"/>
                <w:sz w:val="20"/>
                <w:szCs w:val="20"/>
              </w:rPr>
              <w:t xml:space="preserve">extrapolation beyond the first year was based on evidence from TULIP-LTE (to 216 weeks). </w:t>
            </w:r>
          </w:p>
          <w:p w14:paraId="2A278AEB" w14:textId="54DA90EC" w:rsidR="004F500D" w:rsidRPr="002F733E" w:rsidRDefault="004F500D" w:rsidP="00A76D9D">
            <w:pPr>
              <w:pStyle w:val="ListParagraph"/>
              <w:spacing w:after="0"/>
              <w:ind w:left="253" w:hanging="253"/>
              <w:jc w:val="left"/>
              <w:rPr>
                <w:rFonts w:ascii="Arial Narrow" w:hAnsi="Arial Narrow" w:cs="Calibri"/>
                <w:sz w:val="20"/>
                <w:szCs w:val="20"/>
              </w:rPr>
            </w:pPr>
            <w:r w:rsidRPr="002F733E">
              <w:rPr>
                <w:rFonts w:ascii="Arial Narrow" w:hAnsi="Arial Narrow" w:cs="Calibri"/>
                <w:sz w:val="20"/>
                <w:szCs w:val="20"/>
              </w:rPr>
              <w:t>Excluded the effect on the rate of flares in anifrolumab non-responders and the impact of SLEDAI</w:t>
            </w:r>
            <w:r w:rsidR="00696A51" w:rsidRPr="002F733E">
              <w:rPr>
                <w:rFonts w:ascii="Arial Narrow" w:hAnsi="Arial Narrow" w:cs="Calibri"/>
                <w:sz w:val="20"/>
                <w:szCs w:val="20"/>
              </w:rPr>
              <w:t>-2K</w:t>
            </w:r>
            <w:r w:rsidRPr="002F733E">
              <w:rPr>
                <w:rFonts w:ascii="Arial Narrow" w:hAnsi="Arial Narrow" w:cs="Calibri"/>
                <w:sz w:val="20"/>
                <w:szCs w:val="20"/>
              </w:rPr>
              <w:t xml:space="preserve"> on the rate of hospitalisation. </w:t>
            </w:r>
          </w:p>
          <w:p w14:paraId="4A091F94" w14:textId="77777777" w:rsidR="004F500D" w:rsidRPr="002F733E" w:rsidRDefault="004F500D" w:rsidP="00A76D9D">
            <w:pPr>
              <w:pStyle w:val="ListParagraph"/>
              <w:spacing w:after="0"/>
              <w:ind w:left="253" w:hanging="253"/>
              <w:jc w:val="left"/>
              <w:rPr>
                <w:rFonts w:ascii="Arial Narrow" w:hAnsi="Arial Narrow" w:cs="Calibri"/>
                <w:sz w:val="20"/>
                <w:szCs w:val="20"/>
              </w:rPr>
            </w:pPr>
            <w:r w:rsidRPr="002F733E">
              <w:rPr>
                <w:rFonts w:ascii="Arial Narrow" w:hAnsi="Arial Narrow" w:cs="Calibri"/>
                <w:sz w:val="20"/>
                <w:szCs w:val="20"/>
              </w:rPr>
              <w:t>Duration of flares was informed by data of Australian SLE patients in the Asia-Pacific Lupus Cohort (APLC) study.</w:t>
            </w:r>
          </w:p>
          <w:p w14:paraId="5B0D522C" w14:textId="4254C612" w:rsidR="004F500D" w:rsidRPr="002F733E" w:rsidRDefault="004F500D" w:rsidP="00A76D9D">
            <w:pPr>
              <w:pStyle w:val="ListParagraph"/>
              <w:spacing w:after="0"/>
              <w:ind w:left="253" w:hanging="253"/>
              <w:jc w:val="left"/>
              <w:rPr>
                <w:rFonts w:ascii="Arial Narrow" w:hAnsi="Arial Narrow" w:cs="Calibri"/>
                <w:sz w:val="20"/>
                <w:szCs w:val="20"/>
              </w:rPr>
            </w:pPr>
            <w:r w:rsidRPr="002F733E">
              <w:rPr>
                <w:rFonts w:ascii="Arial Narrow" w:hAnsi="Arial Narrow" w:cs="Calibri"/>
                <w:sz w:val="20"/>
                <w:szCs w:val="20"/>
              </w:rPr>
              <w:t xml:space="preserve">Reduced effective DPMQ </w:t>
            </w:r>
            <w:r w:rsidR="001C0A39" w:rsidRPr="002F733E">
              <w:rPr>
                <w:rFonts w:ascii="Arial Narrow" w:hAnsi="Arial Narrow" w:cs="Calibri"/>
                <w:sz w:val="20"/>
                <w:szCs w:val="20"/>
              </w:rPr>
              <w:t xml:space="preserve">(public) </w:t>
            </w:r>
            <w:r w:rsidR="00160066" w:rsidRPr="002F733E">
              <w:rPr>
                <w:rFonts w:ascii="Arial Narrow" w:hAnsi="Arial Narrow" w:cs="Calibri"/>
                <w:sz w:val="20"/>
                <w:szCs w:val="20"/>
              </w:rPr>
              <w:t>to $</w:t>
            </w:r>
            <w:r w:rsidR="00EB6544" w:rsidRPr="00EB6544">
              <w:rPr>
                <w:rFonts w:ascii="Arial Narrow" w:hAnsi="Arial Narrow" w:cs="Calibri"/>
                <w:color w:val="000000"/>
                <w:spacing w:val="213"/>
                <w:sz w:val="20"/>
                <w:szCs w:val="20"/>
                <w:shd w:val="solid" w:color="000000" w:fill="000000"/>
                <w:fitText w:val="299" w:id="-1236572925"/>
                <w14:textFill>
                  <w14:solidFill>
                    <w14:srgbClr w14:val="000000">
                      <w14:alpha w14:val="100000"/>
                    </w14:srgbClr>
                  </w14:solidFill>
                </w14:textFill>
              </w:rPr>
              <w:t>|</w:t>
            </w:r>
            <w:r w:rsidR="00EB6544" w:rsidRPr="00EB6544">
              <w:rPr>
                <w:rFonts w:ascii="Arial Narrow" w:hAnsi="Arial Narrow" w:cs="Calibri"/>
                <w:color w:val="000000"/>
                <w:sz w:val="20"/>
                <w:szCs w:val="20"/>
                <w:shd w:val="solid" w:color="000000" w:fill="000000"/>
                <w:fitText w:val="299" w:id="-1236572925"/>
                <w14:textFill>
                  <w14:solidFill>
                    <w14:srgbClr w14:val="000000">
                      <w14:alpha w14:val="100000"/>
                    </w14:srgbClr>
                  </w14:solidFill>
                </w14:textFill>
              </w:rPr>
              <w:t>|</w:t>
            </w:r>
            <w:r w:rsidR="00160066" w:rsidRPr="002F733E">
              <w:rPr>
                <w:rFonts w:ascii="Arial Narrow" w:hAnsi="Arial Narrow" w:cs="Calibri"/>
                <w:sz w:val="20"/>
                <w:szCs w:val="20"/>
              </w:rPr>
              <w:t xml:space="preserve"> </w:t>
            </w:r>
            <w:r w:rsidR="00CE2328" w:rsidRPr="002F733E">
              <w:rPr>
                <w:rFonts w:ascii="Arial Narrow" w:hAnsi="Arial Narrow" w:cs="Calibri"/>
                <w:sz w:val="20"/>
                <w:szCs w:val="20"/>
              </w:rPr>
              <w:t>(</w:t>
            </w:r>
            <w:r w:rsidR="00160066" w:rsidRPr="002F733E">
              <w:rPr>
                <w:rFonts w:ascii="Arial Narrow" w:hAnsi="Arial Narrow" w:cs="Calibri"/>
                <w:sz w:val="20"/>
                <w:szCs w:val="20"/>
              </w:rPr>
              <w:t>from $</w:t>
            </w:r>
            <w:r w:rsidR="00EB6544" w:rsidRPr="00EB6544">
              <w:rPr>
                <w:rFonts w:ascii="Arial Narrow" w:hAnsi="Arial Narrow" w:cs="Calibri"/>
                <w:color w:val="000000"/>
                <w:spacing w:val="213"/>
                <w:sz w:val="20"/>
                <w:szCs w:val="20"/>
                <w:shd w:val="solid" w:color="000000" w:fill="000000"/>
                <w:fitText w:val="299" w:id="-1236572924"/>
                <w14:textFill>
                  <w14:solidFill>
                    <w14:srgbClr w14:val="000000">
                      <w14:alpha w14:val="100000"/>
                    </w14:srgbClr>
                  </w14:solidFill>
                </w14:textFill>
              </w:rPr>
              <w:t>|</w:t>
            </w:r>
            <w:r w:rsidR="00EB6544" w:rsidRPr="00EB6544">
              <w:rPr>
                <w:rFonts w:ascii="Arial Narrow" w:hAnsi="Arial Narrow" w:cs="Calibri"/>
                <w:color w:val="000000"/>
                <w:sz w:val="20"/>
                <w:szCs w:val="20"/>
                <w:shd w:val="solid" w:color="000000" w:fill="000000"/>
                <w:fitText w:val="299" w:id="-1236572924"/>
                <w14:textFill>
                  <w14:solidFill>
                    <w14:srgbClr w14:val="000000">
                      <w14:alpha w14:val="100000"/>
                    </w14:srgbClr>
                  </w14:solidFill>
                </w14:textFill>
              </w:rPr>
              <w:t>|</w:t>
            </w:r>
            <w:r w:rsidR="00160066" w:rsidRPr="002F733E">
              <w:rPr>
                <w:rFonts w:ascii="Arial Narrow" w:hAnsi="Arial Narrow" w:cs="Calibri"/>
                <w:sz w:val="20"/>
                <w:szCs w:val="20"/>
              </w:rPr>
              <w:t xml:space="preserve"> </w:t>
            </w:r>
            <w:r w:rsidR="00CE2328" w:rsidRPr="002F733E">
              <w:rPr>
                <w:rFonts w:ascii="Arial Narrow" w:hAnsi="Arial Narrow" w:cs="Calibri"/>
                <w:sz w:val="20"/>
                <w:szCs w:val="20"/>
              </w:rPr>
              <w:t xml:space="preserve">in the July 2022 submission </w:t>
            </w:r>
            <w:r w:rsidR="00160066" w:rsidRPr="002F733E">
              <w:rPr>
                <w:rFonts w:ascii="Arial Narrow" w:hAnsi="Arial Narrow" w:cs="Calibri"/>
                <w:sz w:val="20"/>
                <w:szCs w:val="20"/>
              </w:rPr>
              <w:t>and $</w:t>
            </w:r>
            <w:r w:rsidR="00EB6544" w:rsidRPr="00EB6544">
              <w:rPr>
                <w:rFonts w:ascii="Arial Narrow" w:hAnsi="Arial Narrow" w:cs="Calibri"/>
                <w:color w:val="000000"/>
                <w:spacing w:val="214"/>
                <w:sz w:val="20"/>
                <w:szCs w:val="20"/>
                <w:shd w:val="solid" w:color="000000" w:fill="000000"/>
                <w:fitText w:val="300" w:id="-1236572923"/>
                <w14:textFill>
                  <w14:solidFill>
                    <w14:srgbClr w14:val="000000">
                      <w14:alpha w14:val="100000"/>
                    </w14:srgbClr>
                  </w14:solidFill>
                </w14:textFill>
              </w:rPr>
              <w:t>|</w:t>
            </w:r>
            <w:r w:rsidR="00EB6544" w:rsidRPr="00EB6544">
              <w:rPr>
                <w:rFonts w:ascii="Arial Narrow" w:hAnsi="Arial Narrow" w:cs="Calibri"/>
                <w:color w:val="000000"/>
                <w:sz w:val="20"/>
                <w:szCs w:val="20"/>
                <w:shd w:val="solid" w:color="000000" w:fill="000000"/>
                <w:fitText w:val="300" w:id="-1236572923"/>
                <w14:textFill>
                  <w14:solidFill>
                    <w14:srgbClr w14:val="000000">
                      <w14:alpha w14:val="100000"/>
                    </w14:srgbClr>
                  </w14:solidFill>
                </w14:textFill>
              </w:rPr>
              <w:t>|</w:t>
            </w:r>
            <w:r w:rsidR="00CE2328" w:rsidRPr="002F733E">
              <w:rPr>
                <w:rFonts w:ascii="Arial Narrow" w:hAnsi="Arial Narrow" w:cs="Calibri"/>
                <w:sz w:val="20"/>
                <w:szCs w:val="20"/>
              </w:rPr>
              <w:t xml:space="preserve"> </w:t>
            </w:r>
            <w:r w:rsidR="00160066" w:rsidRPr="002F733E">
              <w:rPr>
                <w:rFonts w:ascii="Arial Narrow" w:hAnsi="Arial Narrow" w:cs="Calibri"/>
                <w:sz w:val="20"/>
                <w:szCs w:val="20"/>
              </w:rPr>
              <w:t xml:space="preserve">in the </w:t>
            </w:r>
            <w:r w:rsidR="001231E2" w:rsidRPr="002F733E">
              <w:rPr>
                <w:rFonts w:ascii="Arial Narrow" w:hAnsi="Arial Narrow" w:cs="Calibri"/>
                <w:sz w:val="20"/>
                <w:szCs w:val="20"/>
              </w:rPr>
              <w:t>July 2022 pre</w:t>
            </w:r>
            <w:r w:rsidR="001231E2" w:rsidRPr="002F733E">
              <w:rPr>
                <w:rFonts w:ascii="Arial Narrow" w:hAnsi="Arial Narrow" w:cs="Calibri"/>
                <w:sz w:val="20"/>
                <w:szCs w:val="20"/>
              </w:rPr>
              <w:noBreakHyphen/>
            </w:r>
            <w:r w:rsidR="00160066" w:rsidRPr="002F733E">
              <w:rPr>
                <w:rFonts w:ascii="Arial Narrow" w:hAnsi="Arial Narrow" w:cs="Calibri"/>
                <w:sz w:val="20"/>
                <w:szCs w:val="20"/>
              </w:rPr>
              <w:t xml:space="preserve">PBAC response). </w:t>
            </w:r>
          </w:p>
          <w:p w14:paraId="2D8377EC" w14:textId="69E7F110" w:rsidR="001231E2" w:rsidRPr="002F733E" w:rsidRDefault="001231E2" w:rsidP="008C7B00">
            <w:pPr>
              <w:pStyle w:val="ListParagraph"/>
              <w:spacing w:after="0"/>
              <w:ind w:left="253" w:hanging="253"/>
              <w:jc w:val="left"/>
              <w:rPr>
                <w:rFonts w:ascii="Arial Narrow" w:hAnsi="Arial Narrow" w:cs="Calibri"/>
                <w:sz w:val="20"/>
                <w:szCs w:val="20"/>
              </w:rPr>
            </w:pPr>
            <w:r w:rsidRPr="002F733E">
              <w:rPr>
                <w:rFonts w:ascii="Arial Narrow" w:hAnsi="Arial Narrow" w:cs="Calibri"/>
                <w:sz w:val="20"/>
                <w:szCs w:val="20"/>
              </w:rPr>
              <w:t xml:space="preserve">The pre-PBAC response offered a lower effective </w:t>
            </w:r>
            <w:r w:rsidR="000C0C35" w:rsidRPr="002F733E">
              <w:rPr>
                <w:rFonts w:ascii="Arial Narrow" w:hAnsi="Arial Narrow" w:cs="Calibri"/>
                <w:sz w:val="20"/>
                <w:szCs w:val="20"/>
              </w:rPr>
              <w:t xml:space="preserve">DPMQ </w:t>
            </w:r>
            <w:r w:rsidRPr="002F733E">
              <w:rPr>
                <w:rFonts w:ascii="Arial Narrow" w:hAnsi="Arial Narrow" w:cs="Calibri"/>
                <w:sz w:val="20"/>
                <w:szCs w:val="20"/>
              </w:rPr>
              <w:t>of $</w:t>
            </w:r>
            <w:r w:rsidR="00EB6544" w:rsidRPr="00EB6544">
              <w:rPr>
                <w:rFonts w:ascii="Arial Narrow" w:hAnsi="Arial Narrow" w:cs="Calibri"/>
                <w:color w:val="000000"/>
                <w:spacing w:val="214"/>
                <w:sz w:val="20"/>
                <w:szCs w:val="20"/>
                <w:shd w:val="solid" w:color="000000" w:fill="000000"/>
                <w:fitText w:val="300" w:id="-1236572922"/>
                <w14:textFill>
                  <w14:solidFill>
                    <w14:srgbClr w14:val="000000">
                      <w14:alpha w14:val="100000"/>
                    </w14:srgbClr>
                  </w14:solidFill>
                </w14:textFill>
              </w:rPr>
              <w:t>|</w:t>
            </w:r>
            <w:r w:rsidR="00EB6544" w:rsidRPr="00EB6544">
              <w:rPr>
                <w:rFonts w:ascii="Arial Narrow" w:hAnsi="Arial Narrow" w:cs="Calibri"/>
                <w:color w:val="000000"/>
                <w:sz w:val="20"/>
                <w:szCs w:val="20"/>
                <w:shd w:val="solid" w:color="000000" w:fill="000000"/>
                <w:fitText w:val="300" w:id="-1236572922"/>
                <w14:textFill>
                  <w14:solidFill>
                    <w14:srgbClr w14:val="000000">
                      <w14:alpha w14:val="100000"/>
                    </w14:srgbClr>
                  </w14:solidFill>
                </w14:textFill>
              </w:rPr>
              <w:t>|</w:t>
            </w:r>
            <w:r w:rsidRPr="002F733E">
              <w:rPr>
                <w:rFonts w:ascii="Arial Narrow" w:hAnsi="Arial Narrow" w:cs="Calibri"/>
                <w:sz w:val="20"/>
                <w:szCs w:val="20"/>
              </w:rPr>
              <w:t xml:space="preserve"> (</w:t>
            </w:r>
            <w:r w:rsidR="001C0A39" w:rsidRPr="002F733E">
              <w:rPr>
                <w:rFonts w:ascii="Arial Narrow" w:hAnsi="Arial Narrow" w:cs="Calibri"/>
                <w:sz w:val="20"/>
                <w:szCs w:val="20"/>
              </w:rPr>
              <w:t>public)</w:t>
            </w:r>
            <w:r w:rsidRPr="002F733E">
              <w:rPr>
                <w:rFonts w:ascii="Arial Narrow" w:hAnsi="Arial Narrow" w:cs="Calibri"/>
                <w:sz w:val="20"/>
                <w:szCs w:val="20"/>
              </w:rPr>
              <w:t>.</w:t>
            </w:r>
          </w:p>
          <w:p w14:paraId="69FCDA43" w14:textId="77777777" w:rsidR="00EE14B9" w:rsidRPr="002F733E" w:rsidRDefault="00EE14B9" w:rsidP="00A76D9D">
            <w:pPr>
              <w:jc w:val="left"/>
              <w:rPr>
                <w:rFonts w:ascii="Arial Narrow" w:hAnsi="Arial Narrow"/>
                <w:snapToGrid w:val="0"/>
                <w:sz w:val="20"/>
                <w:szCs w:val="20"/>
              </w:rPr>
            </w:pPr>
          </w:p>
        </w:tc>
      </w:tr>
      <w:tr w:rsidR="00EE14B9" w:rsidRPr="002F733E" w14:paraId="042D6582" w14:textId="77777777" w:rsidTr="007A5FEF">
        <w:tc>
          <w:tcPr>
            <w:tcW w:w="626" w:type="pct"/>
          </w:tcPr>
          <w:p w14:paraId="641184BC" w14:textId="77777777" w:rsidR="00EE14B9" w:rsidRPr="002F733E" w:rsidRDefault="00EE14B9" w:rsidP="007A5FEF">
            <w:pPr>
              <w:jc w:val="left"/>
              <w:rPr>
                <w:rFonts w:ascii="Arial Narrow" w:eastAsiaTheme="majorEastAsia" w:hAnsi="Arial Narrow" w:cstheme="majorBidi"/>
                <w:bCs/>
                <w:sz w:val="20"/>
              </w:rPr>
            </w:pPr>
            <w:r w:rsidRPr="002F733E">
              <w:rPr>
                <w:rFonts w:ascii="Arial Narrow" w:eastAsiaTheme="majorEastAsia" w:hAnsi="Arial Narrow" w:cstheme="majorBidi"/>
                <w:bCs/>
                <w:sz w:val="20"/>
              </w:rPr>
              <w:t>Financial estimates &amp; risk share</w:t>
            </w:r>
          </w:p>
        </w:tc>
        <w:tc>
          <w:tcPr>
            <w:tcW w:w="2437" w:type="pct"/>
          </w:tcPr>
          <w:p w14:paraId="39E3217C" w14:textId="3C50D8A9" w:rsidR="00EE14B9" w:rsidRPr="002F733E" w:rsidRDefault="004F500D" w:rsidP="007A5FEF">
            <w:pPr>
              <w:jc w:val="left"/>
              <w:rPr>
                <w:rFonts w:ascii="Arial Narrow" w:hAnsi="Arial Narrow" w:cs="Calibri"/>
                <w:sz w:val="20"/>
                <w:szCs w:val="20"/>
              </w:rPr>
            </w:pPr>
            <w:r w:rsidRPr="002F733E">
              <w:rPr>
                <w:rFonts w:ascii="Arial Narrow" w:hAnsi="Arial Narrow" w:cs="Calibri"/>
                <w:sz w:val="20"/>
                <w:szCs w:val="20"/>
              </w:rPr>
              <w:t>The PBAC noted the pre-PBAC responses’ estimate of the total number of scripts in Year 6 was still substantially higher than estimated for belimumab (para 6.61, anifrolumab PSD</w:t>
            </w:r>
            <w:r w:rsidR="00D75FD7" w:rsidRPr="002F733E">
              <w:rPr>
                <w:rFonts w:ascii="Arial Narrow" w:hAnsi="Arial Narrow" w:cs="Calibri"/>
                <w:sz w:val="20"/>
                <w:szCs w:val="20"/>
              </w:rPr>
              <w:t>,</w:t>
            </w:r>
            <w:r w:rsidRPr="002F733E">
              <w:rPr>
                <w:rFonts w:ascii="Arial Narrow" w:hAnsi="Arial Narrow" w:cs="Calibri"/>
                <w:sz w:val="20"/>
                <w:szCs w:val="20"/>
              </w:rPr>
              <w:t xml:space="preserve"> July 2022). The PBAC considered that the pre-PBAC responses’ adjustment to the proportion of eligible patients was appropriate as it was more closely aligned with the proportion in the TULIP trials and ALRB data. However, the PBAC considered that the uptake rates applied in the pre-PBAC response may have been overestimated in the later years. Further, the PBAC noted that the financial estimates assumed 100% compliance, which it considered was unreasonable in the context of an IV infusion (para 7.12, anifrolumab PSD</w:t>
            </w:r>
            <w:r w:rsidR="00D75FD7" w:rsidRPr="002F733E">
              <w:rPr>
                <w:rFonts w:ascii="Arial Narrow" w:hAnsi="Arial Narrow" w:cs="Calibri"/>
                <w:sz w:val="20"/>
                <w:szCs w:val="20"/>
              </w:rPr>
              <w:t>,</w:t>
            </w:r>
            <w:r w:rsidRPr="002F733E">
              <w:rPr>
                <w:rFonts w:ascii="Arial Narrow" w:hAnsi="Arial Narrow" w:cs="Calibri"/>
                <w:sz w:val="20"/>
                <w:szCs w:val="20"/>
              </w:rPr>
              <w:t xml:space="preserve"> July 2022).</w:t>
            </w:r>
          </w:p>
          <w:p w14:paraId="5DF6B222" w14:textId="77777777" w:rsidR="004F500D" w:rsidRPr="002F733E" w:rsidRDefault="004F500D" w:rsidP="007A5FEF">
            <w:pPr>
              <w:jc w:val="left"/>
              <w:rPr>
                <w:rFonts w:ascii="Arial Narrow" w:hAnsi="Arial Narrow" w:cs="Calibri"/>
                <w:sz w:val="20"/>
                <w:szCs w:val="20"/>
              </w:rPr>
            </w:pPr>
          </w:p>
          <w:p w14:paraId="0F1DF9C4" w14:textId="04948DA3" w:rsidR="004F500D" w:rsidRPr="002F733E" w:rsidRDefault="004F500D" w:rsidP="007A5FEF">
            <w:pPr>
              <w:jc w:val="left"/>
              <w:rPr>
                <w:rFonts w:ascii="Arial Narrow" w:hAnsi="Arial Narrow"/>
                <w:snapToGrid w:val="0"/>
                <w:sz w:val="20"/>
                <w:szCs w:val="20"/>
              </w:rPr>
            </w:pPr>
            <w:r w:rsidRPr="002F733E">
              <w:rPr>
                <w:rFonts w:ascii="Arial Narrow" w:hAnsi="Arial Narrow" w:cs="Calibri"/>
                <w:sz w:val="20"/>
                <w:szCs w:val="20"/>
              </w:rPr>
              <w:t>The PBAC considered that a RSA with a rebate for use over the expenditure caps would be required given the uncertain size of the patient population (para 7.13, anifrolumab PSD</w:t>
            </w:r>
            <w:r w:rsidR="00D75FD7" w:rsidRPr="002F733E">
              <w:rPr>
                <w:rFonts w:ascii="Arial Narrow" w:hAnsi="Arial Narrow" w:cs="Calibri"/>
                <w:sz w:val="20"/>
                <w:szCs w:val="20"/>
              </w:rPr>
              <w:t>,</w:t>
            </w:r>
            <w:r w:rsidRPr="002F733E">
              <w:rPr>
                <w:rFonts w:ascii="Arial Narrow" w:hAnsi="Arial Narrow" w:cs="Calibri"/>
                <w:sz w:val="20"/>
                <w:szCs w:val="20"/>
              </w:rPr>
              <w:t xml:space="preserve"> July 2022).</w:t>
            </w:r>
          </w:p>
        </w:tc>
        <w:tc>
          <w:tcPr>
            <w:tcW w:w="1937" w:type="pct"/>
          </w:tcPr>
          <w:p w14:paraId="7DD57938" w14:textId="606EC524" w:rsidR="00EE14B9" w:rsidRPr="002F733E" w:rsidRDefault="004F500D" w:rsidP="007A5FEF">
            <w:pPr>
              <w:jc w:val="left"/>
              <w:rPr>
                <w:rFonts w:ascii="Arial Narrow" w:hAnsi="Arial Narrow"/>
                <w:snapToGrid w:val="0"/>
                <w:sz w:val="20"/>
                <w:szCs w:val="20"/>
              </w:rPr>
            </w:pPr>
            <w:r w:rsidRPr="002F733E">
              <w:rPr>
                <w:rFonts w:ascii="Arial Narrow" w:hAnsi="Arial Narrow"/>
                <w:snapToGrid w:val="0"/>
                <w:sz w:val="20"/>
                <w:szCs w:val="20"/>
              </w:rPr>
              <w:t xml:space="preserve">The financial estimates were revised incorporating </w:t>
            </w:r>
            <w:r w:rsidR="00B84D30" w:rsidRPr="002F733E">
              <w:rPr>
                <w:rFonts w:ascii="Arial Narrow" w:hAnsi="Arial Narrow"/>
                <w:snapToGrid w:val="0"/>
                <w:sz w:val="20"/>
                <w:szCs w:val="20"/>
              </w:rPr>
              <w:t>reduction in the proposed effective price, total patient years, proportion of eligible patients, increased uptake rates and grandfathered patients in Year 1.</w:t>
            </w:r>
            <w:r w:rsidR="00894CDB" w:rsidRPr="002F733E">
              <w:rPr>
                <w:rFonts w:ascii="Arial Narrow" w:hAnsi="Arial Narrow"/>
                <w:snapToGrid w:val="0"/>
                <w:sz w:val="20"/>
                <w:szCs w:val="20"/>
              </w:rPr>
              <w:t xml:space="preserve"> Further revisions to the financial estimates were provided in the PSCR.</w:t>
            </w:r>
          </w:p>
          <w:p w14:paraId="4E28B0BD" w14:textId="77777777" w:rsidR="00B84D30" w:rsidRPr="002F733E" w:rsidRDefault="00B84D30" w:rsidP="007A5FEF">
            <w:pPr>
              <w:jc w:val="left"/>
              <w:rPr>
                <w:rFonts w:ascii="Arial Narrow" w:hAnsi="Arial Narrow"/>
                <w:snapToGrid w:val="0"/>
                <w:sz w:val="20"/>
                <w:szCs w:val="20"/>
              </w:rPr>
            </w:pPr>
          </w:p>
          <w:p w14:paraId="4B89E545" w14:textId="0A112738" w:rsidR="00B84D30" w:rsidRPr="002F733E" w:rsidRDefault="00B84D30" w:rsidP="007A5FEF">
            <w:pPr>
              <w:jc w:val="left"/>
              <w:rPr>
                <w:rFonts w:ascii="Arial Narrow" w:hAnsi="Arial Narrow"/>
                <w:snapToGrid w:val="0"/>
                <w:sz w:val="20"/>
                <w:szCs w:val="20"/>
              </w:rPr>
            </w:pPr>
            <w:r w:rsidRPr="002F733E">
              <w:rPr>
                <w:rFonts w:ascii="Arial Narrow" w:hAnsi="Arial Narrow" w:cs="Calibri"/>
                <w:sz w:val="20"/>
                <w:szCs w:val="20"/>
              </w:rPr>
              <w:t>The resubmission stated that to address any areas of uncertainty to the PBS and the government, the sponsor was willing to consider a RSA.</w:t>
            </w:r>
          </w:p>
        </w:tc>
      </w:tr>
    </w:tbl>
    <w:p w14:paraId="253BF111" w14:textId="37384FFD" w:rsidR="00EE14B9" w:rsidRPr="002F733E" w:rsidRDefault="00EE14B9" w:rsidP="00B84D30">
      <w:pPr>
        <w:pStyle w:val="3-BodyText"/>
        <w:numPr>
          <w:ilvl w:val="0"/>
          <w:numId w:val="0"/>
        </w:numPr>
        <w:spacing w:after="0"/>
        <w:rPr>
          <w:rFonts w:ascii="Arial Narrow" w:hAnsi="Arial Narrow" w:cs="Calibri"/>
          <w:sz w:val="18"/>
          <w:szCs w:val="18"/>
        </w:rPr>
      </w:pPr>
      <w:r w:rsidRPr="002F733E">
        <w:rPr>
          <w:rFonts w:ascii="Arial Narrow" w:hAnsi="Arial Narrow" w:cs="Calibri"/>
          <w:sz w:val="18"/>
          <w:szCs w:val="18"/>
        </w:rPr>
        <w:t>Source: Table intro 1, pp.xxxiv-xxxvi of the resubmission</w:t>
      </w:r>
      <w:r w:rsidR="00B84D30" w:rsidRPr="002F733E">
        <w:rPr>
          <w:rFonts w:ascii="Arial Narrow" w:hAnsi="Arial Narrow" w:cs="Calibri"/>
          <w:sz w:val="18"/>
          <w:szCs w:val="18"/>
        </w:rPr>
        <w:t>.</w:t>
      </w:r>
    </w:p>
    <w:p w14:paraId="06616E96" w14:textId="22C3E8E6" w:rsidR="00B84D30" w:rsidRDefault="00B84D30" w:rsidP="00A76D9D">
      <w:pPr>
        <w:autoSpaceDE w:val="0"/>
        <w:autoSpaceDN w:val="0"/>
        <w:adjustRightInd w:val="0"/>
        <w:rPr>
          <w:rFonts w:ascii="Arial Narrow" w:hAnsi="Arial Narrow" w:cs="Calibri"/>
          <w:sz w:val="18"/>
          <w:szCs w:val="18"/>
        </w:rPr>
      </w:pPr>
      <w:r w:rsidRPr="002F733E">
        <w:rPr>
          <w:rFonts w:ascii="Arial Narrow" w:hAnsi="Arial Narrow" w:cs="Calibri"/>
          <w:sz w:val="18"/>
          <w:szCs w:val="18"/>
        </w:rPr>
        <w:t>ALRB=Australian Lupus Registry and Biobank; ARTG=Australian Register of Therapeutic Goods; AZA=azathioprine; BICLA=BILAG-Based Composite Lupus Assessment; BILAG=British Isles Lupus Assessment Group; HCQ=hydroxychloroquine; ICER=incremental cost-effectiveness ratio; IV=intravenous; MTX=methotrexate; NSAIDs=nonsteroidal anti-inflammatory drugs; QALY=quality adjusted life year; RSA=risk sharing agreement; SLE=systemic lupus erythematosus; SLEDAI-2K=Systemic Lupus Erythematosus Disease Activity Index 2000; SOC=standard of care; SRI(4)=4-point reduction in SLE Responder Index</w:t>
      </w:r>
      <w:r w:rsidR="00965F66">
        <w:rPr>
          <w:rFonts w:ascii="Arial Narrow" w:hAnsi="Arial Narrow" w:cs="Calibri"/>
          <w:sz w:val="18"/>
          <w:szCs w:val="18"/>
        </w:rPr>
        <w:t>; PSD = Public Summary Document; PSCR = Pre-Sub-Committee Response.</w:t>
      </w:r>
    </w:p>
    <w:p w14:paraId="18996862" w14:textId="6E64A9FE" w:rsidR="00965F66" w:rsidRPr="00965F66" w:rsidRDefault="00965F66" w:rsidP="00A76D9D">
      <w:pPr>
        <w:autoSpaceDE w:val="0"/>
        <w:autoSpaceDN w:val="0"/>
        <w:adjustRightInd w:val="0"/>
        <w:rPr>
          <w:rFonts w:ascii="Arial Narrow" w:hAnsi="Arial Narrow" w:cs="Calibri"/>
          <w:i/>
          <w:iCs/>
          <w:sz w:val="18"/>
          <w:szCs w:val="18"/>
        </w:rPr>
      </w:pPr>
      <w:r w:rsidRPr="00965F66">
        <w:rPr>
          <w:rFonts w:ascii="Arial Narrow" w:hAnsi="Arial Narrow" w:cs="Calibri"/>
          <w:i/>
          <w:iCs/>
          <w:sz w:val="18"/>
          <w:szCs w:val="18"/>
        </w:rPr>
        <w:t>The redacted values correspond to the following range:</w:t>
      </w:r>
    </w:p>
    <w:p w14:paraId="26DA6585" w14:textId="0920CB95" w:rsidR="00965F66" w:rsidRPr="00965F66" w:rsidRDefault="00965F66" w:rsidP="00A76D9D">
      <w:pPr>
        <w:autoSpaceDE w:val="0"/>
        <w:autoSpaceDN w:val="0"/>
        <w:adjustRightInd w:val="0"/>
        <w:rPr>
          <w:rFonts w:ascii="Arial Narrow" w:hAnsi="Arial Narrow" w:cs="Calibri"/>
          <w:i/>
          <w:iCs/>
          <w:sz w:val="18"/>
          <w:szCs w:val="18"/>
        </w:rPr>
      </w:pPr>
      <w:r w:rsidRPr="00965F66">
        <w:rPr>
          <w:rFonts w:ascii="Arial Narrow" w:hAnsi="Arial Narrow" w:cs="Calibri"/>
          <w:i/>
          <w:iCs/>
          <w:sz w:val="18"/>
          <w:szCs w:val="18"/>
          <w:vertAlign w:val="superscript"/>
        </w:rPr>
        <w:t>1</w:t>
      </w:r>
      <w:r w:rsidRPr="00965F66">
        <w:rPr>
          <w:rFonts w:ascii="Arial Narrow" w:hAnsi="Arial Narrow" w:cs="Calibri"/>
          <w:i/>
          <w:iCs/>
          <w:sz w:val="18"/>
          <w:szCs w:val="18"/>
        </w:rPr>
        <w:t xml:space="preserve"> &lt; 500</w:t>
      </w:r>
    </w:p>
    <w:p w14:paraId="1C7E0BCA" w14:textId="7D3C3E47" w:rsidR="007E56D1" w:rsidRPr="002F733E" w:rsidRDefault="007E56D1" w:rsidP="007E56D1"/>
    <w:p w14:paraId="0B2E1F5C" w14:textId="2D7A8634" w:rsidR="007E56D1" w:rsidRPr="002F733E" w:rsidRDefault="007E56D1" w:rsidP="007E56D1">
      <w:pPr>
        <w:rPr>
          <w:i/>
          <w:iCs/>
        </w:rPr>
      </w:pPr>
      <w:r w:rsidRPr="002F733E">
        <w:tab/>
      </w:r>
      <w:r w:rsidRPr="002F733E">
        <w:tab/>
      </w:r>
      <w:r w:rsidRPr="002F733E">
        <w:tab/>
      </w:r>
      <w:r w:rsidRPr="002F733E">
        <w:tab/>
      </w:r>
      <w:r w:rsidRPr="002F733E">
        <w:rPr>
          <w:i/>
          <w:iCs/>
        </w:rPr>
        <w:t>For more detail on PBAC’s view, see section 7 PBAC outcome.</w:t>
      </w:r>
    </w:p>
    <w:p w14:paraId="76E4EF3C" w14:textId="038B3520" w:rsidR="00B60939" w:rsidRPr="002F733E" w:rsidRDefault="00B50DB8" w:rsidP="004E18E9">
      <w:pPr>
        <w:pStyle w:val="2-SectionHeading"/>
      </w:pPr>
      <w:bookmarkStart w:id="9" w:name="_Toc124521443"/>
      <w:r w:rsidRPr="002F733E">
        <w:t>Requested listing</w:t>
      </w:r>
      <w:bookmarkEnd w:id="9"/>
    </w:p>
    <w:p w14:paraId="557F5018" w14:textId="77777777" w:rsidR="00011A89" w:rsidRPr="002F733E" w:rsidRDefault="00011A89" w:rsidP="00011A89">
      <w:pPr>
        <w:pStyle w:val="3-BodyText"/>
      </w:pPr>
      <w:r w:rsidRPr="002F733E">
        <w:t>The requested listing is presented below. Suggestions and additions proposed by the Secretariat are added in italics and suggested deletions are crossed out with strikethrough.</w:t>
      </w:r>
    </w:p>
    <w:tbl>
      <w:tblPr>
        <w:tblW w:w="503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10"/>
        <w:gridCol w:w="1559"/>
        <w:gridCol w:w="1560"/>
        <w:gridCol w:w="850"/>
        <w:gridCol w:w="851"/>
        <w:gridCol w:w="708"/>
        <w:gridCol w:w="1133"/>
      </w:tblGrid>
      <w:tr w:rsidR="00CD7E46" w:rsidRPr="002F733E" w14:paraId="4339D7CC" w14:textId="77777777" w:rsidTr="001B64DC">
        <w:trPr>
          <w:cantSplit/>
          <w:trHeight w:val="20"/>
        </w:trPr>
        <w:tc>
          <w:tcPr>
            <w:tcW w:w="2410" w:type="dxa"/>
            <w:shd w:val="clear" w:color="auto" w:fill="auto"/>
            <w:vAlign w:val="center"/>
          </w:tcPr>
          <w:p w14:paraId="2A9FD91C" w14:textId="77777777" w:rsidR="00CD7E46" w:rsidRPr="002F733E" w:rsidRDefault="00CD7E46" w:rsidP="00C664C8">
            <w:pPr>
              <w:keepNext/>
              <w:keepLines/>
              <w:rPr>
                <w:rFonts w:ascii="Arial Narrow" w:hAnsi="Arial Narrow"/>
                <w:b/>
                <w:bCs/>
                <w:sz w:val="20"/>
                <w:szCs w:val="20"/>
              </w:rPr>
            </w:pPr>
            <w:r w:rsidRPr="002F733E">
              <w:rPr>
                <w:rFonts w:ascii="Arial Narrow" w:hAnsi="Arial Narrow"/>
                <w:b/>
                <w:bCs/>
                <w:sz w:val="20"/>
                <w:szCs w:val="20"/>
              </w:rPr>
              <w:t>MEDICINAL PRODUCT</w:t>
            </w:r>
          </w:p>
          <w:p w14:paraId="5158D266" w14:textId="77777777" w:rsidR="00CD7E46" w:rsidRPr="002F733E" w:rsidRDefault="00CD7E46" w:rsidP="00C664C8">
            <w:pPr>
              <w:keepNext/>
              <w:keepLines/>
              <w:rPr>
                <w:rFonts w:ascii="Arial Narrow" w:hAnsi="Arial Narrow"/>
                <w:b/>
                <w:sz w:val="20"/>
                <w:szCs w:val="20"/>
              </w:rPr>
            </w:pPr>
            <w:r w:rsidRPr="002F733E">
              <w:rPr>
                <w:rFonts w:ascii="Arial Narrow" w:hAnsi="Arial Narrow"/>
                <w:b/>
                <w:bCs/>
                <w:sz w:val="20"/>
                <w:szCs w:val="20"/>
              </w:rPr>
              <w:t>medicinal product pack</w:t>
            </w:r>
          </w:p>
        </w:tc>
        <w:tc>
          <w:tcPr>
            <w:tcW w:w="3119" w:type="dxa"/>
            <w:gridSpan w:val="2"/>
            <w:tcBorders>
              <w:bottom w:val="single" w:sz="4" w:space="0" w:color="auto"/>
            </w:tcBorders>
            <w:shd w:val="clear" w:color="auto" w:fill="auto"/>
            <w:vAlign w:val="center"/>
          </w:tcPr>
          <w:p w14:paraId="578C7AFB" w14:textId="77777777" w:rsidR="00CD7E46" w:rsidRPr="002F733E" w:rsidRDefault="00CD7E46" w:rsidP="00C664C8">
            <w:pPr>
              <w:keepNext/>
              <w:keepLines/>
              <w:jc w:val="center"/>
              <w:rPr>
                <w:rFonts w:ascii="Arial Narrow" w:hAnsi="Arial Narrow"/>
                <w:b/>
                <w:sz w:val="20"/>
                <w:szCs w:val="20"/>
              </w:rPr>
            </w:pPr>
            <w:r w:rsidRPr="002F733E">
              <w:rPr>
                <w:rFonts w:ascii="Arial Narrow" w:hAnsi="Arial Narrow"/>
                <w:b/>
                <w:bCs/>
                <w:snapToGrid w:val="0"/>
                <w:sz w:val="20"/>
                <w:szCs w:val="20"/>
              </w:rPr>
              <w:t xml:space="preserve">Dispensed Price for Max. Qty </w:t>
            </w:r>
          </w:p>
        </w:tc>
        <w:tc>
          <w:tcPr>
            <w:tcW w:w="850" w:type="dxa"/>
            <w:vMerge w:val="restart"/>
            <w:shd w:val="clear" w:color="auto" w:fill="auto"/>
            <w:vAlign w:val="center"/>
          </w:tcPr>
          <w:p w14:paraId="4356C68D" w14:textId="77777777" w:rsidR="00CD7E46" w:rsidRPr="002F733E" w:rsidRDefault="00CD7E46" w:rsidP="00C664C8">
            <w:pPr>
              <w:keepNext/>
              <w:keepLines/>
              <w:jc w:val="center"/>
              <w:rPr>
                <w:rFonts w:ascii="Arial Narrow" w:hAnsi="Arial Narrow"/>
                <w:b/>
                <w:sz w:val="20"/>
                <w:szCs w:val="20"/>
              </w:rPr>
            </w:pPr>
            <w:r w:rsidRPr="002F733E">
              <w:rPr>
                <w:rFonts w:ascii="Arial Narrow" w:hAnsi="Arial Narrow"/>
                <w:b/>
                <w:sz w:val="20"/>
                <w:szCs w:val="20"/>
              </w:rPr>
              <w:t>Max. qty packs</w:t>
            </w:r>
          </w:p>
        </w:tc>
        <w:tc>
          <w:tcPr>
            <w:tcW w:w="851" w:type="dxa"/>
            <w:vMerge w:val="restart"/>
            <w:shd w:val="clear" w:color="auto" w:fill="auto"/>
            <w:vAlign w:val="center"/>
          </w:tcPr>
          <w:p w14:paraId="730BE11E" w14:textId="77777777" w:rsidR="00CD7E46" w:rsidRPr="002F733E" w:rsidRDefault="00CD7E46" w:rsidP="00C664C8">
            <w:pPr>
              <w:keepNext/>
              <w:keepLines/>
              <w:jc w:val="center"/>
              <w:rPr>
                <w:rFonts w:ascii="Arial Narrow" w:hAnsi="Arial Narrow"/>
                <w:b/>
                <w:sz w:val="20"/>
                <w:szCs w:val="20"/>
              </w:rPr>
            </w:pPr>
            <w:r w:rsidRPr="002F733E">
              <w:rPr>
                <w:rFonts w:ascii="Arial Narrow" w:hAnsi="Arial Narrow"/>
                <w:b/>
                <w:sz w:val="20"/>
                <w:szCs w:val="20"/>
              </w:rPr>
              <w:t>Max. qty units</w:t>
            </w:r>
          </w:p>
        </w:tc>
        <w:tc>
          <w:tcPr>
            <w:tcW w:w="708" w:type="dxa"/>
            <w:vMerge w:val="restart"/>
            <w:shd w:val="clear" w:color="auto" w:fill="auto"/>
            <w:vAlign w:val="center"/>
          </w:tcPr>
          <w:p w14:paraId="29C82A32" w14:textId="77777777" w:rsidR="00CD7E46" w:rsidRPr="002F733E" w:rsidRDefault="00CD7E46" w:rsidP="00C664C8">
            <w:pPr>
              <w:keepNext/>
              <w:keepLines/>
              <w:jc w:val="center"/>
              <w:rPr>
                <w:rFonts w:ascii="Arial Narrow" w:hAnsi="Arial Narrow"/>
                <w:b/>
                <w:sz w:val="20"/>
                <w:szCs w:val="20"/>
              </w:rPr>
            </w:pPr>
            <w:r w:rsidRPr="002F733E">
              <w:rPr>
                <w:rFonts w:ascii="Arial Narrow" w:hAnsi="Arial Narrow"/>
                <w:b/>
                <w:sz w:val="20"/>
                <w:szCs w:val="20"/>
              </w:rPr>
              <w:t>№.of</w:t>
            </w:r>
          </w:p>
          <w:p w14:paraId="7F078206" w14:textId="77777777" w:rsidR="00CD7E46" w:rsidRPr="002F733E" w:rsidRDefault="00CD7E46" w:rsidP="00C664C8">
            <w:pPr>
              <w:keepNext/>
              <w:keepLines/>
              <w:jc w:val="center"/>
              <w:rPr>
                <w:rFonts w:ascii="Arial Narrow" w:hAnsi="Arial Narrow"/>
                <w:b/>
                <w:sz w:val="20"/>
                <w:szCs w:val="20"/>
              </w:rPr>
            </w:pPr>
            <w:r w:rsidRPr="002F733E">
              <w:rPr>
                <w:rFonts w:ascii="Arial Narrow" w:hAnsi="Arial Narrow"/>
                <w:b/>
                <w:sz w:val="20"/>
                <w:szCs w:val="20"/>
              </w:rPr>
              <w:t>Rpts</w:t>
            </w:r>
          </w:p>
        </w:tc>
        <w:tc>
          <w:tcPr>
            <w:tcW w:w="1133" w:type="dxa"/>
            <w:shd w:val="clear" w:color="auto" w:fill="auto"/>
            <w:vAlign w:val="center"/>
          </w:tcPr>
          <w:p w14:paraId="5E14136B" w14:textId="77777777" w:rsidR="00CD7E46" w:rsidRPr="002F733E" w:rsidRDefault="00CD7E46" w:rsidP="00C664C8">
            <w:pPr>
              <w:keepNext/>
              <w:keepLines/>
              <w:rPr>
                <w:rFonts w:ascii="Arial Narrow" w:hAnsi="Arial Narrow"/>
                <w:b/>
                <w:sz w:val="20"/>
                <w:szCs w:val="20"/>
              </w:rPr>
            </w:pPr>
            <w:r w:rsidRPr="002F733E">
              <w:rPr>
                <w:rFonts w:ascii="Arial Narrow" w:hAnsi="Arial Narrow"/>
                <w:b/>
                <w:sz w:val="20"/>
                <w:szCs w:val="20"/>
              </w:rPr>
              <w:t>Available brands</w:t>
            </w:r>
          </w:p>
        </w:tc>
      </w:tr>
      <w:tr w:rsidR="00CD7E46" w:rsidRPr="002F733E" w14:paraId="1871FAF2" w14:textId="77777777" w:rsidTr="001B64DC">
        <w:trPr>
          <w:cantSplit/>
          <w:trHeight w:val="20"/>
        </w:trPr>
        <w:tc>
          <w:tcPr>
            <w:tcW w:w="2410" w:type="dxa"/>
            <w:tcBorders>
              <w:right w:val="single" w:sz="4" w:space="0" w:color="auto"/>
            </w:tcBorders>
            <w:shd w:val="clear" w:color="auto" w:fill="auto"/>
            <w:vAlign w:val="center"/>
          </w:tcPr>
          <w:p w14:paraId="1D18847A" w14:textId="77777777" w:rsidR="00CD7E46" w:rsidRPr="002F733E" w:rsidRDefault="00CD7E46" w:rsidP="00C664C8">
            <w:pPr>
              <w:keepNext/>
              <w:keepLines/>
              <w:rPr>
                <w:rFonts w:ascii="Arial Narrow" w:hAnsi="Arial Narrow"/>
                <w:smallCaps/>
                <w:sz w:val="20"/>
                <w:szCs w:val="20"/>
              </w:rPr>
            </w:pPr>
            <w:r w:rsidRPr="002F733E">
              <w:rPr>
                <w:rFonts w:ascii="Arial Narrow" w:hAnsi="Arial Narrow"/>
                <w:b/>
                <w:i/>
                <w:sz w:val="20"/>
                <w:szCs w:val="20"/>
              </w:rPr>
              <w:t>Initial / grandfathered</w:t>
            </w:r>
          </w:p>
        </w:tc>
        <w:tc>
          <w:tcPr>
            <w:tcW w:w="1559" w:type="dxa"/>
            <w:tcBorders>
              <w:left w:val="single" w:sz="4" w:space="0" w:color="auto"/>
              <w:right w:val="single" w:sz="4" w:space="0" w:color="auto"/>
            </w:tcBorders>
            <w:shd w:val="clear" w:color="auto" w:fill="auto"/>
          </w:tcPr>
          <w:p w14:paraId="509F0E37" w14:textId="77777777" w:rsidR="00CD7E46" w:rsidRPr="002F733E" w:rsidRDefault="00CD7E46" w:rsidP="00C664C8">
            <w:pPr>
              <w:pStyle w:val="TableText0"/>
              <w:keepLines/>
              <w:jc w:val="center"/>
            </w:pPr>
            <w:r w:rsidRPr="002F733E">
              <w:t>Published</w:t>
            </w:r>
          </w:p>
        </w:tc>
        <w:tc>
          <w:tcPr>
            <w:tcW w:w="1560" w:type="dxa"/>
            <w:tcBorders>
              <w:left w:val="single" w:sz="4" w:space="0" w:color="auto"/>
            </w:tcBorders>
            <w:shd w:val="clear" w:color="auto" w:fill="auto"/>
          </w:tcPr>
          <w:p w14:paraId="00F14247" w14:textId="77777777" w:rsidR="00CD7E46" w:rsidRPr="002F733E" w:rsidRDefault="00CD7E46" w:rsidP="00C664C8">
            <w:pPr>
              <w:keepNext/>
              <w:keepLines/>
              <w:jc w:val="center"/>
              <w:rPr>
                <w:rFonts w:ascii="Arial Narrow" w:hAnsi="Arial Narrow"/>
                <w:sz w:val="20"/>
              </w:rPr>
            </w:pPr>
            <w:r w:rsidRPr="002F733E">
              <w:rPr>
                <w:rFonts w:ascii="Arial Narrow" w:hAnsi="Arial Narrow"/>
                <w:sz w:val="20"/>
              </w:rPr>
              <w:t>Effective</w:t>
            </w:r>
          </w:p>
        </w:tc>
        <w:tc>
          <w:tcPr>
            <w:tcW w:w="850" w:type="dxa"/>
            <w:vMerge/>
            <w:shd w:val="clear" w:color="auto" w:fill="auto"/>
            <w:vAlign w:val="center"/>
          </w:tcPr>
          <w:p w14:paraId="42885FA8" w14:textId="77777777" w:rsidR="00CD7E46" w:rsidRPr="002F733E" w:rsidRDefault="00CD7E46" w:rsidP="00C664C8">
            <w:pPr>
              <w:keepNext/>
              <w:keepLines/>
              <w:jc w:val="center"/>
              <w:rPr>
                <w:rFonts w:ascii="Arial Narrow" w:hAnsi="Arial Narrow"/>
                <w:sz w:val="20"/>
              </w:rPr>
            </w:pPr>
          </w:p>
        </w:tc>
        <w:tc>
          <w:tcPr>
            <w:tcW w:w="851" w:type="dxa"/>
            <w:vMerge/>
            <w:shd w:val="clear" w:color="auto" w:fill="auto"/>
            <w:vAlign w:val="center"/>
          </w:tcPr>
          <w:p w14:paraId="04CA7CEA" w14:textId="77777777" w:rsidR="00CD7E46" w:rsidRPr="002F733E" w:rsidRDefault="00CD7E46" w:rsidP="00C664C8">
            <w:pPr>
              <w:keepNext/>
              <w:keepLines/>
              <w:jc w:val="center"/>
              <w:rPr>
                <w:rFonts w:ascii="Arial Narrow" w:hAnsi="Arial Narrow"/>
                <w:sz w:val="20"/>
              </w:rPr>
            </w:pPr>
          </w:p>
        </w:tc>
        <w:tc>
          <w:tcPr>
            <w:tcW w:w="708" w:type="dxa"/>
            <w:vMerge/>
            <w:shd w:val="clear" w:color="auto" w:fill="auto"/>
            <w:vAlign w:val="center"/>
          </w:tcPr>
          <w:p w14:paraId="6726C385" w14:textId="77777777" w:rsidR="00CD7E46" w:rsidRPr="002F733E" w:rsidRDefault="00CD7E46" w:rsidP="00C664C8">
            <w:pPr>
              <w:keepNext/>
              <w:keepLines/>
              <w:jc w:val="center"/>
              <w:rPr>
                <w:rFonts w:ascii="Arial Narrow" w:hAnsi="Arial Narrow"/>
                <w:sz w:val="20"/>
              </w:rPr>
            </w:pPr>
          </w:p>
        </w:tc>
        <w:tc>
          <w:tcPr>
            <w:tcW w:w="1133" w:type="dxa"/>
            <w:vMerge w:val="restart"/>
            <w:shd w:val="clear" w:color="auto" w:fill="auto"/>
            <w:vAlign w:val="center"/>
          </w:tcPr>
          <w:p w14:paraId="6E283B25" w14:textId="363F66CB" w:rsidR="00CD7E46" w:rsidRPr="002F733E" w:rsidRDefault="00CD7E46" w:rsidP="00C664C8">
            <w:pPr>
              <w:keepNext/>
              <w:keepLines/>
              <w:rPr>
                <w:rFonts w:ascii="Arial Narrow" w:hAnsi="Arial Narrow"/>
                <w:sz w:val="20"/>
                <w:szCs w:val="20"/>
              </w:rPr>
            </w:pPr>
            <w:r w:rsidRPr="002F733E">
              <w:rPr>
                <w:rFonts w:ascii="Arial Narrow" w:hAnsi="Arial Narrow"/>
                <w:sz w:val="20"/>
                <w:szCs w:val="20"/>
              </w:rPr>
              <w:t>SAPHNELO</w:t>
            </w:r>
            <w:r w:rsidRPr="002F733E">
              <w:rPr>
                <w:rFonts w:ascii="Arial Narrow" w:hAnsi="Arial Narrow"/>
                <w:sz w:val="20"/>
                <w:szCs w:val="20"/>
                <w:vertAlign w:val="superscript"/>
              </w:rPr>
              <w:t>®</w:t>
            </w:r>
          </w:p>
        </w:tc>
      </w:tr>
      <w:tr w:rsidR="00F75A84" w:rsidRPr="002F733E" w14:paraId="7D479A9F" w14:textId="77777777" w:rsidTr="001B64DC">
        <w:trPr>
          <w:cantSplit/>
          <w:trHeight w:val="20"/>
        </w:trPr>
        <w:tc>
          <w:tcPr>
            <w:tcW w:w="2410" w:type="dxa"/>
            <w:shd w:val="clear" w:color="auto" w:fill="auto"/>
            <w:vAlign w:val="center"/>
          </w:tcPr>
          <w:p w14:paraId="67B4DD2B" w14:textId="77777777" w:rsidR="00FC11C3" w:rsidRPr="002F733E" w:rsidRDefault="00FC11C3" w:rsidP="00C664C8">
            <w:pPr>
              <w:keepNext/>
              <w:keepLines/>
              <w:rPr>
                <w:rFonts w:ascii="Arial Narrow" w:hAnsi="Arial Narrow"/>
                <w:sz w:val="20"/>
                <w:szCs w:val="20"/>
              </w:rPr>
            </w:pPr>
            <w:r w:rsidRPr="002F733E">
              <w:rPr>
                <w:rFonts w:ascii="Arial Narrow" w:hAnsi="Arial Narrow"/>
                <w:smallCaps/>
                <w:sz w:val="20"/>
                <w:szCs w:val="20"/>
              </w:rPr>
              <w:t>Anifrolumab</w:t>
            </w:r>
          </w:p>
          <w:p w14:paraId="2095B0DC" w14:textId="77777777" w:rsidR="00FC11C3" w:rsidRPr="002F733E" w:rsidRDefault="00FC11C3" w:rsidP="00C664C8">
            <w:pPr>
              <w:keepNext/>
              <w:keepLines/>
              <w:rPr>
                <w:rFonts w:ascii="Arial Narrow" w:hAnsi="Arial Narrow"/>
                <w:sz w:val="20"/>
                <w:szCs w:val="20"/>
              </w:rPr>
            </w:pPr>
            <w:r w:rsidRPr="002F733E">
              <w:rPr>
                <w:rFonts w:ascii="Arial Narrow" w:hAnsi="Arial Narrow"/>
                <w:sz w:val="20"/>
                <w:szCs w:val="20"/>
              </w:rPr>
              <w:t>Single dose vial, concentration for infusion 300 mg</w:t>
            </w:r>
          </w:p>
        </w:tc>
        <w:tc>
          <w:tcPr>
            <w:tcW w:w="1559" w:type="dxa"/>
            <w:shd w:val="clear" w:color="auto" w:fill="auto"/>
            <w:vAlign w:val="center"/>
          </w:tcPr>
          <w:p w14:paraId="29AEB387" w14:textId="5298577E" w:rsidR="00FC11C3" w:rsidRPr="002F733E" w:rsidRDefault="00FC11C3" w:rsidP="001828E2">
            <w:pPr>
              <w:pStyle w:val="TableText0"/>
              <w:keepLines/>
              <w:jc w:val="center"/>
            </w:pPr>
            <w:r w:rsidRPr="002F733E">
              <w:t>$</w:t>
            </w:r>
            <w:r w:rsidR="00EB6544" w:rsidRPr="00EB6544">
              <w:rPr>
                <w:color w:val="000000"/>
                <w:spacing w:val="37"/>
                <w:shd w:val="solid" w:color="000000" w:fill="000000"/>
                <w:fitText w:val="441" w:id="-1236572921"/>
                <w14:textFill>
                  <w14:solidFill>
                    <w14:srgbClr w14:val="000000">
                      <w14:alpha w14:val="100000"/>
                    </w14:srgbClr>
                  </w14:solidFill>
                </w14:textFill>
              </w:rPr>
              <w:t>|||||</w:t>
            </w:r>
            <w:r w:rsidR="00EB6544" w:rsidRPr="00EB6544">
              <w:rPr>
                <w:color w:val="000000"/>
                <w:spacing w:val="1"/>
                <w:shd w:val="solid" w:color="000000" w:fill="000000"/>
                <w:fitText w:val="441" w:id="-1236572921"/>
                <w14:textFill>
                  <w14:solidFill>
                    <w14:srgbClr w14:val="000000">
                      <w14:alpha w14:val="100000"/>
                    </w14:srgbClr>
                  </w14:solidFill>
                </w14:textFill>
              </w:rPr>
              <w:t>|</w:t>
            </w:r>
            <w:r w:rsidRPr="002F733E">
              <w:t>(public)</w:t>
            </w:r>
          </w:p>
          <w:p w14:paraId="2E2A0016" w14:textId="066CACA2" w:rsidR="00FC11C3" w:rsidRPr="002F733E" w:rsidRDefault="00FC11C3" w:rsidP="00C664C8">
            <w:pPr>
              <w:pStyle w:val="TableText0"/>
              <w:keepLines/>
              <w:jc w:val="center"/>
              <w:rPr>
                <w:szCs w:val="20"/>
              </w:rPr>
            </w:pPr>
            <w:r w:rsidRPr="002F733E">
              <w:rPr>
                <w:szCs w:val="20"/>
              </w:rPr>
              <w:t>$</w:t>
            </w:r>
            <w:r w:rsidR="00EB6544" w:rsidRPr="00EB6544">
              <w:rPr>
                <w:color w:val="000000"/>
                <w:spacing w:val="43"/>
                <w:szCs w:val="20"/>
                <w:shd w:val="solid" w:color="000000" w:fill="000000"/>
                <w:fitText w:val="474" w:id="-1236572920"/>
                <w14:textFill>
                  <w14:solidFill>
                    <w14:srgbClr w14:val="000000">
                      <w14:alpha w14:val="100000"/>
                    </w14:srgbClr>
                  </w14:solidFill>
                </w14:textFill>
              </w:rPr>
              <w:t>|||||</w:t>
            </w:r>
            <w:r w:rsidR="00EB6544" w:rsidRPr="00EB6544">
              <w:rPr>
                <w:color w:val="000000"/>
                <w:spacing w:val="4"/>
                <w:szCs w:val="20"/>
                <w:shd w:val="solid" w:color="000000" w:fill="000000"/>
                <w:fitText w:val="474" w:id="-1236572920"/>
                <w14:textFill>
                  <w14:solidFill>
                    <w14:srgbClr w14:val="000000">
                      <w14:alpha w14:val="100000"/>
                    </w14:srgbClr>
                  </w14:solidFill>
                </w14:textFill>
              </w:rPr>
              <w:t>|</w:t>
            </w:r>
            <w:r w:rsidRPr="002F733E">
              <w:rPr>
                <w:szCs w:val="20"/>
              </w:rPr>
              <w:t>(private)</w:t>
            </w:r>
          </w:p>
        </w:tc>
        <w:tc>
          <w:tcPr>
            <w:tcW w:w="1560" w:type="dxa"/>
            <w:shd w:val="clear" w:color="auto" w:fill="auto"/>
            <w:vAlign w:val="center"/>
          </w:tcPr>
          <w:p w14:paraId="6B441ADB" w14:textId="1747F044" w:rsidR="001231E2" w:rsidRPr="002F733E" w:rsidRDefault="001231E2" w:rsidP="00C664C8">
            <w:pPr>
              <w:keepNext/>
              <w:keepLines/>
              <w:jc w:val="center"/>
              <w:rPr>
                <w:rFonts w:ascii="Arial Narrow" w:hAnsi="Arial Narrow"/>
                <w:sz w:val="20"/>
              </w:rPr>
            </w:pPr>
            <w:r w:rsidRPr="002F733E">
              <w:rPr>
                <w:rFonts w:ascii="Arial Narrow" w:hAnsi="Arial Narrow"/>
                <w:sz w:val="20"/>
              </w:rPr>
              <w:t>Submission</w:t>
            </w:r>
          </w:p>
          <w:p w14:paraId="1C520EC1" w14:textId="5BD5B659" w:rsidR="00FC11C3" w:rsidRPr="002F733E" w:rsidRDefault="00FC11C3" w:rsidP="00C664C8">
            <w:pPr>
              <w:keepNext/>
              <w:keepLines/>
              <w:jc w:val="center"/>
              <w:rPr>
                <w:rFonts w:ascii="Arial Narrow" w:hAnsi="Arial Narrow"/>
                <w:sz w:val="20"/>
              </w:rPr>
            </w:pPr>
            <w:r w:rsidRPr="002F733E">
              <w:rPr>
                <w:rFonts w:ascii="Arial Narrow" w:hAnsi="Arial Narrow"/>
                <w:sz w:val="20"/>
              </w:rPr>
              <w:t>$</w:t>
            </w:r>
            <w:r w:rsidR="00EB6544" w:rsidRPr="00EB6544">
              <w:rPr>
                <w:rFonts w:ascii="Arial Narrow" w:hAnsi="Arial Narrow"/>
                <w:color w:val="000000"/>
                <w:spacing w:val="37"/>
                <w:sz w:val="20"/>
                <w:shd w:val="solid" w:color="000000" w:fill="000000"/>
                <w:fitText w:val="442" w:id="-1236572919"/>
                <w14:textFill>
                  <w14:solidFill>
                    <w14:srgbClr w14:val="000000">
                      <w14:alpha w14:val="100000"/>
                    </w14:srgbClr>
                  </w14:solidFill>
                </w14:textFill>
              </w:rPr>
              <w:t>|||||</w:t>
            </w:r>
            <w:r w:rsidR="00EB6544" w:rsidRPr="00EB6544">
              <w:rPr>
                <w:rFonts w:ascii="Arial Narrow" w:hAnsi="Arial Narrow"/>
                <w:color w:val="000000"/>
                <w:spacing w:val="2"/>
                <w:sz w:val="20"/>
                <w:shd w:val="solid" w:color="000000" w:fill="000000"/>
                <w:fitText w:val="442" w:id="-1236572919"/>
                <w14:textFill>
                  <w14:solidFill>
                    <w14:srgbClr w14:val="000000">
                      <w14:alpha w14:val="100000"/>
                    </w14:srgbClr>
                  </w14:solidFill>
                </w14:textFill>
              </w:rPr>
              <w:t>|</w:t>
            </w:r>
            <w:r w:rsidRPr="002F733E">
              <w:rPr>
                <w:rFonts w:ascii="Arial Narrow" w:hAnsi="Arial Narrow"/>
                <w:sz w:val="20"/>
              </w:rPr>
              <w:t>(public)</w:t>
            </w:r>
          </w:p>
          <w:p w14:paraId="20E08475" w14:textId="79DF000B" w:rsidR="00FC11C3" w:rsidRPr="002F733E" w:rsidRDefault="00FC11C3" w:rsidP="00C664C8">
            <w:pPr>
              <w:keepNext/>
              <w:keepLines/>
              <w:jc w:val="center"/>
              <w:rPr>
                <w:rFonts w:ascii="Arial Narrow" w:hAnsi="Arial Narrow"/>
                <w:sz w:val="20"/>
              </w:rPr>
            </w:pPr>
            <w:r w:rsidRPr="002F733E">
              <w:rPr>
                <w:rFonts w:ascii="Arial Narrow" w:hAnsi="Arial Narrow"/>
                <w:sz w:val="20"/>
              </w:rPr>
              <w:t>$</w:t>
            </w:r>
            <w:r w:rsidR="00EB6544" w:rsidRPr="00EB6544">
              <w:rPr>
                <w:rFonts w:ascii="Arial Narrow" w:hAnsi="Arial Narrow"/>
                <w:color w:val="000000"/>
                <w:spacing w:val="43"/>
                <w:sz w:val="20"/>
                <w:shd w:val="solid" w:color="000000" w:fill="000000"/>
                <w:fitText w:val="475" w:id="-1236572918"/>
                <w14:textFill>
                  <w14:solidFill>
                    <w14:srgbClr w14:val="000000">
                      <w14:alpha w14:val="100000"/>
                    </w14:srgbClr>
                  </w14:solidFill>
                </w14:textFill>
              </w:rPr>
              <w:t>|||||</w:t>
            </w:r>
            <w:r w:rsidR="00EB6544" w:rsidRPr="00EB6544">
              <w:rPr>
                <w:rFonts w:ascii="Arial Narrow" w:hAnsi="Arial Narrow"/>
                <w:color w:val="000000"/>
                <w:spacing w:val="5"/>
                <w:sz w:val="20"/>
                <w:shd w:val="solid" w:color="000000" w:fill="000000"/>
                <w:fitText w:val="475" w:id="-1236572918"/>
                <w14:textFill>
                  <w14:solidFill>
                    <w14:srgbClr w14:val="000000">
                      <w14:alpha w14:val="100000"/>
                    </w14:srgbClr>
                  </w14:solidFill>
                </w14:textFill>
              </w:rPr>
              <w:t>|</w:t>
            </w:r>
            <w:r w:rsidRPr="002F733E">
              <w:rPr>
                <w:rFonts w:ascii="Arial Narrow" w:hAnsi="Arial Narrow"/>
                <w:sz w:val="20"/>
              </w:rPr>
              <w:t>(private)</w:t>
            </w:r>
          </w:p>
          <w:p w14:paraId="1F3698DB" w14:textId="77777777" w:rsidR="001231E2" w:rsidRPr="002F733E" w:rsidRDefault="001231E2" w:rsidP="00C664C8">
            <w:pPr>
              <w:keepNext/>
              <w:keepLines/>
              <w:jc w:val="center"/>
              <w:rPr>
                <w:rFonts w:ascii="Arial Narrow" w:hAnsi="Arial Narrow"/>
                <w:sz w:val="20"/>
              </w:rPr>
            </w:pPr>
          </w:p>
          <w:p w14:paraId="3A36A566" w14:textId="77777777" w:rsidR="001231E2" w:rsidRPr="002F733E" w:rsidRDefault="001231E2" w:rsidP="00C664C8">
            <w:pPr>
              <w:keepNext/>
              <w:keepLines/>
              <w:jc w:val="center"/>
              <w:rPr>
                <w:rFonts w:ascii="Arial Narrow" w:hAnsi="Arial Narrow"/>
                <w:sz w:val="20"/>
              </w:rPr>
            </w:pPr>
            <w:r w:rsidRPr="002F733E">
              <w:rPr>
                <w:rFonts w:ascii="Arial Narrow" w:hAnsi="Arial Narrow"/>
                <w:sz w:val="20"/>
              </w:rPr>
              <w:t xml:space="preserve">Pre-PBAC response </w:t>
            </w:r>
          </w:p>
          <w:p w14:paraId="7202BC59" w14:textId="0A513B16" w:rsidR="001231E2" w:rsidRPr="002F733E" w:rsidRDefault="001231E2" w:rsidP="001231E2">
            <w:pPr>
              <w:keepNext/>
              <w:keepLines/>
              <w:jc w:val="center"/>
              <w:rPr>
                <w:rFonts w:ascii="Arial Narrow" w:hAnsi="Arial Narrow"/>
                <w:sz w:val="20"/>
              </w:rPr>
            </w:pPr>
            <w:r w:rsidRPr="002F733E">
              <w:rPr>
                <w:rFonts w:ascii="Arial Narrow" w:hAnsi="Arial Narrow"/>
                <w:sz w:val="20"/>
              </w:rPr>
              <w:t>$</w:t>
            </w:r>
            <w:r w:rsidR="00EB6544" w:rsidRPr="00EB6544">
              <w:rPr>
                <w:rFonts w:ascii="Arial Narrow" w:hAnsi="Arial Narrow"/>
                <w:color w:val="000000"/>
                <w:spacing w:val="37"/>
                <w:sz w:val="20"/>
                <w:shd w:val="solid" w:color="000000" w:fill="000000"/>
                <w:fitText w:val="442" w:id="-1236572917"/>
                <w14:textFill>
                  <w14:solidFill>
                    <w14:srgbClr w14:val="000000">
                      <w14:alpha w14:val="100000"/>
                    </w14:srgbClr>
                  </w14:solidFill>
                </w14:textFill>
              </w:rPr>
              <w:t>|||||</w:t>
            </w:r>
            <w:r w:rsidR="00EB6544" w:rsidRPr="00EB6544">
              <w:rPr>
                <w:rFonts w:ascii="Arial Narrow" w:hAnsi="Arial Narrow"/>
                <w:color w:val="000000"/>
                <w:spacing w:val="2"/>
                <w:sz w:val="20"/>
                <w:shd w:val="solid" w:color="000000" w:fill="000000"/>
                <w:fitText w:val="442" w:id="-1236572917"/>
                <w14:textFill>
                  <w14:solidFill>
                    <w14:srgbClr w14:val="000000">
                      <w14:alpha w14:val="100000"/>
                    </w14:srgbClr>
                  </w14:solidFill>
                </w14:textFill>
              </w:rPr>
              <w:t>|</w:t>
            </w:r>
            <w:r w:rsidRPr="002F733E">
              <w:rPr>
                <w:rFonts w:ascii="Arial Narrow" w:hAnsi="Arial Narrow"/>
                <w:sz w:val="20"/>
              </w:rPr>
              <w:t>(public)</w:t>
            </w:r>
          </w:p>
          <w:p w14:paraId="130CD5E3" w14:textId="12472AE6" w:rsidR="001231E2" w:rsidRPr="002F733E" w:rsidRDefault="001231E2" w:rsidP="001231E2">
            <w:pPr>
              <w:keepNext/>
              <w:keepLines/>
              <w:jc w:val="center"/>
              <w:rPr>
                <w:rFonts w:ascii="Arial Narrow" w:hAnsi="Arial Narrow"/>
                <w:sz w:val="20"/>
              </w:rPr>
            </w:pPr>
            <w:r w:rsidRPr="002F733E">
              <w:rPr>
                <w:rFonts w:ascii="Arial Narrow" w:hAnsi="Arial Narrow"/>
                <w:sz w:val="20"/>
              </w:rPr>
              <w:t>$</w:t>
            </w:r>
            <w:r w:rsidR="00EB6544" w:rsidRPr="00EB6544">
              <w:rPr>
                <w:rFonts w:ascii="Arial Narrow" w:hAnsi="Arial Narrow"/>
                <w:color w:val="000000"/>
                <w:spacing w:val="43"/>
                <w:sz w:val="20"/>
                <w:shd w:val="solid" w:color="000000" w:fill="000000"/>
                <w:fitText w:val="475" w:id="-1236572916"/>
                <w14:textFill>
                  <w14:solidFill>
                    <w14:srgbClr w14:val="000000">
                      <w14:alpha w14:val="100000"/>
                    </w14:srgbClr>
                  </w14:solidFill>
                </w14:textFill>
              </w:rPr>
              <w:t>|||||</w:t>
            </w:r>
            <w:r w:rsidR="00EB6544" w:rsidRPr="00EB6544">
              <w:rPr>
                <w:rFonts w:ascii="Arial Narrow" w:hAnsi="Arial Narrow"/>
                <w:color w:val="000000"/>
                <w:spacing w:val="5"/>
                <w:sz w:val="20"/>
                <w:shd w:val="solid" w:color="000000" w:fill="000000"/>
                <w:fitText w:val="475" w:id="-1236572916"/>
                <w14:textFill>
                  <w14:solidFill>
                    <w14:srgbClr w14:val="000000">
                      <w14:alpha w14:val="100000"/>
                    </w14:srgbClr>
                  </w14:solidFill>
                </w14:textFill>
              </w:rPr>
              <w:t>|</w:t>
            </w:r>
            <w:r w:rsidRPr="002F733E">
              <w:rPr>
                <w:rFonts w:ascii="Arial Narrow" w:hAnsi="Arial Narrow"/>
                <w:sz w:val="20"/>
              </w:rPr>
              <w:t>(private)</w:t>
            </w:r>
          </w:p>
        </w:tc>
        <w:tc>
          <w:tcPr>
            <w:tcW w:w="850" w:type="dxa"/>
            <w:shd w:val="clear" w:color="auto" w:fill="auto"/>
            <w:vAlign w:val="center"/>
          </w:tcPr>
          <w:p w14:paraId="6E761BC9" w14:textId="77777777" w:rsidR="00FC11C3" w:rsidRPr="002F733E" w:rsidRDefault="00FC11C3" w:rsidP="00C664C8">
            <w:pPr>
              <w:keepNext/>
              <w:keepLines/>
              <w:jc w:val="center"/>
              <w:rPr>
                <w:rFonts w:ascii="Arial Narrow" w:hAnsi="Arial Narrow"/>
                <w:sz w:val="20"/>
                <w:szCs w:val="20"/>
              </w:rPr>
            </w:pPr>
            <w:r w:rsidRPr="002F733E">
              <w:rPr>
                <w:rFonts w:ascii="Arial Narrow" w:hAnsi="Arial Narrow"/>
                <w:sz w:val="20"/>
              </w:rPr>
              <w:t>1</w:t>
            </w:r>
          </w:p>
        </w:tc>
        <w:tc>
          <w:tcPr>
            <w:tcW w:w="851" w:type="dxa"/>
            <w:shd w:val="clear" w:color="auto" w:fill="auto"/>
            <w:vAlign w:val="center"/>
          </w:tcPr>
          <w:p w14:paraId="4414E24F" w14:textId="77777777" w:rsidR="00FC11C3" w:rsidRPr="002F733E" w:rsidRDefault="00FC11C3" w:rsidP="00C664C8">
            <w:pPr>
              <w:keepNext/>
              <w:keepLines/>
              <w:jc w:val="center"/>
              <w:rPr>
                <w:rFonts w:ascii="Arial Narrow" w:hAnsi="Arial Narrow"/>
                <w:sz w:val="20"/>
                <w:szCs w:val="20"/>
              </w:rPr>
            </w:pPr>
            <w:r w:rsidRPr="002F733E">
              <w:rPr>
                <w:rFonts w:ascii="Arial Narrow" w:hAnsi="Arial Narrow"/>
                <w:sz w:val="20"/>
                <w:szCs w:val="20"/>
              </w:rPr>
              <w:t>1</w:t>
            </w:r>
          </w:p>
        </w:tc>
        <w:tc>
          <w:tcPr>
            <w:tcW w:w="708" w:type="dxa"/>
            <w:shd w:val="clear" w:color="auto" w:fill="auto"/>
            <w:vAlign w:val="center"/>
          </w:tcPr>
          <w:p w14:paraId="703AC6F0" w14:textId="77777777" w:rsidR="00FC11C3" w:rsidRPr="002F733E" w:rsidRDefault="00FC11C3" w:rsidP="00C664C8">
            <w:pPr>
              <w:keepNext/>
              <w:keepLines/>
              <w:jc w:val="center"/>
              <w:rPr>
                <w:rFonts w:ascii="Arial Narrow" w:hAnsi="Arial Narrow"/>
                <w:sz w:val="20"/>
                <w:szCs w:val="20"/>
              </w:rPr>
            </w:pPr>
            <w:r w:rsidRPr="002F733E">
              <w:rPr>
                <w:rFonts w:ascii="Arial Narrow" w:hAnsi="Arial Narrow"/>
                <w:sz w:val="20"/>
                <w:szCs w:val="20"/>
              </w:rPr>
              <w:t>6</w:t>
            </w:r>
          </w:p>
        </w:tc>
        <w:tc>
          <w:tcPr>
            <w:tcW w:w="1133" w:type="dxa"/>
            <w:vMerge/>
            <w:shd w:val="clear" w:color="auto" w:fill="auto"/>
            <w:vAlign w:val="center"/>
          </w:tcPr>
          <w:p w14:paraId="19EEE804" w14:textId="77777777" w:rsidR="00FC11C3" w:rsidRPr="002F733E" w:rsidRDefault="00FC11C3" w:rsidP="00C664C8">
            <w:pPr>
              <w:keepNext/>
              <w:keepLines/>
              <w:rPr>
                <w:rFonts w:ascii="Arial Narrow" w:hAnsi="Arial Narrow"/>
                <w:sz w:val="20"/>
                <w:szCs w:val="20"/>
              </w:rPr>
            </w:pPr>
          </w:p>
        </w:tc>
      </w:tr>
      <w:tr w:rsidR="00CD7E46" w:rsidRPr="002F733E" w14:paraId="6833F70C" w14:textId="77777777" w:rsidTr="001B64DC">
        <w:trPr>
          <w:cantSplit/>
          <w:trHeight w:val="20"/>
        </w:trPr>
        <w:tc>
          <w:tcPr>
            <w:tcW w:w="2410" w:type="dxa"/>
            <w:tcBorders>
              <w:right w:val="nil"/>
            </w:tcBorders>
            <w:shd w:val="clear" w:color="auto" w:fill="auto"/>
            <w:vAlign w:val="center"/>
          </w:tcPr>
          <w:p w14:paraId="3F03B64E" w14:textId="77777777" w:rsidR="00CD7E46" w:rsidRPr="002F733E" w:rsidRDefault="00CD7E46" w:rsidP="00C664C8">
            <w:pPr>
              <w:keepNext/>
              <w:keepLines/>
              <w:rPr>
                <w:rFonts w:ascii="Arial Narrow" w:hAnsi="Arial Narrow"/>
                <w:smallCaps/>
                <w:sz w:val="20"/>
                <w:szCs w:val="20"/>
              </w:rPr>
            </w:pPr>
            <w:r w:rsidRPr="002F733E">
              <w:rPr>
                <w:rFonts w:ascii="Arial Narrow" w:hAnsi="Arial Narrow"/>
                <w:b/>
                <w:i/>
                <w:sz w:val="20"/>
                <w:szCs w:val="20"/>
              </w:rPr>
              <w:t>Continuing / grandfathered</w:t>
            </w:r>
          </w:p>
        </w:tc>
        <w:tc>
          <w:tcPr>
            <w:tcW w:w="1559" w:type="dxa"/>
            <w:tcBorders>
              <w:left w:val="nil"/>
              <w:right w:val="nil"/>
            </w:tcBorders>
            <w:shd w:val="clear" w:color="auto" w:fill="auto"/>
            <w:vAlign w:val="center"/>
          </w:tcPr>
          <w:p w14:paraId="0C75A196" w14:textId="77777777" w:rsidR="00CD7E46" w:rsidRPr="002F733E" w:rsidRDefault="00CD7E46" w:rsidP="00C664C8">
            <w:pPr>
              <w:pStyle w:val="TableText0"/>
              <w:keepLines/>
              <w:jc w:val="center"/>
            </w:pPr>
          </w:p>
        </w:tc>
        <w:tc>
          <w:tcPr>
            <w:tcW w:w="3969" w:type="dxa"/>
            <w:gridSpan w:val="4"/>
            <w:tcBorders>
              <w:left w:val="nil"/>
            </w:tcBorders>
            <w:shd w:val="clear" w:color="auto" w:fill="auto"/>
            <w:vAlign w:val="center"/>
          </w:tcPr>
          <w:p w14:paraId="2FE2ADF7" w14:textId="77777777" w:rsidR="00CD7E46" w:rsidRPr="002F733E" w:rsidRDefault="00CD7E46" w:rsidP="00C664C8">
            <w:pPr>
              <w:keepNext/>
              <w:keepLines/>
              <w:jc w:val="center"/>
              <w:rPr>
                <w:rFonts w:ascii="Arial Narrow" w:hAnsi="Arial Narrow"/>
                <w:sz w:val="20"/>
              </w:rPr>
            </w:pPr>
          </w:p>
        </w:tc>
        <w:tc>
          <w:tcPr>
            <w:tcW w:w="1133" w:type="dxa"/>
            <w:vMerge/>
            <w:shd w:val="clear" w:color="auto" w:fill="auto"/>
            <w:vAlign w:val="center"/>
          </w:tcPr>
          <w:p w14:paraId="2638B2E6" w14:textId="77777777" w:rsidR="00CD7E46" w:rsidRPr="002F733E" w:rsidRDefault="00CD7E46" w:rsidP="00C664C8">
            <w:pPr>
              <w:keepNext/>
              <w:keepLines/>
              <w:rPr>
                <w:rFonts w:ascii="Arial Narrow" w:hAnsi="Arial Narrow"/>
                <w:sz w:val="20"/>
                <w:szCs w:val="20"/>
              </w:rPr>
            </w:pPr>
          </w:p>
        </w:tc>
      </w:tr>
      <w:tr w:rsidR="00F75A84" w:rsidRPr="002F733E" w14:paraId="2AF76B8C" w14:textId="77777777" w:rsidTr="001B64DC">
        <w:trPr>
          <w:cantSplit/>
          <w:trHeight w:val="20"/>
        </w:trPr>
        <w:tc>
          <w:tcPr>
            <w:tcW w:w="2410" w:type="dxa"/>
            <w:shd w:val="clear" w:color="auto" w:fill="auto"/>
            <w:vAlign w:val="center"/>
          </w:tcPr>
          <w:p w14:paraId="2C996ADE" w14:textId="77777777" w:rsidR="00FC11C3" w:rsidRPr="002F733E" w:rsidRDefault="00FC11C3" w:rsidP="00C664C8">
            <w:pPr>
              <w:keepNext/>
              <w:keepLines/>
              <w:rPr>
                <w:rFonts w:ascii="Arial Narrow" w:hAnsi="Arial Narrow"/>
                <w:sz w:val="20"/>
                <w:szCs w:val="20"/>
              </w:rPr>
            </w:pPr>
            <w:r w:rsidRPr="002F733E">
              <w:rPr>
                <w:rFonts w:ascii="Arial Narrow" w:hAnsi="Arial Narrow"/>
                <w:smallCaps/>
                <w:sz w:val="20"/>
                <w:szCs w:val="20"/>
              </w:rPr>
              <w:t>Anifrolumab</w:t>
            </w:r>
          </w:p>
          <w:p w14:paraId="14A58285" w14:textId="77777777" w:rsidR="00FC11C3" w:rsidRPr="002F733E" w:rsidRDefault="00FC11C3" w:rsidP="00C664C8">
            <w:pPr>
              <w:keepNext/>
              <w:keepLines/>
              <w:rPr>
                <w:rFonts w:ascii="Arial Narrow" w:hAnsi="Arial Narrow"/>
                <w:smallCaps/>
                <w:sz w:val="20"/>
                <w:szCs w:val="20"/>
              </w:rPr>
            </w:pPr>
            <w:r w:rsidRPr="002F733E">
              <w:rPr>
                <w:rFonts w:ascii="Arial Narrow" w:hAnsi="Arial Narrow"/>
                <w:sz w:val="20"/>
                <w:szCs w:val="20"/>
              </w:rPr>
              <w:t>Single dose vial, concentration for infusion 300 mg</w:t>
            </w:r>
          </w:p>
        </w:tc>
        <w:tc>
          <w:tcPr>
            <w:tcW w:w="1559" w:type="dxa"/>
            <w:shd w:val="clear" w:color="auto" w:fill="auto"/>
            <w:vAlign w:val="center"/>
          </w:tcPr>
          <w:p w14:paraId="2C8CE0D0" w14:textId="4C14B91E" w:rsidR="00FC11C3" w:rsidRPr="002F733E" w:rsidRDefault="00FC11C3" w:rsidP="001828E2">
            <w:pPr>
              <w:pStyle w:val="TableText0"/>
              <w:keepLines/>
              <w:jc w:val="center"/>
            </w:pPr>
            <w:r w:rsidRPr="002F733E">
              <w:t>$</w:t>
            </w:r>
            <w:r w:rsidR="00EB6544" w:rsidRPr="00EB6544">
              <w:rPr>
                <w:color w:val="000000"/>
                <w:spacing w:val="37"/>
                <w:shd w:val="solid" w:color="000000" w:fill="000000"/>
                <w:fitText w:val="441" w:id="-1236572915"/>
                <w14:textFill>
                  <w14:solidFill>
                    <w14:srgbClr w14:val="000000">
                      <w14:alpha w14:val="100000"/>
                    </w14:srgbClr>
                  </w14:solidFill>
                </w14:textFill>
              </w:rPr>
              <w:t>|||||</w:t>
            </w:r>
            <w:r w:rsidR="00EB6544" w:rsidRPr="00EB6544">
              <w:rPr>
                <w:color w:val="000000"/>
                <w:spacing w:val="1"/>
                <w:shd w:val="solid" w:color="000000" w:fill="000000"/>
                <w:fitText w:val="441" w:id="-1236572915"/>
                <w14:textFill>
                  <w14:solidFill>
                    <w14:srgbClr w14:val="000000">
                      <w14:alpha w14:val="100000"/>
                    </w14:srgbClr>
                  </w14:solidFill>
                </w14:textFill>
              </w:rPr>
              <w:t>|</w:t>
            </w:r>
            <w:r w:rsidRPr="002F733E">
              <w:t>(public)</w:t>
            </w:r>
          </w:p>
          <w:p w14:paraId="339963C1" w14:textId="444D2D05" w:rsidR="00FC11C3" w:rsidRPr="002F733E" w:rsidRDefault="00FC11C3" w:rsidP="00C664C8">
            <w:pPr>
              <w:pStyle w:val="TableText0"/>
              <w:keepLines/>
              <w:jc w:val="center"/>
            </w:pPr>
            <w:r w:rsidRPr="002F733E">
              <w:rPr>
                <w:szCs w:val="20"/>
              </w:rPr>
              <w:t>$</w:t>
            </w:r>
            <w:r w:rsidR="00EB6544" w:rsidRPr="00EB6544">
              <w:rPr>
                <w:color w:val="000000"/>
                <w:spacing w:val="43"/>
                <w:szCs w:val="20"/>
                <w:shd w:val="solid" w:color="000000" w:fill="000000"/>
                <w:fitText w:val="474" w:id="-1236572914"/>
                <w14:textFill>
                  <w14:solidFill>
                    <w14:srgbClr w14:val="000000">
                      <w14:alpha w14:val="100000"/>
                    </w14:srgbClr>
                  </w14:solidFill>
                </w14:textFill>
              </w:rPr>
              <w:t>|||||</w:t>
            </w:r>
            <w:r w:rsidR="00EB6544" w:rsidRPr="00EB6544">
              <w:rPr>
                <w:color w:val="000000"/>
                <w:spacing w:val="4"/>
                <w:szCs w:val="20"/>
                <w:shd w:val="solid" w:color="000000" w:fill="000000"/>
                <w:fitText w:val="474" w:id="-1236572914"/>
                <w14:textFill>
                  <w14:solidFill>
                    <w14:srgbClr w14:val="000000">
                      <w14:alpha w14:val="100000"/>
                    </w14:srgbClr>
                  </w14:solidFill>
                </w14:textFill>
              </w:rPr>
              <w:t>|</w:t>
            </w:r>
            <w:r w:rsidRPr="002F733E">
              <w:rPr>
                <w:szCs w:val="20"/>
              </w:rPr>
              <w:t>(private)</w:t>
            </w:r>
          </w:p>
        </w:tc>
        <w:tc>
          <w:tcPr>
            <w:tcW w:w="1560" w:type="dxa"/>
            <w:shd w:val="clear" w:color="auto" w:fill="auto"/>
            <w:vAlign w:val="center"/>
          </w:tcPr>
          <w:p w14:paraId="704ECB84" w14:textId="1D8A03AB" w:rsidR="001231E2" w:rsidRPr="002F733E" w:rsidRDefault="001231E2" w:rsidP="00C664C8">
            <w:pPr>
              <w:keepNext/>
              <w:keepLines/>
              <w:jc w:val="center"/>
              <w:rPr>
                <w:rFonts w:ascii="Arial Narrow" w:hAnsi="Arial Narrow"/>
                <w:sz w:val="20"/>
              </w:rPr>
            </w:pPr>
            <w:r w:rsidRPr="002F733E">
              <w:rPr>
                <w:rFonts w:ascii="Arial Narrow" w:hAnsi="Arial Narrow"/>
                <w:sz w:val="20"/>
              </w:rPr>
              <w:t>Submission</w:t>
            </w:r>
          </w:p>
          <w:p w14:paraId="1E94B4F0" w14:textId="47906C69" w:rsidR="00FC11C3" w:rsidRPr="002F733E" w:rsidRDefault="00FC11C3" w:rsidP="00C664C8">
            <w:pPr>
              <w:keepNext/>
              <w:keepLines/>
              <w:jc w:val="center"/>
              <w:rPr>
                <w:rFonts w:ascii="Arial Narrow" w:hAnsi="Arial Narrow"/>
                <w:sz w:val="20"/>
              </w:rPr>
            </w:pPr>
            <w:r w:rsidRPr="002F733E">
              <w:rPr>
                <w:rFonts w:ascii="Arial Narrow" w:hAnsi="Arial Narrow"/>
                <w:sz w:val="20"/>
              </w:rPr>
              <w:t>$</w:t>
            </w:r>
            <w:r w:rsidR="00EB6544" w:rsidRPr="00EB6544">
              <w:rPr>
                <w:rFonts w:ascii="Arial Narrow" w:hAnsi="Arial Narrow"/>
                <w:color w:val="000000"/>
                <w:spacing w:val="37"/>
                <w:sz w:val="20"/>
                <w:shd w:val="solid" w:color="000000" w:fill="000000"/>
                <w:fitText w:val="442" w:id="-1236572913"/>
                <w14:textFill>
                  <w14:solidFill>
                    <w14:srgbClr w14:val="000000">
                      <w14:alpha w14:val="100000"/>
                    </w14:srgbClr>
                  </w14:solidFill>
                </w14:textFill>
              </w:rPr>
              <w:t>|||||</w:t>
            </w:r>
            <w:r w:rsidR="00EB6544" w:rsidRPr="00EB6544">
              <w:rPr>
                <w:rFonts w:ascii="Arial Narrow" w:hAnsi="Arial Narrow"/>
                <w:color w:val="000000"/>
                <w:spacing w:val="2"/>
                <w:sz w:val="20"/>
                <w:shd w:val="solid" w:color="000000" w:fill="000000"/>
                <w:fitText w:val="442" w:id="-1236572913"/>
                <w14:textFill>
                  <w14:solidFill>
                    <w14:srgbClr w14:val="000000">
                      <w14:alpha w14:val="100000"/>
                    </w14:srgbClr>
                  </w14:solidFill>
                </w14:textFill>
              </w:rPr>
              <w:t>|</w:t>
            </w:r>
            <w:r w:rsidRPr="002F733E">
              <w:rPr>
                <w:rFonts w:ascii="Arial Narrow" w:hAnsi="Arial Narrow"/>
                <w:sz w:val="20"/>
              </w:rPr>
              <w:t>(public)</w:t>
            </w:r>
          </w:p>
          <w:p w14:paraId="63B5A57E" w14:textId="20FC9C57" w:rsidR="00FC11C3" w:rsidRPr="002F733E" w:rsidRDefault="00FC11C3" w:rsidP="00C664C8">
            <w:pPr>
              <w:keepNext/>
              <w:keepLines/>
              <w:jc w:val="center"/>
              <w:rPr>
                <w:rFonts w:ascii="Arial Narrow" w:hAnsi="Arial Narrow"/>
                <w:sz w:val="20"/>
              </w:rPr>
            </w:pPr>
            <w:r w:rsidRPr="002F733E">
              <w:rPr>
                <w:rFonts w:ascii="Arial Narrow" w:hAnsi="Arial Narrow"/>
                <w:sz w:val="20"/>
              </w:rPr>
              <w:t>$</w:t>
            </w:r>
            <w:r w:rsidR="00EB6544" w:rsidRPr="00EB6544">
              <w:rPr>
                <w:rFonts w:ascii="Arial Narrow" w:hAnsi="Arial Narrow"/>
                <w:color w:val="000000"/>
                <w:spacing w:val="43"/>
                <w:sz w:val="20"/>
                <w:shd w:val="solid" w:color="000000" w:fill="000000"/>
                <w:fitText w:val="475" w:id="-1236572912"/>
                <w14:textFill>
                  <w14:solidFill>
                    <w14:srgbClr w14:val="000000">
                      <w14:alpha w14:val="100000"/>
                    </w14:srgbClr>
                  </w14:solidFill>
                </w14:textFill>
              </w:rPr>
              <w:t>|||||</w:t>
            </w:r>
            <w:r w:rsidR="00EB6544" w:rsidRPr="00EB6544">
              <w:rPr>
                <w:rFonts w:ascii="Arial Narrow" w:hAnsi="Arial Narrow"/>
                <w:color w:val="000000"/>
                <w:spacing w:val="5"/>
                <w:sz w:val="20"/>
                <w:shd w:val="solid" w:color="000000" w:fill="000000"/>
                <w:fitText w:val="475" w:id="-1236572912"/>
                <w14:textFill>
                  <w14:solidFill>
                    <w14:srgbClr w14:val="000000">
                      <w14:alpha w14:val="100000"/>
                    </w14:srgbClr>
                  </w14:solidFill>
                </w14:textFill>
              </w:rPr>
              <w:t>|</w:t>
            </w:r>
            <w:r w:rsidRPr="002F733E">
              <w:rPr>
                <w:rFonts w:ascii="Arial Narrow" w:hAnsi="Arial Narrow"/>
                <w:sz w:val="20"/>
              </w:rPr>
              <w:t>(private)</w:t>
            </w:r>
          </w:p>
          <w:p w14:paraId="2C9A60AA" w14:textId="77777777" w:rsidR="001231E2" w:rsidRPr="002F733E" w:rsidRDefault="001231E2" w:rsidP="00C664C8">
            <w:pPr>
              <w:keepNext/>
              <w:keepLines/>
              <w:jc w:val="center"/>
              <w:rPr>
                <w:rFonts w:ascii="Arial Narrow" w:hAnsi="Arial Narrow"/>
                <w:sz w:val="20"/>
              </w:rPr>
            </w:pPr>
          </w:p>
          <w:p w14:paraId="397B1A32" w14:textId="77777777" w:rsidR="001231E2" w:rsidRPr="002F733E" w:rsidRDefault="001231E2" w:rsidP="001231E2">
            <w:pPr>
              <w:keepNext/>
              <w:keepLines/>
              <w:jc w:val="center"/>
              <w:rPr>
                <w:rFonts w:ascii="Arial Narrow" w:hAnsi="Arial Narrow"/>
                <w:sz w:val="20"/>
              </w:rPr>
            </w:pPr>
            <w:r w:rsidRPr="002F733E">
              <w:rPr>
                <w:rFonts w:ascii="Arial Narrow" w:hAnsi="Arial Narrow"/>
                <w:sz w:val="20"/>
              </w:rPr>
              <w:t xml:space="preserve">Pre-PBAC response </w:t>
            </w:r>
          </w:p>
          <w:p w14:paraId="42A8D218" w14:textId="38ECAC4C" w:rsidR="001231E2" w:rsidRPr="002F733E" w:rsidRDefault="001231E2" w:rsidP="001231E2">
            <w:pPr>
              <w:keepNext/>
              <w:keepLines/>
              <w:jc w:val="center"/>
              <w:rPr>
                <w:rFonts w:ascii="Arial Narrow" w:hAnsi="Arial Narrow"/>
                <w:sz w:val="20"/>
              </w:rPr>
            </w:pPr>
            <w:r w:rsidRPr="002F733E">
              <w:rPr>
                <w:rFonts w:ascii="Arial Narrow" w:hAnsi="Arial Narrow"/>
                <w:sz w:val="20"/>
              </w:rPr>
              <w:t>$</w:t>
            </w:r>
            <w:r w:rsidR="00EB6544" w:rsidRPr="00EB6544">
              <w:rPr>
                <w:rFonts w:ascii="Arial Narrow" w:hAnsi="Arial Narrow"/>
                <w:color w:val="000000"/>
                <w:spacing w:val="37"/>
                <w:sz w:val="20"/>
                <w:shd w:val="solid" w:color="000000" w:fill="000000"/>
                <w:fitText w:val="442" w:id="-1236572928"/>
                <w14:textFill>
                  <w14:solidFill>
                    <w14:srgbClr w14:val="000000">
                      <w14:alpha w14:val="100000"/>
                    </w14:srgbClr>
                  </w14:solidFill>
                </w14:textFill>
              </w:rPr>
              <w:t>|||||</w:t>
            </w:r>
            <w:r w:rsidR="00EB6544" w:rsidRPr="00EB6544">
              <w:rPr>
                <w:rFonts w:ascii="Arial Narrow" w:hAnsi="Arial Narrow"/>
                <w:color w:val="000000"/>
                <w:spacing w:val="2"/>
                <w:sz w:val="20"/>
                <w:shd w:val="solid" w:color="000000" w:fill="000000"/>
                <w:fitText w:val="442" w:id="-1236572928"/>
                <w14:textFill>
                  <w14:solidFill>
                    <w14:srgbClr w14:val="000000">
                      <w14:alpha w14:val="100000"/>
                    </w14:srgbClr>
                  </w14:solidFill>
                </w14:textFill>
              </w:rPr>
              <w:t>|</w:t>
            </w:r>
            <w:r w:rsidRPr="002F733E">
              <w:rPr>
                <w:rFonts w:ascii="Arial Narrow" w:hAnsi="Arial Narrow"/>
                <w:sz w:val="20"/>
              </w:rPr>
              <w:t>(public)</w:t>
            </w:r>
          </w:p>
          <w:p w14:paraId="49EE1C26" w14:textId="508B93AA" w:rsidR="001231E2" w:rsidRPr="002F733E" w:rsidRDefault="001231E2" w:rsidP="001231E2">
            <w:pPr>
              <w:keepNext/>
              <w:keepLines/>
              <w:jc w:val="center"/>
              <w:rPr>
                <w:rFonts w:ascii="Arial Narrow" w:hAnsi="Arial Narrow"/>
                <w:sz w:val="20"/>
              </w:rPr>
            </w:pPr>
            <w:r w:rsidRPr="002F733E">
              <w:rPr>
                <w:rFonts w:ascii="Arial Narrow" w:hAnsi="Arial Narrow"/>
                <w:sz w:val="20"/>
              </w:rPr>
              <w:t>$</w:t>
            </w:r>
            <w:r w:rsidR="00EB6544" w:rsidRPr="00EB6544">
              <w:rPr>
                <w:rFonts w:ascii="Arial Narrow" w:hAnsi="Arial Narrow"/>
                <w:color w:val="000000"/>
                <w:spacing w:val="43"/>
                <w:sz w:val="20"/>
                <w:shd w:val="solid" w:color="000000" w:fill="000000"/>
                <w:fitText w:val="475" w:id="-1236572927"/>
                <w14:textFill>
                  <w14:solidFill>
                    <w14:srgbClr w14:val="000000">
                      <w14:alpha w14:val="100000"/>
                    </w14:srgbClr>
                  </w14:solidFill>
                </w14:textFill>
              </w:rPr>
              <w:t>|||||</w:t>
            </w:r>
            <w:r w:rsidR="00EB6544" w:rsidRPr="00EB6544">
              <w:rPr>
                <w:rFonts w:ascii="Arial Narrow" w:hAnsi="Arial Narrow"/>
                <w:color w:val="000000"/>
                <w:spacing w:val="5"/>
                <w:sz w:val="20"/>
                <w:shd w:val="solid" w:color="000000" w:fill="000000"/>
                <w:fitText w:val="475" w:id="-1236572927"/>
                <w14:textFill>
                  <w14:solidFill>
                    <w14:srgbClr w14:val="000000">
                      <w14:alpha w14:val="100000"/>
                    </w14:srgbClr>
                  </w14:solidFill>
                </w14:textFill>
              </w:rPr>
              <w:t>|</w:t>
            </w:r>
            <w:r w:rsidRPr="002F733E">
              <w:rPr>
                <w:rFonts w:ascii="Arial Narrow" w:hAnsi="Arial Narrow"/>
                <w:sz w:val="20"/>
              </w:rPr>
              <w:t>(private)</w:t>
            </w:r>
          </w:p>
        </w:tc>
        <w:tc>
          <w:tcPr>
            <w:tcW w:w="850" w:type="dxa"/>
            <w:shd w:val="clear" w:color="auto" w:fill="auto"/>
            <w:vAlign w:val="center"/>
          </w:tcPr>
          <w:p w14:paraId="4EBACA27" w14:textId="77777777" w:rsidR="00FC11C3" w:rsidRPr="002F733E" w:rsidRDefault="00FC11C3" w:rsidP="00C664C8">
            <w:pPr>
              <w:keepNext/>
              <w:keepLines/>
              <w:jc w:val="center"/>
              <w:rPr>
                <w:rFonts w:ascii="Arial Narrow" w:hAnsi="Arial Narrow"/>
                <w:sz w:val="20"/>
              </w:rPr>
            </w:pPr>
            <w:r w:rsidRPr="002F733E">
              <w:rPr>
                <w:rFonts w:ascii="Arial Narrow" w:hAnsi="Arial Narrow"/>
                <w:sz w:val="20"/>
              </w:rPr>
              <w:t>1</w:t>
            </w:r>
          </w:p>
        </w:tc>
        <w:tc>
          <w:tcPr>
            <w:tcW w:w="851" w:type="dxa"/>
            <w:shd w:val="clear" w:color="auto" w:fill="auto"/>
            <w:vAlign w:val="center"/>
          </w:tcPr>
          <w:p w14:paraId="6EEA06AB" w14:textId="77777777" w:rsidR="00FC11C3" w:rsidRPr="002F733E" w:rsidRDefault="00FC11C3" w:rsidP="00C664C8">
            <w:pPr>
              <w:keepNext/>
              <w:keepLines/>
              <w:jc w:val="center"/>
              <w:rPr>
                <w:rFonts w:ascii="Arial Narrow" w:hAnsi="Arial Narrow"/>
                <w:sz w:val="20"/>
              </w:rPr>
            </w:pPr>
            <w:r w:rsidRPr="002F733E">
              <w:rPr>
                <w:rFonts w:ascii="Arial Narrow" w:hAnsi="Arial Narrow"/>
                <w:sz w:val="20"/>
                <w:szCs w:val="20"/>
              </w:rPr>
              <w:t>1</w:t>
            </w:r>
          </w:p>
        </w:tc>
        <w:tc>
          <w:tcPr>
            <w:tcW w:w="708" w:type="dxa"/>
            <w:shd w:val="clear" w:color="auto" w:fill="auto"/>
            <w:vAlign w:val="center"/>
          </w:tcPr>
          <w:p w14:paraId="230EB96C" w14:textId="77777777" w:rsidR="00FC11C3" w:rsidRPr="002F733E" w:rsidRDefault="00FC11C3" w:rsidP="00C664C8">
            <w:pPr>
              <w:keepNext/>
              <w:keepLines/>
              <w:jc w:val="center"/>
              <w:rPr>
                <w:rFonts w:ascii="Arial Narrow" w:hAnsi="Arial Narrow"/>
                <w:sz w:val="20"/>
              </w:rPr>
            </w:pPr>
            <w:r w:rsidRPr="002F733E">
              <w:rPr>
                <w:rFonts w:ascii="Arial Narrow" w:hAnsi="Arial Narrow"/>
                <w:sz w:val="20"/>
                <w:szCs w:val="20"/>
              </w:rPr>
              <w:t>6</w:t>
            </w:r>
          </w:p>
        </w:tc>
        <w:tc>
          <w:tcPr>
            <w:tcW w:w="1133" w:type="dxa"/>
            <w:vMerge/>
            <w:shd w:val="clear" w:color="auto" w:fill="auto"/>
            <w:vAlign w:val="center"/>
          </w:tcPr>
          <w:p w14:paraId="06EC1BE9" w14:textId="77777777" w:rsidR="00FC11C3" w:rsidRPr="002F733E" w:rsidRDefault="00FC11C3" w:rsidP="00C664C8">
            <w:pPr>
              <w:keepNext/>
              <w:keepLines/>
              <w:rPr>
                <w:rFonts w:ascii="Arial Narrow" w:hAnsi="Arial Narrow"/>
                <w:sz w:val="20"/>
                <w:szCs w:val="20"/>
              </w:rPr>
            </w:pPr>
          </w:p>
        </w:tc>
      </w:tr>
    </w:tbl>
    <w:p w14:paraId="37036D83" w14:textId="723D41AA" w:rsidR="00FC11C3" w:rsidRPr="002F733E" w:rsidRDefault="00FC11C3" w:rsidP="00FC11C3">
      <w:pPr>
        <w:pStyle w:val="TableFooter"/>
        <w:keepNext/>
        <w:keepLines/>
      </w:pPr>
      <w:r w:rsidRPr="002F733E">
        <w:t>Source: Tables 1.4-1 and 1.4-2 of the resubmission.</w:t>
      </w:r>
    </w:p>
    <w:p w14:paraId="198D00F3" w14:textId="74A3B529" w:rsidR="00FC11C3" w:rsidRPr="002F733E" w:rsidRDefault="00FC11C3" w:rsidP="00CE209C">
      <w:pPr>
        <w:tabs>
          <w:tab w:val="left" w:pos="829"/>
        </w:tabs>
      </w:pPr>
    </w:p>
    <w:p w14:paraId="716FB5CB" w14:textId="7A856730" w:rsidR="00CE209C" w:rsidRPr="002F733E" w:rsidRDefault="00CE209C" w:rsidP="001E3906">
      <w:pPr>
        <w:keepNext/>
        <w:keepLines/>
        <w:rPr>
          <w:b/>
          <w:bCs/>
        </w:rPr>
      </w:pPr>
      <w:r w:rsidRPr="002F733E">
        <w:rPr>
          <w:b/>
          <w:bCs/>
        </w:rPr>
        <w:t xml:space="preserve">Initial treatment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CE209C" w:rsidRPr="002F733E" w14:paraId="4E76117A" w14:textId="77777777" w:rsidTr="00CE209C">
        <w:tc>
          <w:tcPr>
            <w:tcW w:w="5000" w:type="pct"/>
            <w:tcBorders>
              <w:top w:val="single" w:sz="4" w:space="0" w:color="auto"/>
              <w:left w:val="single" w:sz="4" w:space="0" w:color="auto"/>
              <w:bottom w:val="single" w:sz="4" w:space="0" w:color="auto"/>
              <w:right w:val="single" w:sz="4" w:space="0" w:color="auto"/>
            </w:tcBorders>
          </w:tcPr>
          <w:p w14:paraId="17E5302E" w14:textId="77777777" w:rsidR="00CE209C" w:rsidRPr="002F733E" w:rsidRDefault="00CE209C" w:rsidP="005B338D">
            <w:pPr>
              <w:rPr>
                <w:rFonts w:ascii="Arial Narrow" w:hAnsi="Arial Narrow"/>
                <w:sz w:val="20"/>
                <w:szCs w:val="20"/>
              </w:rPr>
            </w:pPr>
            <w:r w:rsidRPr="002F733E">
              <w:rPr>
                <w:rFonts w:ascii="Arial Narrow" w:hAnsi="Arial Narrow"/>
                <w:b/>
                <w:sz w:val="20"/>
                <w:szCs w:val="20"/>
              </w:rPr>
              <w:t xml:space="preserve">Category / Program:  </w:t>
            </w:r>
            <w:r w:rsidRPr="002F733E">
              <w:rPr>
                <w:rFonts w:ascii="Arial Narrow" w:hAnsi="Arial Narrow"/>
                <w:sz w:val="20"/>
                <w:szCs w:val="20"/>
              </w:rPr>
              <w:t>Section 100 – Highly Specialised Drugs Program</w:t>
            </w:r>
          </w:p>
        </w:tc>
      </w:tr>
      <w:tr w:rsidR="00CE209C" w:rsidRPr="002F733E" w14:paraId="2D67BDAF" w14:textId="77777777" w:rsidTr="00CE209C">
        <w:trPr>
          <w:trHeight w:val="240"/>
        </w:trPr>
        <w:tc>
          <w:tcPr>
            <w:tcW w:w="5000" w:type="pct"/>
            <w:tcBorders>
              <w:top w:val="single" w:sz="4" w:space="0" w:color="auto"/>
              <w:left w:val="single" w:sz="4" w:space="0" w:color="auto"/>
              <w:bottom w:val="single" w:sz="4" w:space="0" w:color="auto"/>
              <w:right w:val="single" w:sz="4" w:space="0" w:color="auto"/>
            </w:tcBorders>
          </w:tcPr>
          <w:p w14:paraId="0A77B502" w14:textId="77777777" w:rsidR="00CE209C" w:rsidRPr="002F733E" w:rsidRDefault="00CE209C" w:rsidP="005B338D">
            <w:pPr>
              <w:rPr>
                <w:rFonts w:ascii="Arial Narrow" w:hAnsi="Arial Narrow"/>
                <w:b/>
                <w:sz w:val="20"/>
                <w:szCs w:val="20"/>
              </w:rPr>
            </w:pPr>
            <w:r w:rsidRPr="002F733E">
              <w:rPr>
                <w:rFonts w:ascii="Arial Narrow" w:hAnsi="Arial Narrow"/>
                <w:b/>
                <w:sz w:val="20"/>
                <w:szCs w:val="20"/>
              </w:rPr>
              <w:t xml:space="preserve">Prescriber type:  </w:t>
            </w:r>
            <w:r w:rsidRPr="002F733E">
              <w:rPr>
                <w:rFonts w:ascii="Arial Narrow" w:hAnsi="Arial Narrow"/>
                <w:sz w:val="20"/>
                <w:szCs w:val="20"/>
              </w:rPr>
              <w:fldChar w:fldCharType="begin" w:fldLock="1">
                <w:ffData>
                  <w:name w:val=""/>
                  <w:enabled/>
                  <w:calcOnExit w:val="0"/>
                  <w:checkBox>
                    <w:sizeAuto/>
                    <w:default w:val="1"/>
                  </w:checkBox>
                </w:ffData>
              </w:fldChar>
            </w:r>
            <w:r w:rsidRPr="002F733E">
              <w:rPr>
                <w:rFonts w:ascii="Arial Narrow" w:hAnsi="Arial Narrow"/>
                <w:sz w:val="20"/>
                <w:szCs w:val="20"/>
              </w:rPr>
              <w:instrText xml:space="preserve"> FORMCHECKBOX </w:instrText>
            </w:r>
            <w:r w:rsidR="0090762C">
              <w:rPr>
                <w:rFonts w:ascii="Arial Narrow" w:hAnsi="Arial Narrow"/>
                <w:sz w:val="20"/>
                <w:szCs w:val="20"/>
              </w:rPr>
            </w:r>
            <w:r w:rsidR="0090762C">
              <w:rPr>
                <w:rFonts w:ascii="Arial Narrow" w:hAnsi="Arial Narrow"/>
                <w:sz w:val="20"/>
                <w:szCs w:val="20"/>
              </w:rPr>
              <w:fldChar w:fldCharType="separate"/>
            </w:r>
            <w:r w:rsidRPr="002F733E">
              <w:rPr>
                <w:rFonts w:ascii="Arial Narrow" w:hAnsi="Arial Narrow"/>
                <w:sz w:val="20"/>
                <w:szCs w:val="20"/>
              </w:rPr>
              <w:fldChar w:fldCharType="end"/>
            </w:r>
            <w:r w:rsidRPr="002F733E">
              <w:rPr>
                <w:rFonts w:ascii="Arial Narrow" w:hAnsi="Arial Narrow"/>
                <w:sz w:val="20"/>
                <w:szCs w:val="20"/>
              </w:rPr>
              <w:t>Medical Practitioners</w:t>
            </w:r>
          </w:p>
        </w:tc>
      </w:tr>
      <w:tr w:rsidR="00CE209C" w:rsidRPr="002F733E" w14:paraId="2F6A98CA" w14:textId="77777777" w:rsidTr="00CE209C">
        <w:trPr>
          <w:trHeight w:val="446"/>
        </w:trPr>
        <w:tc>
          <w:tcPr>
            <w:tcW w:w="5000" w:type="pct"/>
            <w:tcBorders>
              <w:top w:val="single" w:sz="4" w:space="0" w:color="auto"/>
              <w:left w:val="single" w:sz="4" w:space="0" w:color="auto"/>
              <w:bottom w:val="single" w:sz="4" w:space="0" w:color="auto"/>
              <w:right w:val="single" w:sz="4" w:space="0" w:color="auto"/>
            </w:tcBorders>
          </w:tcPr>
          <w:p w14:paraId="5AFDE83C" w14:textId="77777777" w:rsidR="00CE209C" w:rsidRPr="002F733E" w:rsidRDefault="00CE209C" w:rsidP="005B338D">
            <w:pPr>
              <w:rPr>
                <w:rFonts w:ascii="Arial Narrow" w:hAnsi="Arial Narrow"/>
                <w:b/>
                <w:sz w:val="20"/>
                <w:szCs w:val="20"/>
              </w:rPr>
            </w:pPr>
            <w:r w:rsidRPr="002F733E">
              <w:rPr>
                <w:rFonts w:ascii="Arial Narrow" w:hAnsi="Arial Narrow"/>
                <w:b/>
                <w:sz w:val="20"/>
                <w:szCs w:val="20"/>
              </w:rPr>
              <w:t>Restriction Level / Method:</w:t>
            </w:r>
          </w:p>
          <w:p w14:paraId="59C32B8D" w14:textId="77777777" w:rsidR="00CE209C" w:rsidRPr="002F733E" w:rsidRDefault="00CE209C" w:rsidP="005B338D">
            <w:pPr>
              <w:rPr>
                <w:rFonts w:ascii="Arial Narrow" w:hAnsi="Arial Narrow"/>
                <w:i/>
                <w:iCs/>
                <w:sz w:val="20"/>
                <w:szCs w:val="20"/>
              </w:rPr>
            </w:pPr>
            <w:r w:rsidRPr="002F733E">
              <w:rPr>
                <w:rFonts w:ascii="Arial Narrow" w:hAnsi="Arial Narrow"/>
                <w:sz w:val="20"/>
                <w:szCs w:val="20"/>
              </w:rPr>
              <w:fldChar w:fldCharType="begin" w:fldLock="1">
                <w:ffData>
                  <w:name w:val="Check3"/>
                  <w:enabled/>
                  <w:calcOnExit w:val="0"/>
                  <w:checkBox>
                    <w:sizeAuto/>
                    <w:default w:val="1"/>
                  </w:checkBox>
                </w:ffData>
              </w:fldChar>
            </w:r>
            <w:r w:rsidRPr="002F733E">
              <w:rPr>
                <w:rFonts w:ascii="Arial Narrow" w:hAnsi="Arial Narrow"/>
                <w:sz w:val="20"/>
                <w:szCs w:val="20"/>
              </w:rPr>
              <w:instrText xml:space="preserve"> FORMCHECKBOX </w:instrText>
            </w:r>
            <w:r w:rsidR="0090762C">
              <w:rPr>
                <w:rFonts w:ascii="Arial Narrow" w:hAnsi="Arial Narrow"/>
                <w:sz w:val="20"/>
                <w:szCs w:val="20"/>
              </w:rPr>
            </w:r>
            <w:r w:rsidR="0090762C">
              <w:rPr>
                <w:rFonts w:ascii="Arial Narrow" w:hAnsi="Arial Narrow"/>
                <w:sz w:val="20"/>
                <w:szCs w:val="20"/>
              </w:rPr>
              <w:fldChar w:fldCharType="separate"/>
            </w:r>
            <w:r w:rsidRPr="002F733E">
              <w:rPr>
                <w:rFonts w:ascii="Arial Narrow" w:hAnsi="Arial Narrow"/>
                <w:sz w:val="20"/>
                <w:szCs w:val="20"/>
              </w:rPr>
              <w:fldChar w:fldCharType="end"/>
            </w:r>
            <w:r w:rsidRPr="002F733E">
              <w:rPr>
                <w:rFonts w:ascii="Arial Narrow" w:hAnsi="Arial Narrow"/>
                <w:sz w:val="20"/>
                <w:szCs w:val="20"/>
              </w:rPr>
              <w:t xml:space="preserve">Authority Required – In Writing/HPOS upload or Online PBS Authorities immediate assessment </w:t>
            </w:r>
          </w:p>
        </w:tc>
      </w:tr>
      <w:tr w:rsidR="00CE209C" w:rsidRPr="002F733E" w14:paraId="0EBD6A78"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33884B4C" w14:textId="77777777" w:rsidR="00CE209C" w:rsidRPr="002F733E" w:rsidRDefault="00CE209C" w:rsidP="005B338D">
            <w:pPr>
              <w:rPr>
                <w:rFonts w:ascii="Arial Narrow" w:hAnsi="Arial Narrow"/>
                <w:iCs/>
                <w:sz w:val="20"/>
                <w:szCs w:val="20"/>
              </w:rPr>
            </w:pPr>
            <w:r w:rsidRPr="002F733E">
              <w:rPr>
                <w:rFonts w:ascii="Arial Narrow" w:hAnsi="Arial Narrow"/>
                <w:b/>
                <w:bCs/>
                <w:iCs/>
                <w:sz w:val="20"/>
                <w:szCs w:val="20"/>
              </w:rPr>
              <w:t xml:space="preserve">Episodicity: </w:t>
            </w:r>
            <w:r w:rsidRPr="002F733E">
              <w:rPr>
                <w:rFonts w:ascii="Arial Narrow" w:hAnsi="Arial Narrow"/>
                <w:iCs/>
                <w:sz w:val="20"/>
                <w:szCs w:val="20"/>
              </w:rPr>
              <w:t>Active</w:t>
            </w:r>
          </w:p>
        </w:tc>
      </w:tr>
      <w:tr w:rsidR="00CE209C" w:rsidRPr="002F733E" w14:paraId="08585130"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445E469" w14:textId="77777777" w:rsidR="00CE209C" w:rsidRPr="002F733E" w:rsidRDefault="00CE209C" w:rsidP="005B338D">
            <w:pPr>
              <w:rPr>
                <w:rFonts w:ascii="Arial Narrow" w:hAnsi="Arial Narrow"/>
                <w:b/>
                <w:bCs/>
                <w:iCs/>
                <w:sz w:val="20"/>
                <w:szCs w:val="20"/>
              </w:rPr>
            </w:pPr>
            <w:r w:rsidRPr="002F733E">
              <w:rPr>
                <w:rFonts w:ascii="Arial Narrow" w:hAnsi="Arial Narrow"/>
                <w:b/>
                <w:bCs/>
                <w:iCs/>
                <w:sz w:val="20"/>
                <w:szCs w:val="20"/>
              </w:rPr>
              <w:t xml:space="preserve">Condition: </w:t>
            </w:r>
            <w:r w:rsidRPr="002F733E">
              <w:rPr>
                <w:rFonts w:ascii="Arial Narrow" w:hAnsi="Arial Narrow"/>
                <w:sz w:val="20"/>
                <w:szCs w:val="20"/>
              </w:rPr>
              <w:t>Systemic lupus erythematosus</w:t>
            </w:r>
          </w:p>
        </w:tc>
      </w:tr>
      <w:tr w:rsidR="00CE209C" w:rsidRPr="002F733E" w14:paraId="79BC7A67"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1377E5ED" w14:textId="77777777" w:rsidR="00CE209C" w:rsidRPr="002F733E" w:rsidRDefault="00CE209C" w:rsidP="005B338D">
            <w:pPr>
              <w:rPr>
                <w:rFonts w:ascii="Arial Narrow" w:hAnsi="Arial Narrow"/>
                <w:i/>
                <w:sz w:val="20"/>
                <w:szCs w:val="20"/>
              </w:rPr>
            </w:pPr>
            <w:r w:rsidRPr="002F733E">
              <w:rPr>
                <w:rFonts w:ascii="Arial Narrow" w:hAnsi="Arial Narrow"/>
                <w:b/>
                <w:bCs/>
                <w:iCs/>
                <w:strike/>
                <w:sz w:val="20"/>
                <w:szCs w:val="20"/>
              </w:rPr>
              <w:t>PBS</w:t>
            </w:r>
            <w:r w:rsidRPr="002F733E">
              <w:rPr>
                <w:rFonts w:ascii="Arial Narrow" w:hAnsi="Arial Narrow"/>
                <w:b/>
                <w:bCs/>
                <w:i/>
                <w:sz w:val="20"/>
                <w:szCs w:val="20"/>
              </w:rPr>
              <w:t xml:space="preserve"> </w:t>
            </w:r>
            <w:r w:rsidRPr="002F733E">
              <w:rPr>
                <w:rFonts w:ascii="Arial Narrow" w:hAnsi="Arial Narrow"/>
                <w:b/>
                <w:bCs/>
                <w:iCs/>
                <w:sz w:val="20"/>
                <w:szCs w:val="20"/>
              </w:rPr>
              <w:t>Indication</w:t>
            </w:r>
            <w:r w:rsidRPr="002F733E">
              <w:rPr>
                <w:rFonts w:ascii="Arial Narrow" w:hAnsi="Arial Narrow"/>
                <w:b/>
                <w:bCs/>
                <w:i/>
                <w:sz w:val="20"/>
                <w:szCs w:val="20"/>
              </w:rPr>
              <w:t>:</w:t>
            </w:r>
            <w:r w:rsidRPr="002F733E">
              <w:rPr>
                <w:rFonts w:ascii="Arial Narrow" w:hAnsi="Arial Narrow"/>
                <w:i/>
                <w:sz w:val="20"/>
                <w:szCs w:val="20"/>
              </w:rPr>
              <w:t xml:space="preserve"> </w:t>
            </w:r>
            <w:r w:rsidRPr="002F733E">
              <w:rPr>
                <w:rFonts w:ascii="Arial Narrow" w:hAnsi="Arial Narrow"/>
                <w:iCs/>
                <w:sz w:val="20"/>
                <w:szCs w:val="20"/>
              </w:rPr>
              <w:t xml:space="preserve">Active </w:t>
            </w:r>
            <w:r w:rsidRPr="002F733E">
              <w:rPr>
                <w:rFonts w:ascii="Arial Narrow" w:hAnsi="Arial Narrow"/>
                <w:i/>
                <w:sz w:val="20"/>
                <w:szCs w:val="20"/>
              </w:rPr>
              <w:t>s</w:t>
            </w:r>
            <w:r w:rsidRPr="002F733E">
              <w:rPr>
                <w:rFonts w:ascii="Arial Narrow" w:hAnsi="Arial Narrow"/>
                <w:sz w:val="20"/>
                <w:szCs w:val="20"/>
              </w:rPr>
              <w:t>ystemic lupus erythematosus</w:t>
            </w:r>
          </w:p>
        </w:tc>
      </w:tr>
      <w:tr w:rsidR="00CE209C" w:rsidRPr="002F733E" w14:paraId="0EA9AEBC"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6E1AA144"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Treatment Phase:</w:t>
            </w:r>
            <w:r w:rsidRPr="002F733E">
              <w:rPr>
                <w:rFonts w:ascii="Arial Narrow" w:hAnsi="Arial Narrow"/>
                <w:sz w:val="20"/>
                <w:szCs w:val="20"/>
              </w:rPr>
              <w:t xml:space="preserve"> Initial</w:t>
            </w:r>
          </w:p>
        </w:tc>
      </w:tr>
      <w:tr w:rsidR="00CE209C" w:rsidRPr="002F733E" w14:paraId="66672724"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2396AC92" w14:textId="77777777" w:rsidR="00CE209C" w:rsidRPr="002F733E" w:rsidRDefault="00CE209C" w:rsidP="005B338D">
            <w:pPr>
              <w:rPr>
                <w:rFonts w:ascii="Arial Narrow" w:hAnsi="Arial Narrow"/>
                <w:b/>
                <w:bCs/>
                <w:sz w:val="20"/>
                <w:szCs w:val="20"/>
              </w:rPr>
            </w:pPr>
            <w:r w:rsidRPr="002F733E">
              <w:rPr>
                <w:rFonts w:ascii="Arial Narrow" w:hAnsi="Arial Narrow"/>
                <w:b/>
                <w:bCs/>
                <w:sz w:val="20"/>
                <w:szCs w:val="20"/>
              </w:rPr>
              <w:t>Treatment criteria:</w:t>
            </w:r>
          </w:p>
        </w:tc>
      </w:tr>
      <w:tr w:rsidR="00CE209C" w:rsidRPr="002F733E" w14:paraId="2BEEC8EB"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1421CF5" w14:textId="77777777" w:rsidR="00CE209C" w:rsidRPr="002F733E" w:rsidRDefault="00CE209C" w:rsidP="005B338D">
            <w:pPr>
              <w:rPr>
                <w:rFonts w:ascii="Arial Narrow" w:eastAsiaTheme="majorEastAsia" w:hAnsi="Arial Narrow"/>
                <w:sz w:val="20"/>
                <w:szCs w:val="20"/>
                <w:lang w:bidi="en-US"/>
              </w:rPr>
            </w:pPr>
            <w:r w:rsidRPr="002F733E">
              <w:rPr>
                <w:rFonts w:ascii="Arial Narrow" w:eastAsiaTheme="majorEastAsia" w:hAnsi="Arial Narrow"/>
                <w:sz w:val="20"/>
                <w:szCs w:val="20"/>
                <w:lang w:bidi="en-US"/>
              </w:rPr>
              <w:t>Must be treated by a rheumatologist; or</w:t>
            </w:r>
          </w:p>
          <w:p w14:paraId="605D93C8" w14:textId="77777777" w:rsidR="00CE209C" w:rsidRPr="002F733E" w:rsidRDefault="00CE209C" w:rsidP="005B338D">
            <w:pPr>
              <w:rPr>
                <w:rFonts w:ascii="Arial Narrow" w:eastAsiaTheme="majorEastAsia" w:hAnsi="Arial Narrow"/>
                <w:strike/>
                <w:sz w:val="20"/>
                <w:szCs w:val="20"/>
                <w:lang w:bidi="en-US"/>
              </w:rPr>
            </w:pPr>
            <w:r w:rsidRPr="002F733E">
              <w:rPr>
                <w:rFonts w:ascii="Arial Narrow" w:eastAsiaTheme="majorEastAsia" w:hAnsi="Arial Narrow"/>
                <w:sz w:val="20"/>
                <w:szCs w:val="20"/>
                <w:lang w:bidi="en-US"/>
              </w:rPr>
              <w:t xml:space="preserve">Must be treated by a clinical immunologist; </w:t>
            </w:r>
            <w:r w:rsidRPr="002F733E">
              <w:rPr>
                <w:rFonts w:ascii="Arial Narrow" w:eastAsiaTheme="majorEastAsia" w:hAnsi="Arial Narrow"/>
                <w:strike/>
                <w:sz w:val="20"/>
                <w:szCs w:val="20"/>
                <w:lang w:bidi="en-US"/>
              </w:rPr>
              <w:t>or</w:t>
            </w:r>
          </w:p>
          <w:p w14:paraId="00FB4304" w14:textId="77777777" w:rsidR="00CE209C" w:rsidRPr="002F733E" w:rsidRDefault="00CE209C" w:rsidP="005B338D">
            <w:pPr>
              <w:rPr>
                <w:rFonts w:ascii="Arial Narrow" w:eastAsiaTheme="majorEastAsia" w:hAnsi="Arial Narrow"/>
                <w:i/>
                <w:iCs/>
                <w:sz w:val="20"/>
                <w:szCs w:val="20"/>
                <w:lang w:bidi="en-US"/>
              </w:rPr>
            </w:pPr>
            <w:r w:rsidRPr="002F733E">
              <w:rPr>
                <w:rFonts w:ascii="Arial Narrow" w:eastAsiaTheme="majorEastAsia" w:hAnsi="Arial Narrow"/>
                <w:i/>
                <w:iCs/>
                <w:sz w:val="20"/>
                <w:szCs w:val="20"/>
                <w:lang w:bidi="en-US"/>
              </w:rPr>
              <w:t>Alternatively</w:t>
            </w:r>
          </w:p>
          <w:p w14:paraId="4246A9D9" w14:textId="77777777" w:rsidR="00CE209C" w:rsidRPr="002F733E" w:rsidRDefault="00CE209C" w:rsidP="005B338D">
            <w:pPr>
              <w:rPr>
                <w:rFonts w:ascii="Arial Narrow" w:hAnsi="Arial Narrow"/>
                <w:b/>
                <w:bCs/>
                <w:sz w:val="20"/>
                <w:szCs w:val="20"/>
              </w:rPr>
            </w:pPr>
            <w:r w:rsidRPr="002F733E">
              <w:rPr>
                <w:rFonts w:ascii="Arial Narrow" w:hAnsi="Arial Narrow"/>
                <w:sz w:val="20"/>
                <w:szCs w:val="20"/>
              </w:rPr>
              <w:t>Must be treated by a specialist physician experienced in the management of this condition</w:t>
            </w:r>
          </w:p>
        </w:tc>
      </w:tr>
      <w:tr w:rsidR="00CE209C" w:rsidRPr="002F733E" w14:paraId="606CA56D"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1D0EEB7C"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Clinical criteria:</w:t>
            </w:r>
          </w:p>
        </w:tc>
      </w:tr>
      <w:tr w:rsidR="00CE209C" w:rsidRPr="002F733E" w14:paraId="58B767F9"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518AE671" w14:textId="77777777" w:rsidR="00CE209C" w:rsidRPr="002F733E" w:rsidRDefault="00CE209C" w:rsidP="005B338D">
            <w:pPr>
              <w:rPr>
                <w:rFonts w:ascii="Arial Narrow" w:eastAsiaTheme="majorEastAsia" w:hAnsi="Arial Narrow"/>
                <w:sz w:val="20"/>
                <w:szCs w:val="20"/>
                <w:lang w:bidi="en-US"/>
              </w:rPr>
            </w:pPr>
            <w:r w:rsidRPr="002F733E">
              <w:rPr>
                <w:rFonts w:ascii="Arial Narrow" w:eastAsiaTheme="majorEastAsia" w:hAnsi="Arial Narrow"/>
                <w:sz w:val="20"/>
                <w:szCs w:val="20"/>
                <w:lang w:bidi="en-US"/>
              </w:rPr>
              <w:t>Patient must have a confirmed and documented diagnosis of systemic lupus erythematosus (SLE) according to the American College of Rheumatology (ACR)/European League Against Rheumatism (EULAR) SLE Classification Criteria 2019</w:t>
            </w:r>
          </w:p>
        </w:tc>
      </w:tr>
      <w:tr w:rsidR="00CE209C" w:rsidRPr="002F733E" w14:paraId="0B877C4A"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57C068F6"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AND</w:t>
            </w:r>
          </w:p>
        </w:tc>
      </w:tr>
      <w:tr w:rsidR="00CE209C" w:rsidRPr="002F733E" w14:paraId="3F42E7BA"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10F26CC1"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Clinical criteria:</w:t>
            </w:r>
          </w:p>
        </w:tc>
      </w:tr>
      <w:tr w:rsidR="00CE209C" w:rsidRPr="002F733E" w14:paraId="75C93E65"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6EA973B8"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 xml:space="preserve">Patient must have persistent disease activity as supported by a SLE Disease Activity Index 2000 </w:t>
            </w:r>
            <w:r w:rsidRPr="002F733E">
              <w:rPr>
                <w:rFonts w:ascii="Arial Narrow" w:hAnsi="Arial Narrow"/>
                <w:i/>
                <w:iCs/>
                <w:sz w:val="20"/>
                <w:szCs w:val="20"/>
              </w:rPr>
              <w:t>(</w:t>
            </w:r>
            <w:r w:rsidRPr="002F733E">
              <w:rPr>
                <w:rFonts w:ascii="Arial Narrow" w:hAnsi="Arial Narrow"/>
                <w:sz w:val="20"/>
                <w:szCs w:val="20"/>
              </w:rPr>
              <w:t>SLEDAI-2K</w:t>
            </w:r>
            <w:r w:rsidRPr="002F733E">
              <w:rPr>
                <w:rFonts w:ascii="Arial Narrow" w:hAnsi="Arial Narrow"/>
                <w:i/>
                <w:iCs/>
                <w:sz w:val="20"/>
                <w:szCs w:val="20"/>
              </w:rPr>
              <w:t>)</w:t>
            </w:r>
            <w:r w:rsidRPr="002F733E">
              <w:rPr>
                <w:rFonts w:ascii="Arial Narrow" w:hAnsi="Arial Narrow"/>
                <w:sz w:val="20"/>
                <w:szCs w:val="20"/>
              </w:rPr>
              <w:t xml:space="preserve"> score of at least 10 points</w:t>
            </w:r>
          </w:p>
        </w:tc>
      </w:tr>
      <w:tr w:rsidR="00CE209C" w:rsidRPr="002F733E" w14:paraId="54E976AA"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6FE23A74"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AND</w:t>
            </w:r>
          </w:p>
        </w:tc>
      </w:tr>
      <w:tr w:rsidR="00CE209C" w:rsidRPr="002F733E" w14:paraId="28F3CB63"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3C3A7052"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Clinical criteria:</w:t>
            </w:r>
          </w:p>
        </w:tc>
      </w:tr>
      <w:tr w:rsidR="00CE209C" w:rsidRPr="002F733E" w14:paraId="2F2EAF71"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28611350"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Patient must be currently receiving hydroxychloroquine and must have received this for at least 12 weeks</w:t>
            </w:r>
            <w:r w:rsidRPr="002F733E">
              <w:rPr>
                <w:rFonts w:ascii="Arial Narrow" w:hAnsi="Arial Narrow"/>
                <w:i/>
                <w:sz w:val="20"/>
                <w:szCs w:val="20"/>
              </w:rPr>
              <w:t xml:space="preserve"> </w:t>
            </w:r>
          </w:p>
        </w:tc>
      </w:tr>
      <w:tr w:rsidR="00CE209C" w:rsidRPr="002F733E" w14:paraId="234FF1FB"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72FE5D58" w14:textId="77777777" w:rsidR="00CE209C" w:rsidRPr="002F733E" w:rsidRDefault="00CE209C" w:rsidP="005B338D">
            <w:pPr>
              <w:rPr>
                <w:rFonts w:ascii="Arial Narrow" w:hAnsi="Arial Narrow"/>
                <w:iCs/>
                <w:sz w:val="20"/>
                <w:szCs w:val="20"/>
              </w:rPr>
            </w:pPr>
            <w:r w:rsidRPr="002F733E">
              <w:rPr>
                <w:rFonts w:ascii="Arial Narrow" w:hAnsi="Arial Narrow"/>
                <w:b/>
                <w:bCs/>
                <w:iCs/>
                <w:sz w:val="20"/>
                <w:szCs w:val="20"/>
              </w:rPr>
              <w:t>AND</w:t>
            </w:r>
          </w:p>
        </w:tc>
      </w:tr>
      <w:tr w:rsidR="00CE209C" w:rsidRPr="002F733E" w14:paraId="2253CFE3"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403D6CB" w14:textId="77777777" w:rsidR="00CE209C" w:rsidRPr="002F733E" w:rsidRDefault="00CE209C" w:rsidP="005B338D">
            <w:pPr>
              <w:rPr>
                <w:rFonts w:ascii="Arial Narrow" w:hAnsi="Arial Narrow"/>
                <w:b/>
                <w:bCs/>
                <w:iCs/>
                <w:sz w:val="20"/>
                <w:szCs w:val="20"/>
              </w:rPr>
            </w:pPr>
            <w:r w:rsidRPr="002F733E">
              <w:rPr>
                <w:rFonts w:ascii="Arial Narrow" w:hAnsi="Arial Narrow"/>
                <w:b/>
                <w:bCs/>
                <w:iCs/>
                <w:sz w:val="20"/>
                <w:szCs w:val="20"/>
              </w:rPr>
              <w:t>Clinical criteria:</w:t>
            </w:r>
          </w:p>
        </w:tc>
      </w:tr>
      <w:tr w:rsidR="00CE209C" w:rsidRPr="002F733E" w14:paraId="3D90519F"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3191B317" w14:textId="77777777" w:rsidR="00CE209C" w:rsidRPr="002F733E" w:rsidRDefault="00CE209C" w:rsidP="005B338D">
            <w:pPr>
              <w:rPr>
                <w:rFonts w:ascii="Arial Narrow" w:hAnsi="Arial Narrow"/>
                <w:bCs/>
                <w:iCs/>
                <w:sz w:val="20"/>
                <w:szCs w:val="20"/>
              </w:rPr>
            </w:pPr>
            <w:r w:rsidRPr="002F733E">
              <w:rPr>
                <w:rFonts w:ascii="Arial Narrow" w:hAnsi="Arial Narrow"/>
                <w:bCs/>
                <w:iCs/>
                <w:sz w:val="20"/>
                <w:szCs w:val="20"/>
              </w:rPr>
              <w:t>Patient must be currently receiving immunosuppressant medication and must have received this for at least 12 weeks (minimum dose of methotrexate 20 mg per week, azathioprine 100 mg per day, or mycophenolate 1,000 mg per day)</w:t>
            </w:r>
          </w:p>
        </w:tc>
      </w:tr>
      <w:tr w:rsidR="00CE209C" w:rsidRPr="002F733E" w14:paraId="6FF15751"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3A19196E" w14:textId="77777777" w:rsidR="00CE209C" w:rsidRPr="002F733E" w:rsidRDefault="00CE209C" w:rsidP="005B338D">
            <w:pPr>
              <w:rPr>
                <w:rFonts w:ascii="Arial Narrow" w:hAnsi="Arial Narrow"/>
                <w:b/>
                <w:bCs/>
                <w:sz w:val="20"/>
                <w:szCs w:val="20"/>
              </w:rPr>
            </w:pPr>
            <w:r w:rsidRPr="002F733E">
              <w:rPr>
                <w:rFonts w:ascii="Arial Narrow" w:hAnsi="Arial Narrow"/>
                <w:b/>
                <w:bCs/>
                <w:sz w:val="20"/>
                <w:szCs w:val="20"/>
              </w:rPr>
              <w:t>AND</w:t>
            </w:r>
          </w:p>
        </w:tc>
      </w:tr>
      <w:tr w:rsidR="00CE209C" w:rsidRPr="002F733E" w14:paraId="6ACFC4A0"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26AA3569"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Clinical criteria:</w:t>
            </w:r>
          </w:p>
        </w:tc>
      </w:tr>
      <w:tr w:rsidR="00CE209C" w:rsidRPr="002F733E" w14:paraId="25DF6CB8"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6D5D0D98"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Patient must be currently receiving prednisolone or equivalent ≥ 7.5 mg per day and must have received this for at least 4 weeks</w:t>
            </w:r>
          </w:p>
        </w:tc>
      </w:tr>
      <w:tr w:rsidR="00CE209C" w:rsidRPr="002F733E" w14:paraId="357CB862"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365D546D"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AND</w:t>
            </w:r>
          </w:p>
        </w:tc>
      </w:tr>
      <w:tr w:rsidR="00CE209C" w:rsidRPr="002F733E" w14:paraId="4CC8EA2B"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63EE6C98"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Clinical criteria:</w:t>
            </w:r>
          </w:p>
        </w:tc>
      </w:tr>
      <w:tr w:rsidR="00CE209C" w:rsidRPr="002F733E" w14:paraId="6B551860"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06119385"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Patient must not have severe active lupus nephritis or severe active central nervous system systemic lupus erythematosus</w:t>
            </w:r>
          </w:p>
        </w:tc>
      </w:tr>
      <w:tr w:rsidR="00CE209C" w:rsidRPr="002F733E" w14:paraId="4F0CE97B"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2C15CAC" w14:textId="77777777" w:rsidR="00CE209C" w:rsidRPr="002F733E" w:rsidRDefault="00CE209C" w:rsidP="005B338D">
            <w:pPr>
              <w:rPr>
                <w:rFonts w:ascii="Arial Narrow" w:hAnsi="Arial Narrow"/>
                <w:b/>
                <w:bCs/>
                <w:sz w:val="20"/>
                <w:szCs w:val="20"/>
              </w:rPr>
            </w:pPr>
            <w:r w:rsidRPr="002F733E">
              <w:rPr>
                <w:rFonts w:ascii="Arial Narrow" w:hAnsi="Arial Narrow"/>
                <w:b/>
                <w:bCs/>
                <w:sz w:val="20"/>
                <w:szCs w:val="20"/>
              </w:rPr>
              <w:t>Population criteria:</w:t>
            </w:r>
          </w:p>
        </w:tc>
      </w:tr>
      <w:tr w:rsidR="00CE209C" w:rsidRPr="002F733E" w14:paraId="254D1B3C"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C3340E4"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Patient must be aged 18 years or older.</w:t>
            </w:r>
          </w:p>
        </w:tc>
      </w:tr>
      <w:tr w:rsidR="00CE209C" w:rsidRPr="002F733E" w14:paraId="17B516AA"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
        </w:trPr>
        <w:tc>
          <w:tcPr>
            <w:tcW w:w="5000" w:type="pct"/>
            <w:tcBorders>
              <w:top w:val="single" w:sz="4" w:space="0" w:color="auto"/>
              <w:left w:val="single" w:sz="4" w:space="0" w:color="auto"/>
              <w:bottom w:val="single" w:sz="4" w:space="0" w:color="auto"/>
              <w:right w:val="single" w:sz="4" w:space="0" w:color="auto"/>
            </w:tcBorders>
            <w:vAlign w:val="center"/>
          </w:tcPr>
          <w:p w14:paraId="6B6CEACF" w14:textId="77777777" w:rsidR="00CE209C" w:rsidRPr="002F733E" w:rsidRDefault="00CE209C" w:rsidP="005B338D">
            <w:pPr>
              <w:rPr>
                <w:rFonts w:ascii="Arial Narrow" w:hAnsi="Arial Narrow"/>
                <w:b/>
                <w:bCs/>
                <w:sz w:val="20"/>
                <w:szCs w:val="20"/>
              </w:rPr>
            </w:pPr>
            <w:r w:rsidRPr="002F733E">
              <w:rPr>
                <w:rFonts w:ascii="Arial Narrow" w:hAnsi="Arial Narrow"/>
                <w:b/>
                <w:bCs/>
                <w:sz w:val="20"/>
                <w:szCs w:val="20"/>
              </w:rPr>
              <w:t>Prescribing Instructions:</w:t>
            </w:r>
          </w:p>
          <w:p w14:paraId="4C78F040"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The authority application must be made via the Online PBS Authorities (real time assessment), or in writing via HPOS form upload or mail and must include:</w:t>
            </w:r>
          </w:p>
          <w:p w14:paraId="29335746" w14:textId="77777777" w:rsidR="00CE209C" w:rsidRPr="002F733E" w:rsidRDefault="00CE209C" w:rsidP="00DC7889">
            <w:pPr>
              <w:pStyle w:val="ListParagraph"/>
              <w:numPr>
                <w:ilvl w:val="0"/>
                <w:numId w:val="19"/>
              </w:numPr>
              <w:spacing w:after="0"/>
              <w:ind w:left="272" w:hanging="272"/>
              <w:contextualSpacing/>
              <w:jc w:val="left"/>
              <w:rPr>
                <w:rFonts w:ascii="Arial Narrow" w:hAnsi="Arial Narrow"/>
                <w:sz w:val="20"/>
                <w:szCs w:val="20"/>
              </w:rPr>
            </w:pPr>
            <w:r w:rsidRPr="002F733E">
              <w:rPr>
                <w:rFonts w:ascii="Arial Narrow" w:hAnsi="Arial Narrow"/>
                <w:sz w:val="20"/>
                <w:szCs w:val="20"/>
              </w:rPr>
              <w:t>details of the ACR/EULAR SLE Classification Criteria 2019 confirming diagnosis of SLE</w:t>
            </w:r>
          </w:p>
          <w:p w14:paraId="31A7DDBD" w14:textId="77777777" w:rsidR="00CE209C" w:rsidRPr="002F733E" w:rsidRDefault="00CE209C" w:rsidP="00DC7889">
            <w:pPr>
              <w:pStyle w:val="ListParagraph"/>
              <w:numPr>
                <w:ilvl w:val="0"/>
                <w:numId w:val="19"/>
              </w:numPr>
              <w:spacing w:after="0"/>
              <w:ind w:left="272" w:hanging="272"/>
              <w:contextualSpacing/>
              <w:jc w:val="left"/>
              <w:rPr>
                <w:rFonts w:ascii="Arial Narrow" w:hAnsi="Arial Narrow"/>
                <w:sz w:val="20"/>
                <w:szCs w:val="20"/>
              </w:rPr>
            </w:pPr>
            <w:r w:rsidRPr="002F733E">
              <w:rPr>
                <w:rFonts w:ascii="Arial Narrow" w:hAnsi="Arial Narrow"/>
                <w:sz w:val="20"/>
                <w:szCs w:val="20"/>
              </w:rPr>
              <w:t>details (date and score) of the completed SLEDAI-2K score sheet</w:t>
            </w:r>
          </w:p>
          <w:p w14:paraId="0FF2762D" w14:textId="77777777" w:rsidR="00CE209C" w:rsidRPr="002F733E" w:rsidRDefault="00CE209C" w:rsidP="00DC7889">
            <w:pPr>
              <w:pStyle w:val="ListParagraph"/>
              <w:numPr>
                <w:ilvl w:val="0"/>
                <w:numId w:val="19"/>
              </w:numPr>
              <w:spacing w:after="0"/>
              <w:ind w:left="272" w:hanging="272"/>
              <w:contextualSpacing/>
              <w:jc w:val="left"/>
              <w:rPr>
                <w:rFonts w:ascii="Arial Narrow" w:hAnsi="Arial Narrow"/>
                <w:sz w:val="20"/>
                <w:szCs w:val="20"/>
              </w:rPr>
            </w:pPr>
            <w:r w:rsidRPr="002F733E">
              <w:rPr>
                <w:rFonts w:ascii="Arial Narrow" w:hAnsi="Arial Narrow"/>
                <w:sz w:val="20"/>
                <w:szCs w:val="20"/>
              </w:rPr>
              <w:t xml:space="preserve">details of current systemic therapy used (dosage, date of commencement and duration of therapy).   </w:t>
            </w:r>
          </w:p>
          <w:p w14:paraId="66EC0763"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All the reports must be documented in the patient’s medical records.</w:t>
            </w:r>
          </w:p>
          <w:p w14:paraId="5E344E84" w14:textId="77777777" w:rsidR="00CE209C" w:rsidRPr="002F733E" w:rsidRDefault="00CE209C" w:rsidP="005B338D">
            <w:pPr>
              <w:rPr>
                <w:rFonts w:ascii="Arial Narrow" w:hAnsi="Arial Narrow"/>
                <w:b/>
                <w:bCs/>
                <w:sz w:val="20"/>
                <w:szCs w:val="20"/>
              </w:rPr>
            </w:pPr>
            <w:r w:rsidRPr="002F733E">
              <w:rPr>
                <w:rFonts w:ascii="Arial Narrow" w:hAnsi="Arial Narrow"/>
                <w:sz w:val="20"/>
                <w:szCs w:val="20"/>
              </w:rPr>
              <w:t>The name of the specialist consulted must be provided at the time of application for initial supply.</w:t>
            </w:r>
          </w:p>
        </w:tc>
      </w:tr>
      <w:tr w:rsidR="00CE209C" w:rsidRPr="002F733E" w14:paraId="1BB06AB5"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4"/>
        </w:trPr>
        <w:tc>
          <w:tcPr>
            <w:tcW w:w="5000" w:type="pct"/>
            <w:tcBorders>
              <w:top w:val="single" w:sz="4" w:space="0" w:color="auto"/>
              <w:left w:val="single" w:sz="4" w:space="0" w:color="auto"/>
              <w:right w:val="single" w:sz="4" w:space="0" w:color="auto"/>
            </w:tcBorders>
            <w:vAlign w:val="center"/>
          </w:tcPr>
          <w:p w14:paraId="5EA36536" w14:textId="77777777" w:rsidR="00CE209C" w:rsidRPr="002F733E" w:rsidRDefault="00CE209C" w:rsidP="005B338D">
            <w:pPr>
              <w:contextualSpacing/>
              <w:rPr>
                <w:rFonts w:ascii="Arial Narrow" w:hAnsi="Arial Narrow"/>
                <w:b/>
                <w:bCs/>
                <w:sz w:val="20"/>
                <w:szCs w:val="20"/>
              </w:rPr>
            </w:pPr>
            <w:r w:rsidRPr="002F733E">
              <w:rPr>
                <w:rFonts w:ascii="Arial Narrow" w:hAnsi="Arial Narrow"/>
                <w:b/>
                <w:bCs/>
                <w:sz w:val="20"/>
                <w:szCs w:val="20"/>
              </w:rPr>
              <w:t>Prescribing Instructions:</w:t>
            </w:r>
          </w:p>
          <w:p w14:paraId="3D6EBE1B" w14:textId="77777777" w:rsidR="00CE209C" w:rsidRPr="002F733E" w:rsidRDefault="00CE209C" w:rsidP="005B338D">
            <w:pPr>
              <w:contextualSpacing/>
              <w:rPr>
                <w:rFonts w:ascii="Arial Narrow" w:hAnsi="Arial Narrow"/>
                <w:sz w:val="20"/>
                <w:szCs w:val="20"/>
              </w:rPr>
            </w:pPr>
            <w:r w:rsidRPr="002F733E">
              <w:rPr>
                <w:rFonts w:ascii="Arial Narrow" w:hAnsi="Arial Narrow"/>
                <w:sz w:val="20"/>
                <w:szCs w:val="20"/>
              </w:rPr>
              <w:t>If the application is submitted through HPOS form upload or mail, it must include:</w:t>
            </w:r>
          </w:p>
          <w:p w14:paraId="5C7FE474" w14:textId="77777777" w:rsidR="00CE209C" w:rsidRPr="002F733E" w:rsidRDefault="00CE209C" w:rsidP="00DC7889">
            <w:pPr>
              <w:pStyle w:val="ListParagraph"/>
              <w:numPr>
                <w:ilvl w:val="0"/>
                <w:numId w:val="20"/>
              </w:numPr>
              <w:spacing w:after="0"/>
              <w:ind w:left="268" w:hanging="268"/>
              <w:contextualSpacing/>
              <w:jc w:val="left"/>
              <w:rPr>
                <w:rFonts w:ascii="Arial Narrow" w:hAnsi="Arial Narrow"/>
                <w:sz w:val="20"/>
                <w:szCs w:val="20"/>
              </w:rPr>
            </w:pPr>
            <w:r w:rsidRPr="002F733E">
              <w:rPr>
                <w:rFonts w:ascii="Arial Narrow" w:hAnsi="Arial Narrow"/>
                <w:sz w:val="20"/>
                <w:szCs w:val="20"/>
              </w:rPr>
              <w:t>a completed authority prescription form; and</w:t>
            </w:r>
          </w:p>
          <w:p w14:paraId="316C1D65" w14:textId="77777777" w:rsidR="00CE209C" w:rsidRPr="002F733E" w:rsidRDefault="00CE209C" w:rsidP="00DC7889">
            <w:pPr>
              <w:pStyle w:val="ListParagraph"/>
              <w:numPr>
                <w:ilvl w:val="0"/>
                <w:numId w:val="20"/>
              </w:numPr>
              <w:spacing w:after="0"/>
              <w:ind w:left="268" w:hanging="268"/>
              <w:contextualSpacing/>
              <w:jc w:val="left"/>
              <w:rPr>
                <w:rFonts w:ascii="Arial Narrow" w:hAnsi="Arial Narrow"/>
                <w:i/>
                <w:iCs/>
                <w:sz w:val="20"/>
                <w:szCs w:val="20"/>
              </w:rPr>
            </w:pPr>
            <w:r w:rsidRPr="002F733E">
              <w:rPr>
                <w:rFonts w:ascii="Arial Narrow" w:hAnsi="Arial Narrow"/>
                <w:sz w:val="20"/>
                <w:szCs w:val="20"/>
              </w:rPr>
              <w:t>a completed authority application form relevant to the indication and treatment phase (the latest version is located on the website specified in the Administrative Advice)</w:t>
            </w:r>
            <w:r w:rsidRPr="002F733E">
              <w:rPr>
                <w:rFonts w:ascii="Arial Narrow" w:hAnsi="Arial Narrow"/>
                <w:i/>
                <w:iCs/>
                <w:sz w:val="20"/>
                <w:szCs w:val="20"/>
              </w:rPr>
              <w:t xml:space="preserve"> </w:t>
            </w:r>
          </w:p>
        </w:tc>
      </w:tr>
      <w:tr w:rsidR="00CE209C" w:rsidRPr="002F733E" w14:paraId="6BE52FBA"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7802B7CB" w14:textId="77777777" w:rsidR="00CE209C" w:rsidRPr="002F733E" w:rsidRDefault="00CE209C" w:rsidP="005B338D">
            <w:pPr>
              <w:rPr>
                <w:rFonts w:ascii="Arial Narrow" w:hAnsi="Arial Narrow"/>
                <w:iCs/>
                <w:sz w:val="20"/>
                <w:szCs w:val="20"/>
              </w:rPr>
            </w:pPr>
            <w:r w:rsidRPr="002F733E">
              <w:rPr>
                <w:rFonts w:ascii="Arial Narrow" w:hAnsi="Arial Narrow"/>
                <w:b/>
                <w:bCs/>
                <w:sz w:val="20"/>
                <w:szCs w:val="20"/>
              </w:rPr>
              <w:t>Prescribing Instructions:</w:t>
            </w:r>
          </w:p>
          <w:p w14:paraId="1B51EEAB"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History of systemic lupus erythematosus medication therapy should be based on documented use of treatment prescribed by a physician.</w:t>
            </w:r>
          </w:p>
          <w:p w14:paraId="2D4BA326"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Standard of care for this condition is a combination of an antimalarial medicine, a corticosteroid (at least 7.5 mg per day prednisolone or equivalent) and a systemic immunosuppressive medicine.</w:t>
            </w:r>
          </w:p>
          <w:p w14:paraId="334CE77F"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Where intolerance to standard of care of a severity necessitating permanent treatment withdrawal has occurred or is expected to occur, details of the degree of this toxicity must be provided at the time of application.</w:t>
            </w:r>
          </w:p>
          <w:p w14:paraId="18DCDBB3"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If treatment with standard of care therapy is contraindicated according to the relevant TGA approved Product Information, details of the contraindication must be provided at the time of application.</w:t>
            </w:r>
          </w:p>
        </w:tc>
      </w:tr>
      <w:tr w:rsidR="00CE209C" w:rsidRPr="002F733E" w14:paraId="7A883729"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321C1617" w14:textId="6F65155B" w:rsidR="00CE209C" w:rsidRPr="002F733E" w:rsidRDefault="00CE209C" w:rsidP="00CE209C">
            <w:pPr>
              <w:rPr>
                <w:rFonts w:ascii="Arial Narrow" w:hAnsi="Arial Narrow"/>
                <w:iCs/>
                <w:sz w:val="20"/>
                <w:szCs w:val="20"/>
              </w:rPr>
            </w:pPr>
            <w:r w:rsidRPr="002F733E">
              <w:rPr>
                <w:rFonts w:ascii="Arial Narrow" w:hAnsi="Arial Narrow"/>
                <w:b/>
                <w:bCs/>
                <w:iCs/>
                <w:sz w:val="20"/>
                <w:szCs w:val="20"/>
              </w:rPr>
              <w:t xml:space="preserve">Administrative Advice: </w:t>
            </w:r>
            <w:r w:rsidRPr="002F733E">
              <w:rPr>
                <w:rFonts w:ascii="Arial Narrow" w:hAnsi="Arial Narrow"/>
                <w:iCs/>
                <w:sz w:val="20"/>
                <w:szCs w:val="20"/>
              </w:rPr>
              <w:t>SLEDAI-2K can be accessed via Gladman 2002 J. Rheumatol. 29 (2) 288-291 or from AstraZeneca Medical Information on 1800 805 342.</w:t>
            </w:r>
          </w:p>
        </w:tc>
      </w:tr>
      <w:tr w:rsidR="00CE209C" w:rsidRPr="002F733E" w14:paraId="26BF1374"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5DE7E7EF" w14:textId="77777777" w:rsidR="00CE209C" w:rsidRPr="002F733E" w:rsidRDefault="00CE209C" w:rsidP="005B338D">
            <w:pPr>
              <w:rPr>
                <w:rFonts w:ascii="Arial Narrow" w:hAnsi="Arial Narrow"/>
                <w:iCs/>
                <w:sz w:val="20"/>
                <w:szCs w:val="20"/>
              </w:rPr>
            </w:pPr>
            <w:r w:rsidRPr="002F733E">
              <w:rPr>
                <w:rFonts w:ascii="Arial Narrow" w:hAnsi="Arial Narrow"/>
                <w:b/>
                <w:bCs/>
                <w:iCs/>
                <w:sz w:val="20"/>
                <w:szCs w:val="20"/>
              </w:rPr>
              <w:t>Administrative Advice:</w:t>
            </w:r>
          </w:p>
          <w:p w14:paraId="24B9918B"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Any queries concerning the arrangements to prescribe may be directed to the Services Australia on 1800 700 270 (hours of operation 8 a.m. to 5 p.m. Monday to Friday).</w:t>
            </w:r>
          </w:p>
          <w:p w14:paraId="79BED15C" w14:textId="2680CAFE" w:rsidR="00CE209C" w:rsidRPr="002F733E" w:rsidRDefault="00CE209C" w:rsidP="005B338D">
            <w:pPr>
              <w:rPr>
                <w:rFonts w:ascii="Arial Narrow" w:hAnsi="Arial Narrow"/>
                <w:iCs/>
                <w:sz w:val="20"/>
                <w:szCs w:val="20"/>
              </w:rPr>
            </w:pPr>
            <w:r w:rsidRPr="002F733E">
              <w:rPr>
                <w:rFonts w:ascii="Arial Narrow" w:hAnsi="Arial Narrow"/>
                <w:iCs/>
                <w:sz w:val="20"/>
                <w:szCs w:val="20"/>
              </w:rPr>
              <w:t xml:space="preserve">Prescribing information (including Authority Application forms and other relevant documentation as applicable) is available on the Services Australia website at </w:t>
            </w:r>
            <w:hyperlink r:id="rId8" w:history="1">
              <w:r w:rsidRPr="002F733E">
                <w:rPr>
                  <w:rStyle w:val="Hyperlink"/>
                  <w:rFonts w:ascii="Arial Narrow" w:hAnsi="Arial Narrow"/>
                  <w:iCs/>
                  <w:sz w:val="20"/>
                  <w:szCs w:val="20"/>
                </w:rPr>
                <w:t>servicesaustralia.gov.au</w:t>
              </w:r>
            </w:hyperlink>
          </w:p>
          <w:p w14:paraId="54C65F02" w14:textId="77777777" w:rsidR="00CE209C" w:rsidRPr="002F733E" w:rsidRDefault="00CE209C" w:rsidP="005B338D">
            <w:pPr>
              <w:textAlignment w:val="baseline"/>
              <w:rPr>
                <w:rFonts w:ascii="Arial Narrow" w:hAnsi="Arial Narrow" w:cstheme="minorHAnsi"/>
                <w:iCs/>
                <w:color w:val="333333"/>
                <w:sz w:val="20"/>
                <w:szCs w:val="20"/>
              </w:rPr>
            </w:pPr>
            <w:r w:rsidRPr="002F733E">
              <w:rPr>
                <w:rFonts w:ascii="Arial Narrow" w:hAnsi="Arial Narrow" w:cstheme="minorHAnsi"/>
                <w:iCs/>
                <w:color w:val="333333"/>
                <w:sz w:val="20"/>
                <w:szCs w:val="20"/>
              </w:rPr>
              <w:t xml:space="preserve">Applications for authorisation under this restriction should be made in real time using the Online PBS Authorities system (see </w:t>
            </w:r>
            <w:hyperlink r:id="rId9" w:history="1">
              <w:r w:rsidRPr="002F733E">
                <w:rPr>
                  <w:rStyle w:val="Hyperlink"/>
                  <w:rFonts w:ascii="Arial Narrow" w:hAnsi="Arial Narrow" w:cstheme="minorHAnsi"/>
                  <w:iCs/>
                  <w:sz w:val="20"/>
                  <w:szCs w:val="20"/>
                </w:rPr>
                <w:t>www.servicesaustralia.gov.au</w:t>
              </w:r>
            </w:hyperlink>
            <w:r w:rsidRPr="002F733E">
              <w:rPr>
                <w:rFonts w:ascii="Arial Narrow" w:hAnsi="Arial Narrow" w:cstheme="minorHAnsi"/>
                <w:iCs/>
                <w:color w:val="333333"/>
                <w:sz w:val="20"/>
                <w:szCs w:val="20"/>
              </w:rPr>
              <w:t>/hpos)</w:t>
            </w:r>
          </w:p>
          <w:p w14:paraId="484887A6"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Alternatively, applications for authority to prescribe can be submitted online using the form upload facility in Health Professional Online Services (HPOS)</w:t>
            </w:r>
            <w:r w:rsidRPr="002F733E">
              <w:rPr>
                <w:rFonts w:ascii="Arial Narrow" w:hAnsi="Arial Narrow"/>
                <w:bCs/>
                <w:iCs/>
                <w:sz w:val="20"/>
                <w:szCs w:val="20"/>
              </w:rPr>
              <w:t xml:space="preserve"> at www.servicesaustralia.gov.au/hpos </w:t>
            </w:r>
          </w:p>
          <w:p w14:paraId="169B52A4"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Or mailed to:</w:t>
            </w:r>
          </w:p>
          <w:p w14:paraId="5FBE2DC0"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Services Australia</w:t>
            </w:r>
          </w:p>
          <w:p w14:paraId="1DEE063A"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 xml:space="preserve">Complex Drugs </w:t>
            </w:r>
          </w:p>
          <w:p w14:paraId="4F71B2FD"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 xml:space="preserve">Reply Paid 9826 </w:t>
            </w:r>
          </w:p>
          <w:p w14:paraId="57EC7E88" w14:textId="77777777" w:rsidR="00CE209C" w:rsidRPr="002F733E" w:rsidRDefault="00CE209C" w:rsidP="005B338D">
            <w:pPr>
              <w:rPr>
                <w:rFonts w:ascii="Arial Narrow" w:hAnsi="Arial Narrow"/>
                <w:i/>
                <w:sz w:val="20"/>
                <w:szCs w:val="20"/>
              </w:rPr>
            </w:pPr>
            <w:r w:rsidRPr="002F733E">
              <w:rPr>
                <w:rFonts w:ascii="Arial Narrow" w:hAnsi="Arial Narrow"/>
                <w:iCs/>
                <w:sz w:val="20"/>
                <w:szCs w:val="20"/>
              </w:rPr>
              <w:t>HOBART TAS 7001</w:t>
            </w:r>
          </w:p>
        </w:tc>
      </w:tr>
      <w:tr w:rsidR="00CE209C" w:rsidRPr="002F733E" w14:paraId="15D11ACD"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6D3E9B1A" w14:textId="0EB2A70F" w:rsidR="00CE209C" w:rsidRPr="002F733E" w:rsidRDefault="00CE209C" w:rsidP="00CE209C">
            <w:pPr>
              <w:rPr>
                <w:rFonts w:ascii="Arial Narrow" w:hAnsi="Arial Narrow"/>
                <w:bCs/>
                <w:sz w:val="20"/>
                <w:szCs w:val="20"/>
              </w:rPr>
            </w:pPr>
            <w:r w:rsidRPr="002F733E">
              <w:rPr>
                <w:rFonts w:ascii="Arial Narrow" w:hAnsi="Arial Narrow"/>
                <w:b/>
                <w:bCs/>
                <w:sz w:val="20"/>
                <w:szCs w:val="20"/>
              </w:rPr>
              <w:t xml:space="preserve">Administrative Advice: </w:t>
            </w:r>
            <w:r w:rsidRPr="002F733E">
              <w:rPr>
                <w:rFonts w:ascii="Arial Narrow" w:hAnsi="Arial Narrow"/>
                <w:bCs/>
                <w:sz w:val="20"/>
                <w:szCs w:val="20"/>
              </w:rPr>
              <w:t>No increase in the maximum number of repeats may be authorised.</w:t>
            </w:r>
          </w:p>
        </w:tc>
      </w:tr>
      <w:tr w:rsidR="00CE209C" w:rsidRPr="002F733E" w14:paraId="2BE57653"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BEBB0AB" w14:textId="31ACCCAA" w:rsidR="00CE209C" w:rsidRPr="002F733E" w:rsidRDefault="00CE209C" w:rsidP="00CE209C">
            <w:pPr>
              <w:rPr>
                <w:rFonts w:ascii="Arial Narrow" w:hAnsi="Arial Narrow"/>
                <w:bCs/>
                <w:sz w:val="20"/>
                <w:szCs w:val="20"/>
              </w:rPr>
            </w:pPr>
            <w:r w:rsidRPr="002F733E">
              <w:rPr>
                <w:rFonts w:ascii="Arial Narrow" w:hAnsi="Arial Narrow"/>
                <w:b/>
                <w:bCs/>
                <w:sz w:val="20"/>
                <w:szCs w:val="20"/>
              </w:rPr>
              <w:t xml:space="preserve">Administrative Advice: </w:t>
            </w:r>
            <w:r w:rsidRPr="002F733E">
              <w:rPr>
                <w:rFonts w:ascii="Arial Narrow" w:hAnsi="Arial Narrow"/>
                <w:bCs/>
                <w:sz w:val="20"/>
                <w:szCs w:val="20"/>
              </w:rPr>
              <w:t>No increase in the maximum quantity or number of units may be authorised.</w:t>
            </w:r>
          </w:p>
        </w:tc>
      </w:tr>
    </w:tbl>
    <w:p w14:paraId="1CF91EB4" w14:textId="77777777" w:rsidR="00CE209C" w:rsidRPr="002F733E" w:rsidRDefault="00CE209C" w:rsidP="001E3906"/>
    <w:p w14:paraId="1C1B9CFC" w14:textId="7F9BC556" w:rsidR="00CE209C" w:rsidRPr="002F733E" w:rsidRDefault="00CE209C" w:rsidP="001E3906">
      <w:pPr>
        <w:keepNext/>
        <w:keepLines/>
        <w:rPr>
          <w:b/>
          <w:bCs/>
        </w:rPr>
      </w:pPr>
      <w:r w:rsidRPr="002F733E">
        <w:rPr>
          <w:b/>
          <w:bCs/>
        </w:rPr>
        <w:t xml:space="preserve">Continuing treatment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CE209C" w:rsidRPr="002F733E" w14:paraId="120DB019" w14:textId="77777777" w:rsidTr="00CE209C">
        <w:tc>
          <w:tcPr>
            <w:tcW w:w="5000" w:type="pct"/>
            <w:tcBorders>
              <w:top w:val="single" w:sz="4" w:space="0" w:color="auto"/>
              <w:left w:val="single" w:sz="4" w:space="0" w:color="auto"/>
              <w:bottom w:val="single" w:sz="4" w:space="0" w:color="auto"/>
              <w:right w:val="single" w:sz="4" w:space="0" w:color="auto"/>
            </w:tcBorders>
          </w:tcPr>
          <w:p w14:paraId="1508EA35" w14:textId="77777777" w:rsidR="00CE209C" w:rsidRPr="002F733E" w:rsidRDefault="00CE209C" w:rsidP="005B338D">
            <w:pPr>
              <w:rPr>
                <w:rFonts w:ascii="Arial Narrow" w:hAnsi="Arial Narrow"/>
                <w:sz w:val="20"/>
              </w:rPr>
            </w:pPr>
            <w:r w:rsidRPr="002F733E">
              <w:rPr>
                <w:rFonts w:ascii="Arial Narrow" w:hAnsi="Arial Narrow"/>
                <w:b/>
                <w:sz w:val="20"/>
              </w:rPr>
              <w:t xml:space="preserve">Category / Program:  </w:t>
            </w:r>
            <w:r w:rsidRPr="002F733E">
              <w:rPr>
                <w:rFonts w:ascii="Arial Narrow" w:hAnsi="Arial Narrow"/>
                <w:sz w:val="20"/>
              </w:rPr>
              <w:t>Section 100 – Highly Specialised Drugs Program</w:t>
            </w:r>
          </w:p>
        </w:tc>
      </w:tr>
      <w:tr w:rsidR="00CE209C" w:rsidRPr="002F733E" w14:paraId="2717BE9A" w14:textId="77777777" w:rsidTr="00CE209C">
        <w:trPr>
          <w:trHeight w:val="240"/>
        </w:trPr>
        <w:tc>
          <w:tcPr>
            <w:tcW w:w="5000" w:type="pct"/>
            <w:tcBorders>
              <w:top w:val="single" w:sz="4" w:space="0" w:color="auto"/>
              <w:left w:val="single" w:sz="4" w:space="0" w:color="auto"/>
              <w:bottom w:val="single" w:sz="4" w:space="0" w:color="auto"/>
              <w:right w:val="single" w:sz="4" w:space="0" w:color="auto"/>
            </w:tcBorders>
          </w:tcPr>
          <w:p w14:paraId="7B8B3907" w14:textId="77777777" w:rsidR="00CE209C" w:rsidRPr="002F733E" w:rsidRDefault="00CE209C" w:rsidP="005B338D">
            <w:pPr>
              <w:rPr>
                <w:rFonts w:ascii="Arial Narrow" w:hAnsi="Arial Narrow"/>
                <w:b/>
                <w:sz w:val="20"/>
              </w:rPr>
            </w:pPr>
            <w:r w:rsidRPr="002F733E">
              <w:rPr>
                <w:rFonts w:ascii="Arial Narrow" w:hAnsi="Arial Narrow"/>
                <w:b/>
                <w:sz w:val="20"/>
              </w:rPr>
              <w:t xml:space="preserve">Prescriber type:  </w:t>
            </w:r>
            <w:r w:rsidRPr="002F733E">
              <w:rPr>
                <w:rFonts w:ascii="Arial Narrow" w:hAnsi="Arial Narrow"/>
                <w:sz w:val="20"/>
              </w:rPr>
              <w:fldChar w:fldCharType="begin" w:fldLock="1">
                <w:ffData>
                  <w:name w:val=""/>
                  <w:enabled/>
                  <w:calcOnExit w:val="0"/>
                  <w:checkBox>
                    <w:sizeAuto/>
                    <w:default w:val="1"/>
                  </w:checkBox>
                </w:ffData>
              </w:fldChar>
            </w:r>
            <w:r w:rsidRPr="002F733E">
              <w:rPr>
                <w:rFonts w:ascii="Arial Narrow" w:hAnsi="Arial Narrow"/>
                <w:sz w:val="20"/>
              </w:rPr>
              <w:instrText xml:space="preserve"> FORMCHECKBOX </w:instrText>
            </w:r>
            <w:r w:rsidR="0090762C">
              <w:rPr>
                <w:rFonts w:ascii="Arial Narrow" w:hAnsi="Arial Narrow"/>
                <w:sz w:val="20"/>
              </w:rPr>
            </w:r>
            <w:r w:rsidR="0090762C">
              <w:rPr>
                <w:rFonts w:ascii="Arial Narrow" w:hAnsi="Arial Narrow"/>
                <w:sz w:val="20"/>
              </w:rPr>
              <w:fldChar w:fldCharType="separate"/>
            </w:r>
            <w:r w:rsidRPr="002F733E">
              <w:rPr>
                <w:rFonts w:ascii="Arial Narrow" w:hAnsi="Arial Narrow"/>
                <w:sz w:val="20"/>
              </w:rPr>
              <w:fldChar w:fldCharType="end"/>
            </w:r>
            <w:r w:rsidRPr="002F733E">
              <w:rPr>
                <w:rFonts w:ascii="Arial Narrow" w:hAnsi="Arial Narrow"/>
                <w:sz w:val="20"/>
              </w:rPr>
              <w:t>Medical Practitioners</w:t>
            </w:r>
          </w:p>
        </w:tc>
      </w:tr>
      <w:tr w:rsidR="00CE209C" w:rsidRPr="002F733E" w14:paraId="554E7420" w14:textId="77777777" w:rsidTr="00CE209C">
        <w:trPr>
          <w:trHeight w:val="446"/>
        </w:trPr>
        <w:tc>
          <w:tcPr>
            <w:tcW w:w="5000" w:type="pct"/>
            <w:tcBorders>
              <w:top w:val="single" w:sz="4" w:space="0" w:color="auto"/>
              <w:left w:val="single" w:sz="4" w:space="0" w:color="auto"/>
              <w:bottom w:val="single" w:sz="4" w:space="0" w:color="auto"/>
              <w:right w:val="single" w:sz="4" w:space="0" w:color="auto"/>
            </w:tcBorders>
          </w:tcPr>
          <w:p w14:paraId="312F7DB5" w14:textId="77777777" w:rsidR="00CE209C" w:rsidRPr="002F733E" w:rsidRDefault="00CE209C" w:rsidP="005B338D">
            <w:pPr>
              <w:rPr>
                <w:rFonts w:ascii="Arial Narrow" w:hAnsi="Arial Narrow"/>
                <w:b/>
                <w:sz w:val="20"/>
              </w:rPr>
            </w:pPr>
            <w:r w:rsidRPr="002F733E">
              <w:rPr>
                <w:rFonts w:ascii="Arial Narrow" w:hAnsi="Arial Narrow"/>
                <w:b/>
                <w:sz w:val="20"/>
              </w:rPr>
              <w:t>Restriction Level / Method:</w:t>
            </w:r>
          </w:p>
          <w:p w14:paraId="05F64F57" w14:textId="77777777" w:rsidR="00CE209C" w:rsidRPr="002F733E" w:rsidRDefault="00CE209C" w:rsidP="005B338D">
            <w:pPr>
              <w:rPr>
                <w:rFonts w:ascii="Arial Narrow" w:hAnsi="Arial Narrow"/>
                <w:i/>
                <w:iCs/>
                <w:sz w:val="20"/>
              </w:rPr>
            </w:pPr>
            <w:r w:rsidRPr="002F733E">
              <w:rPr>
                <w:rFonts w:ascii="Arial Narrow" w:hAnsi="Arial Narrow"/>
                <w:sz w:val="20"/>
              </w:rPr>
              <w:fldChar w:fldCharType="begin" w:fldLock="1">
                <w:ffData>
                  <w:name w:val="Check3"/>
                  <w:enabled/>
                  <w:calcOnExit w:val="0"/>
                  <w:checkBox>
                    <w:sizeAuto/>
                    <w:default w:val="1"/>
                  </w:checkBox>
                </w:ffData>
              </w:fldChar>
            </w:r>
            <w:r w:rsidRPr="002F733E">
              <w:rPr>
                <w:rFonts w:ascii="Arial Narrow" w:hAnsi="Arial Narrow"/>
                <w:sz w:val="20"/>
              </w:rPr>
              <w:instrText xml:space="preserve"> FORMCHECKBOX </w:instrText>
            </w:r>
            <w:r w:rsidR="0090762C">
              <w:rPr>
                <w:rFonts w:ascii="Arial Narrow" w:hAnsi="Arial Narrow"/>
                <w:sz w:val="20"/>
              </w:rPr>
            </w:r>
            <w:r w:rsidR="0090762C">
              <w:rPr>
                <w:rFonts w:ascii="Arial Narrow" w:hAnsi="Arial Narrow"/>
                <w:sz w:val="20"/>
              </w:rPr>
              <w:fldChar w:fldCharType="separate"/>
            </w:r>
            <w:r w:rsidRPr="002F733E">
              <w:rPr>
                <w:rFonts w:ascii="Arial Narrow" w:hAnsi="Arial Narrow"/>
                <w:sz w:val="20"/>
              </w:rPr>
              <w:fldChar w:fldCharType="end"/>
            </w:r>
            <w:r w:rsidRPr="002F733E">
              <w:rPr>
                <w:rFonts w:ascii="Arial Narrow" w:hAnsi="Arial Narrow"/>
                <w:sz w:val="20"/>
              </w:rPr>
              <w:t>Authority Required – Telephone/Online PBS Authorities immediate assessment</w:t>
            </w:r>
          </w:p>
        </w:tc>
      </w:tr>
      <w:tr w:rsidR="00CE209C" w:rsidRPr="002F733E" w14:paraId="57ADBEF5"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4AF6476" w14:textId="77777777" w:rsidR="00CE209C" w:rsidRPr="002F733E" w:rsidRDefault="00CE209C" w:rsidP="005B338D">
            <w:pPr>
              <w:rPr>
                <w:rFonts w:ascii="Arial Narrow" w:hAnsi="Arial Narrow"/>
                <w:iCs/>
                <w:sz w:val="20"/>
              </w:rPr>
            </w:pPr>
            <w:r w:rsidRPr="002F733E">
              <w:rPr>
                <w:rFonts w:ascii="Arial Narrow" w:hAnsi="Arial Narrow"/>
                <w:b/>
                <w:bCs/>
                <w:iCs/>
                <w:sz w:val="20"/>
              </w:rPr>
              <w:t xml:space="preserve">Episodicity: </w:t>
            </w:r>
            <w:r w:rsidRPr="002F733E">
              <w:rPr>
                <w:rFonts w:ascii="Arial Narrow" w:hAnsi="Arial Narrow"/>
                <w:iCs/>
                <w:sz w:val="20"/>
              </w:rPr>
              <w:t>Active</w:t>
            </w:r>
          </w:p>
        </w:tc>
      </w:tr>
      <w:tr w:rsidR="00CE209C" w:rsidRPr="002F733E" w14:paraId="28D692A4"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3A214165" w14:textId="77777777" w:rsidR="00CE209C" w:rsidRPr="002F733E" w:rsidRDefault="00CE209C" w:rsidP="005B338D">
            <w:pPr>
              <w:rPr>
                <w:rFonts w:ascii="Arial Narrow" w:hAnsi="Arial Narrow"/>
                <w:b/>
                <w:bCs/>
                <w:iCs/>
                <w:sz w:val="20"/>
              </w:rPr>
            </w:pPr>
            <w:r w:rsidRPr="002F733E">
              <w:rPr>
                <w:rFonts w:ascii="Arial Narrow" w:hAnsi="Arial Narrow"/>
                <w:b/>
                <w:bCs/>
                <w:iCs/>
                <w:sz w:val="20"/>
              </w:rPr>
              <w:t xml:space="preserve">Condition: </w:t>
            </w:r>
            <w:r w:rsidRPr="002F733E">
              <w:rPr>
                <w:rFonts w:ascii="Arial Narrow" w:hAnsi="Arial Narrow"/>
                <w:sz w:val="20"/>
              </w:rPr>
              <w:t>Systemic lupus erythematosus</w:t>
            </w:r>
          </w:p>
        </w:tc>
      </w:tr>
      <w:tr w:rsidR="00CE209C" w:rsidRPr="002F733E" w14:paraId="05FBA89B"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68D672B6" w14:textId="77777777" w:rsidR="00CE209C" w:rsidRPr="002F733E" w:rsidRDefault="00CE209C" w:rsidP="005B338D">
            <w:pPr>
              <w:rPr>
                <w:rFonts w:ascii="Arial Narrow" w:hAnsi="Arial Narrow"/>
                <w:i/>
                <w:sz w:val="20"/>
              </w:rPr>
            </w:pPr>
            <w:r w:rsidRPr="002F733E">
              <w:rPr>
                <w:rFonts w:ascii="Arial Narrow" w:hAnsi="Arial Narrow"/>
                <w:b/>
                <w:bCs/>
                <w:iCs/>
                <w:strike/>
                <w:sz w:val="20"/>
              </w:rPr>
              <w:t>PBS</w:t>
            </w:r>
            <w:r w:rsidRPr="002F733E">
              <w:rPr>
                <w:rFonts w:ascii="Arial Narrow" w:hAnsi="Arial Narrow"/>
                <w:b/>
                <w:bCs/>
                <w:i/>
                <w:sz w:val="20"/>
              </w:rPr>
              <w:t xml:space="preserve"> </w:t>
            </w:r>
            <w:r w:rsidRPr="002F733E">
              <w:rPr>
                <w:rFonts w:ascii="Arial Narrow" w:hAnsi="Arial Narrow"/>
                <w:b/>
                <w:bCs/>
                <w:iCs/>
                <w:sz w:val="20"/>
              </w:rPr>
              <w:t>Indication</w:t>
            </w:r>
            <w:r w:rsidRPr="002F733E">
              <w:rPr>
                <w:rFonts w:ascii="Arial Narrow" w:hAnsi="Arial Narrow"/>
                <w:b/>
                <w:bCs/>
                <w:i/>
                <w:sz w:val="20"/>
              </w:rPr>
              <w:t>:</w:t>
            </w:r>
            <w:r w:rsidRPr="002F733E">
              <w:rPr>
                <w:rFonts w:ascii="Arial Narrow" w:hAnsi="Arial Narrow"/>
                <w:i/>
                <w:sz w:val="20"/>
              </w:rPr>
              <w:t xml:space="preserve"> </w:t>
            </w:r>
            <w:r w:rsidRPr="002F733E">
              <w:rPr>
                <w:rFonts w:ascii="Arial Narrow" w:hAnsi="Arial Narrow"/>
                <w:iCs/>
                <w:sz w:val="20"/>
              </w:rPr>
              <w:t>Active</w:t>
            </w:r>
            <w:r w:rsidRPr="002F733E">
              <w:rPr>
                <w:rFonts w:ascii="Arial Narrow" w:hAnsi="Arial Narrow"/>
                <w:i/>
                <w:sz w:val="20"/>
              </w:rPr>
              <w:t xml:space="preserve"> s</w:t>
            </w:r>
            <w:r w:rsidRPr="002F733E">
              <w:rPr>
                <w:rFonts w:ascii="Arial Narrow" w:hAnsi="Arial Narrow"/>
                <w:sz w:val="20"/>
              </w:rPr>
              <w:t>ystemic lupus erythematosus</w:t>
            </w:r>
          </w:p>
        </w:tc>
      </w:tr>
      <w:tr w:rsidR="00CE209C" w:rsidRPr="002F733E" w14:paraId="6DB97850"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2277EC85" w14:textId="77777777" w:rsidR="00CE209C" w:rsidRPr="002F733E" w:rsidRDefault="00CE209C" w:rsidP="005B338D">
            <w:pPr>
              <w:rPr>
                <w:rFonts w:ascii="Arial Narrow" w:hAnsi="Arial Narrow"/>
                <w:sz w:val="20"/>
              </w:rPr>
            </w:pPr>
            <w:r w:rsidRPr="002F733E">
              <w:rPr>
                <w:rFonts w:ascii="Arial Narrow" w:hAnsi="Arial Narrow"/>
                <w:b/>
                <w:bCs/>
                <w:sz w:val="20"/>
              </w:rPr>
              <w:t>Treatment Phase:</w:t>
            </w:r>
            <w:r w:rsidRPr="002F733E">
              <w:rPr>
                <w:rFonts w:ascii="Arial Narrow" w:hAnsi="Arial Narrow"/>
                <w:sz w:val="20"/>
              </w:rPr>
              <w:t xml:space="preserve"> Continuing or</w:t>
            </w:r>
            <w:r w:rsidRPr="002F733E">
              <w:rPr>
                <w:rFonts w:ascii="Arial Narrow" w:hAnsi="Arial Narrow"/>
                <w:i/>
                <w:iCs/>
                <w:sz w:val="20"/>
              </w:rPr>
              <w:t xml:space="preserve"> </w:t>
            </w:r>
            <w:r w:rsidRPr="002F733E">
              <w:rPr>
                <w:rFonts w:ascii="Arial Narrow" w:hAnsi="Arial Narrow"/>
                <w:sz w:val="20"/>
              </w:rPr>
              <w:t>recommencement of treatment after a break</w:t>
            </w:r>
          </w:p>
        </w:tc>
      </w:tr>
      <w:tr w:rsidR="00CE209C" w:rsidRPr="002F733E" w14:paraId="2DEA906C"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45717D8E" w14:textId="77777777" w:rsidR="00CE209C" w:rsidRPr="002F733E" w:rsidRDefault="00CE209C" w:rsidP="005B338D">
            <w:pPr>
              <w:rPr>
                <w:rFonts w:ascii="Arial Narrow" w:hAnsi="Arial Narrow"/>
                <w:b/>
                <w:bCs/>
                <w:sz w:val="20"/>
              </w:rPr>
            </w:pPr>
            <w:r w:rsidRPr="002F733E">
              <w:rPr>
                <w:rFonts w:ascii="Arial Narrow" w:hAnsi="Arial Narrow"/>
                <w:b/>
                <w:bCs/>
                <w:sz w:val="20"/>
              </w:rPr>
              <w:t>Treatment criteria:</w:t>
            </w:r>
          </w:p>
        </w:tc>
      </w:tr>
      <w:tr w:rsidR="00CE209C" w:rsidRPr="002F733E" w14:paraId="1C1B711A"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031106F" w14:textId="77777777" w:rsidR="00CE209C" w:rsidRPr="002F733E" w:rsidRDefault="00CE209C" w:rsidP="005B338D">
            <w:pPr>
              <w:rPr>
                <w:rFonts w:ascii="Arial Narrow" w:eastAsiaTheme="majorEastAsia" w:hAnsi="Arial Narrow"/>
                <w:sz w:val="20"/>
                <w:szCs w:val="20"/>
                <w:lang w:bidi="en-US"/>
              </w:rPr>
            </w:pPr>
            <w:r w:rsidRPr="002F733E">
              <w:rPr>
                <w:rFonts w:ascii="Arial Narrow" w:eastAsiaTheme="majorEastAsia" w:hAnsi="Arial Narrow"/>
                <w:sz w:val="20"/>
                <w:szCs w:val="20"/>
                <w:lang w:bidi="en-US"/>
              </w:rPr>
              <w:t>Must be treated by a rheumatologist; or</w:t>
            </w:r>
          </w:p>
          <w:p w14:paraId="7550293E" w14:textId="77777777" w:rsidR="00CE209C" w:rsidRPr="002F733E" w:rsidRDefault="00CE209C" w:rsidP="005B338D">
            <w:pPr>
              <w:rPr>
                <w:rFonts w:ascii="Arial Narrow" w:eastAsiaTheme="majorEastAsia" w:hAnsi="Arial Narrow"/>
                <w:strike/>
                <w:sz w:val="20"/>
                <w:szCs w:val="20"/>
                <w:lang w:bidi="en-US"/>
              </w:rPr>
            </w:pPr>
            <w:r w:rsidRPr="002F733E">
              <w:rPr>
                <w:rFonts w:ascii="Arial Narrow" w:eastAsiaTheme="majorEastAsia" w:hAnsi="Arial Narrow"/>
                <w:sz w:val="20"/>
                <w:szCs w:val="20"/>
                <w:lang w:bidi="en-US"/>
              </w:rPr>
              <w:t xml:space="preserve">Must be treated by a clinical immunologist; </w:t>
            </w:r>
            <w:r w:rsidRPr="002F733E">
              <w:rPr>
                <w:rFonts w:ascii="Arial Narrow" w:eastAsiaTheme="majorEastAsia" w:hAnsi="Arial Narrow"/>
                <w:strike/>
                <w:sz w:val="20"/>
                <w:szCs w:val="20"/>
                <w:lang w:bidi="en-US"/>
              </w:rPr>
              <w:t xml:space="preserve">or </w:t>
            </w:r>
          </w:p>
          <w:p w14:paraId="1F4B3533" w14:textId="77777777" w:rsidR="00CE209C" w:rsidRPr="002F733E" w:rsidRDefault="00CE209C" w:rsidP="005B338D">
            <w:pPr>
              <w:rPr>
                <w:rFonts w:ascii="Arial Narrow" w:eastAsiaTheme="majorEastAsia" w:hAnsi="Arial Narrow"/>
                <w:i/>
                <w:iCs/>
                <w:sz w:val="20"/>
                <w:szCs w:val="20"/>
                <w:lang w:bidi="en-US"/>
              </w:rPr>
            </w:pPr>
            <w:r w:rsidRPr="002F733E">
              <w:rPr>
                <w:rFonts w:ascii="Arial Narrow" w:eastAsiaTheme="majorEastAsia" w:hAnsi="Arial Narrow"/>
                <w:i/>
                <w:iCs/>
                <w:sz w:val="20"/>
                <w:szCs w:val="20"/>
                <w:lang w:bidi="en-US"/>
              </w:rPr>
              <w:t>Alternatively</w:t>
            </w:r>
          </w:p>
          <w:p w14:paraId="2344A931" w14:textId="77777777" w:rsidR="00CE209C" w:rsidRPr="002F733E" w:rsidRDefault="00CE209C" w:rsidP="005B338D">
            <w:pPr>
              <w:rPr>
                <w:rFonts w:ascii="Arial Narrow" w:hAnsi="Arial Narrow"/>
                <w:b/>
                <w:bCs/>
                <w:sz w:val="20"/>
              </w:rPr>
            </w:pPr>
            <w:r w:rsidRPr="002F733E">
              <w:rPr>
                <w:rFonts w:ascii="Arial Narrow" w:hAnsi="Arial Narrow"/>
                <w:sz w:val="20"/>
              </w:rPr>
              <w:t>Must be treated by a specialist physician experienced in the management of this condition</w:t>
            </w:r>
          </w:p>
        </w:tc>
      </w:tr>
      <w:tr w:rsidR="00CE209C" w:rsidRPr="002F733E" w14:paraId="553A5737"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E43AC6C" w14:textId="77777777" w:rsidR="00CE209C" w:rsidRPr="002F733E" w:rsidRDefault="00CE209C" w:rsidP="005B338D">
            <w:pPr>
              <w:rPr>
                <w:rFonts w:ascii="Arial Narrow" w:hAnsi="Arial Narrow"/>
                <w:b/>
                <w:bCs/>
                <w:sz w:val="20"/>
              </w:rPr>
            </w:pPr>
            <w:r w:rsidRPr="002F733E">
              <w:rPr>
                <w:rFonts w:ascii="Arial Narrow" w:hAnsi="Arial Narrow"/>
                <w:b/>
                <w:bCs/>
                <w:sz w:val="20"/>
              </w:rPr>
              <w:t>Clinical criteria:</w:t>
            </w:r>
          </w:p>
        </w:tc>
      </w:tr>
      <w:tr w:rsidR="00CE209C" w:rsidRPr="002F733E" w14:paraId="6881F0E0"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7CDDEAB4" w14:textId="77777777" w:rsidR="00CE209C" w:rsidRPr="002F733E" w:rsidRDefault="00CE209C" w:rsidP="005B338D">
            <w:pPr>
              <w:rPr>
                <w:rFonts w:ascii="Arial Narrow" w:hAnsi="Arial Narrow"/>
                <w:sz w:val="20"/>
              </w:rPr>
            </w:pPr>
            <w:r w:rsidRPr="002F733E">
              <w:rPr>
                <w:rFonts w:ascii="Arial Narrow" w:hAnsi="Arial Narrow"/>
                <w:sz w:val="20"/>
              </w:rPr>
              <w:t>Patient must have previously been issued with an authority prescription for this drug for this condition. [phase out 18091, 19469, 23815 draft]</w:t>
            </w:r>
          </w:p>
        </w:tc>
      </w:tr>
      <w:tr w:rsidR="00CE209C" w:rsidRPr="002F733E" w14:paraId="13ED1894"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6FB528DA" w14:textId="77777777" w:rsidR="00CE209C" w:rsidRPr="002F733E" w:rsidRDefault="00CE209C" w:rsidP="005B338D">
            <w:pPr>
              <w:rPr>
                <w:rFonts w:ascii="Arial Narrow" w:hAnsi="Arial Narrow"/>
                <w:b/>
                <w:bCs/>
                <w:sz w:val="20"/>
              </w:rPr>
            </w:pPr>
            <w:r w:rsidRPr="002F733E">
              <w:rPr>
                <w:rFonts w:ascii="Arial Narrow" w:hAnsi="Arial Narrow"/>
                <w:b/>
                <w:bCs/>
                <w:sz w:val="20"/>
              </w:rPr>
              <w:t>AND</w:t>
            </w:r>
          </w:p>
        </w:tc>
      </w:tr>
      <w:tr w:rsidR="00CE209C" w:rsidRPr="002F733E" w14:paraId="00972DE6"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3AA900F9" w14:textId="77777777" w:rsidR="00CE209C" w:rsidRPr="002F733E" w:rsidRDefault="00CE209C" w:rsidP="005B338D">
            <w:pPr>
              <w:rPr>
                <w:rFonts w:ascii="Arial Narrow" w:hAnsi="Arial Narrow"/>
                <w:b/>
                <w:bCs/>
                <w:sz w:val="20"/>
              </w:rPr>
            </w:pPr>
            <w:r w:rsidRPr="002F733E">
              <w:rPr>
                <w:rFonts w:ascii="Arial Narrow" w:hAnsi="Arial Narrow"/>
                <w:b/>
                <w:bCs/>
                <w:sz w:val="20"/>
              </w:rPr>
              <w:t>Clinical criteria:</w:t>
            </w:r>
          </w:p>
        </w:tc>
      </w:tr>
      <w:tr w:rsidR="00CE209C" w:rsidRPr="002F733E" w14:paraId="17C750F2"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22EFE01B" w14:textId="77777777" w:rsidR="00CE209C" w:rsidRPr="002F733E" w:rsidRDefault="00CE209C" w:rsidP="005B338D">
            <w:pPr>
              <w:spacing w:after="120"/>
              <w:rPr>
                <w:rFonts w:ascii="Arial Narrow" w:eastAsiaTheme="majorEastAsia" w:hAnsi="Arial Narrow"/>
                <w:sz w:val="20"/>
                <w:szCs w:val="20"/>
                <w:lang w:bidi="en-US"/>
              </w:rPr>
            </w:pPr>
            <w:r w:rsidRPr="002F733E">
              <w:rPr>
                <w:rFonts w:ascii="Arial Narrow" w:eastAsiaTheme="majorEastAsia" w:hAnsi="Arial Narrow"/>
                <w:sz w:val="20"/>
                <w:szCs w:val="20"/>
                <w:lang w:bidi="en-US"/>
              </w:rPr>
              <w:t>Patient must have demonstrated or maintained at least a 4-point reduction in Systemic Lupus Erythematosus Disease Activity Index 2000 (SLEDAI-2K) score, compared to the baseline assessment, or</w:t>
            </w:r>
          </w:p>
          <w:p w14:paraId="67753D8E" w14:textId="77777777" w:rsidR="00CE209C" w:rsidRPr="002F733E" w:rsidRDefault="00CE209C" w:rsidP="005B338D">
            <w:pPr>
              <w:rPr>
                <w:rFonts w:ascii="Arial Narrow" w:eastAsiaTheme="majorEastAsia" w:hAnsi="Arial Narrow"/>
                <w:sz w:val="20"/>
                <w:szCs w:val="20"/>
                <w:lang w:bidi="en-US"/>
              </w:rPr>
            </w:pPr>
            <w:r w:rsidRPr="002F733E">
              <w:rPr>
                <w:rFonts w:ascii="Arial Narrow" w:eastAsiaTheme="majorEastAsia" w:hAnsi="Arial Narrow"/>
                <w:sz w:val="20"/>
                <w:szCs w:val="20"/>
                <w:lang w:bidi="en-US"/>
              </w:rPr>
              <w:t>Patient must have demonstrated or maintained at least a 4-point reduction in Systemic Lupus Erythematosus Disease Activity Index 2000 (SLEDAI-2K) score, compared to the baseline assessment prior to having a treatment break for clinical reasons.</w:t>
            </w:r>
          </w:p>
        </w:tc>
      </w:tr>
      <w:tr w:rsidR="00CE209C" w:rsidRPr="002F733E" w14:paraId="35C31DCA"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458171F2" w14:textId="77777777" w:rsidR="00CE209C" w:rsidRPr="002F733E" w:rsidRDefault="00CE209C" w:rsidP="005B338D">
            <w:pPr>
              <w:rPr>
                <w:rFonts w:ascii="Arial Narrow" w:hAnsi="Arial Narrow"/>
                <w:iCs/>
                <w:sz w:val="20"/>
              </w:rPr>
            </w:pPr>
            <w:r w:rsidRPr="002F733E">
              <w:rPr>
                <w:rFonts w:ascii="Arial Narrow" w:hAnsi="Arial Narrow"/>
                <w:b/>
                <w:bCs/>
                <w:iCs/>
                <w:sz w:val="20"/>
              </w:rPr>
              <w:t>Administrative Advice:</w:t>
            </w:r>
          </w:p>
          <w:p w14:paraId="11FD195F" w14:textId="77777777" w:rsidR="00CE209C" w:rsidRPr="002F733E" w:rsidRDefault="00CE209C" w:rsidP="005B338D">
            <w:pPr>
              <w:rPr>
                <w:rFonts w:ascii="Arial Narrow" w:hAnsi="Arial Narrow"/>
                <w:iCs/>
                <w:sz w:val="20"/>
              </w:rPr>
            </w:pPr>
            <w:r w:rsidRPr="002F733E">
              <w:rPr>
                <w:rFonts w:ascii="Arial Narrow" w:hAnsi="Arial Narrow"/>
                <w:iCs/>
                <w:sz w:val="20"/>
              </w:rPr>
              <w:t>SLEDAI-2K can be accessed via Gladman 2002 J. Rheumatol. 29 (2) 288-291 or from AstraZeneca Medical Information on 1800 805 342.</w:t>
            </w:r>
          </w:p>
        </w:tc>
      </w:tr>
      <w:tr w:rsidR="00CE209C" w:rsidRPr="002F733E" w14:paraId="63A3A362"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45702A54" w14:textId="77777777" w:rsidR="00CE209C" w:rsidRPr="002F733E" w:rsidRDefault="00CE209C" w:rsidP="005B338D">
            <w:pPr>
              <w:rPr>
                <w:rFonts w:ascii="Arial Narrow" w:hAnsi="Arial Narrow"/>
                <w:b/>
                <w:bCs/>
                <w:iCs/>
                <w:sz w:val="20"/>
              </w:rPr>
            </w:pPr>
            <w:r w:rsidRPr="002F733E">
              <w:rPr>
                <w:rFonts w:ascii="Arial Narrow" w:hAnsi="Arial Narrow"/>
                <w:b/>
                <w:bCs/>
                <w:iCs/>
                <w:sz w:val="20"/>
              </w:rPr>
              <w:t>Administrative Advice:</w:t>
            </w:r>
          </w:p>
          <w:p w14:paraId="7B14AFA7" w14:textId="77777777" w:rsidR="00CE209C" w:rsidRPr="002F733E" w:rsidRDefault="00CE209C" w:rsidP="005B338D">
            <w:pPr>
              <w:rPr>
                <w:rFonts w:ascii="Arial Narrow" w:hAnsi="Arial Narrow"/>
                <w:bCs/>
                <w:iCs/>
                <w:sz w:val="20"/>
              </w:rPr>
            </w:pPr>
            <w:r w:rsidRPr="002F733E">
              <w:rPr>
                <w:rFonts w:ascii="Arial Narrow" w:hAnsi="Arial Narrow"/>
                <w:bCs/>
                <w:iCs/>
                <w:sz w:val="20"/>
              </w:rPr>
              <w:t>No increase in the maximum number of repeats may be authorised.</w:t>
            </w:r>
          </w:p>
        </w:tc>
      </w:tr>
      <w:tr w:rsidR="00CE209C" w:rsidRPr="002F733E" w14:paraId="2F911F07"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73747D2" w14:textId="77777777" w:rsidR="00CE209C" w:rsidRPr="002F733E" w:rsidRDefault="00CE209C" w:rsidP="005B338D">
            <w:pPr>
              <w:rPr>
                <w:rFonts w:ascii="Arial Narrow" w:hAnsi="Arial Narrow"/>
                <w:b/>
                <w:bCs/>
                <w:iCs/>
                <w:sz w:val="20"/>
              </w:rPr>
            </w:pPr>
            <w:r w:rsidRPr="002F733E">
              <w:rPr>
                <w:rFonts w:ascii="Arial Narrow" w:hAnsi="Arial Narrow"/>
                <w:b/>
                <w:bCs/>
                <w:iCs/>
                <w:sz w:val="20"/>
              </w:rPr>
              <w:t>Administrative Advice:</w:t>
            </w:r>
          </w:p>
          <w:p w14:paraId="5ECB127D" w14:textId="77777777" w:rsidR="00CE209C" w:rsidRPr="002F733E" w:rsidRDefault="00CE209C" w:rsidP="005B338D">
            <w:pPr>
              <w:rPr>
                <w:rFonts w:ascii="Arial Narrow" w:hAnsi="Arial Narrow"/>
                <w:bCs/>
                <w:iCs/>
                <w:sz w:val="20"/>
              </w:rPr>
            </w:pPr>
            <w:r w:rsidRPr="002F733E">
              <w:rPr>
                <w:rFonts w:ascii="Arial Narrow" w:hAnsi="Arial Narrow"/>
                <w:bCs/>
                <w:iCs/>
                <w:sz w:val="20"/>
              </w:rPr>
              <w:t>No increase in the maximum quantity or number of units may be authorised.</w:t>
            </w:r>
          </w:p>
        </w:tc>
      </w:tr>
      <w:tr w:rsidR="00CE209C" w:rsidRPr="002F733E" w14:paraId="0BFD7571"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5C47E764" w14:textId="77777777" w:rsidR="00CE209C" w:rsidRPr="002F733E" w:rsidRDefault="00CE209C" w:rsidP="005B338D">
            <w:pPr>
              <w:rPr>
                <w:rFonts w:ascii="Arial Narrow" w:hAnsi="Arial Narrow"/>
                <w:iCs/>
                <w:sz w:val="20"/>
              </w:rPr>
            </w:pPr>
            <w:r w:rsidRPr="002F733E">
              <w:rPr>
                <w:rFonts w:ascii="Arial Narrow" w:hAnsi="Arial Narrow"/>
                <w:b/>
                <w:bCs/>
                <w:iCs/>
                <w:sz w:val="20"/>
              </w:rPr>
              <w:t>Administrative Advice:</w:t>
            </w:r>
          </w:p>
          <w:p w14:paraId="4D84CB95" w14:textId="77777777" w:rsidR="00CE209C" w:rsidRPr="002F733E" w:rsidRDefault="00CE209C" w:rsidP="005B338D">
            <w:pPr>
              <w:rPr>
                <w:rFonts w:ascii="Arial Narrow" w:hAnsi="Arial Narrow"/>
                <w:iCs/>
                <w:sz w:val="20"/>
                <w:u w:val="single"/>
              </w:rPr>
            </w:pPr>
            <w:r w:rsidRPr="002F733E">
              <w:rPr>
                <w:rFonts w:ascii="Arial Narrow" w:hAnsi="Arial Narrow"/>
                <w:iCs/>
                <w:sz w:val="20"/>
                <w:u w:val="single"/>
              </w:rPr>
              <w:t>Note</w:t>
            </w:r>
          </w:p>
          <w:p w14:paraId="7A82EE50" w14:textId="77777777" w:rsidR="00CE209C" w:rsidRPr="002F733E" w:rsidRDefault="00CE209C" w:rsidP="005B338D">
            <w:pPr>
              <w:rPr>
                <w:rFonts w:ascii="Arial Narrow" w:hAnsi="Arial Narrow"/>
                <w:b/>
                <w:bCs/>
                <w:iCs/>
                <w:sz w:val="20"/>
              </w:rPr>
            </w:pPr>
            <w:r w:rsidRPr="002F733E">
              <w:rPr>
                <w:rFonts w:ascii="Arial Narrow" w:hAnsi="Arial Narrow"/>
                <w:iCs/>
                <w:sz w:val="20"/>
              </w:rPr>
              <w:t>[Complex Authority Required flag] Any queries concerning the arrangements to prescribe may be directed to the Department of Human Services on 1800 700 270 (hours of operation 8 a.m. to 5 p.m. Monday to Friday).</w:t>
            </w:r>
          </w:p>
        </w:tc>
      </w:tr>
    </w:tbl>
    <w:p w14:paraId="158F25A1" w14:textId="77777777" w:rsidR="00CE209C" w:rsidRPr="002F733E" w:rsidRDefault="00CE209C" w:rsidP="00CE209C">
      <w:pPr>
        <w:rPr>
          <w:color w:val="3366FF"/>
        </w:rPr>
      </w:pPr>
    </w:p>
    <w:p w14:paraId="2FA34018" w14:textId="0AF5CD7C" w:rsidR="00CE209C" w:rsidRPr="002F733E" w:rsidRDefault="00CE209C" w:rsidP="001E3906">
      <w:pPr>
        <w:keepNext/>
        <w:keepLines/>
        <w:rPr>
          <w:b/>
          <w:bCs/>
        </w:rPr>
      </w:pPr>
      <w:r w:rsidRPr="002F733E">
        <w:rPr>
          <w:b/>
          <w:bCs/>
        </w:rPr>
        <w:t>Grandfather initial treatment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CE209C" w:rsidRPr="002F733E" w14:paraId="72BC91A5" w14:textId="77777777" w:rsidTr="00CE209C">
        <w:tc>
          <w:tcPr>
            <w:tcW w:w="5000" w:type="pct"/>
            <w:tcBorders>
              <w:top w:val="single" w:sz="4" w:space="0" w:color="auto"/>
              <w:left w:val="single" w:sz="4" w:space="0" w:color="auto"/>
              <w:bottom w:val="single" w:sz="4" w:space="0" w:color="auto"/>
              <w:right w:val="single" w:sz="4" w:space="0" w:color="auto"/>
            </w:tcBorders>
          </w:tcPr>
          <w:p w14:paraId="37527E1B" w14:textId="77777777" w:rsidR="00CE209C" w:rsidRPr="002F733E" w:rsidRDefault="00CE209C" w:rsidP="005B338D">
            <w:pPr>
              <w:rPr>
                <w:rFonts w:ascii="Arial Narrow" w:hAnsi="Arial Narrow"/>
                <w:sz w:val="20"/>
                <w:szCs w:val="20"/>
              </w:rPr>
            </w:pPr>
            <w:r w:rsidRPr="002F733E">
              <w:rPr>
                <w:rFonts w:ascii="Arial Narrow" w:hAnsi="Arial Narrow"/>
                <w:b/>
                <w:sz w:val="20"/>
                <w:szCs w:val="20"/>
              </w:rPr>
              <w:t xml:space="preserve">Category / Program:  </w:t>
            </w:r>
            <w:r w:rsidRPr="002F733E">
              <w:rPr>
                <w:rFonts w:ascii="Arial Narrow" w:hAnsi="Arial Narrow"/>
                <w:sz w:val="20"/>
                <w:szCs w:val="20"/>
              </w:rPr>
              <w:t>Section 100 – Highly Specialised Drugs Program</w:t>
            </w:r>
          </w:p>
        </w:tc>
      </w:tr>
      <w:tr w:rsidR="00CE209C" w:rsidRPr="002F733E" w14:paraId="435A6F5A" w14:textId="77777777" w:rsidTr="00CE209C">
        <w:trPr>
          <w:trHeight w:val="240"/>
        </w:trPr>
        <w:tc>
          <w:tcPr>
            <w:tcW w:w="5000" w:type="pct"/>
            <w:tcBorders>
              <w:top w:val="single" w:sz="4" w:space="0" w:color="auto"/>
              <w:left w:val="single" w:sz="4" w:space="0" w:color="auto"/>
              <w:bottom w:val="single" w:sz="4" w:space="0" w:color="auto"/>
              <w:right w:val="single" w:sz="4" w:space="0" w:color="auto"/>
            </w:tcBorders>
          </w:tcPr>
          <w:p w14:paraId="0C19583A" w14:textId="77777777" w:rsidR="00CE209C" w:rsidRPr="002F733E" w:rsidRDefault="00CE209C" w:rsidP="005B338D">
            <w:pPr>
              <w:rPr>
                <w:rFonts w:ascii="Arial Narrow" w:hAnsi="Arial Narrow"/>
                <w:b/>
                <w:sz w:val="20"/>
                <w:szCs w:val="20"/>
              </w:rPr>
            </w:pPr>
            <w:r w:rsidRPr="002F733E">
              <w:rPr>
                <w:rFonts w:ascii="Arial Narrow" w:hAnsi="Arial Narrow"/>
                <w:b/>
                <w:sz w:val="20"/>
                <w:szCs w:val="20"/>
              </w:rPr>
              <w:t xml:space="preserve">Prescriber type:  </w:t>
            </w:r>
            <w:r w:rsidRPr="002F733E">
              <w:rPr>
                <w:rFonts w:ascii="Arial Narrow" w:hAnsi="Arial Narrow"/>
                <w:sz w:val="20"/>
                <w:szCs w:val="20"/>
              </w:rPr>
              <w:fldChar w:fldCharType="begin" w:fldLock="1">
                <w:ffData>
                  <w:name w:val=""/>
                  <w:enabled/>
                  <w:calcOnExit w:val="0"/>
                  <w:checkBox>
                    <w:sizeAuto/>
                    <w:default w:val="1"/>
                  </w:checkBox>
                </w:ffData>
              </w:fldChar>
            </w:r>
            <w:r w:rsidRPr="002F733E">
              <w:rPr>
                <w:rFonts w:ascii="Arial Narrow" w:hAnsi="Arial Narrow"/>
                <w:sz w:val="20"/>
                <w:szCs w:val="20"/>
              </w:rPr>
              <w:instrText xml:space="preserve"> FORMCHECKBOX </w:instrText>
            </w:r>
            <w:r w:rsidR="0090762C">
              <w:rPr>
                <w:rFonts w:ascii="Arial Narrow" w:hAnsi="Arial Narrow"/>
                <w:sz w:val="20"/>
                <w:szCs w:val="20"/>
              </w:rPr>
            </w:r>
            <w:r w:rsidR="0090762C">
              <w:rPr>
                <w:rFonts w:ascii="Arial Narrow" w:hAnsi="Arial Narrow"/>
                <w:sz w:val="20"/>
                <w:szCs w:val="20"/>
              </w:rPr>
              <w:fldChar w:fldCharType="separate"/>
            </w:r>
            <w:r w:rsidRPr="002F733E">
              <w:rPr>
                <w:rFonts w:ascii="Arial Narrow" w:hAnsi="Arial Narrow"/>
                <w:sz w:val="20"/>
                <w:szCs w:val="20"/>
              </w:rPr>
              <w:fldChar w:fldCharType="end"/>
            </w:r>
            <w:r w:rsidRPr="002F733E">
              <w:rPr>
                <w:rFonts w:ascii="Arial Narrow" w:hAnsi="Arial Narrow"/>
                <w:sz w:val="20"/>
                <w:szCs w:val="20"/>
              </w:rPr>
              <w:t>Medical Practitioners</w:t>
            </w:r>
          </w:p>
        </w:tc>
      </w:tr>
      <w:tr w:rsidR="00CE209C" w:rsidRPr="002F733E" w14:paraId="03660C22" w14:textId="77777777" w:rsidTr="00CE209C">
        <w:trPr>
          <w:trHeight w:val="446"/>
        </w:trPr>
        <w:tc>
          <w:tcPr>
            <w:tcW w:w="5000" w:type="pct"/>
            <w:tcBorders>
              <w:top w:val="single" w:sz="4" w:space="0" w:color="auto"/>
              <w:left w:val="single" w:sz="4" w:space="0" w:color="auto"/>
              <w:bottom w:val="single" w:sz="4" w:space="0" w:color="auto"/>
              <w:right w:val="single" w:sz="4" w:space="0" w:color="auto"/>
            </w:tcBorders>
          </w:tcPr>
          <w:p w14:paraId="52750D3A" w14:textId="77777777" w:rsidR="00CE209C" w:rsidRPr="002F733E" w:rsidRDefault="00CE209C" w:rsidP="005B338D">
            <w:pPr>
              <w:rPr>
                <w:rFonts w:ascii="Arial Narrow" w:hAnsi="Arial Narrow"/>
                <w:b/>
                <w:sz w:val="20"/>
                <w:szCs w:val="20"/>
              </w:rPr>
            </w:pPr>
            <w:r w:rsidRPr="002F733E">
              <w:rPr>
                <w:rFonts w:ascii="Arial Narrow" w:hAnsi="Arial Narrow"/>
                <w:b/>
                <w:sz w:val="20"/>
                <w:szCs w:val="20"/>
              </w:rPr>
              <w:t>Restriction Level / Method:</w:t>
            </w:r>
          </w:p>
          <w:p w14:paraId="6F895A9C" w14:textId="77777777" w:rsidR="00CE209C" w:rsidRPr="002F733E" w:rsidRDefault="00CE209C" w:rsidP="005B338D">
            <w:pPr>
              <w:rPr>
                <w:rFonts w:ascii="Arial Narrow" w:hAnsi="Arial Narrow"/>
                <w:i/>
                <w:iCs/>
                <w:sz w:val="20"/>
                <w:szCs w:val="20"/>
              </w:rPr>
            </w:pPr>
            <w:r w:rsidRPr="002F733E">
              <w:rPr>
                <w:rFonts w:ascii="Arial Narrow" w:hAnsi="Arial Narrow"/>
                <w:sz w:val="20"/>
                <w:szCs w:val="20"/>
              </w:rPr>
              <w:fldChar w:fldCharType="begin" w:fldLock="1">
                <w:ffData>
                  <w:name w:val="Check3"/>
                  <w:enabled/>
                  <w:calcOnExit w:val="0"/>
                  <w:checkBox>
                    <w:sizeAuto/>
                    <w:default w:val="1"/>
                  </w:checkBox>
                </w:ffData>
              </w:fldChar>
            </w:r>
            <w:r w:rsidRPr="002F733E">
              <w:rPr>
                <w:rFonts w:ascii="Arial Narrow" w:hAnsi="Arial Narrow"/>
                <w:sz w:val="20"/>
                <w:szCs w:val="20"/>
              </w:rPr>
              <w:instrText xml:space="preserve"> FORMCHECKBOX </w:instrText>
            </w:r>
            <w:r w:rsidR="0090762C">
              <w:rPr>
                <w:rFonts w:ascii="Arial Narrow" w:hAnsi="Arial Narrow"/>
                <w:sz w:val="20"/>
                <w:szCs w:val="20"/>
              </w:rPr>
            </w:r>
            <w:r w:rsidR="0090762C">
              <w:rPr>
                <w:rFonts w:ascii="Arial Narrow" w:hAnsi="Arial Narrow"/>
                <w:sz w:val="20"/>
                <w:szCs w:val="20"/>
              </w:rPr>
              <w:fldChar w:fldCharType="separate"/>
            </w:r>
            <w:r w:rsidRPr="002F733E">
              <w:rPr>
                <w:rFonts w:ascii="Arial Narrow" w:hAnsi="Arial Narrow"/>
                <w:sz w:val="20"/>
                <w:szCs w:val="20"/>
              </w:rPr>
              <w:fldChar w:fldCharType="end"/>
            </w:r>
            <w:r w:rsidRPr="002F733E">
              <w:rPr>
                <w:rFonts w:ascii="Arial Narrow" w:hAnsi="Arial Narrow"/>
                <w:sz w:val="20"/>
                <w:szCs w:val="20"/>
              </w:rPr>
              <w:t xml:space="preserve">Authority Required – In Writing/HPOS upload or Online PBS Authorities immediate assessment </w:t>
            </w:r>
          </w:p>
        </w:tc>
      </w:tr>
      <w:tr w:rsidR="00CE209C" w:rsidRPr="002F733E" w14:paraId="79FCD19D"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D4A6477" w14:textId="77777777" w:rsidR="00CE209C" w:rsidRPr="002F733E" w:rsidRDefault="00CE209C" w:rsidP="005B338D">
            <w:pPr>
              <w:rPr>
                <w:rFonts w:ascii="Arial Narrow" w:hAnsi="Arial Narrow"/>
                <w:iCs/>
                <w:sz w:val="20"/>
                <w:szCs w:val="20"/>
              </w:rPr>
            </w:pPr>
            <w:r w:rsidRPr="002F733E">
              <w:rPr>
                <w:rFonts w:ascii="Arial Narrow" w:hAnsi="Arial Narrow"/>
                <w:b/>
                <w:bCs/>
                <w:iCs/>
                <w:sz w:val="20"/>
                <w:szCs w:val="20"/>
              </w:rPr>
              <w:t xml:space="preserve">Episodicity: </w:t>
            </w:r>
            <w:r w:rsidRPr="002F733E">
              <w:rPr>
                <w:rFonts w:ascii="Arial Narrow" w:hAnsi="Arial Narrow"/>
                <w:iCs/>
                <w:sz w:val="20"/>
                <w:szCs w:val="20"/>
              </w:rPr>
              <w:t>Active</w:t>
            </w:r>
          </w:p>
        </w:tc>
      </w:tr>
      <w:tr w:rsidR="00CE209C" w:rsidRPr="002F733E" w14:paraId="41A154F1"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3FA54052" w14:textId="77777777" w:rsidR="00CE209C" w:rsidRPr="002F733E" w:rsidRDefault="00CE209C" w:rsidP="005B338D">
            <w:pPr>
              <w:rPr>
                <w:rFonts w:ascii="Arial Narrow" w:hAnsi="Arial Narrow"/>
                <w:b/>
                <w:bCs/>
                <w:iCs/>
                <w:sz w:val="20"/>
                <w:szCs w:val="20"/>
              </w:rPr>
            </w:pPr>
            <w:r w:rsidRPr="002F733E">
              <w:rPr>
                <w:rFonts w:ascii="Arial Narrow" w:hAnsi="Arial Narrow"/>
                <w:b/>
                <w:bCs/>
                <w:iCs/>
                <w:sz w:val="20"/>
                <w:szCs w:val="20"/>
              </w:rPr>
              <w:t xml:space="preserve">Condition: </w:t>
            </w:r>
            <w:r w:rsidRPr="002F733E">
              <w:rPr>
                <w:rFonts w:ascii="Arial Narrow" w:hAnsi="Arial Narrow"/>
                <w:sz w:val="20"/>
                <w:szCs w:val="20"/>
              </w:rPr>
              <w:t>Systemic lupus erythematosus</w:t>
            </w:r>
          </w:p>
        </w:tc>
      </w:tr>
      <w:tr w:rsidR="00CE209C" w:rsidRPr="002F733E" w14:paraId="576F8E00"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104F90B8" w14:textId="77777777" w:rsidR="00CE209C" w:rsidRPr="002F733E" w:rsidRDefault="00CE209C" w:rsidP="005B338D">
            <w:pPr>
              <w:rPr>
                <w:rFonts w:ascii="Arial Narrow" w:hAnsi="Arial Narrow"/>
                <w:i/>
                <w:sz w:val="20"/>
                <w:szCs w:val="20"/>
              </w:rPr>
            </w:pPr>
            <w:r w:rsidRPr="002F733E">
              <w:rPr>
                <w:rFonts w:ascii="Arial Narrow" w:hAnsi="Arial Narrow"/>
                <w:b/>
                <w:bCs/>
                <w:iCs/>
                <w:strike/>
                <w:sz w:val="20"/>
                <w:szCs w:val="20"/>
              </w:rPr>
              <w:t>PBS</w:t>
            </w:r>
            <w:r w:rsidRPr="002F733E">
              <w:rPr>
                <w:rFonts w:ascii="Arial Narrow" w:hAnsi="Arial Narrow"/>
                <w:b/>
                <w:bCs/>
                <w:i/>
                <w:sz w:val="20"/>
                <w:szCs w:val="20"/>
              </w:rPr>
              <w:t xml:space="preserve"> </w:t>
            </w:r>
            <w:r w:rsidRPr="002F733E">
              <w:rPr>
                <w:rFonts w:ascii="Arial Narrow" w:hAnsi="Arial Narrow"/>
                <w:b/>
                <w:bCs/>
                <w:iCs/>
                <w:sz w:val="20"/>
                <w:szCs w:val="20"/>
              </w:rPr>
              <w:t>Indication</w:t>
            </w:r>
            <w:r w:rsidRPr="002F733E">
              <w:rPr>
                <w:rFonts w:ascii="Arial Narrow" w:hAnsi="Arial Narrow"/>
                <w:b/>
                <w:bCs/>
                <w:i/>
                <w:sz w:val="20"/>
                <w:szCs w:val="20"/>
              </w:rPr>
              <w:t>:</w:t>
            </w:r>
            <w:r w:rsidRPr="002F733E">
              <w:rPr>
                <w:rFonts w:ascii="Arial Narrow" w:hAnsi="Arial Narrow"/>
                <w:i/>
                <w:sz w:val="20"/>
                <w:szCs w:val="20"/>
              </w:rPr>
              <w:t xml:space="preserve"> </w:t>
            </w:r>
            <w:r w:rsidRPr="002F733E">
              <w:rPr>
                <w:rFonts w:ascii="Arial Narrow" w:hAnsi="Arial Narrow"/>
                <w:iCs/>
                <w:sz w:val="20"/>
                <w:szCs w:val="20"/>
              </w:rPr>
              <w:t xml:space="preserve">Active </w:t>
            </w:r>
            <w:r w:rsidRPr="002F733E">
              <w:rPr>
                <w:rFonts w:ascii="Arial Narrow" w:hAnsi="Arial Narrow"/>
                <w:i/>
                <w:sz w:val="20"/>
                <w:szCs w:val="20"/>
              </w:rPr>
              <w:t>s</w:t>
            </w:r>
            <w:r w:rsidRPr="002F733E">
              <w:rPr>
                <w:rFonts w:ascii="Arial Narrow" w:hAnsi="Arial Narrow"/>
                <w:sz w:val="20"/>
                <w:szCs w:val="20"/>
              </w:rPr>
              <w:t>ystemic lupus erythematosus</w:t>
            </w:r>
          </w:p>
        </w:tc>
      </w:tr>
      <w:tr w:rsidR="00CE209C" w:rsidRPr="002F733E" w14:paraId="084A74D9"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4F123364"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Treatment Phase:</w:t>
            </w:r>
            <w:r w:rsidRPr="002F733E">
              <w:rPr>
                <w:rFonts w:ascii="Arial Narrow" w:hAnsi="Arial Narrow"/>
                <w:sz w:val="20"/>
                <w:szCs w:val="20"/>
              </w:rPr>
              <w:t xml:space="preserve"> Initial </w:t>
            </w:r>
            <w:r w:rsidRPr="002F733E">
              <w:rPr>
                <w:rFonts w:ascii="Arial Narrow" w:hAnsi="Arial Narrow"/>
                <w:strike/>
                <w:sz w:val="20"/>
                <w:szCs w:val="20"/>
              </w:rPr>
              <w:t>(‘grandfather’ patients)</w:t>
            </w:r>
            <w:r w:rsidRPr="002F733E">
              <w:rPr>
                <w:rFonts w:ascii="Arial Narrow" w:hAnsi="Arial Narrow"/>
                <w:sz w:val="20"/>
                <w:szCs w:val="20"/>
              </w:rPr>
              <w:t xml:space="preserve"> – transitioning from non-PBS to PBS subsidised supply</w:t>
            </w:r>
          </w:p>
        </w:tc>
      </w:tr>
      <w:tr w:rsidR="00CE209C" w:rsidRPr="002F733E" w14:paraId="790EA583"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38002816" w14:textId="77777777" w:rsidR="00CE209C" w:rsidRPr="002F733E" w:rsidRDefault="00CE209C" w:rsidP="005B338D">
            <w:pPr>
              <w:rPr>
                <w:rFonts w:ascii="Arial Narrow" w:hAnsi="Arial Narrow"/>
                <w:b/>
                <w:bCs/>
                <w:sz w:val="20"/>
                <w:szCs w:val="20"/>
              </w:rPr>
            </w:pPr>
            <w:r w:rsidRPr="002F733E">
              <w:rPr>
                <w:rFonts w:ascii="Arial Narrow" w:hAnsi="Arial Narrow"/>
                <w:b/>
                <w:bCs/>
                <w:sz w:val="20"/>
                <w:szCs w:val="20"/>
              </w:rPr>
              <w:t>Treatment criteria:</w:t>
            </w:r>
          </w:p>
        </w:tc>
      </w:tr>
      <w:tr w:rsidR="00CE209C" w:rsidRPr="002F733E" w14:paraId="0BC98935"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12569CDD" w14:textId="77777777" w:rsidR="00CE209C" w:rsidRPr="002F733E" w:rsidRDefault="00CE209C" w:rsidP="005B338D">
            <w:pPr>
              <w:rPr>
                <w:rFonts w:ascii="Arial Narrow" w:eastAsiaTheme="majorEastAsia" w:hAnsi="Arial Narrow"/>
                <w:sz w:val="20"/>
                <w:szCs w:val="20"/>
                <w:lang w:bidi="en-US"/>
              </w:rPr>
            </w:pPr>
            <w:r w:rsidRPr="002F733E">
              <w:rPr>
                <w:rFonts w:ascii="Arial Narrow" w:eastAsiaTheme="majorEastAsia" w:hAnsi="Arial Narrow"/>
                <w:sz w:val="20"/>
                <w:szCs w:val="20"/>
                <w:lang w:bidi="en-US"/>
              </w:rPr>
              <w:t>Must be treated by a rheumatologist; or</w:t>
            </w:r>
          </w:p>
          <w:p w14:paraId="1FCC7825" w14:textId="77777777" w:rsidR="00CE209C" w:rsidRPr="002F733E" w:rsidRDefault="00CE209C" w:rsidP="005B338D">
            <w:pPr>
              <w:rPr>
                <w:rFonts w:ascii="Arial Narrow" w:eastAsiaTheme="majorEastAsia" w:hAnsi="Arial Narrow"/>
                <w:strike/>
                <w:sz w:val="20"/>
                <w:szCs w:val="20"/>
                <w:lang w:bidi="en-US"/>
              </w:rPr>
            </w:pPr>
            <w:r w:rsidRPr="002F733E">
              <w:rPr>
                <w:rFonts w:ascii="Arial Narrow" w:eastAsiaTheme="majorEastAsia" w:hAnsi="Arial Narrow"/>
                <w:sz w:val="20"/>
                <w:szCs w:val="20"/>
                <w:lang w:bidi="en-US"/>
              </w:rPr>
              <w:t xml:space="preserve">Must be treated by a clinical immunologist; </w:t>
            </w:r>
            <w:r w:rsidRPr="002F733E">
              <w:rPr>
                <w:rFonts w:ascii="Arial Narrow" w:eastAsiaTheme="majorEastAsia" w:hAnsi="Arial Narrow"/>
                <w:strike/>
                <w:sz w:val="20"/>
                <w:szCs w:val="20"/>
                <w:lang w:bidi="en-US"/>
              </w:rPr>
              <w:t>or</w:t>
            </w:r>
          </w:p>
          <w:p w14:paraId="0229DD37" w14:textId="77777777" w:rsidR="00CE209C" w:rsidRPr="002F733E" w:rsidRDefault="00CE209C" w:rsidP="005B338D">
            <w:pPr>
              <w:rPr>
                <w:rFonts w:ascii="Arial Narrow" w:eastAsiaTheme="majorEastAsia" w:hAnsi="Arial Narrow"/>
                <w:i/>
                <w:iCs/>
                <w:sz w:val="20"/>
                <w:szCs w:val="20"/>
                <w:lang w:bidi="en-US"/>
              </w:rPr>
            </w:pPr>
            <w:r w:rsidRPr="002F733E">
              <w:rPr>
                <w:rFonts w:ascii="Arial Narrow" w:eastAsiaTheme="majorEastAsia" w:hAnsi="Arial Narrow"/>
                <w:i/>
                <w:iCs/>
                <w:sz w:val="20"/>
                <w:szCs w:val="20"/>
                <w:lang w:bidi="en-US"/>
              </w:rPr>
              <w:t>Alternatively</w:t>
            </w:r>
          </w:p>
          <w:p w14:paraId="1B183C2F" w14:textId="77777777" w:rsidR="00CE209C" w:rsidRPr="002F733E" w:rsidRDefault="00CE209C" w:rsidP="005B338D">
            <w:pPr>
              <w:rPr>
                <w:rFonts w:ascii="Arial Narrow" w:hAnsi="Arial Narrow"/>
                <w:b/>
                <w:bCs/>
                <w:sz w:val="20"/>
                <w:szCs w:val="20"/>
              </w:rPr>
            </w:pPr>
            <w:r w:rsidRPr="002F733E">
              <w:rPr>
                <w:rFonts w:ascii="Arial Narrow" w:hAnsi="Arial Narrow"/>
                <w:sz w:val="20"/>
                <w:szCs w:val="20"/>
              </w:rPr>
              <w:t>Must be treated by a specialist physician experienced in the management of this condition</w:t>
            </w:r>
          </w:p>
        </w:tc>
      </w:tr>
      <w:tr w:rsidR="00CE209C" w:rsidRPr="002F733E" w14:paraId="56A57123"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450E74D9" w14:textId="77777777" w:rsidR="00CE209C" w:rsidRPr="002F733E" w:rsidRDefault="00CE209C" w:rsidP="005B338D">
            <w:pPr>
              <w:rPr>
                <w:rFonts w:ascii="Arial Narrow" w:eastAsiaTheme="majorEastAsia" w:hAnsi="Arial Narrow"/>
                <w:b/>
                <w:bCs/>
                <w:sz w:val="20"/>
                <w:szCs w:val="20"/>
                <w:lang w:bidi="en-US"/>
              </w:rPr>
            </w:pPr>
            <w:r w:rsidRPr="002F733E">
              <w:rPr>
                <w:rFonts w:ascii="Arial Narrow" w:eastAsiaTheme="majorEastAsia" w:hAnsi="Arial Narrow"/>
                <w:b/>
                <w:bCs/>
                <w:sz w:val="20"/>
                <w:szCs w:val="20"/>
                <w:lang w:bidi="en-US"/>
              </w:rPr>
              <w:t>Clinical criteria:</w:t>
            </w:r>
          </w:p>
        </w:tc>
      </w:tr>
      <w:tr w:rsidR="00CE209C" w:rsidRPr="002F733E" w14:paraId="1581D984"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1D385782" w14:textId="77777777" w:rsidR="00CE209C" w:rsidRPr="002F733E" w:rsidRDefault="00CE209C" w:rsidP="005B338D">
            <w:pPr>
              <w:rPr>
                <w:rFonts w:ascii="Arial Narrow" w:eastAsiaTheme="majorEastAsia" w:hAnsi="Arial Narrow"/>
                <w:sz w:val="20"/>
                <w:szCs w:val="20"/>
                <w:lang w:bidi="en-US"/>
              </w:rPr>
            </w:pPr>
            <w:r w:rsidRPr="002F733E">
              <w:rPr>
                <w:rFonts w:ascii="Arial Narrow" w:eastAsiaTheme="majorEastAsia" w:hAnsi="Arial Narrow"/>
                <w:sz w:val="20"/>
                <w:szCs w:val="20"/>
                <w:lang w:bidi="en-US"/>
              </w:rPr>
              <w:t>Patient must have received prior non-PBS-subsidised treatment with this drug for this condition in this treatment cycle prior to [date of PBS listing]</w:t>
            </w:r>
          </w:p>
        </w:tc>
      </w:tr>
      <w:tr w:rsidR="00CE209C" w:rsidRPr="002F733E" w14:paraId="0E8CE6E7"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6FFB1621" w14:textId="77777777" w:rsidR="00CE209C" w:rsidRPr="002F733E" w:rsidRDefault="00CE209C" w:rsidP="005B338D">
            <w:pPr>
              <w:rPr>
                <w:rFonts w:ascii="Arial Narrow" w:eastAsiaTheme="majorEastAsia" w:hAnsi="Arial Narrow"/>
                <w:b/>
                <w:bCs/>
                <w:sz w:val="20"/>
                <w:szCs w:val="20"/>
                <w:lang w:bidi="en-US"/>
              </w:rPr>
            </w:pPr>
            <w:r w:rsidRPr="002F733E">
              <w:rPr>
                <w:rFonts w:ascii="Arial Narrow" w:eastAsiaTheme="majorEastAsia" w:hAnsi="Arial Narrow"/>
                <w:b/>
                <w:bCs/>
                <w:sz w:val="20"/>
                <w:szCs w:val="20"/>
                <w:lang w:bidi="en-US"/>
              </w:rPr>
              <w:t>AND</w:t>
            </w:r>
          </w:p>
        </w:tc>
      </w:tr>
      <w:tr w:rsidR="00CE209C" w:rsidRPr="002F733E" w14:paraId="5446C54E"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0F47E5C7"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Clinical criteria:</w:t>
            </w:r>
          </w:p>
        </w:tc>
      </w:tr>
      <w:tr w:rsidR="00CE209C" w:rsidRPr="002F733E" w14:paraId="1A8C7CC9"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7DA0BD56" w14:textId="77777777" w:rsidR="00CE209C" w:rsidRPr="002F733E" w:rsidRDefault="00CE209C" w:rsidP="005B338D">
            <w:pPr>
              <w:rPr>
                <w:rFonts w:ascii="Arial Narrow" w:eastAsiaTheme="majorEastAsia" w:hAnsi="Arial Narrow"/>
                <w:sz w:val="20"/>
                <w:szCs w:val="20"/>
                <w:lang w:bidi="en-US"/>
              </w:rPr>
            </w:pPr>
            <w:r w:rsidRPr="002F733E">
              <w:rPr>
                <w:rFonts w:ascii="Arial Narrow" w:eastAsiaTheme="majorEastAsia" w:hAnsi="Arial Narrow"/>
                <w:sz w:val="20"/>
                <w:szCs w:val="20"/>
                <w:lang w:bidi="en-US"/>
              </w:rPr>
              <w:t>Patient must have a confirmed and documented diagnosis of systemic lupus erythematosus (SLE) according to the American College of Rheumatology (ACR)/European League Against Rheumatism (EULAR) SLE Classification Criteria 2019</w:t>
            </w:r>
          </w:p>
        </w:tc>
      </w:tr>
      <w:tr w:rsidR="00CE209C" w:rsidRPr="002F733E" w14:paraId="6DDA633A"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6D7648F9"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AND</w:t>
            </w:r>
          </w:p>
        </w:tc>
      </w:tr>
      <w:tr w:rsidR="00CE209C" w:rsidRPr="002F733E" w14:paraId="48084EBF"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01E1A1C9"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Clinical criteria:</w:t>
            </w:r>
          </w:p>
        </w:tc>
      </w:tr>
      <w:tr w:rsidR="00CE209C" w:rsidRPr="002F733E" w14:paraId="1896575B"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030CAEB0"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 xml:space="preserve">Patient must have persistent disease activity as supported by a SLE Disease Activity Index 2000 </w:t>
            </w:r>
            <w:r w:rsidRPr="002F733E">
              <w:rPr>
                <w:rFonts w:ascii="Arial Narrow" w:hAnsi="Arial Narrow"/>
                <w:i/>
                <w:iCs/>
                <w:sz w:val="20"/>
                <w:szCs w:val="20"/>
              </w:rPr>
              <w:t>(</w:t>
            </w:r>
            <w:r w:rsidRPr="002F733E">
              <w:rPr>
                <w:rFonts w:ascii="Arial Narrow" w:hAnsi="Arial Narrow"/>
                <w:sz w:val="20"/>
                <w:szCs w:val="20"/>
              </w:rPr>
              <w:t>SLEDAI-2K</w:t>
            </w:r>
            <w:r w:rsidRPr="002F733E">
              <w:rPr>
                <w:rFonts w:ascii="Arial Narrow" w:hAnsi="Arial Narrow"/>
                <w:i/>
                <w:iCs/>
                <w:sz w:val="20"/>
                <w:szCs w:val="20"/>
              </w:rPr>
              <w:t>)</w:t>
            </w:r>
            <w:r w:rsidRPr="002F733E">
              <w:rPr>
                <w:rFonts w:ascii="Arial Narrow" w:hAnsi="Arial Narrow"/>
                <w:sz w:val="20"/>
                <w:szCs w:val="20"/>
              </w:rPr>
              <w:t xml:space="preserve"> score of at least 10 points</w:t>
            </w:r>
          </w:p>
        </w:tc>
      </w:tr>
      <w:tr w:rsidR="00CE209C" w:rsidRPr="002F733E" w14:paraId="51D4842C"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12B8AD14"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AND</w:t>
            </w:r>
          </w:p>
        </w:tc>
      </w:tr>
      <w:tr w:rsidR="00CE209C" w:rsidRPr="002F733E" w14:paraId="44FEC1D5"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77DBC418"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Clinical criteria:</w:t>
            </w:r>
          </w:p>
        </w:tc>
      </w:tr>
      <w:tr w:rsidR="00CE209C" w:rsidRPr="002F733E" w14:paraId="3BEBA83E"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5E8F5639"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Patient must be currently receiving hydroxychloroquine and must have received this for at least 12 weeks</w:t>
            </w:r>
            <w:r w:rsidRPr="002F733E">
              <w:rPr>
                <w:rFonts w:ascii="Arial Narrow" w:hAnsi="Arial Narrow"/>
                <w:i/>
                <w:sz w:val="20"/>
                <w:szCs w:val="20"/>
              </w:rPr>
              <w:t xml:space="preserve"> </w:t>
            </w:r>
          </w:p>
        </w:tc>
      </w:tr>
      <w:tr w:rsidR="00CE209C" w:rsidRPr="002F733E" w14:paraId="1CD097BF"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1833F87D" w14:textId="77777777" w:rsidR="00CE209C" w:rsidRPr="002F733E" w:rsidRDefault="00CE209C" w:rsidP="005B338D">
            <w:pPr>
              <w:rPr>
                <w:rFonts w:ascii="Arial Narrow" w:hAnsi="Arial Narrow"/>
                <w:iCs/>
                <w:sz w:val="20"/>
                <w:szCs w:val="20"/>
              </w:rPr>
            </w:pPr>
            <w:r w:rsidRPr="002F733E">
              <w:rPr>
                <w:rFonts w:ascii="Arial Narrow" w:hAnsi="Arial Narrow"/>
                <w:b/>
                <w:bCs/>
                <w:iCs/>
                <w:sz w:val="20"/>
                <w:szCs w:val="20"/>
              </w:rPr>
              <w:t>AND</w:t>
            </w:r>
          </w:p>
        </w:tc>
      </w:tr>
      <w:tr w:rsidR="00CE209C" w:rsidRPr="002F733E" w14:paraId="06CCB3A9"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67641D80" w14:textId="77777777" w:rsidR="00CE209C" w:rsidRPr="002F733E" w:rsidRDefault="00CE209C" w:rsidP="005B338D">
            <w:pPr>
              <w:rPr>
                <w:rFonts w:ascii="Arial Narrow" w:hAnsi="Arial Narrow"/>
                <w:b/>
                <w:bCs/>
                <w:iCs/>
                <w:sz w:val="20"/>
                <w:szCs w:val="20"/>
              </w:rPr>
            </w:pPr>
            <w:r w:rsidRPr="002F733E">
              <w:rPr>
                <w:rFonts w:ascii="Arial Narrow" w:hAnsi="Arial Narrow"/>
                <w:b/>
                <w:bCs/>
                <w:iCs/>
                <w:sz w:val="20"/>
                <w:szCs w:val="20"/>
              </w:rPr>
              <w:t>Clinical criteria:</w:t>
            </w:r>
          </w:p>
        </w:tc>
      </w:tr>
      <w:tr w:rsidR="00CE209C" w:rsidRPr="002F733E" w14:paraId="0EF4873F"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20A2571C" w14:textId="77777777" w:rsidR="00CE209C" w:rsidRPr="002F733E" w:rsidRDefault="00CE209C" w:rsidP="005B338D">
            <w:pPr>
              <w:rPr>
                <w:rFonts w:ascii="Arial Narrow" w:hAnsi="Arial Narrow"/>
                <w:bCs/>
                <w:iCs/>
                <w:sz w:val="20"/>
                <w:szCs w:val="20"/>
              </w:rPr>
            </w:pPr>
            <w:r w:rsidRPr="002F733E">
              <w:rPr>
                <w:rFonts w:ascii="Arial Narrow" w:hAnsi="Arial Narrow"/>
                <w:bCs/>
                <w:iCs/>
                <w:sz w:val="20"/>
                <w:szCs w:val="20"/>
              </w:rPr>
              <w:t>Patient must be currently receiving immunosuppressant medication and must have received this for at least 12 weeks (minimum dose of methotrexate 20 mg per week, azathioprine 100 mg per day, or mycophenolate 1,000 mg per day)</w:t>
            </w:r>
          </w:p>
        </w:tc>
      </w:tr>
      <w:tr w:rsidR="00CE209C" w:rsidRPr="002F733E" w14:paraId="188300B0"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38D68397" w14:textId="77777777" w:rsidR="00CE209C" w:rsidRPr="002F733E" w:rsidRDefault="00CE209C" w:rsidP="005B338D">
            <w:pPr>
              <w:rPr>
                <w:rFonts w:ascii="Arial Narrow" w:hAnsi="Arial Narrow"/>
                <w:b/>
                <w:bCs/>
                <w:sz w:val="20"/>
                <w:szCs w:val="20"/>
              </w:rPr>
            </w:pPr>
            <w:r w:rsidRPr="002F733E">
              <w:rPr>
                <w:rFonts w:ascii="Arial Narrow" w:hAnsi="Arial Narrow"/>
                <w:b/>
                <w:bCs/>
                <w:sz w:val="20"/>
                <w:szCs w:val="20"/>
              </w:rPr>
              <w:t>AND</w:t>
            </w:r>
          </w:p>
        </w:tc>
      </w:tr>
      <w:tr w:rsidR="00CE209C" w:rsidRPr="002F733E" w14:paraId="379A8633"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3E2BF674"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Clinical criteria:</w:t>
            </w:r>
          </w:p>
        </w:tc>
      </w:tr>
      <w:tr w:rsidR="00CE209C" w:rsidRPr="002F733E" w14:paraId="7BAC9FF8"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328D8ED0"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Patient must be currently receiving prednisolone or equivalent ≥ 7.5 mg per day and must have received this for at least 4 weeks</w:t>
            </w:r>
          </w:p>
        </w:tc>
      </w:tr>
      <w:tr w:rsidR="00CE209C" w:rsidRPr="002F733E" w14:paraId="4D0BB8DA"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1AB5D727"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AND</w:t>
            </w:r>
          </w:p>
        </w:tc>
      </w:tr>
      <w:tr w:rsidR="00CE209C" w:rsidRPr="002F733E" w14:paraId="29078619"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28F3B8DC" w14:textId="77777777" w:rsidR="00CE209C" w:rsidRPr="002F733E" w:rsidRDefault="00CE209C" w:rsidP="005B338D">
            <w:pPr>
              <w:rPr>
                <w:rFonts w:ascii="Arial Narrow" w:hAnsi="Arial Narrow"/>
                <w:sz w:val="20"/>
                <w:szCs w:val="20"/>
              </w:rPr>
            </w:pPr>
            <w:r w:rsidRPr="002F733E">
              <w:rPr>
                <w:rFonts w:ascii="Arial Narrow" w:hAnsi="Arial Narrow"/>
                <w:b/>
                <w:bCs/>
                <w:sz w:val="20"/>
                <w:szCs w:val="20"/>
              </w:rPr>
              <w:t>Clinical criteria:</w:t>
            </w:r>
          </w:p>
        </w:tc>
      </w:tr>
      <w:tr w:rsidR="00CE209C" w:rsidRPr="002F733E" w14:paraId="0DC7C3E5"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21BDEA07"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Patient must not have severe active lupus nephritis or severe active central nervous system systemic lupus erythematosus</w:t>
            </w:r>
          </w:p>
        </w:tc>
      </w:tr>
      <w:tr w:rsidR="00CE209C" w:rsidRPr="002F733E" w14:paraId="233AC2C5"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4184EB11" w14:textId="77777777" w:rsidR="00CE209C" w:rsidRPr="002F733E" w:rsidRDefault="00CE209C" w:rsidP="005B338D">
            <w:pPr>
              <w:rPr>
                <w:rFonts w:ascii="Arial Narrow" w:hAnsi="Arial Narrow"/>
                <w:b/>
                <w:bCs/>
                <w:sz w:val="20"/>
                <w:szCs w:val="20"/>
              </w:rPr>
            </w:pPr>
            <w:r w:rsidRPr="002F733E">
              <w:rPr>
                <w:rFonts w:ascii="Arial Narrow" w:hAnsi="Arial Narrow"/>
                <w:b/>
                <w:bCs/>
                <w:sz w:val="20"/>
                <w:szCs w:val="20"/>
              </w:rPr>
              <w:t>Population criteria:</w:t>
            </w:r>
          </w:p>
        </w:tc>
      </w:tr>
      <w:tr w:rsidR="00CE209C" w:rsidRPr="002F733E" w14:paraId="1F98CE99"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828C84C"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Patient must be aged 18 years or older.</w:t>
            </w:r>
          </w:p>
        </w:tc>
      </w:tr>
      <w:tr w:rsidR="00CE209C" w:rsidRPr="002F733E" w14:paraId="6D3FD614"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
        </w:trPr>
        <w:tc>
          <w:tcPr>
            <w:tcW w:w="5000" w:type="pct"/>
            <w:tcBorders>
              <w:top w:val="single" w:sz="4" w:space="0" w:color="auto"/>
              <w:left w:val="single" w:sz="4" w:space="0" w:color="auto"/>
              <w:bottom w:val="single" w:sz="4" w:space="0" w:color="auto"/>
              <w:right w:val="single" w:sz="4" w:space="0" w:color="auto"/>
            </w:tcBorders>
            <w:vAlign w:val="center"/>
          </w:tcPr>
          <w:p w14:paraId="7B490100" w14:textId="77777777" w:rsidR="00CE209C" w:rsidRPr="002F733E" w:rsidRDefault="00CE209C" w:rsidP="005B338D">
            <w:pPr>
              <w:rPr>
                <w:rFonts w:ascii="Arial Narrow" w:hAnsi="Arial Narrow"/>
                <w:b/>
                <w:bCs/>
                <w:sz w:val="20"/>
                <w:szCs w:val="20"/>
              </w:rPr>
            </w:pPr>
            <w:r w:rsidRPr="002F733E">
              <w:rPr>
                <w:rFonts w:ascii="Arial Narrow" w:hAnsi="Arial Narrow"/>
                <w:b/>
                <w:bCs/>
                <w:sz w:val="20"/>
                <w:szCs w:val="20"/>
              </w:rPr>
              <w:t>Prescribing Instructions:</w:t>
            </w:r>
          </w:p>
          <w:p w14:paraId="3AB84F0B"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The authority application must be made via the Online PBS Authorities (real time assessment), or in writing via HPOS form upload or mail and must include:</w:t>
            </w:r>
          </w:p>
          <w:p w14:paraId="313AB11C" w14:textId="77777777" w:rsidR="00CE209C" w:rsidRPr="002F733E" w:rsidRDefault="00CE209C" w:rsidP="00DC7889">
            <w:pPr>
              <w:pStyle w:val="ListParagraph"/>
              <w:numPr>
                <w:ilvl w:val="0"/>
                <w:numId w:val="22"/>
              </w:numPr>
              <w:spacing w:after="0"/>
              <w:ind w:left="272" w:hanging="272"/>
              <w:contextualSpacing/>
              <w:jc w:val="left"/>
              <w:rPr>
                <w:rFonts w:ascii="Arial Narrow" w:hAnsi="Arial Narrow"/>
                <w:sz w:val="20"/>
                <w:szCs w:val="20"/>
              </w:rPr>
            </w:pPr>
            <w:r w:rsidRPr="002F733E">
              <w:rPr>
                <w:rFonts w:ascii="Arial Narrow" w:hAnsi="Arial Narrow"/>
                <w:sz w:val="20"/>
                <w:szCs w:val="20"/>
              </w:rPr>
              <w:t>details of the ACR/EULAR SLE Classification Criteria 2019 confirming diagnosis of SLE</w:t>
            </w:r>
          </w:p>
          <w:p w14:paraId="33A94B13" w14:textId="77777777" w:rsidR="00CE209C" w:rsidRPr="002F733E" w:rsidRDefault="00CE209C" w:rsidP="00DC7889">
            <w:pPr>
              <w:pStyle w:val="ListParagraph"/>
              <w:numPr>
                <w:ilvl w:val="0"/>
                <w:numId w:val="22"/>
              </w:numPr>
              <w:spacing w:after="0"/>
              <w:ind w:left="272" w:hanging="272"/>
              <w:contextualSpacing/>
              <w:jc w:val="left"/>
              <w:rPr>
                <w:rFonts w:ascii="Arial Narrow" w:hAnsi="Arial Narrow"/>
                <w:sz w:val="20"/>
                <w:szCs w:val="20"/>
              </w:rPr>
            </w:pPr>
            <w:r w:rsidRPr="002F733E">
              <w:rPr>
                <w:rFonts w:ascii="Arial Narrow" w:hAnsi="Arial Narrow"/>
                <w:sz w:val="20"/>
                <w:szCs w:val="20"/>
              </w:rPr>
              <w:t>details (date and score) of the completed SLEDAI-2K score sheet</w:t>
            </w:r>
          </w:p>
          <w:p w14:paraId="00B1F1D2" w14:textId="77777777" w:rsidR="00CE209C" w:rsidRPr="002F733E" w:rsidRDefault="00CE209C" w:rsidP="00DC7889">
            <w:pPr>
              <w:pStyle w:val="ListParagraph"/>
              <w:numPr>
                <w:ilvl w:val="0"/>
                <w:numId w:val="22"/>
              </w:numPr>
              <w:spacing w:after="0"/>
              <w:ind w:left="272" w:hanging="272"/>
              <w:contextualSpacing/>
              <w:jc w:val="left"/>
              <w:rPr>
                <w:rFonts w:ascii="Arial Narrow" w:hAnsi="Arial Narrow"/>
                <w:sz w:val="20"/>
                <w:szCs w:val="20"/>
              </w:rPr>
            </w:pPr>
            <w:r w:rsidRPr="002F733E">
              <w:rPr>
                <w:rFonts w:ascii="Arial Narrow" w:hAnsi="Arial Narrow"/>
                <w:sz w:val="20"/>
                <w:szCs w:val="20"/>
              </w:rPr>
              <w:t xml:space="preserve">details of current systemic therapy used (dosage, date of commencement and duration of therapy).   </w:t>
            </w:r>
          </w:p>
          <w:p w14:paraId="420D0AF2" w14:textId="77777777" w:rsidR="00CE209C" w:rsidRPr="002F733E" w:rsidRDefault="00CE209C" w:rsidP="005B338D">
            <w:pPr>
              <w:rPr>
                <w:rFonts w:ascii="Arial Narrow" w:hAnsi="Arial Narrow"/>
                <w:sz w:val="20"/>
                <w:szCs w:val="20"/>
              </w:rPr>
            </w:pPr>
            <w:r w:rsidRPr="002F733E">
              <w:rPr>
                <w:rFonts w:ascii="Arial Narrow" w:hAnsi="Arial Narrow"/>
                <w:sz w:val="20"/>
                <w:szCs w:val="20"/>
              </w:rPr>
              <w:t>All the reports must be documented in the patient’s medical records.</w:t>
            </w:r>
          </w:p>
          <w:p w14:paraId="38F6C066" w14:textId="77777777" w:rsidR="00CE209C" w:rsidRPr="002F733E" w:rsidRDefault="00CE209C" w:rsidP="005B338D">
            <w:pPr>
              <w:rPr>
                <w:rFonts w:ascii="Arial Narrow" w:hAnsi="Arial Narrow"/>
                <w:b/>
                <w:bCs/>
                <w:sz w:val="20"/>
                <w:szCs w:val="20"/>
              </w:rPr>
            </w:pPr>
            <w:r w:rsidRPr="002F733E">
              <w:rPr>
                <w:rFonts w:ascii="Arial Narrow" w:hAnsi="Arial Narrow"/>
                <w:sz w:val="20"/>
                <w:szCs w:val="20"/>
              </w:rPr>
              <w:t>The name of the specialist consulted must be provided at the time of application for initial supply.</w:t>
            </w:r>
          </w:p>
        </w:tc>
      </w:tr>
      <w:tr w:rsidR="00CE209C" w:rsidRPr="002F733E" w14:paraId="6C2A9D6F"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084"/>
        </w:trPr>
        <w:tc>
          <w:tcPr>
            <w:tcW w:w="5000" w:type="pct"/>
            <w:tcBorders>
              <w:top w:val="single" w:sz="4" w:space="0" w:color="auto"/>
              <w:left w:val="single" w:sz="4" w:space="0" w:color="auto"/>
              <w:right w:val="single" w:sz="4" w:space="0" w:color="auto"/>
            </w:tcBorders>
            <w:vAlign w:val="center"/>
          </w:tcPr>
          <w:p w14:paraId="60530872" w14:textId="77777777" w:rsidR="00CE209C" w:rsidRPr="002F733E" w:rsidRDefault="00CE209C" w:rsidP="005B338D">
            <w:pPr>
              <w:contextualSpacing/>
              <w:rPr>
                <w:rFonts w:ascii="Arial Narrow" w:hAnsi="Arial Narrow"/>
                <w:b/>
                <w:bCs/>
                <w:sz w:val="20"/>
                <w:szCs w:val="20"/>
              </w:rPr>
            </w:pPr>
            <w:r w:rsidRPr="002F733E">
              <w:rPr>
                <w:rFonts w:ascii="Arial Narrow" w:hAnsi="Arial Narrow"/>
                <w:b/>
                <w:bCs/>
                <w:sz w:val="20"/>
                <w:szCs w:val="20"/>
              </w:rPr>
              <w:t>Prescribing Instructions:</w:t>
            </w:r>
          </w:p>
          <w:p w14:paraId="6C77DF45" w14:textId="77777777" w:rsidR="00CE209C" w:rsidRPr="002F733E" w:rsidRDefault="00CE209C" w:rsidP="005B338D">
            <w:pPr>
              <w:contextualSpacing/>
              <w:rPr>
                <w:rFonts w:ascii="Arial Narrow" w:hAnsi="Arial Narrow"/>
                <w:sz w:val="20"/>
                <w:szCs w:val="20"/>
              </w:rPr>
            </w:pPr>
            <w:r w:rsidRPr="002F733E">
              <w:rPr>
                <w:rFonts w:ascii="Arial Narrow" w:hAnsi="Arial Narrow"/>
                <w:sz w:val="20"/>
                <w:szCs w:val="20"/>
              </w:rPr>
              <w:t>If the application is submitted through HPOS form upload or mail, it must include:</w:t>
            </w:r>
          </w:p>
          <w:p w14:paraId="4DBD3C72" w14:textId="77777777" w:rsidR="00CE209C" w:rsidRPr="002F733E" w:rsidRDefault="00CE209C" w:rsidP="00DC7889">
            <w:pPr>
              <w:pStyle w:val="ListParagraph"/>
              <w:numPr>
                <w:ilvl w:val="0"/>
                <w:numId w:val="23"/>
              </w:numPr>
              <w:spacing w:after="0"/>
              <w:ind w:left="272" w:hanging="272"/>
              <w:contextualSpacing/>
              <w:jc w:val="left"/>
              <w:rPr>
                <w:rFonts w:ascii="Arial Narrow" w:hAnsi="Arial Narrow"/>
                <w:sz w:val="20"/>
                <w:szCs w:val="20"/>
              </w:rPr>
            </w:pPr>
            <w:r w:rsidRPr="002F733E">
              <w:rPr>
                <w:rFonts w:ascii="Arial Narrow" w:hAnsi="Arial Narrow"/>
                <w:sz w:val="20"/>
                <w:szCs w:val="20"/>
              </w:rPr>
              <w:t>a completed authority prescription form; and</w:t>
            </w:r>
          </w:p>
          <w:p w14:paraId="6FC4CE48" w14:textId="77777777" w:rsidR="00CE209C" w:rsidRPr="002F733E" w:rsidRDefault="00CE209C" w:rsidP="00DC7889">
            <w:pPr>
              <w:pStyle w:val="ListParagraph"/>
              <w:numPr>
                <w:ilvl w:val="0"/>
                <w:numId w:val="23"/>
              </w:numPr>
              <w:spacing w:after="0"/>
              <w:ind w:left="268" w:hanging="268"/>
              <w:contextualSpacing/>
              <w:jc w:val="left"/>
              <w:rPr>
                <w:rFonts w:ascii="Arial Narrow" w:hAnsi="Arial Narrow"/>
                <w:i/>
                <w:iCs/>
                <w:sz w:val="20"/>
                <w:szCs w:val="20"/>
              </w:rPr>
            </w:pPr>
            <w:r w:rsidRPr="002F733E">
              <w:rPr>
                <w:rFonts w:ascii="Arial Narrow" w:hAnsi="Arial Narrow"/>
                <w:sz w:val="20"/>
                <w:szCs w:val="20"/>
              </w:rPr>
              <w:t>a completed authority application form relevant to the indication and treatment phase (the latest version is located on the website specified in the Administrative Advice)</w:t>
            </w:r>
            <w:r w:rsidRPr="002F733E">
              <w:rPr>
                <w:rFonts w:ascii="Arial Narrow" w:hAnsi="Arial Narrow"/>
                <w:i/>
                <w:iCs/>
                <w:sz w:val="20"/>
                <w:szCs w:val="20"/>
              </w:rPr>
              <w:t xml:space="preserve"> </w:t>
            </w:r>
          </w:p>
        </w:tc>
      </w:tr>
      <w:tr w:rsidR="00CE209C" w:rsidRPr="002F733E" w14:paraId="4A80BB21"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5AEBD84E" w14:textId="61ACFE3F" w:rsidR="00CE209C" w:rsidRPr="002F733E" w:rsidRDefault="00CE209C" w:rsidP="005B338D">
            <w:pPr>
              <w:rPr>
                <w:rFonts w:ascii="Arial Narrow" w:hAnsi="Arial Narrow"/>
                <w:iCs/>
                <w:sz w:val="20"/>
                <w:szCs w:val="20"/>
              </w:rPr>
            </w:pPr>
            <w:r w:rsidRPr="002F733E">
              <w:rPr>
                <w:rFonts w:ascii="Arial Narrow" w:hAnsi="Arial Narrow"/>
                <w:b/>
                <w:bCs/>
                <w:sz w:val="20"/>
                <w:szCs w:val="20"/>
              </w:rPr>
              <w:t>Prescribing Instructions:</w:t>
            </w:r>
            <w:r w:rsidR="002F733E">
              <w:rPr>
                <w:rFonts w:ascii="Arial Narrow" w:hAnsi="Arial Narrow"/>
                <w:b/>
                <w:bCs/>
                <w:sz w:val="20"/>
                <w:szCs w:val="20"/>
              </w:rPr>
              <w:t xml:space="preserve"> </w:t>
            </w:r>
            <w:r w:rsidRPr="002F733E">
              <w:rPr>
                <w:rFonts w:ascii="Arial Narrow" w:hAnsi="Arial Narrow"/>
                <w:iCs/>
                <w:sz w:val="20"/>
                <w:szCs w:val="20"/>
              </w:rPr>
              <w:t>History of systemic lupus erythematosus medication therapy should be based on documented use of treatment prescribed by a physician.</w:t>
            </w:r>
          </w:p>
          <w:p w14:paraId="24D61908"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Standard of care for this condition is a combination of an antimalarial medicine, a corticosteroid (at least 7.5 mg per day prednisolone or equivalent) and a systemic immunosuppressive medicine.</w:t>
            </w:r>
          </w:p>
          <w:p w14:paraId="23EEA3DC"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Where intolerance to standard of care of a severity necessitating permanent treatment withdrawal has occurred or is expected to occur, details of the degree of this toxicity must be provided at the time of application.</w:t>
            </w:r>
          </w:p>
          <w:p w14:paraId="47ACC7FB"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If treatment with standard of care therapy is contraindicated according to the relevant TGA approved Product Information, details of the contraindication must be provided at the time of application.</w:t>
            </w:r>
          </w:p>
        </w:tc>
      </w:tr>
      <w:tr w:rsidR="00CE209C" w:rsidRPr="002F733E" w14:paraId="3375B9A6"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235743A5" w14:textId="77777777" w:rsidR="00CE209C" w:rsidRPr="002F733E" w:rsidRDefault="00CE209C" w:rsidP="005B338D">
            <w:pPr>
              <w:rPr>
                <w:rFonts w:ascii="Arial Narrow" w:hAnsi="Arial Narrow"/>
                <w:b/>
                <w:bCs/>
                <w:iCs/>
                <w:sz w:val="20"/>
                <w:szCs w:val="20"/>
              </w:rPr>
            </w:pPr>
            <w:r w:rsidRPr="002F733E">
              <w:rPr>
                <w:rFonts w:ascii="Arial Narrow" w:hAnsi="Arial Narrow"/>
                <w:b/>
                <w:bCs/>
                <w:iCs/>
                <w:sz w:val="20"/>
                <w:szCs w:val="20"/>
              </w:rPr>
              <w:t>Administrative Advice:</w:t>
            </w:r>
          </w:p>
          <w:p w14:paraId="65CAE310"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SLEDAI-2K can be accessed via Gladman 2002 J. Rheumatol. 29 (2) 288-291 or from AstraZeneca Medical Information on 1800 805 342.</w:t>
            </w:r>
          </w:p>
        </w:tc>
      </w:tr>
      <w:tr w:rsidR="00CE209C" w:rsidRPr="002F733E" w14:paraId="1320B382"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596D44CC" w14:textId="77777777" w:rsidR="00CE209C" w:rsidRPr="002F733E" w:rsidRDefault="00CE209C" w:rsidP="005B338D">
            <w:pPr>
              <w:rPr>
                <w:rFonts w:ascii="Arial Narrow" w:hAnsi="Arial Narrow"/>
                <w:iCs/>
                <w:sz w:val="20"/>
                <w:szCs w:val="20"/>
              </w:rPr>
            </w:pPr>
            <w:r w:rsidRPr="002F733E">
              <w:rPr>
                <w:rFonts w:ascii="Arial Narrow" w:hAnsi="Arial Narrow"/>
                <w:b/>
                <w:bCs/>
                <w:iCs/>
                <w:sz w:val="20"/>
                <w:szCs w:val="20"/>
              </w:rPr>
              <w:t>Administrative Advice:</w:t>
            </w:r>
          </w:p>
          <w:p w14:paraId="4FF525DE"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Any queries concerning the arrangements to prescribe may be directed to the Services Australia on 1800 700 270 (hours of operation 8 a.m. to 5 p.m. Monday to Friday).</w:t>
            </w:r>
          </w:p>
          <w:p w14:paraId="32E8B708"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 xml:space="preserve">Prescribing information (including Authority Application forms and other relevant documentation as applicable) is available on the Services Australia website at </w:t>
            </w:r>
            <w:hyperlink r:id="rId10" w:history="1">
              <w:r w:rsidRPr="002F733E">
                <w:rPr>
                  <w:rStyle w:val="Hyperlink"/>
                  <w:rFonts w:ascii="Arial Narrow" w:hAnsi="Arial Narrow"/>
                  <w:iCs/>
                  <w:sz w:val="20"/>
                  <w:szCs w:val="20"/>
                </w:rPr>
                <w:t>servicesaustralia.gov.au</w:t>
              </w:r>
            </w:hyperlink>
          </w:p>
          <w:p w14:paraId="52D09F3C" w14:textId="77777777" w:rsidR="00CE209C" w:rsidRPr="002F733E" w:rsidRDefault="00CE209C" w:rsidP="005B338D">
            <w:pPr>
              <w:textAlignment w:val="baseline"/>
              <w:rPr>
                <w:rFonts w:ascii="Arial Narrow" w:hAnsi="Arial Narrow" w:cstheme="minorHAnsi"/>
                <w:iCs/>
                <w:color w:val="333333"/>
                <w:sz w:val="20"/>
                <w:szCs w:val="20"/>
              </w:rPr>
            </w:pPr>
            <w:r w:rsidRPr="002F733E">
              <w:rPr>
                <w:rFonts w:ascii="Arial Narrow" w:hAnsi="Arial Narrow" w:cstheme="minorHAnsi"/>
                <w:iCs/>
                <w:color w:val="333333"/>
                <w:sz w:val="20"/>
                <w:szCs w:val="20"/>
              </w:rPr>
              <w:t xml:space="preserve">Applications for authorisation under this restriction should be made in real time using the Online PBS Authorities system (see </w:t>
            </w:r>
            <w:hyperlink r:id="rId11" w:history="1">
              <w:r w:rsidRPr="002F733E">
                <w:rPr>
                  <w:rStyle w:val="Hyperlink"/>
                  <w:rFonts w:ascii="Arial Narrow" w:hAnsi="Arial Narrow" w:cstheme="minorHAnsi"/>
                  <w:iCs/>
                  <w:sz w:val="20"/>
                  <w:szCs w:val="20"/>
                </w:rPr>
                <w:t>www.servicesaustralia.gov.au</w:t>
              </w:r>
            </w:hyperlink>
            <w:r w:rsidRPr="002F733E">
              <w:rPr>
                <w:rFonts w:ascii="Arial Narrow" w:hAnsi="Arial Narrow" w:cstheme="minorHAnsi"/>
                <w:iCs/>
                <w:color w:val="333333"/>
                <w:sz w:val="20"/>
                <w:szCs w:val="20"/>
              </w:rPr>
              <w:t>/hpos)</w:t>
            </w:r>
          </w:p>
          <w:p w14:paraId="5D5EE32D"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Alternatively, applications for authority to prescribe can be submitted online using the form upload facility in Health Professional Online Services (HPOS)</w:t>
            </w:r>
            <w:r w:rsidRPr="002F733E">
              <w:rPr>
                <w:rFonts w:ascii="Arial Narrow" w:hAnsi="Arial Narrow"/>
                <w:bCs/>
                <w:iCs/>
                <w:sz w:val="20"/>
                <w:szCs w:val="20"/>
              </w:rPr>
              <w:t xml:space="preserve"> at www.servicesaustralia.gov.au/hpos </w:t>
            </w:r>
          </w:p>
          <w:p w14:paraId="174ECE48"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Or mailed to:</w:t>
            </w:r>
          </w:p>
          <w:p w14:paraId="454C4FE3"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Services Australia</w:t>
            </w:r>
          </w:p>
          <w:p w14:paraId="1BA185FE"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 xml:space="preserve">Complex Drugs </w:t>
            </w:r>
          </w:p>
          <w:p w14:paraId="1E9E228A" w14:textId="77777777" w:rsidR="00CE209C" w:rsidRPr="002F733E" w:rsidRDefault="00CE209C" w:rsidP="005B338D">
            <w:pPr>
              <w:rPr>
                <w:rFonts w:ascii="Arial Narrow" w:hAnsi="Arial Narrow"/>
                <w:iCs/>
                <w:sz w:val="20"/>
                <w:szCs w:val="20"/>
              </w:rPr>
            </w:pPr>
            <w:r w:rsidRPr="002F733E">
              <w:rPr>
                <w:rFonts w:ascii="Arial Narrow" w:hAnsi="Arial Narrow"/>
                <w:iCs/>
                <w:sz w:val="20"/>
                <w:szCs w:val="20"/>
              </w:rPr>
              <w:t xml:space="preserve">Reply Paid 9826 </w:t>
            </w:r>
          </w:p>
          <w:p w14:paraId="339FC3A1" w14:textId="77777777" w:rsidR="00CE209C" w:rsidRPr="002F733E" w:rsidRDefault="00CE209C" w:rsidP="005B338D">
            <w:pPr>
              <w:rPr>
                <w:rFonts w:ascii="Arial Narrow" w:hAnsi="Arial Narrow"/>
                <w:i/>
                <w:sz w:val="20"/>
                <w:szCs w:val="20"/>
              </w:rPr>
            </w:pPr>
            <w:r w:rsidRPr="002F733E">
              <w:rPr>
                <w:rFonts w:ascii="Arial Narrow" w:hAnsi="Arial Narrow"/>
                <w:iCs/>
                <w:sz w:val="20"/>
                <w:szCs w:val="20"/>
              </w:rPr>
              <w:t>HOBART TAS 7001</w:t>
            </w:r>
          </w:p>
        </w:tc>
      </w:tr>
      <w:tr w:rsidR="00CE209C" w:rsidRPr="002F733E" w14:paraId="58C92B90"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0F2418A" w14:textId="7613157D" w:rsidR="00CE209C" w:rsidRPr="002F733E" w:rsidRDefault="00CE209C" w:rsidP="00CE209C">
            <w:pPr>
              <w:rPr>
                <w:rFonts w:ascii="Arial Narrow" w:hAnsi="Arial Narrow"/>
                <w:bCs/>
                <w:sz w:val="20"/>
                <w:szCs w:val="20"/>
              </w:rPr>
            </w:pPr>
            <w:r w:rsidRPr="002F733E">
              <w:rPr>
                <w:rFonts w:ascii="Arial Narrow" w:hAnsi="Arial Narrow"/>
                <w:b/>
                <w:bCs/>
                <w:sz w:val="20"/>
                <w:szCs w:val="20"/>
              </w:rPr>
              <w:t xml:space="preserve">Administrative Advice: </w:t>
            </w:r>
            <w:r w:rsidRPr="002F733E">
              <w:rPr>
                <w:rFonts w:ascii="Arial Narrow" w:hAnsi="Arial Narrow"/>
                <w:bCs/>
                <w:sz w:val="20"/>
                <w:szCs w:val="20"/>
              </w:rPr>
              <w:t>No increase in the maximum number of repeats may be authorised.</w:t>
            </w:r>
          </w:p>
        </w:tc>
      </w:tr>
      <w:tr w:rsidR="00CE209C" w:rsidRPr="002F733E" w14:paraId="4555B574"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7E740E4E" w14:textId="2217C2B7" w:rsidR="00CE209C" w:rsidRPr="002F733E" w:rsidRDefault="00CE209C" w:rsidP="00CE209C">
            <w:pPr>
              <w:rPr>
                <w:rFonts w:ascii="Arial Narrow" w:hAnsi="Arial Narrow"/>
                <w:bCs/>
                <w:sz w:val="20"/>
                <w:szCs w:val="20"/>
              </w:rPr>
            </w:pPr>
            <w:r w:rsidRPr="002F733E">
              <w:rPr>
                <w:rFonts w:ascii="Arial Narrow" w:hAnsi="Arial Narrow"/>
                <w:b/>
                <w:bCs/>
                <w:sz w:val="20"/>
                <w:szCs w:val="20"/>
              </w:rPr>
              <w:t xml:space="preserve">Administrative Advice: </w:t>
            </w:r>
            <w:r w:rsidRPr="002F733E">
              <w:rPr>
                <w:rFonts w:ascii="Arial Narrow" w:hAnsi="Arial Narrow"/>
                <w:bCs/>
                <w:sz w:val="20"/>
                <w:szCs w:val="20"/>
              </w:rPr>
              <w:t>No increase in the maximum quantity or number of units may be authorised.</w:t>
            </w:r>
          </w:p>
        </w:tc>
      </w:tr>
    </w:tbl>
    <w:p w14:paraId="041F0B5F" w14:textId="77777777" w:rsidR="00CE209C" w:rsidRPr="002F733E" w:rsidRDefault="00CE209C" w:rsidP="00CE209C">
      <w:pPr>
        <w:pStyle w:val="Bodytextitalics"/>
        <w:spacing w:after="0"/>
        <w:rPr>
          <w:i w:val="0"/>
          <w:snapToGrid w:val="0"/>
          <w:sz w:val="20"/>
          <w:szCs w:val="20"/>
        </w:rPr>
      </w:pPr>
    </w:p>
    <w:p w14:paraId="3D7BFF9D" w14:textId="49DF669A" w:rsidR="00CE209C" w:rsidRPr="002F733E" w:rsidRDefault="00CE209C" w:rsidP="001E3906">
      <w:pPr>
        <w:keepNext/>
        <w:keepLines/>
        <w:rPr>
          <w:b/>
          <w:bCs/>
        </w:rPr>
      </w:pPr>
      <w:r w:rsidRPr="002F733E">
        <w:rPr>
          <w:b/>
          <w:bCs/>
        </w:rPr>
        <w:t xml:space="preserve">Grandfather continuing treatment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9017"/>
      </w:tblGrid>
      <w:tr w:rsidR="00CE209C" w:rsidRPr="002F733E" w14:paraId="6994DBCF" w14:textId="77777777" w:rsidTr="00CE209C">
        <w:tc>
          <w:tcPr>
            <w:tcW w:w="5000" w:type="pct"/>
            <w:tcBorders>
              <w:top w:val="single" w:sz="4" w:space="0" w:color="auto"/>
              <w:left w:val="single" w:sz="4" w:space="0" w:color="auto"/>
              <w:bottom w:val="single" w:sz="4" w:space="0" w:color="auto"/>
              <w:right w:val="single" w:sz="4" w:space="0" w:color="auto"/>
            </w:tcBorders>
          </w:tcPr>
          <w:p w14:paraId="70AAF563" w14:textId="77777777" w:rsidR="00CE209C" w:rsidRPr="002F733E" w:rsidRDefault="00CE209C" w:rsidP="005B338D">
            <w:pPr>
              <w:rPr>
                <w:rFonts w:ascii="Arial Narrow" w:hAnsi="Arial Narrow"/>
                <w:sz w:val="20"/>
              </w:rPr>
            </w:pPr>
            <w:r w:rsidRPr="002F733E">
              <w:rPr>
                <w:rFonts w:ascii="Arial Narrow" w:hAnsi="Arial Narrow"/>
                <w:b/>
                <w:sz w:val="20"/>
              </w:rPr>
              <w:t xml:space="preserve">Category / Program:  </w:t>
            </w:r>
            <w:r w:rsidRPr="002F733E">
              <w:rPr>
                <w:rFonts w:ascii="Arial Narrow" w:hAnsi="Arial Narrow"/>
                <w:sz w:val="20"/>
              </w:rPr>
              <w:t>Section 100 – Highly Specialised Drugs Program</w:t>
            </w:r>
          </w:p>
        </w:tc>
      </w:tr>
      <w:tr w:rsidR="00CE209C" w:rsidRPr="002F733E" w14:paraId="4561DDE7" w14:textId="77777777" w:rsidTr="00CE209C">
        <w:trPr>
          <w:trHeight w:val="240"/>
        </w:trPr>
        <w:tc>
          <w:tcPr>
            <w:tcW w:w="5000" w:type="pct"/>
            <w:tcBorders>
              <w:top w:val="single" w:sz="4" w:space="0" w:color="auto"/>
              <w:left w:val="single" w:sz="4" w:space="0" w:color="auto"/>
              <w:bottom w:val="single" w:sz="4" w:space="0" w:color="auto"/>
              <w:right w:val="single" w:sz="4" w:space="0" w:color="auto"/>
            </w:tcBorders>
          </w:tcPr>
          <w:p w14:paraId="33B1C1BA" w14:textId="77777777" w:rsidR="00CE209C" w:rsidRPr="002F733E" w:rsidRDefault="00CE209C" w:rsidP="005B338D">
            <w:pPr>
              <w:rPr>
                <w:rFonts w:ascii="Arial Narrow" w:hAnsi="Arial Narrow"/>
                <w:b/>
                <w:sz w:val="20"/>
              </w:rPr>
            </w:pPr>
            <w:r w:rsidRPr="002F733E">
              <w:rPr>
                <w:rFonts w:ascii="Arial Narrow" w:hAnsi="Arial Narrow"/>
                <w:b/>
                <w:sz w:val="20"/>
              </w:rPr>
              <w:t xml:space="preserve">Prescriber type:  </w:t>
            </w:r>
            <w:r w:rsidRPr="002F733E">
              <w:rPr>
                <w:rFonts w:ascii="Arial Narrow" w:hAnsi="Arial Narrow"/>
                <w:sz w:val="20"/>
              </w:rPr>
              <w:fldChar w:fldCharType="begin" w:fldLock="1">
                <w:ffData>
                  <w:name w:val=""/>
                  <w:enabled/>
                  <w:calcOnExit w:val="0"/>
                  <w:checkBox>
                    <w:sizeAuto/>
                    <w:default w:val="1"/>
                  </w:checkBox>
                </w:ffData>
              </w:fldChar>
            </w:r>
            <w:r w:rsidRPr="002F733E">
              <w:rPr>
                <w:rFonts w:ascii="Arial Narrow" w:hAnsi="Arial Narrow"/>
                <w:sz w:val="20"/>
              </w:rPr>
              <w:instrText xml:space="preserve"> FORMCHECKBOX </w:instrText>
            </w:r>
            <w:r w:rsidR="0090762C">
              <w:rPr>
                <w:rFonts w:ascii="Arial Narrow" w:hAnsi="Arial Narrow"/>
                <w:sz w:val="20"/>
              </w:rPr>
            </w:r>
            <w:r w:rsidR="0090762C">
              <w:rPr>
                <w:rFonts w:ascii="Arial Narrow" w:hAnsi="Arial Narrow"/>
                <w:sz w:val="20"/>
              </w:rPr>
              <w:fldChar w:fldCharType="separate"/>
            </w:r>
            <w:r w:rsidRPr="002F733E">
              <w:rPr>
                <w:rFonts w:ascii="Arial Narrow" w:hAnsi="Arial Narrow"/>
                <w:sz w:val="20"/>
              </w:rPr>
              <w:fldChar w:fldCharType="end"/>
            </w:r>
            <w:r w:rsidRPr="002F733E">
              <w:rPr>
                <w:rFonts w:ascii="Arial Narrow" w:hAnsi="Arial Narrow"/>
                <w:sz w:val="20"/>
              </w:rPr>
              <w:t>Medical Practitioners</w:t>
            </w:r>
          </w:p>
        </w:tc>
      </w:tr>
      <w:tr w:rsidR="00CE209C" w:rsidRPr="002F733E" w14:paraId="1EB4B2DC" w14:textId="77777777" w:rsidTr="00CE209C">
        <w:trPr>
          <w:trHeight w:val="446"/>
        </w:trPr>
        <w:tc>
          <w:tcPr>
            <w:tcW w:w="5000" w:type="pct"/>
            <w:tcBorders>
              <w:top w:val="single" w:sz="4" w:space="0" w:color="auto"/>
              <w:left w:val="single" w:sz="4" w:space="0" w:color="auto"/>
              <w:bottom w:val="single" w:sz="4" w:space="0" w:color="auto"/>
              <w:right w:val="single" w:sz="4" w:space="0" w:color="auto"/>
            </w:tcBorders>
          </w:tcPr>
          <w:p w14:paraId="0EF2C7EE" w14:textId="77777777" w:rsidR="00CE209C" w:rsidRPr="002F733E" w:rsidRDefault="00CE209C" w:rsidP="005B338D">
            <w:pPr>
              <w:rPr>
                <w:rFonts w:ascii="Arial Narrow" w:hAnsi="Arial Narrow"/>
                <w:b/>
                <w:sz w:val="20"/>
              </w:rPr>
            </w:pPr>
            <w:r w:rsidRPr="002F733E">
              <w:rPr>
                <w:rFonts w:ascii="Arial Narrow" w:hAnsi="Arial Narrow"/>
                <w:b/>
                <w:sz w:val="20"/>
              </w:rPr>
              <w:t>Restriction Level / Method:</w:t>
            </w:r>
          </w:p>
          <w:p w14:paraId="12ECBA53" w14:textId="77777777" w:rsidR="00CE209C" w:rsidRPr="002F733E" w:rsidRDefault="00CE209C" w:rsidP="005B338D">
            <w:pPr>
              <w:rPr>
                <w:rFonts w:ascii="Arial Narrow" w:hAnsi="Arial Narrow"/>
                <w:i/>
                <w:iCs/>
                <w:sz w:val="20"/>
              </w:rPr>
            </w:pPr>
            <w:r w:rsidRPr="002F733E">
              <w:rPr>
                <w:rFonts w:ascii="Arial Narrow" w:hAnsi="Arial Narrow"/>
                <w:sz w:val="20"/>
              </w:rPr>
              <w:fldChar w:fldCharType="begin" w:fldLock="1">
                <w:ffData>
                  <w:name w:val="Check3"/>
                  <w:enabled/>
                  <w:calcOnExit w:val="0"/>
                  <w:checkBox>
                    <w:sizeAuto/>
                    <w:default w:val="1"/>
                  </w:checkBox>
                </w:ffData>
              </w:fldChar>
            </w:r>
            <w:r w:rsidRPr="002F733E">
              <w:rPr>
                <w:rFonts w:ascii="Arial Narrow" w:hAnsi="Arial Narrow"/>
                <w:sz w:val="20"/>
              </w:rPr>
              <w:instrText xml:space="preserve"> FORMCHECKBOX </w:instrText>
            </w:r>
            <w:r w:rsidR="0090762C">
              <w:rPr>
                <w:rFonts w:ascii="Arial Narrow" w:hAnsi="Arial Narrow"/>
                <w:sz w:val="20"/>
              </w:rPr>
            </w:r>
            <w:r w:rsidR="0090762C">
              <w:rPr>
                <w:rFonts w:ascii="Arial Narrow" w:hAnsi="Arial Narrow"/>
                <w:sz w:val="20"/>
              </w:rPr>
              <w:fldChar w:fldCharType="separate"/>
            </w:r>
            <w:r w:rsidRPr="002F733E">
              <w:rPr>
                <w:rFonts w:ascii="Arial Narrow" w:hAnsi="Arial Narrow"/>
                <w:sz w:val="20"/>
              </w:rPr>
              <w:fldChar w:fldCharType="end"/>
            </w:r>
            <w:r w:rsidRPr="002F733E">
              <w:rPr>
                <w:rFonts w:ascii="Arial Narrow" w:hAnsi="Arial Narrow"/>
                <w:sz w:val="20"/>
              </w:rPr>
              <w:t>Authority Required – Telephone/Online PBS Authorities immediate assessment</w:t>
            </w:r>
          </w:p>
        </w:tc>
      </w:tr>
      <w:tr w:rsidR="00CE209C" w:rsidRPr="002F733E" w14:paraId="6345F83E"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13C0B755" w14:textId="77777777" w:rsidR="00CE209C" w:rsidRPr="002F733E" w:rsidRDefault="00CE209C" w:rsidP="005B338D">
            <w:pPr>
              <w:rPr>
                <w:rFonts w:ascii="Arial Narrow" w:hAnsi="Arial Narrow"/>
                <w:iCs/>
                <w:sz w:val="20"/>
              </w:rPr>
            </w:pPr>
            <w:r w:rsidRPr="002F733E">
              <w:rPr>
                <w:rFonts w:ascii="Arial Narrow" w:hAnsi="Arial Narrow"/>
                <w:b/>
                <w:bCs/>
                <w:iCs/>
                <w:sz w:val="20"/>
              </w:rPr>
              <w:t xml:space="preserve">Episodicity: </w:t>
            </w:r>
            <w:r w:rsidRPr="002F733E">
              <w:rPr>
                <w:rFonts w:ascii="Arial Narrow" w:hAnsi="Arial Narrow"/>
                <w:iCs/>
                <w:sz w:val="20"/>
              </w:rPr>
              <w:t>Active</w:t>
            </w:r>
          </w:p>
        </w:tc>
      </w:tr>
      <w:tr w:rsidR="00CE209C" w:rsidRPr="002F733E" w14:paraId="5DB0CF40"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5DB0AB84" w14:textId="77777777" w:rsidR="00CE209C" w:rsidRPr="002F733E" w:rsidRDefault="00CE209C" w:rsidP="005B338D">
            <w:pPr>
              <w:rPr>
                <w:rFonts w:ascii="Arial Narrow" w:hAnsi="Arial Narrow"/>
                <w:b/>
                <w:bCs/>
                <w:iCs/>
                <w:sz w:val="20"/>
              </w:rPr>
            </w:pPr>
            <w:r w:rsidRPr="002F733E">
              <w:rPr>
                <w:rFonts w:ascii="Arial Narrow" w:hAnsi="Arial Narrow"/>
                <w:b/>
                <w:bCs/>
                <w:iCs/>
                <w:sz w:val="20"/>
              </w:rPr>
              <w:t xml:space="preserve">Condition: </w:t>
            </w:r>
            <w:r w:rsidRPr="002F733E">
              <w:rPr>
                <w:rFonts w:ascii="Arial Narrow" w:hAnsi="Arial Narrow"/>
                <w:sz w:val="20"/>
              </w:rPr>
              <w:t>Systemic lupus erythematosus</w:t>
            </w:r>
          </w:p>
        </w:tc>
      </w:tr>
      <w:tr w:rsidR="00CE209C" w:rsidRPr="002F733E" w14:paraId="29190EB3"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557CA028" w14:textId="77777777" w:rsidR="00CE209C" w:rsidRPr="002F733E" w:rsidRDefault="00CE209C" w:rsidP="005B338D">
            <w:pPr>
              <w:rPr>
                <w:rFonts w:ascii="Arial Narrow" w:hAnsi="Arial Narrow"/>
                <w:i/>
                <w:sz w:val="20"/>
              </w:rPr>
            </w:pPr>
            <w:r w:rsidRPr="002F733E">
              <w:rPr>
                <w:rFonts w:ascii="Arial Narrow" w:hAnsi="Arial Narrow"/>
                <w:b/>
                <w:bCs/>
                <w:iCs/>
                <w:strike/>
                <w:sz w:val="20"/>
              </w:rPr>
              <w:t>PBS</w:t>
            </w:r>
            <w:r w:rsidRPr="002F733E">
              <w:rPr>
                <w:rFonts w:ascii="Arial Narrow" w:hAnsi="Arial Narrow"/>
                <w:b/>
                <w:bCs/>
                <w:i/>
                <w:sz w:val="20"/>
              </w:rPr>
              <w:t xml:space="preserve"> </w:t>
            </w:r>
            <w:r w:rsidRPr="002F733E">
              <w:rPr>
                <w:rFonts w:ascii="Arial Narrow" w:hAnsi="Arial Narrow"/>
                <w:b/>
                <w:bCs/>
                <w:iCs/>
                <w:sz w:val="20"/>
              </w:rPr>
              <w:t>Indication</w:t>
            </w:r>
            <w:r w:rsidRPr="002F733E">
              <w:rPr>
                <w:rFonts w:ascii="Arial Narrow" w:hAnsi="Arial Narrow"/>
                <w:b/>
                <w:bCs/>
                <w:i/>
                <w:sz w:val="20"/>
              </w:rPr>
              <w:t>:</w:t>
            </w:r>
            <w:r w:rsidRPr="002F733E">
              <w:rPr>
                <w:rFonts w:ascii="Arial Narrow" w:hAnsi="Arial Narrow"/>
                <w:i/>
                <w:sz w:val="20"/>
              </w:rPr>
              <w:t xml:space="preserve"> </w:t>
            </w:r>
            <w:r w:rsidRPr="002F733E">
              <w:rPr>
                <w:rFonts w:ascii="Arial Narrow" w:hAnsi="Arial Narrow"/>
                <w:iCs/>
                <w:sz w:val="20"/>
              </w:rPr>
              <w:t>Active</w:t>
            </w:r>
            <w:r w:rsidRPr="002F733E">
              <w:rPr>
                <w:rFonts w:ascii="Arial Narrow" w:hAnsi="Arial Narrow"/>
                <w:i/>
                <w:sz w:val="20"/>
              </w:rPr>
              <w:t xml:space="preserve"> s</w:t>
            </w:r>
            <w:r w:rsidRPr="002F733E">
              <w:rPr>
                <w:rFonts w:ascii="Arial Narrow" w:hAnsi="Arial Narrow"/>
                <w:sz w:val="20"/>
              </w:rPr>
              <w:t>ystemic lupus erythematosus</w:t>
            </w:r>
          </w:p>
        </w:tc>
      </w:tr>
      <w:tr w:rsidR="00CE209C" w:rsidRPr="002F733E" w14:paraId="26D6A9E2"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11A5F5E2" w14:textId="77777777" w:rsidR="00CE209C" w:rsidRPr="002F733E" w:rsidRDefault="00CE209C" w:rsidP="005B338D">
            <w:pPr>
              <w:rPr>
                <w:rFonts w:ascii="Arial Narrow" w:hAnsi="Arial Narrow"/>
                <w:sz w:val="20"/>
              </w:rPr>
            </w:pPr>
            <w:r w:rsidRPr="002F733E">
              <w:rPr>
                <w:rFonts w:ascii="Arial Narrow" w:hAnsi="Arial Narrow"/>
                <w:b/>
                <w:bCs/>
                <w:sz w:val="20"/>
              </w:rPr>
              <w:t>Treatment Phase:</w:t>
            </w:r>
            <w:r w:rsidRPr="002F733E">
              <w:rPr>
                <w:rFonts w:ascii="Arial Narrow" w:hAnsi="Arial Narrow"/>
                <w:sz w:val="20"/>
              </w:rPr>
              <w:t xml:space="preserve"> Continuing </w:t>
            </w:r>
            <w:r w:rsidRPr="002F733E">
              <w:rPr>
                <w:rFonts w:ascii="Arial Narrow" w:hAnsi="Arial Narrow"/>
                <w:strike/>
                <w:sz w:val="20"/>
              </w:rPr>
              <w:t>(‘grandfather’ patients’)</w:t>
            </w:r>
            <w:r w:rsidRPr="002F733E">
              <w:rPr>
                <w:rFonts w:ascii="Arial Narrow" w:hAnsi="Arial Narrow"/>
                <w:sz w:val="20"/>
              </w:rPr>
              <w:t xml:space="preserve"> – transitioning from non-PBS to PBS subsidised supply</w:t>
            </w:r>
          </w:p>
        </w:tc>
      </w:tr>
      <w:tr w:rsidR="00CE209C" w:rsidRPr="002F733E" w14:paraId="7C93278C"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767B8B12" w14:textId="77777777" w:rsidR="00CE209C" w:rsidRPr="002F733E" w:rsidRDefault="00CE209C" w:rsidP="005B338D">
            <w:pPr>
              <w:rPr>
                <w:rFonts w:ascii="Arial Narrow" w:hAnsi="Arial Narrow"/>
                <w:b/>
                <w:bCs/>
                <w:sz w:val="20"/>
              </w:rPr>
            </w:pPr>
            <w:r w:rsidRPr="002F733E">
              <w:rPr>
                <w:rFonts w:ascii="Arial Narrow" w:hAnsi="Arial Narrow"/>
                <w:b/>
                <w:bCs/>
                <w:sz w:val="20"/>
              </w:rPr>
              <w:t>Treatment criteria:</w:t>
            </w:r>
          </w:p>
        </w:tc>
      </w:tr>
      <w:tr w:rsidR="00CE209C" w:rsidRPr="002F733E" w14:paraId="6C1ECA67"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6AE62632" w14:textId="77777777" w:rsidR="00CE209C" w:rsidRPr="002F733E" w:rsidRDefault="00CE209C" w:rsidP="005B338D">
            <w:pPr>
              <w:rPr>
                <w:rFonts w:ascii="Arial Narrow" w:eastAsiaTheme="majorEastAsia" w:hAnsi="Arial Narrow"/>
                <w:sz w:val="20"/>
                <w:szCs w:val="20"/>
                <w:lang w:bidi="en-US"/>
              </w:rPr>
            </w:pPr>
            <w:r w:rsidRPr="002F733E">
              <w:rPr>
                <w:rFonts w:ascii="Arial Narrow" w:eastAsiaTheme="majorEastAsia" w:hAnsi="Arial Narrow"/>
                <w:sz w:val="20"/>
                <w:szCs w:val="20"/>
                <w:lang w:bidi="en-US"/>
              </w:rPr>
              <w:t>Must be treated by a rheumatologist; or</w:t>
            </w:r>
          </w:p>
          <w:p w14:paraId="1A544912" w14:textId="77777777" w:rsidR="00CE209C" w:rsidRPr="002F733E" w:rsidRDefault="00CE209C" w:rsidP="005B338D">
            <w:pPr>
              <w:rPr>
                <w:rFonts w:ascii="Arial Narrow" w:eastAsiaTheme="majorEastAsia" w:hAnsi="Arial Narrow"/>
                <w:strike/>
                <w:sz w:val="20"/>
                <w:szCs w:val="20"/>
                <w:lang w:bidi="en-US"/>
              </w:rPr>
            </w:pPr>
            <w:r w:rsidRPr="002F733E">
              <w:rPr>
                <w:rFonts w:ascii="Arial Narrow" w:eastAsiaTheme="majorEastAsia" w:hAnsi="Arial Narrow"/>
                <w:sz w:val="20"/>
                <w:szCs w:val="20"/>
                <w:lang w:bidi="en-US"/>
              </w:rPr>
              <w:t xml:space="preserve">Must be treated by a clinical immunologist; </w:t>
            </w:r>
            <w:r w:rsidRPr="002F733E">
              <w:rPr>
                <w:rFonts w:ascii="Arial Narrow" w:eastAsiaTheme="majorEastAsia" w:hAnsi="Arial Narrow"/>
                <w:strike/>
                <w:sz w:val="20"/>
                <w:szCs w:val="20"/>
                <w:lang w:bidi="en-US"/>
              </w:rPr>
              <w:t xml:space="preserve">or </w:t>
            </w:r>
          </w:p>
          <w:p w14:paraId="2E840996" w14:textId="77777777" w:rsidR="00CE209C" w:rsidRPr="002F733E" w:rsidRDefault="00CE209C" w:rsidP="005B338D">
            <w:pPr>
              <w:rPr>
                <w:rFonts w:ascii="Arial Narrow" w:eastAsiaTheme="majorEastAsia" w:hAnsi="Arial Narrow"/>
                <w:i/>
                <w:iCs/>
                <w:sz w:val="20"/>
                <w:szCs w:val="20"/>
                <w:lang w:bidi="en-US"/>
              </w:rPr>
            </w:pPr>
            <w:r w:rsidRPr="002F733E">
              <w:rPr>
                <w:rFonts w:ascii="Arial Narrow" w:eastAsiaTheme="majorEastAsia" w:hAnsi="Arial Narrow"/>
                <w:i/>
                <w:iCs/>
                <w:sz w:val="20"/>
                <w:szCs w:val="20"/>
                <w:lang w:bidi="en-US"/>
              </w:rPr>
              <w:t>Alternatively</w:t>
            </w:r>
          </w:p>
          <w:p w14:paraId="1A70955D" w14:textId="77777777" w:rsidR="00CE209C" w:rsidRPr="002F733E" w:rsidRDefault="00CE209C" w:rsidP="005B338D">
            <w:pPr>
              <w:rPr>
                <w:rFonts w:ascii="Arial Narrow" w:hAnsi="Arial Narrow"/>
                <w:b/>
                <w:bCs/>
                <w:sz w:val="20"/>
              </w:rPr>
            </w:pPr>
            <w:r w:rsidRPr="002F733E">
              <w:rPr>
                <w:rFonts w:ascii="Arial Narrow" w:hAnsi="Arial Narrow"/>
                <w:sz w:val="20"/>
              </w:rPr>
              <w:t>Must be treated by a specialist physician experienced in the management of this condition</w:t>
            </w:r>
          </w:p>
        </w:tc>
      </w:tr>
      <w:tr w:rsidR="00CE209C" w:rsidRPr="002F733E" w14:paraId="71C6199C"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06D0785" w14:textId="77777777" w:rsidR="00CE209C" w:rsidRPr="002F733E" w:rsidRDefault="00CE209C" w:rsidP="005B338D">
            <w:pPr>
              <w:rPr>
                <w:rFonts w:ascii="Arial Narrow" w:hAnsi="Arial Narrow"/>
                <w:b/>
                <w:bCs/>
                <w:sz w:val="20"/>
              </w:rPr>
            </w:pPr>
            <w:r w:rsidRPr="002F733E">
              <w:rPr>
                <w:rFonts w:ascii="Arial Narrow" w:hAnsi="Arial Narrow"/>
                <w:b/>
                <w:bCs/>
                <w:sz w:val="20"/>
              </w:rPr>
              <w:t>Clinical criteria:</w:t>
            </w:r>
          </w:p>
        </w:tc>
      </w:tr>
      <w:tr w:rsidR="00CE209C" w:rsidRPr="002F733E" w14:paraId="06C62BBF"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158ABECB" w14:textId="77777777" w:rsidR="00CE209C" w:rsidRPr="002F733E" w:rsidRDefault="00CE209C" w:rsidP="005B338D">
            <w:pPr>
              <w:rPr>
                <w:rFonts w:ascii="Arial Narrow" w:hAnsi="Arial Narrow"/>
                <w:sz w:val="20"/>
              </w:rPr>
            </w:pPr>
            <w:r w:rsidRPr="002F733E">
              <w:rPr>
                <w:rFonts w:ascii="Arial Narrow" w:hAnsi="Arial Narrow"/>
                <w:sz w:val="20"/>
              </w:rPr>
              <w:t xml:space="preserve">Patient must </w:t>
            </w:r>
            <w:r w:rsidRPr="002F733E">
              <w:rPr>
                <w:rFonts w:ascii="Arial Narrow" w:hAnsi="Arial Narrow"/>
                <w:strike/>
                <w:sz w:val="20"/>
              </w:rPr>
              <w:t>previously been initiated this drug for this condition</w:t>
            </w:r>
            <w:r w:rsidRPr="002F733E">
              <w:rPr>
                <w:rFonts w:ascii="Arial Narrow" w:hAnsi="Arial Narrow"/>
                <w:sz w:val="20"/>
              </w:rPr>
              <w:t xml:space="preserve"> </w:t>
            </w:r>
            <w:r w:rsidRPr="002F733E">
              <w:rPr>
                <w:rFonts w:ascii="Arial Narrow" w:hAnsi="Arial Narrow"/>
                <w:i/>
                <w:iCs/>
                <w:sz w:val="20"/>
              </w:rPr>
              <w:t>have received prior non-PBS-subsidised treatment with this drug for this condition in this treatment cycle prior to [date of PBS listing]</w:t>
            </w:r>
          </w:p>
        </w:tc>
      </w:tr>
      <w:tr w:rsidR="00CE209C" w:rsidRPr="002F733E" w14:paraId="3E0ABF5B"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4D57D81D" w14:textId="77777777" w:rsidR="00CE209C" w:rsidRPr="002F733E" w:rsidRDefault="00CE209C" w:rsidP="005B338D">
            <w:pPr>
              <w:rPr>
                <w:rFonts w:ascii="Arial Narrow" w:hAnsi="Arial Narrow"/>
                <w:b/>
                <w:bCs/>
                <w:sz w:val="20"/>
              </w:rPr>
            </w:pPr>
            <w:r w:rsidRPr="002F733E">
              <w:rPr>
                <w:rFonts w:ascii="Arial Narrow" w:hAnsi="Arial Narrow"/>
                <w:b/>
                <w:bCs/>
                <w:sz w:val="20"/>
              </w:rPr>
              <w:t>AND</w:t>
            </w:r>
          </w:p>
        </w:tc>
      </w:tr>
      <w:tr w:rsidR="00CE209C" w:rsidRPr="002F733E" w14:paraId="6A15483F"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06A103A3" w14:textId="77777777" w:rsidR="00CE209C" w:rsidRPr="002F733E" w:rsidRDefault="00CE209C" w:rsidP="005B338D">
            <w:pPr>
              <w:rPr>
                <w:rFonts w:ascii="Arial Narrow" w:hAnsi="Arial Narrow"/>
                <w:b/>
                <w:bCs/>
                <w:sz w:val="20"/>
              </w:rPr>
            </w:pPr>
            <w:r w:rsidRPr="002F733E">
              <w:rPr>
                <w:rFonts w:ascii="Arial Narrow" w:hAnsi="Arial Narrow"/>
                <w:b/>
                <w:bCs/>
                <w:sz w:val="20"/>
              </w:rPr>
              <w:t>Clinical criteria:</w:t>
            </w:r>
          </w:p>
        </w:tc>
      </w:tr>
      <w:tr w:rsidR="00CE209C" w:rsidRPr="002F733E" w14:paraId="66BF3B60"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tcPr>
          <w:p w14:paraId="6F4A948E" w14:textId="77777777" w:rsidR="00CE209C" w:rsidRPr="002F733E" w:rsidRDefault="00CE209C" w:rsidP="005B338D">
            <w:pPr>
              <w:spacing w:after="120"/>
              <w:rPr>
                <w:rFonts w:ascii="Arial Narrow" w:eastAsiaTheme="majorEastAsia" w:hAnsi="Arial Narrow"/>
                <w:sz w:val="20"/>
                <w:szCs w:val="20"/>
                <w:lang w:bidi="en-US"/>
              </w:rPr>
            </w:pPr>
            <w:r w:rsidRPr="002F733E">
              <w:rPr>
                <w:rFonts w:ascii="Arial Narrow" w:eastAsiaTheme="majorEastAsia" w:hAnsi="Arial Narrow"/>
                <w:sz w:val="20"/>
                <w:szCs w:val="20"/>
                <w:lang w:bidi="en-US"/>
              </w:rPr>
              <w:t>Patient must have demonstrated or maintained at least a 4-point reduction in Systemic Lupus Erythematosus Disease Activity Index 2000 (SLEDAI-2K) score, compared to the baseline assessment, or</w:t>
            </w:r>
          </w:p>
          <w:p w14:paraId="1B31F636" w14:textId="77777777" w:rsidR="00CE209C" w:rsidRPr="002F733E" w:rsidRDefault="00CE209C" w:rsidP="005B338D">
            <w:pPr>
              <w:rPr>
                <w:rFonts w:ascii="Arial Narrow" w:eastAsiaTheme="majorEastAsia" w:hAnsi="Arial Narrow"/>
                <w:sz w:val="20"/>
                <w:szCs w:val="20"/>
                <w:lang w:bidi="en-US"/>
              </w:rPr>
            </w:pPr>
            <w:r w:rsidRPr="002F733E">
              <w:rPr>
                <w:rFonts w:ascii="Arial Narrow" w:eastAsiaTheme="majorEastAsia" w:hAnsi="Arial Narrow"/>
                <w:sz w:val="20"/>
                <w:szCs w:val="20"/>
                <w:lang w:bidi="en-US"/>
              </w:rPr>
              <w:t>Patient must have demonstrated or maintained at least a 4-point reduction in Systemic Lupus Erythematosus Disease Activity Index 2000 (SLEDAI-2K) score, compared to the baseline assessment prior to having a treatment break for clinical reasons.</w:t>
            </w:r>
          </w:p>
        </w:tc>
      </w:tr>
      <w:tr w:rsidR="00CE209C" w:rsidRPr="002F733E" w14:paraId="2C3AC954"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vAlign w:val="center"/>
            <w:hideMark/>
          </w:tcPr>
          <w:p w14:paraId="5F47760A" w14:textId="77777777" w:rsidR="00CE209C" w:rsidRPr="002F733E" w:rsidRDefault="00CE209C" w:rsidP="005B338D">
            <w:pPr>
              <w:rPr>
                <w:rFonts w:ascii="Arial Narrow" w:hAnsi="Arial Narrow"/>
                <w:iCs/>
                <w:sz w:val="20"/>
              </w:rPr>
            </w:pPr>
            <w:r w:rsidRPr="002F733E">
              <w:rPr>
                <w:rFonts w:ascii="Arial Narrow" w:hAnsi="Arial Narrow"/>
                <w:b/>
                <w:bCs/>
                <w:iCs/>
                <w:sz w:val="20"/>
              </w:rPr>
              <w:t>Administrative Advice:</w:t>
            </w:r>
          </w:p>
          <w:p w14:paraId="53883A8B" w14:textId="77777777" w:rsidR="00CE209C" w:rsidRPr="002F733E" w:rsidRDefault="00CE209C" w:rsidP="005B338D">
            <w:pPr>
              <w:rPr>
                <w:rFonts w:ascii="Arial Narrow" w:hAnsi="Arial Narrow"/>
                <w:iCs/>
                <w:sz w:val="20"/>
              </w:rPr>
            </w:pPr>
            <w:r w:rsidRPr="002F733E">
              <w:rPr>
                <w:rFonts w:ascii="Arial Narrow" w:hAnsi="Arial Narrow"/>
                <w:iCs/>
                <w:sz w:val="20"/>
              </w:rPr>
              <w:t>SLEDAI-2K can be accessed via Gladman 2002 J. Rheumatol. 29 (2) 288-291 or from AstraZeneca Medical Information on 1800 805 342.</w:t>
            </w:r>
          </w:p>
        </w:tc>
      </w:tr>
      <w:tr w:rsidR="00CE209C" w:rsidRPr="002F733E" w14:paraId="40D2E330"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43DC59D" w14:textId="42D578F4" w:rsidR="00CE209C" w:rsidRPr="002F733E" w:rsidRDefault="00CE209C" w:rsidP="00CE209C">
            <w:pPr>
              <w:rPr>
                <w:rFonts w:ascii="Arial Narrow" w:hAnsi="Arial Narrow"/>
                <w:bCs/>
                <w:iCs/>
                <w:sz w:val="20"/>
              </w:rPr>
            </w:pPr>
            <w:r w:rsidRPr="002F733E">
              <w:rPr>
                <w:rFonts w:ascii="Arial Narrow" w:hAnsi="Arial Narrow"/>
                <w:b/>
                <w:bCs/>
                <w:iCs/>
                <w:sz w:val="20"/>
              </w:rPr>
              <w:t xml:space="preserve">Administrative Advice: </w:t>
            </w:r>
            <w:r w:rsidRPr="002F733E">
              <w:rPr>
                <w:rFonts w:ascii="Arial Narrow" w:hAnsi="Arial Narrow"/>
                <w:bCs/>
                <w:iCs/>
                <w:sz w:val="20"/>
              </w:rPr>
              <w:t>No increase in the maximum number of repeats may be authorised.</w:t>
            </w:r>
          </w:p>
        </w:tc>
      </w:tr>
      <w:tr w:rsidR="00CE209C" w:rsidRPr="002F733E" w14:paraId="04BAE220"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3C758D4F" w14:textId="6D4F96DC" w:rsidR="00CE209C" w:rsidRPr="002F733E" w:rsidRDefault="00CE209C" w:rsidP="00CE209C">
            <w:pPr>
              <w:rPr>
                <w:rFonts w:ascii="Arial Narrow" w:hAnsi="Arial Narrow"/>
                <w:bCs/>
                <w:iCs/>
                <w:sz w:val="20"/>
              </w:rPr>
            </w:pPr>
            <w:r w:rsidRPr="002F733E">
              <w:rPr>
                <w:rFonts w:ascii="Arial Narrow" w:hAnsi="Arial Narrow"/>
                <w:b/>
                <w:bCs/>
                <w:iCs/>
                <w:sz w:val="20"/>
              </w:rPr>
              <w:t xml:space="preserve">Administrative Advice: </w:t>
            </w:r>
            <w:r w:rsidRPr="002F733E">
              <w:rPr>
                <w:rFonts w:ascii="Arial Narrow" w:hAnsi="Arial Narrow"/>
                <w:bCs/>
                <w:iCs/>
                <w:sz w:val="20"/>
              </w:rPr>
              <w:t>No increase in the maximum quantity or number of units may be authorised.</w:t>
            </w:r>
          </w:p>
        </w:tc>
      </w:tr>
      <w:tr w:rsidR="00CE209C" w:rsidRPr="002F733E" w14:paraId="337FA76F" w14:textId="77777777" w:rsidTr="00CE20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tcBorders>
              <w:top w:val="single" w:sz="4" w:space="0" w:color="auto"/>
              <w:left w:val="single" w:sz="4" w:space="0" w:color="auto"/>
              <w:bottom w:val="single" w:sz="4" w:space="0" w:color="auto"/>
              <w:right w:val="single" w:sz="4" w:space="0" w:color="auto"/>
            </w:tcBorders>
            <w:shd w:val="clear" w:color="auto" w:fill="auto"/>
            <w:vAlign w:val="center"/>
          </w:tcPr>
          <w:p w14:paraId="22829739" w14:textId="77777777" w:rsidR="00CE209C" w:rsidRPr="002F733E" w:rsidRDefault="00CE209C" w:rsidP="005B338D">
            <w:pPr>
              <w:rPr>
                <w:rFonts w:ascii="Arial Narrow" w:hAnsi="Arial Narrow"/>
                <w:iCs/>
                <w:sz w:val="20"/>
              </w:rPr>
            </w:pPr>
            <w:r w:rsidRPr="002F733E">
              <w:rPr>
                <w:rFonts w:ascii="Arial Narrow" w:hAnsi="Arial Narrow"/>
                <w:b/>
                <w:bCs/>
                <w:iCs/>
                <w:sz w:val="20"/>
              </w:rPr>
              <w:t>Administrative Advice:</w:t>
            </w:r>
          </w:p>
          <w:p w14:paraId="06F034D6" w14:textId="77777777" w:rsidR="00CE209C" w:rsidRPr="002F733E" w:rsidRDefault="00CE209C" w:rsidP="005B338D">
            <w:pPr>
              <w:rPr>
                <w:rFonts w:ascii="Arial Narrow" w:hAnsi="Arial Narrow"/>
                <w:iCs/>
                <w:sz w:val="20"/>
                <w:u w:val="single"/>
              </w:rPr>
            </w:pPr>
            <w:r w:rsidRPr="002F733E">
              <w:rPr>
                <w:rFonts w:ascii="Arial Narrow" w:hAnsi="Arial Narrow"/>
                <w:iCs/>
                <w:sz w:val="20"/>
                <w:u w:val="single"/>
              </w:rPr>
              <w:t>Note</w:t>
            </w:r>
          </w:p>
          <w:p w14:paraId="4827A206" w14:textId="77777777" w:rsidR="00CE209C" w:rsidRPr="002F733E" w:rsidRDefault="00CE209C" w:rsidP="005B338D">
            <w:pPr>
              <w:rPr>
                <w:rFonts w:ascii="Arial Narrow" w:hAnsi="Arial Narrow"/>
                <w:b/>
                <w:bCs/>
                <w:iCs/>
                <w:sz w:val="20"/>
              </w:rPr>
            </w:pPr>
            <w:r w:rsidRPr="002F733E">
              <w:rPr>
                <w:rFonts w:ascii="Arial Narrow" w:hAnsi="Arial Narrow"/>
                <w:iCs/>
                <w:sz w:val="20"/>
              </w:rPr>
              <w:t>[Complex Authority Required flag] Any queries concerning the arrangements to prescribe may be directed to the Department of Human Services on 1800 700 270 (hours of operation 8 a.m. to 5 p.m. Monday to Friday).</w:t>
            </w:r>
          </w:p>
        </w:tc>
      </w:tr>
    </w:tbl>
    <w:p w14:paraId="43470C57" w14:textId="77777777" w:rsidR="00CE209C" w:rsidRPr="002F733E" w:rsidRDefault="00CE209C" w:rsidP="00CE209C"/>
    <w:p w14:paraId="068EBAE5" w14:textId="4263D8A6" w:rsidR="00C37A84" w:rsidRPr="002F733E" w:rsidRDefault="00C37A84" w:rsidP="00D30D5B">
      <w:pPr>
        <w:pStyle w:val="ExecSumBodyText"/>
        <w:numPr>
          <w:ilvl w:val="1"/>
          <w:numId w:val="1"/>
        </w:numPr>
        <w:rPr>
          <w:iCs/>
        </w:rPr>
      </w:pPr>
      <w:r w:rsidRPr="002F733E">
        <w:rPr>
          <w:iCs/>
        </w:rPr>
        <w:t xml:space="preserve">The requested maximum quantities of </w:t>
      </w:r>
      <w:r w:rsidR="00F2361E" w:rsidRPr="002F733E">
        <w:rPr>
          <w:iCs/>
        </w:rPr>
        <w:t xml:space="preserve">an </w:t>
      </w:r>
      <w:r w:rsidRPr="002F733E">
        <w:rPr>
          <w:iCs/>
        </w:rPr>
        <w:t xml:space="preserve">initial script plus 6 repeats allow 24 weeks of treatment and </w:t>
      </w:r>
      <w:r w:rsidR="00F2361E" w:rsidRPr="002F733E">
        <w:rPr>
          <w:iCs/>
        </w:rPr>
        <w:t xml:space="preserve">are </w:t>
      </w:r>
      <w:r w:rsidRPr="002F733E">
        <w:rPr>
          <w:iCs/>
        </w:rPr>
        <w:t xml:space="preserve">sufficient for assessment of response at 24 weeks for continuing therapy on PBS. For continuing treatment, the requested maximum quantity of one </w:t>
      </w:r>
      <w:r w:rsidR="00F2361E" w:rsidRPr="002F733E">
        <w:rPr>
          <w:iCs/>
        </w:rPr>
        <w:t xml:space="preserve">script </w:t>
      </w:r>
      <w:r w:rsidRPr="002F733E">
        <w:rPr>
          <w:iCs/>
        </w:rPr>
        <w:t>and 6 repeats allows for 6 months of continuing treatment.</w:t>
      </w:r>
    </w:p>
    <w:p w14:paraId="066E239B" w14:textId="239AF7C4" w:rsidR="00C37A84" w:rsidRPr="002F733E" w:rsidRDefault="00C37A84" w:rsidP="001A662A">
      <w:pPr>
        <w:pStyle w:val="3-BodyText"/>
        <w:rPr>
          <w:iCs/>
        </w:rPr>
      </w:pPr>
      <w:r w:rsidRPr="002F733E">
        <w:t xml:space="preserve">The resubmission proposed an effective </w:t>
      </w:r>
      <w:r w:rsidR="0019113C" w:rsidRPr="002F733E">
        <w:rPr>
          <w:rFonts w:eastAsia="Times New Roman"/>
        </w:rPr>
        <w:t>DPMQ</w:t>
      </w:r>
      <w:r w:rsidR="0019113C" w:rsidRPr="002F733E">
        <w:t xml:space="preserve"> </w:t>
      </w:r>
      <w:r w:rsidRPr="002F733E">
        <w:t>of $</w:t>
      </w:r>
      <w:r w:rsidR="00EB6544" w:rsidRPr="00EB6544">
        <w:rPr>
          <w:color w:val="000000"/>
          <w:w w:val="55"/>
          <w:shd w:val="solid" w:color="000000" w:fill="000000"/>
          <w:fitText w:val="796" w:id="-1236572926"/>
          <w14:textFill>
            <w14:solidFill>
              <w14:srgbClr w14:val="000000">
                <w14:alpha w14:val="100000"/>
              </w14:srgbClr>
            </w14:solidFill>
          </w14:textFill>
        </w:rPr>
        <w:t>||||||  |||||</w:t>
      </w:r>
      <w:r w:rsidR="00EB6544" w:rsidRPr="00EB6544">
        <w:rPr>
          <w:color w:val="000000"/>
          <w:spacing w:val="8"/>
          <w:w w:val="55"/>
          <w:shd w:val="solid" w:color="000000" w:fill="000000"/>
          <w:fitText w:val="796" w:id="-1236572926"/>
          <w14:textFill>
            <w14:solidFill>
              <w14:srgbClr w14:val="000000">
                <w14:alpha w14:val="100000"/>
              </w14:srgbClr>
            </w14:solidFill>
          </w14:textFill>
        </w:rPr>
        <w:t>|</w:t>
      </w:r>
      <w:r w:rsidRPr="002F733E">
        <w:t xml:space="preserve"> (public) and $</w:t>
      </w:r>
      <w:r w:rsidR="00EB6544" w:rsidRPr="00EB6544">
        <w:rPr>
          <w:color w:val="000000"/>
          <w:w w:val="55"/>
          <w:shd w:val="solid" w:color="000000" w:fill="000000"/>
          <w:fitText w:val="796" w:id="-1236572925"/>
          <w14:textFill>
            <w14:solidFill>
              <w14:srgbClr w14:val="000000">
                <w14:alpha w14:val="100000"/>
              </w14:srgbClr>
            </w14:solidFill>
          </w14:textFill>
        </w:rPr>
        <w:t>||||||  |||||</w:t>
      </w:r>
      <w:r w:rsidR="00EB6544" w:rsidRPr="00EB6544">
        <w:rPr>
          <w:color w:val="000000"/>
          <w:spacing w:val="8"/>
          <w:w w:val="55"/>
          <w:shd w:val="solid" w:color="000000" w:fill="000000"/>
          <w:fitText w:val="796" w:id="-1236572925"/>
          <w14:textFill>
            <w14:solidFill>
              <w14:srgbClr w14:val="000000">
                <w14:alpha w14:val="100000"/>
              </w14:srgbClr>
            </w14:solidFill>
          </w14:textFill>
        </w:rPr>
        <w:t>|</w:t>
      </w:r>
      <w:r w:rsidRPr="002F733E">
        <w:t xml:space="preserve"> (private)</w:t>
      </w:r>
      <w:r w:rsidR="00E36F72" w:rsidRPr="002F733E">
        <w:t xml:space="preserve"> </w:t>
      </w:r>
      <w:r w:rsidR="00CD7E46" w:rsidRPr="002F733E">
        <w:t>which</w:t>
      </w:r>
      <w:r w:rsidRPr="002F733E">
        <w:t xml:space="preserve"> were lower than the </w:t>
      </w:r>
      <w:r w:rsidR="00894CDB" w:rsidRPr="002F733E">
        <w:t>prices (</w:t>
      </w:r>
      <w:r w:rsidRPr="002F733E">
        <w:t>$</w:t>
      </w:r>
      <w:r w:rsidR="00EB6544" w:rsidRPr="00EB6544">
        <w:rPr>
          <w:color w:val="000000"/>
          <w:w w:val="24"/>
          <w:shd w:val="solid" w:color="000000" w:fill="000000"/>
          <w:fitText w:val="80" w:id="-1236572924"/>
          <w14:textFill>
            <w14:solidFill>
              <w14:srgbClr w14:val="000000">
                <w14:alpha w14:val="100000"/>
              </w14:srgbClr>
            </w14:solidFill>
          </w14:textFill>
        </w:rPr>
        <w:t xml:space="preserve">|  </w:t>
      </w:r>
      <w:r w:rsidR="00EB6544" w:rsidRPr="00EB6544">
        <w:rPr>
          <w:color w:val="000000"/>
          <w:spacing w:val="1"/>
          <w:w w:val="24"/>
          <w:shd w:val="solid" w:color="000000" w:fill="000000"/>
          <w:fitText w:val="80" w:id="-1236572924"/>
          <w14:textFill>
            <w14:solidFill>
              <w14:srgbClr w14:val="000000">
                <w14:alpha w14:val="100000"/>
              </w14:srgbClr>
            </w14:solidFill>
          </w14:textFill>
        </w:rPr>
        <w:t>|</w:t>
      </w:r>
      <w:r w:rsidRPr="002F733E">
        <w:t>(public) and $</w:t>
      </w:r>
      <w:r w:rsidR="00EB6544" w:rsidRPr="00EB6544">
        <w:rPr>
          <w:color w:val="000000"/>
          <w:w w:val="24"/>
          <w:shd w:val="solid" w:color="000000" w:fill="000000"/>
          <w:fitText w:val="80" w:id="-1236572923"/>
          <w14:textFill>
            <w14:solidFill>
              <w14:srgbClr w14:val="000000">
                <w14:alpha w14:val="100000"/>
              </w14:srgbClr>
            </w14:solidFill>
          </w14:textFill>
        </w:rPr>
        <w:t xml:space="preserve">|  </w:t>
      </w:r>
      <w:r w:rsidR="00EB6544" w:rsidRPr="00EB6544">
        <w:rPr>
          <w:color w:val="000000"/>
          <w:spacing w:val="1"/>
          <w:w w:val="24"/>
          <w:shd w:val="solid" w:color="000000" w:fill="000000"/>
          <w:fitText w:val="80" w:id="-1236572923"/>
          <w14:textFill>
            <w14:solidFill>
              <w14:srgbClr w14:val="000000">
                <w14:alpha w14:val="100000"/>
              </w14:srgbClr>
            </w14:solidFill>
          </w14:textFill>
        </w:rPr>
        <w:t>|</w:t>
      </w:r>
      <w:r w:rsidRPr="002F733E">
        <w:t>(private)</w:t>
      </w:r>
      <w:r w:rsidR="00894CDB" w:rsidRPr="002F733E">
        <w:t>)</w:t>
      </w:r>
      <w:r w:rsidRPr="002F733E">
        <w:t xml:space="preserve"> requested in July 2022 submission and the effective </w:t>
      </w:r>
      <w:r w:rsidR="00BD0BDA" w:rsidRPr="002F733E">
        <w:t xml:space="preserve">DPMQ </w:t>
      </w:r>
      <w:r w:rsidRPr="002F733E">
        <w:t>of $</w:t>
      </w:r>
      <w:r w:rsidR="00EB6544" w:rsidRPr="00EB6544">
        <w:rPr>
          <w:color w:val="000000"/>
          <w:w w:val="21"/>
          <w:shd w:val="solid" w:color="000000" w:fill="000000"/>
          <w:fitText w:val="72" w:id="-1236572922"/>
          <w14:textFill>
            <w14:solidFill>
              <w14:srgbClr w14:val="000000">
                <w14:alpha w14:val="100000"/>
              </w14:srgbClr>
            </w14:solidFill>
          </w14:textFill>
        </w:rPr>
        <w:t xml:space="preserve">|  </w:t>
      </w:r>
      <w:r w:rsidR="00EB6544" w:rsidRPr="00EB6544">
        <w:rPr>
          <w:color w:val="000000"/>
          <w:spacing w:val="2"/>
          <w:w w:val="21"/>
          <w:shd w:val="solid" w:color="000000" w:fill="000000"/>
          <w:fitText w:val="72" w:id="-1236572922"/>
          <w14:textFill>
            <w14:solidFill>
              <w14:srgbClr w14:val="000000">
                <w14:alpha w14:val="100000"/>
              </w14:srgbClr>
            </w14:solidFill>
          </w14:textFill>
        </w:rPr>
        <w:t>|</w:t>
      </w:r>
      <w:r w:rsidR="00BD0BDA" w:rsidRPr="002F733E">
        <w:t xml:space="preserve">(public) </w:t>
      </w:r>
      <w:r w:rsidRPr="002F733E">
        <w:t xml:space="preserve">proposed in the </w:t>
      </w:r>
      <w:r w:rsidR="00A76D9D" w:rsidRPr="002F733E">
        <w:t>July 2022 p</w:t>
      </w:r>
      <w:r w:rsidRPr="002F733E">
        <w:t xml:space="preserve">re-PBAC response. </w:t>
      </w:r>
      <w:r w:rsidR="001A662A" w:rsidRPr="002F733E">
        <w:rPr>
          <w:iCs/>
        </w:rPr>
        <w:t>The pre-PBAC response offered a lower effective DPMQ of $</w:t>
      </w:r>
      <w:r w:rsidR="00EB6544" w:rsidRPr="00EB6544">
        <w:rPr>
          <w:iCs/>
          <w:color w:val="000000"/>
          <w:w w:val="21"/>
          <w:shd w:val="solid" w:color="000000" w:fill="000000"/>
          <w:fitText w:val="72" w:id="-1236572921"/>
          <w14:textFill>
            <w14:solidFill>
              <w14:srgbClr w14:val="000000">
                <w14:alpha w14:val="100000"/>
              </w14:srgbClr>
            </w14:solidFill>
          </w14:textFill>
        </w:rPr>
        <w:t xml:space="preserve">|  </w:t>
      </w:r>
      <w:r w:rsidR="00EB6544" w:rsidRPr="00EB6544">
        <w:rPr>
          <w:iCs/>
          <w:color w:val="000000"/>
          <w:spacing w:val="2"/>
          <w:w w:val="21"/>
          <w:shd w:val="solid" w:color="000000" w:fill="000000"/>
          <w:fitText w:val="72" w:id="-1236572921"/>
          <w14:textFill>
            <w14:solidFill>
              <w14:srgbClr w14:val="000000">
                <w14:alpha w14:val="100000"/>
              </w14:srgbClr>
            </w14:solidFill>
          </w14:textFill>
        </w:rPr>
        <w:t>|</w:t>
      </w:r>
      <w:r w:rsidR="001A662A" w:rsidRPr="002F733E">
        <w:rPr>
          <w:iCs/>
        </w:rPr>
        <w:t xml:space="preserve"> (public).</w:t>
      </w:r>
    </w:p>
    <w:p w14:paraId="01C8FDD0" w14:textId="078500FD" w:rsidR="00C37A84" w:rsidRPr="002F733E" w:rsidRDefault="00CD7E46" w:rsidP="00D30D5B">
      <w:pPr>
        <w:pStyle w:val="ExecSumBodyText"/>
        <w:numPr>
          <w:ilvl w:val="1"/>
          <w:numId w:val="1"/>
        </w:numPr>
        <w:rPr>
          <w:iCs/>
        </w:rPr>
      </w:pPr>
      <w:r w:rsidRPr="002F733E">
        <w:rPr>
          <w:iCs/>
        </w:rPr>
        <w:t xml:space="preserve">In the July 2022 meeting, the sponsor was requested to propose a grandfather restriction (paragraph 3.4, anifrolumab </w:t>
      </w:r>
      <w:r w:rsidR="00965F66">
        <w:rPr>
          <w:iCs/>
        </w:rPr>
        <w:t>Public Summary Document (</w:t>
      </w:r>
      <w:r w:rsidRPr="002F733E">
        <w:rPr>
          <w:iCs/>
        </w:rPr>
        <w:t>PSD</w:t>
      </w:r>
      <w:r w:rsidR="00965F66">
        <w:rPr>
          <w:iCs/>
        </w:rPr>
        <w:t>)</w:t>
      </w:r>
      <w:r w:rsidRPr="002F733E">
        <w:rPr>
          <w:iCs/>
        </w:rPr>
        <w:t xml:space="preserve">, July 2022 PBAC meeting). </w:t>
      </w:r>
      <w:r w:rsidR="00C37A84" w:rsidRPr="002F733E">
        <w:rPr>
          <w:iCs/>
        </w:rPr>
        <w:t xml:space="preserve">The resubmission requested </w:t>
      </w:r>
      <w:r w:rsidRPr="002F733E">
        <w:rPr>
          <w:iCs/>
        </w:rPr>
        <w:t xml:space="preserve">initial and continuing </w:t>
      </w:r>
      <w:r w:rsidR="00C37A84" w:rsidRPr="002F733E">
        <w:rPr>
          <w:iCs/>
        </w:rPr>
        <w:t xml:space="preserve">grandfather restrictions for patients enrolled in a patient access program (PAP). </w:t>
      </w:r>
      <w:r w:rsidRPr="002F733E">
        <w:rPr>
          <w:iCs/>
        </w:rPr>
        <w:t xml:space="preserve">If </w:t>
      </w:r>
      <w:r w:rsidR="00C37A84" w:rsidRPr="002F733E">
        <w:rPr>
          <w:iCs/>
        </w:rPr>
        <w:t xml:space="preserve">listed, the resubmission estimated that </w:t>
      </w:r>
      <w:r w:rsidR="00965F66">
        <w:rPr>
          <w:iCs/>
        </w:rPr>
        <w:t>&lt;</w:t>
      </w:r>
      <w:r w:rsidR="00612BA3">
        <w:rPr>
          <w:iCs/>
        </w:rPr>
        <w:t> </w:t>
      </w:r>
      <w:r w:rsidR="00965F66">
        <w:rPr>
          <w:iCs/>
        </w:rPr>
        <w:t>500</w:t>
      </w:r>
      <w:r w:rsidR="00C37A84" w:rsidRPr="002F733E">
        <w:rPr>
          <w:iCs/>
        </w:rPr>
        <w:t xml:space="preserve"> patients will be eligible for anifrolumab on the PBS from the PAP. </w:t>
      </w:r>
      <w:r w:rsidR="00894CDB" w:rsidRPr="002F733E">
        <w:rPr>
          <w:iCs/>
        </w:rPr>
        <w:t xml:space="preserve">This estimate was revised to </w:t>
      </w:r>
      <w:r w:rsidR="00965F66">
        <w:rPr>
          <w:iCs/>
        </w:rPr>
        <w:t>&lt;</w:t>
      </w:r>
      <w:r w:rsidR="00612BA3">
        <w:rPr>
          <w:iCs/>
        </w:rPr>
        <w:t> </w:t>
      </w:r>
      <w:r w:rsidR="00965F66">
        <w:rPr>
          <w:iCs/>
        </w:rPr>
        <w:t>500</w:t>
      </w:r>
      <w:r w:rsidR="00894CDB" w:rsidRPr="002F733E">
        <w:rPr>
          <w:iCs/>
        </w:rPr>
        <w:t xml:space="preserve"> patients in the </w:t>
      </w:r>
      <w:r w:rsidR="00965F66">
        <w:rPr>
          <w:iCs/>
        </w:rPr>
        <w:t>Pre-Sub-Committee Response (</w:t>
      </w:r>
      <w:r w:rsidR="00894CDB" w:rsidRPr="002F733E">
        <w:rPr>
          <w:iCs/>
        </w:rPr>
        <w:t>PSCR</w:t>
      </w:r>
      <w:r w:rsidR="00965F66">
        <w:rPr>
          <w:iCs/>
        </w:rPr>
        <w:t>)</w:t>
      </w:r>
      <w:r w:rsidR="00894CDB" w:rsidRPr="002F733E">
        <w:rPr>
          <w:iCs/>
        </w:rPr>
        <w:t>.</w:t>
      </w:r>
    </w:p>
    <w:p w14:paraId="0D6ABC2D" w14:textId="7165D462" w:rsidR="00C37A84" w:rsidRPr="002F733E" w:rsidRDefault="00C37A84" w:rsidP="00C37A84">
      <w:pPr>
        <w:pStyle w:val="3-BodyText"/>
        <w:rPr>
          <w:iCs/>
        </w:rPr>
      </w:pPr>
      <w:r w:rsidRPr="002F733E">
        <w:rPr>
          <w:iCs/>
        </w:rPr>
        <w:t xml:space="preserve">The requested PBS restriction was slightly amended </w:t>
      </w:r>
      <w:r w:rsidR="00CD7E46" w:rsidRPr="002F733E">
        <w:rPr>
          <w:iCs/>
        </w:rPr>
        <w:t>to be</w:t>
      </w:r>
      <w:r w:rsidRPr="002F733E">
        <w:rPr>
          <w:iCs/>
        </w:rPr>
        <w:t xml:space="preserve"> consistent with the wordings proposed by the PBAC in July 2022 (paragraph 3.1, anifrolumab PSD</w:t>
      </w:r>
      <w:r w:rsidR="00D75FD7" w:rsidRPr="002F733E">
        <w:rPr>
          <w:iCs/>
        </w:rPr>
        <w:t>,</w:t>
      </w:r>
      <w:r w:rsidRPr="002F733E">
        <w:rPr>
          <w:iCs/>
        </w:rPr>
        <w:t xml:space="preserve"> July 2022 PBAC meeting). Th</w:t>
      </w:r>
      <w:r w:rsidR="00CD7E46" w:rsidRPr="002F733E">
        <w:rPr>
          <w:iCs/>
        </w:rPr>
        <w:t>e</w:t>
      </w:r>
      <w:r w:rsidRPr="002F733E">
        <w:rPr>
          <w:iCs/>
        </w:rPr>
        <w:t xml:space="preserve"> </w:t>
      </w:r>
      <w:r w:rsidR="00CD7E46" w:rsidRPr="002F733E">
        <w:rPr>
          <w:iCs/>
        </w:rPr>
        <w:t xml:space="preserve">changes </w:t>
      </w:r>
      <w:r w:rsidRPr="002F733E">
        <w:rPr>
          <w:iCs/>
        </w:rPr>
        <w:t>included:</w:t>
      </w:r>
    </w:p>
    <w:p w14:paraId="52C1D0DB" w14:textId="693944F6" w:rsidR="00C37A84" w:rsidRPr="002F733E" w:rsidRDefault="00C37A84" w:rsidP="00DC7889">
      <w:pPr>
        <w:pStyle w:val="3-BodyText"/>
        <w:numPr>
          <w:ilvl w:val="0"/>
          <w:numId w:val="12"/>
        </w:numPr>
        <w:rPr>
          <w:iCs/>
        </w:rPr>
      </w:pPr>
      <w:r w:rsidRPr="002F733E">
        <w:rPr>
          <w:iCs/>
        </w:rPr>
        <w:t xml:space="preserve">Removing the word ‘renal’ from the criterion that patients must not have “severe </w:t>
      </w:r>
      <w:r w:rsidR="00CD7E46" w:rsidRPr="002F733E">
        <w:rPr>
          <w:iCs/>
        </w:rPr>
        <w:t xml:space="preserve">renal </w:t>
      </w:r>
      <w:r w:rsidRPr="002F733E">
        <w:rPr>
          <w:iCs/>
        </w:rPr>
        <w:t xml:space="preserve">active lupus nephritis”, to align with the approved </w:t>
      </w:r>
      <w:r w:rsidR="00C56F8D" w:rsidRPr="002F733E">
        <w:rPr>
          <w:iCs/>
        </w:rPr>
        <w:t xml:space="preserve">TGA </w:t>
      </w:r>
      <w:r w:rsidRPr="002F733E">
        <w:rPr>
          <w:iCs/>
        </w:rPr>
        <w:t>indication.</w:t>
      </w:r>
    </w:p>
    <w:p w14:paraId="70763879" w14:textId="709F8EAA" w:rsidR="00C37A84" w:rsidRPr="002F733E" w:rsidRDefault="00CD7E46" w:rsidP="00DC7889">
      <w:pPr>
        <w:pStyle w:val="3-BodyText"/>
        <w:numPr>
          <w:ilvl w:val="0"/>
          <w:numId w:val="12"/>
        </w:numPr>
        <w:rPr>
          <w:iCs/>
        </w:rPr>
      </w:pPr>
      <w:r w:rsidRPr="002F733E">
        <w:rPr>
          <w:iCs/>
        </w:rPr>
        <w:t xml:space="preserve">Removal of the </w:t>
      </w:r>
      <w:r w:rsidR="00C37A84" w:rsidRPr="002F733E">
        <w:rPr>
          <w:iCs/>
        </w:rPr>
        <w:t>criterion prevent</w:t>
      </w:r>
      <w:r w:rsidRPr="002F733E">
        <w:rPr>
          <w:iCs/>
        </w:rPr>
        <w:t>ing</w:t>
      </w:r>
      <w:r w:rsidR="00C37A84" w:rsidRPr="002F733E">
        <w:rPr>
          <w:iCs/>
        </w:rPr>
        <w:t xml:space="preserve"> patients from re-trialling anifrolumab. </w:t>
      </w:r>
      <w:r w:rsidRPr="002F733E">
        <w:rPr>
          <w:iCs/>
        </w:rPr>
        <w:t>In July 202</w:t>
      </w:r>
      <w:r w:rsidR="00E36F72" w:rsidRPr="002F733E">
        <w:rPr>
          <w:iCs/>
        </w:rPr>
        <w:t>2</w:t>
      </w:r>
      <w:r w:rsidRPr="002F733E">
        <w:rPr>
          <w:iCs/>
        </w:rPr>
        <w:t>, t</w:t>
      </w:r>
      <w:r w:rsidR="00C37A84" w:rsidRPr="002F733E">
        <w:rPr>
          <w:iCs/>
        </w:rPr>
        <w:t xml:space="preserve">he PBAC </w:t>
      </w:r>
      <w:r w:rsidRPr="002F733E">
        <w:rPr>
          <w:iCs/>
        </w:rPr>
        <w:t xml:space="preserve">advised </w:t>
      </w:r>
      <w:r w:rsidR="00C37A84" w:rsidRPr="002F733E">
        <w:rPr>
          <w:iCs/>
        </w:rPr>
        <w:t>that patients should be able to discontinue anifrolumab without excluding them from future treatment for flares (paragraph 7.3, anifrolumab PSD</w:t>
      </w:r>
      <w:r w:rsidR="00D75FD7" w:rsidRPr="002F733E">
        <w:rPr>
          <w:iCs/>
        </w:rPr>
        <w:t>,</w:t>
      </w:r>
      <w:r w:rsidR="00C37A84" w:rsidRPr="002F733E">
        <w:rPr>
          <w:iCs/>
        </w:rPr>
        <w:t xml:space="preserve"> July 2022 PBAC meeting).</w:t>
      </w:r>
    </w:p>
    <w:p w14:paraId="3430FF7A" w14:textId="22C34868" w:rsidR="00474C95" w:rsidRPr="002F733E" w:rsidRDefault="00474C95" w:rsidP="00DC7889">
      <w:pPr>
        <w:pStyle w:val="3-BodyText"/>
        <w:numPr>
          <w:ilvl w:val="0"/>
          <w:numId w:val="12"/>
        </w:numPr>
        <w:rPr>
          <w:iCs/>
        </w:rPr>
      </w:pPr>
      <w:r w:rsidRPr="002F733E">
        <w:rPr>
          <w:iCs/>
        </w:rPr>
        <w:t>The PSCR added statements regarding contraindication</w:t>
      </w:r>
      <w:r w:rsidR="00C43264" w:rsidRPr="002F733E">
        <w:rPr>
          <w:iCs/>
        </w:rPr>
        <w:t>s</w:t>
      </w:r>
      <w:r w:rsidRPr="002F733E">
        <w:rPr>
          <w:iCs/>
        </w:rPr>
        <w:t xml:space="preserve"> or intolerance to hydroxychloroquine and </w:t>
      </w:r>
      <w:r w:rsidR="00507192" w:rsidRPr="002F733E">
        <w:rPr>
          <w:iCs/>
        </w:rPr>
        <w:t>immun</w:t>
      </w:r>
      <w:r w:rsidR="00C43264" w:rsidRPr="002F733E">
        <w:rPr>
          <w:iCs/>
        </w:rPr>
        <w:t>osuppressant medications necessitating treatment withdrawal.</w:t>
      </w:r>
    </w:p>
    <w:p w14:paraId="38BD7980" w14:textId="15AA8FDE" w:rsidR="007E56D1" w:rsidRPr="002F733E" w:rsidRDefault="007E56D1" w:rsidP="007E56D1">
      <w:pPr>
        <w:ind w:left="720"/>
        <w:rPr>
          <w:i/>
          <w:iCs/>
        </w:rPr>
      </w:pPr>
      <w:r w:rsidRPr="002F733E">
        <w:rPr>
          <w:i/>
          <w:iCs/>
        </w:rPr>
        <w:t>For more detail on PBAC’s view, see section 7 PBAC outcome.</w:t>
      </w:r>
    </w:p>
    <w:p w14:paraId="7075B85C" w14:textId="62A47B7B" w:rsidR="00B50DB8" w:rsidRPr="002F733E" w:rsidDel="00195452" w:rsidRDefault="00203181" w:rsidP="004E18E9">
      <w:pPr>
        <w:pStyle w:val="2-SectionHeading"/>
      </w:pPr>
      <w:bookmarkStart w:id="10" w:name="_Toc124521444"/>
      <w:r w:rsidRPr="002F733E" w:rsidDel="00195452">
        <w:t xml:space="preserve">Population and </w:t>
      </w:r>
      <w:r w:rsidR="008E0D3C" w:rsidRPr="002F733E" w:rsidDel="00195452">
        <w:t>d</w:t>
      </w:r>
      <w:r w:rsidRPr="002F733E" w:rsidDel="00195452">
        <w:t>isease</w:t>
      </w:r>
      <w:bookmarkEnd w:id="10"/>
    </w:p>
    <w:p w14:paraId="2AD48451" w14:textId="2F36F570" w:rsidR="009D721F" w:rsidRPr="002F733E" w:rsidRDefault="009D721F" w:rsidP="004E18E9">
      <w:pPr>
        <w:pStyle w:val="3-BodyText"/>
      </w:pPr>
      <w:r w:rsidRPr="002F733E">
        <w:t>SLE is a complex chronic autoimmune disease with clinical manifestations that are diverse and systemic. The overall goals of treatment are to ensure long-term patient survival, prevention of organ damage</w:t>
      </w:r>
      <w:r w:rsidR="00CD7E46" w:rsidRPr="002F733E">
        <w:t xml:space="preserve"> and</w:t>
      </w:r>
      <w:r w:rsidRPr="002F733E">
        <w:t xml:space="preserve"> minimise drug side-effects. Management of SLE should aim for remission of disease symptoms and signs (or low disease activity) to improve long-term patient outcomes. </w:t>
      </w:r>
    </w:p>
    <w:p w14:paraId="7626CE60" w14:textId="2B5C8E81" w:rsidR="008E714F" w:rsidRPr="002F733E" w:rsidRDefault="009D721F" w:rsidP="004E18E9">
      <w:pPr>
        <w:pStyle w:val="3-BodyText"/>
      </w:pPr>
      <w:r w:rsidRPr="002F733E">
        <w:t>For patients with high disease activity</w:t>
      </w:r>
      <w:r w:rsidR="00CD7E46" w:rsidRPr="002F733E">
        <w:t>,</w:t>
      </w:r>
      <w:r w:rsidRPr="002F733E">
        <w:t xml:space="preserve"> measured by </w:t>
      </w:r>
      <w:r w:rsidR="00CD7E46" w:rsidRPr="002F733E">
        <w:t xml:space="preserve">a score of at least 10 points </w:t>
      </w:r>
      <w:r w:rsidR="009E1100" w:rsidRPr="002F733E">
        <w:t xml:space="preserve">on the </w:t>
      </w:r>
      <w:r w:rsidRPr="002F733E">
        <w:t xml:space="preserve">Systemic Lupus Erythematosus Disease Activity Index 2000 (SLEDAI-2K), the preferred treatment is ‘triple therapy’ comprising hydroxychloroquine (HCQ), oral corticosteroids (OCS) and an immunosuppressive agent (i.e. azathioprine (AZA), methotrexate (MTX) </w:t>
      </w:r>
      <w:r w:rsidR="009E1100" w:rsidRPr="002F733E">
        <w:t xml:space="preserve">or </w:t>
      </w:r>
      <w:r w:rsidRPr="002F733E">
        <w:t>mycophenolate). This population is reflected by the target population</w:t>
      </w:r>
      <w:r w:rsidR="009E1100" w:rsidRPr="002F733E">
        <w:t xml:space="preserve"> in the proposed restriction</w:t>
      </w:r>
      <w:r w:rsidRPr="002F733E">
        <w:t xml:space="preserve">: adult patients (aged </w:t>
      </w:r>
      <w:r w:rsidRPr="002F733E">
        <w:rPr>
          <w:rFonts w:cs="Calibri"/>
        </w:rPr>
        <w:t>≥</w:t>
      </w:r>
      <w:r w:rsidRPr="002F733E">
        <w:t>18 years) with diagnosed severe SLE who have a high degree of disease activity (SLEDAI-2K ≥10) despite triple therapy SOC (i.e. an antimalarial [HCQ], an immunosuppressant, and 7.5 mg/day prednisone or equivalent).</w:t>
      </w:r>
    </w:p>
    <w:p w14:paraId="1DFE0B93" w14:textId="6202D80D" w:rsidR="008E714F" w:rsidRPr="002F733E" w:rsidRDefault="009D721F" w:rsidP="004E18E9">
      <w:pPr>
        <w:pStyle w:val="3-BodyText"/>
      </w:pPr>
      <w:r w:rsidRPr="002F733E">
        <w:t xml:space="preserve">Anifrolumab is a human immunoglobulin G1 kappa monoclonal antibody which is administered by intravenous (IV) infusion as add-on treatment to SOC (triple therapy). The </w:t>
      </w:r>
      <w:r w:rsidR="009E1100" w:rsidRPr="002F733E">
        <w:t xml:space="preserve">TGA product information (PI) </w:t>
      </w:r>
      <w:r w:rsidRPr="002F733E">
        <w:t>recommended dose of anifrolumab is 300 mg IV over a 30-minute period, every four weeks (Q4W). The treatment should be initiated and supervised by a physician experienced in the treatment of SLE. The PI also recommend</w:t>
      </w:r>
      <w:r w:rsidR="00BD0BDA" w:rsidRPr="002F733E">
        <w:t>s</w:t>
      </w:r>
      <w:r w:rsidRPr="002F733E">
        <w:t xml:space="preserve"> discontinuation of treatment with anifrolumab if there is no improvement in disease control after 6 months of treatment.</w:t>
      </w:r>
    </w:p>
    <w:p w14:paraId="44EEDD14" w14:textId="23D70CC0" w:rsidR="00C664C8" w:rsidRPr="002F733E" w:rsidRDefault="00C664C8" w:rsidP="00C664C8">
      <w:pPr>
        <w:pStyle w:val="3-BodyText"/>
        <w:rPr>
          <w:iCs/>
        </w:rPr>
      </w:pPr>
      <w:r w:rsidRPr="002F733E">
        <w:rPr>
          <w:iCs/>
        </w:rPr>
        <w:t xml:space="preserve">The key difference between the current and proposed clinical management algorithm in the resubmission was the inclusion of anifrolumab as add-on treatment </w:t>
      </w:r>
      <w:r w:rsidR="009E1100" w:rsidRPr="002F733E">
        <w:rPr>
          <w:iCs/>
        </w:rPr>
        <w:t xml:space="preserve">to </w:t>
      </w:r>
      <w:r w:rsidRPr="002F733E">
        <w:rPr>
          <w:iCs/>
        </w:rPr>
        <w:t>SOC for patients with severe SLE</w:t>
      </w:r>
      <w:r w:rsidR="00E30FFE" w:rsidRPr="002F733E">
        <w:rPr>
          <w:iCs/>
        </w:rPr>
        <w:t xml:space="preserve"> (defined as SLEDAI-2K </w:t>
      </w:r>
      <w:r w:rsidR="00E30FFE" w:rsidRPr="002F733E">
        <w:rPr>
          <w:rFonts w:cs="Calibri"/>
          <w:iCs/>
        </w:rPr>
        <w:t>≥</w:t>
      </w:r>
      <w:r w:rsidR="00E30FFE" w:rsidRPr="002F733E">
        <w:rPr>
          <w:iCs/>
        </w:rPr>
        <w:t>10)</w:t>
      </w:r>
      <w:r w:rsidRPr="002F733E">
        <w:rPr>
          <w:iCs/>
        </w:rPr>
        <w:t xml:space="preserve">. </w:t>
      </w:r>
      <w:r w:rsidR="00B8086C" w:rsidRPr="002F733E">
        <w:rPr>
          <w:iCs/>
        </w:rPr>
        <w:t xml:space="preserve">For a subset of patients in hospital or in the private setting, the </w:t>
      </w:r>
      <w:r w:rsidR="008A684D" w:rsidRPr="002F733E">
        <w:rPr>
          <w:iCs/>
        </w:rPr>
        <w:t>resubmission</w:t>
      </w:r>
      <w:r w:rsidR="00B8086C" w:rsidRPr="002F733E">
        <w:rPr>
          <w:iCs/>
        </w:rPr>
        <w:t xml:space="preserve"> also indicated belimumab and/or rituximab (off-label) to be treatment options. </w:t>
      </w:r>
      <w:r w:rsidR="008A684D" w:rsidRPr="002F733E">
        <w:rPr>
          <w:iCs/>
        </w:rPr>
        <w:t xml:space="preserve">Under the requested restriction, all patients with persistent disease activity </w:t>
      </w:r>
      <w:r w:rsidR="00F22D70" w:rsidRPr="002F733E">
        <w:rPr>
          <w:iCs/>
        </w:rPr>
        <w:t xml:space="preserve">despite SOC would be considered refractory and would qualify for anifrolumab. </w:t>
      </w:r>
    </w:p>
    <w:p w14:paraId="1AA41EF6" w14:textId="1765BDA1" w:rsidR="00C664C8" w:rsidRPr="002F733E" w:rsidRDefault="00C664C8" w:rsidP="00C664C8">
      <w:pPr>
        <w:pStyle w:val="3-BodyText"/>
        <w:rPr>
          <w:iCs/>
        </w:rPr>
      </w:pPr>
      <w:r w:rsidRPr="002F733E">
        <w:rPr>
          <w:iCs/>
        </w:rPr>
        <w:t>The resubmission defined the current use of belimumab and/or rituximab as outside SOC and have excluded them from the proposed clinical algorithm, which may not be appropriate. Although their use is limited in Australia</w:t>
      </w:r>
      <w:r w:rsidRPr="002F733E">
        <w:rPr>
          <w:rStyle w:val="FootnoteReference"/>
          <w:iCs/>
        </w:rPr>
        <w:footnoteReference w:id="4"/>
      </w:r>
      <w:r w:rsidRPr="002F733E">
        <w:rPr>
          <w:iCs/>
        </w:rPr>
        <w:t xml:space="preserve"> </w:t>
      </w:r>
      <w:r w:rsidRPr="002F733E">
        <w:rPr>
          <w:rStyle w:val="FootnoteReference"/>
          <w:iCs/>
        </w:rPr>
        <w:footnoteReference w:id="5"/>
      </w:r>
      <w:r w:rsidRPr="002F733E">
        <w:rPr>
          <w:iCs/>
        </w:rPr>
        <w:t xml:space="preserve"> </w:t>
      </w:r>
      <w:r w:rsidRPr="002F733E">
        <w:rPr>
          <w:rStyle w:val="FootnoteReference"/>
          <w:iCs/>
        </w:rPr>
        <w:footnoteReference w:id="6"/>
      </w:r>
      <w:r w:rsidRPr="002F733E">
        <w:rPr>
          <w:iCs/>
        </w:rPr>
        <w:t>, belimumab is a TGA approved SLE biologic and rituximab is now openly listed on the PBS. The European League Against Rheumatism and the American College of Rheumatology (EULAR/ACR 2021)</w:t>
      </w:r>
      <w:r w:rsidRPr="002F733E">
        <w:rPr>
          <w:rStyle w:val="FootnoteReference"/>
          <w:iCs/>
        </w:rPr>
        <w:footnoteReference w:id="7"/>
      </w:r>
      <w:r w:rsidRPr="002F733E">
        <w:rPr>
          <w:iCs/>
        </w:rPr>
        <w:t xml:space="preserve"> guideline recommend considering belimumab as add-on treatments to SOC in patients with persistently active or flaring disease and rituximab for organ-threatening refractory disease.</w:t>
      </w:r>
    </w:p>
    <w:p w14:paraId="35288F7A" w14:textId="37BDA3F0" w:rsidR="006402B2" w:rsidRPr="002F733E" w:rsidRDefault="006402B2" w:rsidP="00C664C8">
      <w:pPr>
        <w:pStyle w:val="3-BodyText"/>
        <w:rPr>
          <w:i/>
        </w:rPr>
      </w:pPr>
      <w:bookmarkStart w:id="11" w:name="_Hlk123727293"/>
      <w:r w:rsidRPr="002F733E">
        <w:t xml:space="preserve">The PBAC previously noted that there </w:t>
      </w:r>
      <w:r w:rsidR="00184B7C" w:rsidRPr="002F733E">
        <w:t>w</w:t>
      </w:r>
      <w:r w:rsidR="00460FDD" w:rsidRPr="002F733E">
        <w:t>ere</w:t>
      </w:r>
      <w:r w:rsidRPr="002F733E">
        <w:t xml:space="preserve"> no core outcomes set for SLE (paragraph 7.6, anifrolumab PSD, July 2022 PBAC meeting) and instruments used to assess disease activity include the:</w:t>
      </w:r>
    </w:p>
    <w:p w14:paraId="13D55456" w14:textId="77777777" w:rsidR="006402B2" w:rsidRPr="002F733E" w:rsidRDefault="006402B2" w:rsidP="00DC7889">
      <w:pPr>
        <w:pStyle w:val="3-BodyText"/>
        <w:numPr>
          <w:ilvl w:val="0"/>
          <w:numId w:val="12"/>
        </w:numPr>
      </w:pPr>
      <w:r w:rsidRPr="002F733E">
        <w:t xml:space="preserve">British Isles Lupus Assessment Group (BILAG) 2004 index, which measures disease activity in individual organ systems. It is generally regarded as complex and time consuming to complete. </w:t>
      </w:r>
    </w:p>
    <w:p w14:paraId="7A1123DB" w14:textId="1CD3810D" w:rsidR="006402B2" w:rsidRPr="002F733E" w:rsidRDefault="006402B2" w:rsidP="00DC7889">
      <w:pPr>
        <w:pStyle w:val="3-BodyText"/>
        <w:numPr>
          <w:ilvl w:val="0"/>
          <w:numId w:val="12"/>
        </w:numPr>
      </w:pPr>
      <w:r w:rsidRPr="002F733E">
        <w:t xml:space="preserve">SLEDAI-2K, which is a global measure of disease activity. It is slightly less complex than the BILAG index. </w:t>
      </w:r>
    </w:p>
    <w:p w14:paraId="7E9986BC" w14:textId="5085FBB4" w:rsidR="006402B2" w:rsidRPr="002F733E" w:rsidRDefault="006402B2" w:rsidP="00DC7889">
      <w:pPr>
        <w:pStyle w:val="3-BodyText"/>
        <w:numPr>
          <w:ilvl w:val="0"/>
          <w:numId w:val="12"/>
        </w:numPr>
      </w:pPr>
      <w:r w:rsidRPr="002F733E">
        <w:t xml:space="preserve">Physician global assessment (PGA) which is a visual analogue scale (0-3 scale) which is substantially less complex to complete. </w:t>
      </w:r>
    </w:p>
    <w:p w14:paraId="62D2D600" w14:textId="56507609" w:rsidR="006402B2" w:rsidRPr="002F733E" w:rsidRDefault="006402B2" w:rsidP="006402B2">
      <w:pPr>
        <w:pStyle w:val="3-BodyText"/>
      </w:pPr>
      <w:r w:rsidRPr="002F733E">
        <w:t xml:space="preserve">Two composite outcomes are relevant for the submission: </w:t>
      </w:r>
    </w:p>
    <w:p w14:paraId="4D68BA01" w14:textId="4C51ACBB" w:rsidR="006402B2" w:rsidRPr="002F733E" w:rsidRDefault="006402B2" w:rsidP="00DC7889">
      <w:pPr>
        <w:pStyle w:val="3-BodyText"/>
        <w:numPr>
          <w:ilvl w:val="0"/>
          <w:numId w:val="12"/>
        </w:numPr>
      </w:pPr>
      <w:r w:rsidRPr="002F733E">
        <w:t xml:space="preserve">SLE Responder Index (SRI), which is a composite of SLEDAI-2K, BILAG, PGA; and </w:t>
      </w:r>
    </w:p>
    <w:p w14:paraId="45B4A9CE" w14:textId="623C4160" w:rsidR="006402B2" w:rsidRPr="002F733E" w:rsidRDefault="006402B2" w:rsidP="00DC7889">
      <w:pPr>
        <w:pStyle w:val="3-BodyText"/>
        <w:numPr>
          <w:ilvl w:val="0"/>
          <w:numId w:val="12"/>
        </w:numPr>
      </w:pPr>
      <w:r w:rsidRPr="002F733E">
        <w:t xml:space="preserve">BICLA, which is a different composite of SLEDAI-2K, BILAG, PGA. </w:t>
      </w:r>
    </w:p>
    <w:p w14:paraId="69A9007D" w14:textId="77777777" w:rsidR="007E56D1" w:rsidRPr="002F733E" w:rsidRDefault="006402B2" w:rsidP="007E56D1">
      <w:pPr>
        <w:ind w:left="510" w:firstLine="170"/>
      </w:pPr>
      <w:r w:rsidRPr="002F733E">
        <w:t>Both SLEDAI-2K and BILAG scores correlate with organ damage and mortality risk.</w:t>
      </w:r>
      <w:bookmarkEnd w:id="11"/>
      <w:r w:rsidR="007E56D1" w:rsidRPr="002F733E">
        <w:t xml:space="preserve"> </w:t>
      </w:r>
    </w:p>
    <w:p w14:paraId="64079FC2" w14:textId="77777777" w:rsidR="007E56D1" w:rsidRPr="002F733E" w:rsidRDefault="007E56D1" w:rsidP="007E56D1">
      <w:pPr>
        <w:ind w:left="510" w:firstLine="170"/>
      </w:pPr>
    </w:p>
    <w:p w14:paraId="48AD5B76" w14:textId="1384ADAE" w:rsidR="007E56D1" w:rsidRPr="002F733E" w:rsidRDefault="007E56D1" w:rsidP="007E56D1">
      <w:pPr>
        <w:ind w:left="510" w:firstLine="170"/>
        <w:rPr>
          <w:i/>
          <w:iCs/>
        </w:rPr>
      </w:pPr>
      <w:r w:rsidRPr="002F733E">
        <w:rPr>
          <w:i/>
          <w:iCs/>
        </w:rPr>
        <w:t>For more detail on PBAC’s view, see section 7 PBAC outcome.</w:t>
      </w:r>
    </w:p>
    <w:p w14:paraId="51E5AE96" w14:textId="136A63B1" w:rsidR="00B50DB8" w:rsidRPr="002F733E" w:rsidRDefault="00B50DB8" w:rsidP="004E18E9">
      <w:pPr>
        <w:pStyle w:val="2-SectionHeading"/>
      </w:pPr>
      <w:bookmarkStart w:id="12" w:name="_Toc124521445"/>
      <w:r w:rsidRPr="002F733E">
        <w:t>Comparator</w:t>
      </w:r>
      <w:bookmarkEnd w:id="12"/>
    </w:p>
    <w:p w14:paraId="704ABF70" w14:textId="61ADBB7D" w:rsidR="00477A57" w:rsidRPr="002F733E" w:rsidRDefault="009D721F" w:rsidP="007E56D1">
      <w:pPr>
        <w:pStyle w:val="3-BodyText"/>
        <w:rPr>
          <w:snapToGrid/>
        </w:rPr>
      </w:pPr>
      <w:r w:rsidRPr="002F733E">
        <w:rPr>
          <w:snapToGrid/>
        </w:rPr>
        <w:t xml:space="preserve">The resubmission maintained that SOC alone (placebo) </w:t>
      </w:r>
      <w:r w:rsidR="009E1100" w:rsidRPr="002F733E">
        <w:rPr>
          <w:snapToGrid/>
        </w:rPr>
        <w:t>w</w:t>
      </w:r>
      <w:r w:rsidRPr="002F733E">
        <w:rPr>
          <w:snapToGrid/>
        </w:rPr>
        <w:t>as the main comparator comprising triple therapy with: i) HCQ, ii) an immunosuppressant (minimum dose of MTX 20 mg per week, AZA 100 mg per day or mycophenolate 1000 mg per day) for at least 12 weeks, and iii) prednisone ≥7.5 mg per day (or equivalent) for at least 4 weeks</w:t>
      </w:r>
      <w:r w:rsidR="00477A57" w:rsidRPr="002F733E">
        <w:rPr>
          <w:snapToGrid/>
        </w:rPr>
        <w:t>.</w:t>
      </w:r>
    </w:p>
    <w:p w14:paraId="73F5E071" w14:textId="63AC9E88" w:rsidR="00477A57" w:rsidRPr="002F733E" w:rsidRDefault="009D721F" w:rsidP="007E56D1">
      <w:pPr>
        <w:pStyle w:val="3-BodyText"/>
        <w:rPr>
          <w:snapToGrid/>
        </w:rPr>
      </w:pPr>
      <w:r w:rsidRPr="002F733E">
        <w:rPr>
          <w:snapToGrid/>
        </w:rPr>
        <w:t xml:space="preserve">The PBAC </w:t>
      </w:r>
      <w:r w:rsidR="0022766D" w:rsidRPr="002F733E">
        <w:rPr>
          <w:snapToGrid/>
        </w:rPr>
        <w:t xml:space="preserve">previously </w:t>
      </w:r>
      <w:r w:rsidRPr="002F733E">
        <w:rPr>
          <w:snapToGrid/>
        </w:rPr>
        <w:t>considered the nominated comparator was appropriate (paragraph 7.4, anifrolumab PSD</w:t>
      </w:r>
      <w:r w:rsidR="00D75FD7" w:rsidRPr="002F733E">
        <w:rPr>
          <w:snapToGrid/>
        </w:rPr>
        <w:t>,</w:t>
      </w:r>
      <w:r w:rsidRPr="002F733E">
        <w:rPr>
          <w:snapToGrid/>
        </w:rPr>
        <w:t xml:space="preserve"> July 2022 PBAC meeting).</w:t>
      </w:r>
      <w:r w:rsidR="007E56D1" w:rsidRPr="002F733E">
        <w:rPr>
          <w:snapToGrid/>
        </w:rPr>
        <w:t xml:space="preserve"> </w:t>
      </w:r>
    </w:p>
    <w:p w14:paraId="12127326" w14:textId="60FE9F99" w:rsidR="009D721F" w:rsidRPr="002F733E" w:rsidRDefault="007E56D1" w:rsidP="00477A57">
      <w:pPr>
        <w:ind w:left="510" w:firstLine="170"/>
        <w:rPr>
          <w:i/>
          <w:iCs/>
        </w:rPr>
      </w:pPr>
      <w:r w:rsidRPr="002F733E">
        <w:rPr>
          <w:i/>
          <w:iCs/>
        </w:rPr>
        <w:t>For more detail on PBAC’s view, see section 7 PBAC outcome.</w:t>
      </w:r>
    </w:p>
    <w:p w14:paraId="7F9C27C8" w14:textId="77777777" w:rsidR="00223D5A" w:rsidRPr="002F733E" w:rsidRDefault="00223D5A" w:rsidP="00223D5A">
      <w:pPr>
        <w:pStyle w:val="2-SectionHeading"/>
        <w:numPr>
          <w:ilvl w:val="0"/>
          <w:numId w:val="1"/>
        </w:numPr>
      </w:pPr>
      <w:bookmarkStart w:id="13" w:name="_Toc124521446"/>
      <w:bookmarkStart w:id="14" w:name="_Toc22897640"/>
      <w:r w:rsidRPr="002F733E">
        <w:t>Consideration of the evidence</w:t>
      </w:r>
      <w:bookmarkEnd w:id="13"/>
    </w:p>
    <w:p w14:paraId="7A5AF03D" w14:textId="77777777" w:rsidR="00477A57" w:rsidRPr="002F733E" w:rsidRDefault="00477A57" w:rsidP="00477A57">
      <w:pPr>
        <w:pStyle w:val="4-SubsectionHeading"/>
      </w:pPr>
      <w:bookmarkStart w:id="15" w:name="_Hlk76375935"/>
      <w:bookmarkStart w:id="16" w:name="_Toc124521447"/>
      <w:r w:rsidRPr="002F733E">
        <w:t>Sponsor hearing</w:t>
      </w:r>
    </w:p>
    <w:p w14:paraId="76623844" w14:textId="17527495" w:rsidR="002F1173" w:rsidRPr="002F733E" w:rsidRDefault="002F1173" w:rsidP="002F1173">
      <w:pPr>
        <w:pStyle w:val="3-BodyText"/>
        <w:rPr>
          <w:snapToGrid/>
        </w:rPr>
      </w:pPr>
      <w:bookmarkStart w:id="17" w:name="_Hlk76382586"/>
      <w:r w:rsidRPr="002F733E">
        <w:rPr>
          <w:snapToGrid/>
        </w:rPr>
        <w:t>The sponsor requested a hearing for this item. The clinician discussed the clinical trial evidence for anifrolumab including the concordance in clinical trial outcome measures based on the analysis published by Bruce et al. (2022).</w:t>
      </w:r>
      <w:r w:rsidR="00DD325E">
        <w:rPr>
          <w:snapToGrid/>
        </w:rPr>
        <w:t xml:space="preserve"> </w:t>
      </w:r>
      <w:r w:rsidRPr="002F733E">
        <w:rPr>
          <w:snapToGrid/>
        </w:rPr>
        <w:t xml:space="preserve">The clinician stated that SLE patients are currently treated with drugs that have been available since the 1950s which can have poor effectiveness and safety. Consequently, patients experience accrual of organ damage, reduced quality of life, low workforce participation and increased mortality. The clinician spoke about the role of steroids in the treatment of SLE and the goal of reducing steroid doses in these patients due to risks associated with long term use. Patients with SLEDAI ≥10 have much worse outcomes, with increased organ damage and 5-times higher mortality. The clinician explained that SLE is a complex disease where any organ can be affected, at any time, and multiple organ damage can occur; treatment needs to be driven by individual patient circumstances, and this makes measurement of outcomes difficult. The clinician stated that a disease flare is not always accompanied by an increase in SLEDAI score, and a flare that resolves may not be accompanied by a decrease in SLEDAI score. This complexity may lead to an individual outcome not reaching statistical significance, as in the TULIP-1 trial. </w:t>
      </w:r>
    </w:p>
    <w:bookmarkEnd w:id="17"/>
    <w:p w14:paraId="5BCF2250" w14:textId="77777777" w:rsidR="00477A57" w:rsidRPr="002F733E" w:rsidRDefault="00477A57" w:rsidP="00477A57">
      <w:pPr>
        <w:pStyle w:val="4-SubsectionHeading"/>
      </w:pPr>
      <w:r w:rsidRPr="002F733E">
        <w:t>Consumer comments</w:t>
      </w:r>
    </w:p>
    <w:p w14:paraId="6A060A17" w14:textId="7C729089" w:rsidR="00FC672D" w:rsidRPr="002F733E" w:rsidRDefault="00BC0942" w:rsidP="00EE349D">
      <w:pPr>
        <w:widowControl w:val="0"/>
        <w:numPr>
          <w:ilvl w:val="1"/>
          <w:numId w:val="1"/>
        </w:numPr>
        <w:spacing w:after="120"/>
        <w:rPr>
          <w:rFonts w:asciiTheme="minorHAnsi" w:hAnsiTheme="minorHAnsi"/>
          <w:bCs/>
          <w:snapToGrid w:val="0"/>
        </w:rPr>
      </w:pPr>
      <w:bookmarkStart w:id="18" w:name="_Hlk76382618"/>
      <w:r w:rsidRPr="002F733E">
        <w:rPr>
          <w:rFonts w:asciiTheme="minorHAnsi" w:hAnsiTheme="minorHAnsi"/>
          <w:bCs/>
          <w:snapToGrid w:val="0"/>
        </w:rPr>
        <w:t>The PBAC noted and welcomed the input from individuals (11), health care professionals (2) and organisations (5) via the Consumer Comments facility on the PBS website.  The PBAC noted that this input was additional to the consumer comments considered during the previous consideration of anifrolumab at the July 2022 meeting which included i</w:t>
      </w:r>
      <w:r w:rsidR="00FC672D" w:rsidRPr="002F733E">
        <w:rPr>
          <w:rFonts w:asciiTheme="minorHAnsi" w:hAnsiTheme="minorHAnsi"/>
          <w:bCs/>
          <w:snapToGrid w:val="0"/>
        </w:rPr>
        <w:t xml:space="preserve">nput from individuals (128), a health care professional (1) and organisations (5).  </w:t>
      </w:r>
    </w:p>
    <w:p w14:paraId="7BCC340B" w14:textId="5565DCDF" w:rsidR="00BC0942" w:rsidRPr="002F733E" w:rsidRDefault="00BC0942" w:rsidP="00F1179B">
      <w:pPr>
        <w:widowControl w:val="0"/>
        <w:numPr>
          <w:ilvl w:val="1"/>
          <w:numId w:val="1"/>
        </w:numPr>
        <w:spacing w:after="120"/>
        <w:rPr>
          <w:rFonts w:asciiTheme="minorHAnsi" w:hAnsiTheme="minorHAnsi"/>
          <w:bCs/>
          <w:snapToGrid w:val="0"/>
        </w:rPr>
      </w:pPr>
      <w:bookmarkStart w:id="19" w:name="_Ref109219584"/>
      <w:r w:rsidRPr="002F733E">
        <w:rPr>
          <w:rFonts w:asciiTheme="minorHAnsi" w:hAnsiTheme="minorHAnsi"/>
          <w:bCs/>
          <w:snapToGrid w:val="0"/>
        </w:rPr>
        <w:t xml:space="preserve">The PBAC noted the consumer input was consistent with the previously considered comments.  </w:t>
      </w:r>
      <w:r w:rsidR="0023638E" w:rsidRPr="002F733E">
        <w:rPr>
          <w:rFonts w:asciiTheme="minorHAnsi" w:hAnsiTheme="minorHAnsi"/>
          <w:bCs/>
          <w:snapToGrid w:val="0"/>
        </w:rPr>
        <w:t>Health professionals supported the proposed listing and noted an unmet clinical need due to limited treatment options available for SLE.</w:t>
      </w:r>
      <w:r w:rsidR="00286DF0" w:rsidRPr="002F733E">
        <w:rPr>
          <w:rFonts w:asciiTheme="minorHAnsi" w:hAnsiTheme="minorHAnsi"/>
          <w:bCs/>
          <w:snapToGrid w:val="0"/>
        </w:rPr>
        <w:t xml:space="preserve"> </w:t>
      </w:r>
      <w:r w:rsidRPr="002F733E">
        <w:rPr>
          <w:rFonts w:asciiTheme="minorHAnsi" w:hAnsiTheme="minorHAnsi"/>
          <w:bCs/>
          <w:snapToGrid w:val="0"/>
        </w:rPr>
        <w:t xml:space="preserve">Individuals described the significant impact of SLE on </w:t>
      </w:r>
      <w:r w:rsidR="0023638E" w:rsidRPr="002F733E">
        <w:rPr>
          <w:rFonts w:asciiTheme="minorHAnsi" w:hAnsiTheme="minorHAnsi"/>
          <w:bCs/>
          <w:snapToGrid w:val="0"/>
        </w:rPr>
        <w:t xml:space="preserve">patient </w:t>
      </w:r>
      <w:r w:rsidRPr="002F733E">
        <w:rPr>
          <w:rFonts w:asciiTheme="minorHAnsi" w:hAnsiTheme="minorHAnsi"/>
          <w:bCs/>
          <w:snapToGrid w:val="0"/>
        </w:rPr>
        <w:t>quality of life</w:t>
      </w:r>
      <w:r w:rsidR="0023638E" w:rsidRPr="002F733E">
        <w:rPr>
          <w:rFonts w:asciiTheme="minorHAnsi" w:hAnsiTheme="minorHAnsi"/>
          <w:bCs/>
          <w:snapToGrid w:val="0"/>
        </w:rPr>
        <w:t xml:space="preserve"> and </w:t>
      </w:r>
      <w:r w:rsidRPr="002F733E">
        <w:rPr>
          <w:rFonts w:asciiTheme="minorHAnsi" w:hAnsiTheme="minorHAnsi"/>
          <w:bCs/>
          <w:snapToGrid w:val="0"/>
        </w:rPr>
        <w:t xml:space="preserve">noted that </w:t>
      </w:r>
      <w:r w:rsidR="0023638E" w:rsidRPr="002F733E">
        <w:rPr>
          <w:rFonts w:asciiTheme="minorHAnsi" w:hAnsiTheme="minorHAnsi"/>
          <w:bCs/>
          <w:snapToGrid w:val="0"/>
        </w:rPr>
        <w:t xml:space="preserve">anifrolumab </w:t>
      </w:r>
      <w:r w:rsidRPr="002F733E">
        <w:rPr>
          <w:rFonts w:asciiTheme="minorHAnsi" w:hAnsiTheme="minorHAnsi"/>
          <w:bCs/>
          <w:snapToGrid w:val="0"/>
        </w:rPr>
        <w:t>treatment would be unavailable to most</w:t>
      </w:r>
      <w:r w:rsidR="0023638E" w:rsidRPr="002F733E">
        <w:rPr>
          <w:rFonts w:asciiTheme="minorHAnsi" w:hAnsiTheme="minorHAnsi"/>
          <w:bCs/>
          <w:snapToGrid w:val="0"/>
        </w:rPr>
        <w:t>,</w:t>
      </w:r>
      <w:r w:rsidRPr="002F733E">
        <w:rPr>
          <w:rFonts w:asciiTheme="minorHAnsi" w:hAnsiTheme="minorHAnsi"/>
          <w:bCs/>
          <w:snapToGrid w:val="0"/>
        </w:rPr>
        <w:t xml:space="preserve"> in the absence of PBS listing due to cost.</w:t>
      </w:r>
      <w:r w:rsidR="0023638E" w:rsidRPr="002F733E">
        <w:rPr>
          <w:rFonts w:asciiTheme="minorHAnsi" w:hAnsiTheme="minorHAnsi"/>
          <w:bCs/>
          <w:snapToGrid w:val="0"/>
        </w:rPr>
        <w:t xml:space="preserve">  </w:t>
      </w:r>
    </w:p>
    <w:bookmarkEnd w:id="19"/>
    <w:p w14:paraId="49A565FF" w14:textId="42197EC1" w:rsidR="00FC672D" w:rsidRPr="002F733E" w:rsidRDefault="00FC672D" w:rsidP="006076CB">
      <w:pPr>
        <w:pStyle w:val="3-BodyText"/>
        <w:rPr>
          <w:bCs/>
        </w:rPr>
      </w:pPr>
      <w:r w:rsidRPr="002F733E">
        <w:t xml:space="preserve">The PBAC noted the advice received from </w:t>
      </w:r>
      <w:r w:rsidR="00251C02" w:rsidRPr="002F733E">
        <w:t>the Australasian Society of Clinical Immunology and Allergy (ASCIA), the Australian Rheumatology Association (ARA), Lupus Victoria, the National Aboriginal Community Controlled Health Organisation (NACCHO), and the National Paediatric Medicines Forum (NPMF)</w:t>
      </w:r>
      <w:r w:rsidR="00286DF0" w:rsidRPr="002F733E">
        <w:t xml:space="preserve">.  All organisations supported the </w:t>
      </w:r>
      <w:r w:rsidR="00251C02" w:rsidRPr="002F733E">
        <w:t>proposed listing.</w:t>
      </w:r>
      <w:r w:rsidR="00286DF0" w:rsidRPr="002F733E">
        <w:t xml:space="preserve">  The ARA noted that benefits of effective therapy would include </w:t>
      </w:r>
      <w:r w:rsidR="00286DF0" w:rsidRPr="002F733E">
        <w:rPr>
          <w:bCs/>
        </w:rPr>
        <w:t xml:space="preserve">greater quality of life through better management of symptoms, reduced dependence on corticosteroids, and minimisation of irreversible damage due to poorly controlled disease or excessive use of corticosteroid.  The </w:t>
      </w:r>
      <w:r w:rsidR="00286DF0" w:rsidRPr="002F733E">
        <w:t xml:space="preserve">ASCIA stated that </w:t>
      </w:r>
      <w:r w:rsidR="00286DF0" w:rsidRPr="002F733E">
        <w:rPr>
          <w:bCs/>
        </w:rPr>
        <w:t xml:space="preserve">current treatments for patients with severe SLE have limitations, including effectiveness in controlling disease and side effects.  It was noted by Lupus Victoria that most lupus patients are put on steroids, which is not very effective and causes severe complications in the case of many patients.  </w:t>
      </w:r>
      <w:r w:rsidRPr="002F733E">
        <w:t xml:space="preserve">NACCHO noted that </w:t>
      </w:r>
      <w:r w:rsidRPr="002F733E">
        <w:rPr>
          <w:bCs/>
        </w:rPr>
        <w:t xml:space="preserve">Aboriginal and Torres Strait Islander peoples are known to suffer from SLE at </w:t>
      </w:r>
      <w:r w:rsidR="00A16081">
        <w:rPr>
          <w:bCs/>
        </w:rPr>
        <w:t>a higher incidence</w:t>
      </w:r>
      <w:r w:rsidRPr="002F733E">
        <w:rPr>
          <w:bCs/>
        </w:rPr>
        <w:t xml:space="preserve"> and severity compared to other Australians</w:t>
      </w:r>
      <w:r w:rsidR="00286DF0" w:rsidRPr="002F733E">
        <w:rPr>
          <w:bCs/>
        </w:rPr>
        <w:t xml:space="preserve">, and that the impact of SLE may be compounded by effects of other chronic disease. The NPMF group indicated that anifrolumab is relevant to the national paediatric population and would be of benefit as an alternate option for children in the treatment of systemic lupus erythematosus with limited other therapies available. </w:t>
      </w:r>
      <w:r w:rsidRPr="002F733E">
        <w:t xml:space="preserve">The PBAC noted that </w:t>
      </w:r>
      <w:r w:rsidR="00286DF0" w:rsidRPr="002F733E">
        <w:t>the</w:t>
      </w:r>
      <w:r w:rsidRPr="002F733E">
        <w:t xml:space="preserve"> advice from </w:t>
      </w:r>
      <w:r w:rsidR="00286DF0" w:rsidRPr="002F733E">
        <w:t>o</w:t>
      </w:r>
      <w:r w:rsidRPr="002F733E">
        <w:t>rganisations was supportive of the evidence provided in the submission.</w:t>
      </w:r>
    </w:p>
    <w:bookmarkEnd w:id="15"/>
    <w:bookmarkEnd w:id="18"/>
    <w:p w14:paraId="609C0765" w14:textId="256AB2D3" w:rsidR="00B60939" w:rsidRPr="002F733E" w:rsidRDefault="00B60939" w:rsidP="002E4F02">
      <w:pPr>
        <w:pStyle w:val="4-SubsectionHeading"/>
      </w:pPr>
      <w:r w:rsidRPr="002F733E">
        <w:t>Clinical trials</w:t>
      </w:r>
      <w:bookmarkEnd w:id="14"/>
      <w:bookmarkEnd w:id="16"/>
    </w:p>
    <w:p w14:paraId="444F7DF4" w14:textId="5FF68ADC" w:rsidR="00CD72DD" w:rsidRPr="002F733E" w:rsidRDefault="00CD72DD" w:rsidP="002E4F02">
      <w:pPr>
        <w:pStyle w:val="3-BodyText"/>
      </w:pPr>
      <w:bookmarkStart w:id="20" w:name="_Hlk131432223"/>
      <w:r w:rsidRPr="002F733E">
        <w:t xml:space="preserve">The clinical data presented in the resubmission was largely unchanged from the July 2022 submission, with the exception of additional results to Week 216 (i.e. 4 years) from </w:t>
      </w:r>
      <w:r w:rsidR="00894CDB" w:rsidRPr="002F733E">
        <w:t xml:space="preserve">TULIP LTE (NCT02794285)), </w:t>
      </w:r>
      <w:r w:rsidRPr="002F733E">
        <w:t xml:space="preserve">a long-term </w:t>
      </w:r>
      <w:r w:rsidR="007A5FEF" w:rsidRPr="002F733E">
        <w:t xml:space="preserve">safety </w:t>
      </w:r>
      <w:r w:rsidRPr="002F733E">
        <w:t>extension study of patients who completed TULIP-1 or TULIP-2 trials.</w:t>
      </w:r>
    </w:p>
    <w:p w14:paraId="50CF580F" w14:textId="41F0017E" w:rsidR="00894CDB" w:rsidRPr="002F733E" w:rsidRDefault="00CD72DD" w:rsidP="002E4F02">
      <w:pPr>
        <w:pStyle w:val="3-BodyText"/>
      </w:pPr>
      <w:r w:rsidRPr="002F733E">
        <w:t>The clinical evidence (</w:t>
      </w:r>
      <w:r w:rsidR="005A67D0" w:rsidRPr="002F733E">
        <w:fldChar w:fldCharType="begin" w:fldLock="1"/>
      </w:r>
      <w:r w:rsidR="005A67D0" w:rsidRPr="002F733E">
        <w:instrText xml:space="preserve"> REF _Ref121737287 \h </w:instrText>
      </w:r>
      <w:r w:rsidR="005A67D0" w:rsidRPr="002F733E">
        <w:fldChar w:fldCharType="separate"/>
      </w:r>
      <w:r w:rsidR="001316D2" w:rsidRPr="002F733E">
        <w:t>Table 3</w:t>
      </w:r>
      <w:r w:rsidR="005A67D0" w:rsidRPr="002F733E">
        <w:fldChar w:fldCharType="end"/>
      </w:r>
      <w:r w:rsidRPr="002F733E">
        <w:t>) was based on</w:t>
      </w:r>
      <w:r w:rsidR="00894CDB" w:rsidRPr="002F733E">
        <w:t>:</w:t>
      </w:r>
    </w:p>
    <w:p w14:paraId="5FDF6995" w14:textId="576895CF" w:rsidR="00894CDB" w:rsidRPr="002F733E" w:rsidRDefault="00CD72DD" w:rsidP="00DC7889">
      <w:pPr>
        <w:pStyle w:val="3-BodyText"/>
        <w:numPr>
          <w:ilvl w:val="0"/>
          <w:numId w:val="24"/>
        </w:numPr>
        <w:ind w:left="1080"/>
      </w:pPr>
      <w:r w:rsidRPr="002F733E">
        <w:t xml:space="preserve">three head-to-head randomised controlled trials (RCTs) comparing anifrolumab 300 mg IV Q4W to SOC alone (also referred to as placebo in the submission) in adults with moderate to severe SLE (with SLEDAI-2K </w:t>
      </w:r>
      <w:r w:rsidRPr="002F733E">
        <w:rPr>
          <w:rFonts w:cstheme="minorHAnsi"/>
        </w:rPr>
        <w:t>≥</w:t>
      </w:r>
      <w:r w:rsidRPr="002F733E">
        <w:t>6 and receiving one or more therapy for SLE): TULIP 1, TULIP 2, MUSE</w:t>
      </w:r>
      <w:r w:rsidR="00894CDB" w:rsidRPr="002F733E">
        <w:t>;</w:t>
      </w:r>
      <w:r w:rsidRPr="002F733E">
        <w:t xml:space="preserve"> and </w:t>
      </w:r>
    </w:p>
    <w:p w14:paraId="647E5E81" w14:textId="49F201D9" w:rsidR="00CD72DD" w:rsidRPr="002F733E" w:rsidRDefault="00CD72DD" w:rsidP="00DC7889">
      <w:pPr>
        <w:pStyle w:val="3-BodyText"/>
        <w:numPr>
          <w:ilvl w:val="0"/>
          <w:numId w:val="24"/>
        </w:numPr>
        <w:ind w:left="1080"/>
      </w:pPr>
      <w:r w:rsidRPr="002F733E">
        <w:t>two treatment extension stud</w:t>
      </w:r>
      <w:r w:rsidR="009E1100" w:rsidRPr="002F733E">
        <w:t>ies</w:t>
      </w:r>
      <w:r w:rsidRPr="002F733E">
        <w:t xml:space="preserve"> (MUSE LTE and TULIP LTE).</w:t>
      </w:r>
    </w:p>
    <w:p w14:paraId="20ABC277" w14:textId="4B001F43" w:rsidR="00CD72DD" w:rsidRPr="002F733E" w:rsidRDefault="005A67D0" w:rsidP="005A67D0">
      <w:pPr>
        <w:pStyle w:val="Caption"/>
        <w:jc w:val="left"/>
      </w:pPr>
      <w:bookmarkStart w:id="21" w:name="_Ref121737287"/>
      <w:bookmarkEnd w:id="20"/>
      <w:r w:rsidRPr="002F733E">
        <w:t xml:space="preserve">Table </w:t>
      </w:r>
      <w:fldSimple w:instr=" SEQ Table \* ARABIC " w:fldLock="1">
        <w:r w:rsidR="00781A0F" w:rsidRPr="002F733E">
          <w:t>3</w:t>
        </w:r>
      </w:fldSimple>
      <w:bookmarkEnd w:id="21"/>
      <w:r w:rsidR="00CD72DD" w:rsidRPr="002F733E">
        <w:rPr>
          <w:rStyle w:val="CommentReference"/>
          <w:b/>
          <w:szCs w:val="24"/>
        </w:rPr>
        <w:t>: Trials and associated reports presented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129"/>
        <w:gridCol w:w="5765"/>
        <w:gridCol w:w="2123"/>
      </w:tblGrid>
      <w:tr w:rsidR="00CD72DD" w:rsidRPr="002F733E" w14:paraId="562F8E26" w14:textId="77777777" w:rsidTr="00CD72DD">
        <w:trPr>
          <w:tblHeader/>
        </w:trPr>
        <w:tc>
          <w:tcPr>
            <w:tcW w:w="626" w:type="pct"/>
            <w:vAlign w:val="center"/>
          </w:tcPr>
          <w:p w14:paraId="7850252C" w14:textId="77777777" w:rsidR="00CD72DD" w:rsidRPr="002F733E" w:rsidRDefault="00CD72DD" w:rsidP="00CD72DD">
            <w:pPr>
              <w:pStyle w:val="In-tableHeading"/>
              <w:rPr>
                <w:lang w:val="en-AU"/>
              </w:rPr>
            </w:pPr>
            <w:r w:rsidRPr="002F733E">
              <w:rPr>
                <w:lang w:val="en-AU"/>
              </w:rPr>
              <w:t>Trial ID</w:t>
            </w:r>
          </w:p>
        </w:tc>
        <w:tc>
          <w:tcPr>
            <w:tcW w:w="3197" w:type="pct"/>
            <w:vAlign w:val="center"/>
          </w:tcPr>
          <w:p w14:paraId="35AEEFF0" w14:textId="77777777" w:rsidR="00CD72DD" w:rsidRPr="002F733E" w:rsidRDefault="00CD72DD" w:rsidP="00CD72DD">
            <w:pPr>
              <w:pStyle w:val="In-tableHeading"/>
              <w:rPr>
                <w:lang w:val="en-AU"/>
              </w:rPr>
            </w:pPr>
            <w:r w:rsidRPr="002F733E">
              <w:rPr>
                <w:lang w:val="en-AU"/>
              </w:rPr>
              <w:t>Protocol title/ Publication title</w:t>
            </w:r>
          </w:p>
        </w:tc>
        <w:tc>
          <w:tcPr>
            <w:tcW w:w="1177" w:type="pct"/>
            <w:vAlign w:val="center"/>
          </w:tcPr>
          <w:p w14:paraId="133793D8" w14:textId="77777777" w:rsidR="00CD72DD" w:rsidRPr="002F733E" w:rsidRDefault="00CD72DD" w:rsidP="00CD72DD">
            <w:pPr>
              <w:pStyle w:val="In-tableHeading"/>
              <w:rPr>
                <w:lang w:val="en-AU"/>
              </w:rPr>
            </w:pPr>
            <w:r w:rsidRPr="002F733E">
              <w:rPr>
                <w:lang w:val="en-AU"/>
              </w:rPr>
              <w:t>Publication citation</w:t>
            </w:r>
          </w:p>
        </w:tc>
      </w:tr>
      <w:tr w:rsidR="00CD72DD" w:rsidRPr="002F733E" w14:paraId="33AB7B70" w14:textId="77777777" w:rsidTr="00CD72DD">
        <w:tc>
          <w:tcPr>
            <w:tcW w:w="626" w:type="pct"/>
            <w:vMerge w:val="restart"/>
            <w:shd w:val="clear" w:color="auto" w:fill="B8CCE4" w:themeFill="accent1" w:themeFillTint="66"/>
            <w:vAlign w:val="center"/>
          </w:tcPr>
          <w:p w14:paraId="796D28FC" w14:textId="77777777" w:rsidR="00CD72DD" w:rsidRPr="002F733E" w:rsidRDefault="00CD72DD" w:rsidP="00CD72DD">
            <w:pPr>
              <w:pStyle w:val="TableText0"/>
            </w:pPr>
            <w:r w:rsidRPr="002F733E">
              <w:t>TULIP-1 (Study 05)</w:t>
            </w:r>
          </w:p>
          <w:p w14:paraId="6BCA3BF0" w14:textId="77777777" w:rsidR="00CD72DD" w:rsidRPr="002F733E" w:rsidRDefault="00CD72DD" w:rsidP="00CD72DD">
            <w:pPr>
              <w:pStyle w:val="TableText0"/>
            </w:pPr>
            <w:r w:rsidRPr="002F733E">
              <w:t>NCT02446912</w:t>
            </w:r>
          </w:p>
        </w:tc>
        <w:tc>
          <w:tcPr>
            <w:tcW w:w="3197" w:type="pct"/>
            <w:tcBorders>
              <w:bottom w:val="nil"/>
            </w:tcBorders>
            <w:shd w:val="clear" w:color="auto" w:fill="B8CCE4" w:themeFill="accent1" w:themeFillTint="66"/>
            <w:vAlign w:val="center"/>
          </w:tcPr>
          <w:p w14:paraId="486A51B6" w14:textId="77777777" w:rsidR="00CD72DD" w:rsidRPr="002F733E" w:rsidRDefault="00CD72DD" w:rsidP="00CD72DD">
            <w:pPr>
              <w:pStyle w:val="TableText0"/>
              <w:rPr>
                <w:szCs w:val="18"/>
              </w:rPr>
            </w:pPr>
            <w:r w:rsidRPr="002F733E">
              <w:rPr>
                <w:szCs w:val="18"/>
              </w:rPr>
              <w:t>A Multicentre, Randomised, Double-blind, Placebo-controlled, Phase 3 Study Evaluating the Efficacy and Safety of Two Doses of Anifrolumab in Adult Subjects with Active Systemic Lupus Erythematosus</w:t>
            </w:r>
          </w:p>
        </w:tc>
        <w:tc>
          <w:tcPr>
            <w:tcW w:w="1177" w:type="pct"/>
            <w:tcBorders>
              <w:bottom w:val="nil"/>
            </w:tcBorders>
            <w:shd w:val="clear" w:color="auto" w:fill="B8CCE4" w:themeFill="accent1" w:themeFillTint="66"/>
            <w:vAlign w:val="center"/>
          </w:tcPr>
          <w:p w14:paraId="31CD7FC5" w14:textId="77777777" w:rsidR="00CD72DD" w:rsidRPr="002F733E" w:rsidRDefault="00CD72DD" w:rsidP="00CD72DD">
            <w:pPr>
              <w:pStyle w:val="TableText0"/>
            </w:pPr>
            <w:r w:rsidRPr="002F733E">
              <w:t>20 May 2019</w:t>
            </w:r>
          </w:p>
        </w:tc>
      </w:tr>
      <w:tr w:rsidR="00CD72DD" w:rsidRPr="002F733E" w14:paraId="2963604A" w14:textId="77777777" w:rsidTr="00CD72DD">
        <w:tc>
          <w:tcPr>
            <w:tcW w:w="626" w:type="pct"/>
            <w:vMerge/>
            <w:tcBorders>
              <w:bottom w:val="nil"/>
            </w:tcBorders>
            <w:shd w:val="clear" w:color="auto" w:fill="B8CCE4" w:themeFill="accent1" w:themeFillTint="66"/>
            <w:vAlign w:val="center"/>
          </w:tcPr>
          <w:p w14:paraId="54AB4D7B" w14:textId="77777777" w:rsidR="00CD72DD" w:rsidRPr="002F733E" w:rsidRDefault="00CD72DD" w:rsidP="00CD72DD">
            <w:pPr>
              <w:pStyle w:val="TableText0"/>
            </w:pPr>
          </w:p>
        </w:tc>
        <w:tc>
          <w:tcPr>
            <w:tcW w:w="3197" w:type="pct"/>
            <w:tcBorders>
              <w:top w:val="nil"/>
              <w:bottom w:val="nil"/>
            </w:tcBorders>
            <w:shd w:val="clear" w:color="auto" w:fill="B8CCE4" w:themeFill="accent1" w:themeFillTint="66"/>
            <w:vAlign w:val="center"/>
          </w:tcPr>
          <w:p w14:paraId="4AC840B3" w14:textId="77777777" w:rsidR="00CD72DD" w:rsidRPr="002F733E" w:rsidRDefault="00CD72DD" w:rsidP="00CD72DD">
            <w:pPr>
              <w:pStyle w:val="TableText0"/>
              <w:rPr>
                <w:szCs w:val="18"/>
              </w:rPr>
            </w:pPr>
            <w:r w:rsidRPr="002F733E">
              <w:rPr>
                <w:szCs w:val="18"/>
              </w:rPr>
              <w:t>Furie, R. A., et al. Type I interferon inhibitor anifrolumab in active systemic lupus erythematosus (TULIP-1): a randomised, controlled, phase 3 trial.</w:t>
            </w:r>
          </w:p>
        </w:tc>
        <w:tc>
          <w:tcPr>
            <w:tcW w:w="1177" w:type="pct"/>
            <w:tcBorders>
              <w:top w:val="nil"/>
              <w:bottom w:val="nil"/>
            </w:tcBorders>
            <w:shd w:val="clear" w:color="auto" w:fill="B8CCE4" w:themeFill="accent1" w:themeFillTint="66"/>
            <w:vAlign w:val="center"/>
          </w:tcPr>
          <w:p w14:paraId="7F66E4C5" w14:textId="77777777" w:rsidR="00CD72DD" w:rsidRPr="002F733E" w:rsidRDefault="00CD72DD" w:rsidP="00CD72DD">
            <w:pPr>
              <w:pStyle w:val="TableText0"/>
              <w:rPr>
                <w:szCs w:val="18"/>
              </w:rPr>
            </w:pPr>
            <w:r w:rsidRPr="002F733E">
              <w:rPr>
                <w:szCs w:val="18"/>
              </w:rPr>
              <w:t>The Lancet Rheumatology 2019; 1(4): e208-e219.</w:t>
            </w:r>
          </w:p>
        </w:tc>
      </w:tr>
      <w:tr w:rsidR="00CD72DD" w:rsidRPr="002F733E" w14:paraId="552E07ED" w14:textId="77777777" w:rsidTr="00CD72DD">
        <w:tc>
          <w:tcPr>
            <w:tcW w:w="626" w:type="pct"/>
            <w:vMerge w:val="restart"/>
            <w:shd w:val="clear" w:color="auto" w:fill="B8CCE4" w:themeFill="accent1" w:themeFillTint="66"/>
            <w:vAlign w:val="center"/>
          </w:tcPr>
          <w:p w14:paraId="6471C123" w14:textId="77777777" w:rsidR="00CD72DD" w:rsidRPr="002F733E" w:rsidRDefault="00CD72DD" w:rsidP="00CD72DD">
            <w:pPr>
              <w:pStyle w:val="TableText0"/>
            </w:pPr>
            <w:r w:rsidRPr="002F733E">
              <w:t>TULIP-2 (Study 04)</w:t>
            </w:r>
          </w:p>
          <w:p w14:paraId="7B0B35C6" w14:textId="77777777" w:rsidR="00CD72DD" w:rsidRPr="002F733E" w:rsidRDefault="00CD72DD" w:rsidP="00CD72DD">
            <w:pPr>
              <w:pStyle w:val="TableText0"/>
            </w:pPr>
            <w:r w:rsidRPr="002F733E">
              <w:t>NCT02446899</w:t>
            </w:r>
          </w:p>
        </w:tc>
        <w:tc>
          <w:tcPr>
            <w:tcW w:w="3197" w:type="pct"/>
            <w:tcBorders>
              <w:bottom w:val="nil"/>
            </w:tcBorders>
            <w:shd w:val="clear" w:color="auto" w:fill="B8CCE4" w:themeFill="accent1" w:themeFillTint="66"/>
            <w:vAlign w:val="center"/>
          </w:tcPr>
          <w:p w14:paraId="781AF9DE" w14:textId="77777777" w:rsidR="00CD72DD" w:rsidRPr="002F733E" w:rsidRDefault="00CD72DD" w:rsidP="00CD72DD">
            <w:pPr>
              <w:pStyle w:val="TableText0"/>
            </w:pPr>
            <w:r w:rsidRPr="002F733E">
              <w:t xml:space="preserve">A Multicentre, Randomised, Double-blind, Placebo-controlled, Phase 3 Study Evaluating the Efficacy and Safety of Anifrolumab in Adult Subjects with Active Systemic Lupus Erythematosus. </w:t>
            </w:r>
          </w:p>
        </w:tc>
        <w:tc>
          <w:tcPr>
            <w:tcW w:w="1177" w:type="pct"/>
            <w:tcBorders>
              <w:bottom w:val="nil"/>
            </w:tcBorders>
            <w:shd w:val="clear" w:color="auto" w:fill="B8CCE4" w:themeFill="accent1" w:themeFillTint="66"/>
            <w:vAlign w:val="center"/>
          </w:tcPr>
          <w:p w14:paraId="3DF0AD1D" w14:textId="77777777" w:rsidR="00CD72DD" w:rsidRPr="002F733E" w:rsidRDefault="00CD72DD" w:rsidP="00CD72DD">
            <w:pPr>
              <w:pStyle w:val="TableText0"/>
            </w:pPr>
            <w:r w:rsidRPr="002F733E">
              <w:t>16 December 2019</w:t>
            </w:r>
          </w:p>
        </w:tc>
      </w:tr>
      <w:tr w:rsidR="00CD72DD" w:rsidRPr="002F733E" w14:paraId="1C98851A" w14:textId="77777777" w:rsidTr="00CD72DD">
        <w:tc>
          <w:tcPr>
            <w:tcW w:w="626" w:type="pct"/>
            <w:vMerge/>
            <w:tcBorders>
              <w:bottom w:val="nil"/>
            </w:tcBorders>
            <w:shd w:val="clear" w:color="auto" w:fill="B8CCE4" w:themeFill="accent1" w:themeFillTint="66"/>
            <w:vAlign w:val="center"/>
          </w:tcPr>
          <w:p w14:paraId="61F2F97E" w14:textId="77777777" w:rsidR="00CD72DD" w:rsidRPr="002F733E" w:rsidRDefault="00CD72DD" w:rsidP="00CD72DD">
            <w:pPr>
              <w:pStyle w:val="TableText0"/>
            </w:pPr>
          </w:p>
        </w:tc>
        <w:tc>
          <w:tcPr>
            <w:tcW w:w="3197" w:type="pct"/>
            <w:tcBorders>
              <w:top w:val="nil"/>
              <w:bottom w:val="nil"/>
            </w:tcBorders>
            <w:shd w:val="clear" w:color="auto" w:fill="B8CCE4" w:themeFill="accent1" w:themeFillTint="66"/>
            <w:vAlign w:val="center"/>
          </w:tcPr>
          <w:p w14:paraId="415A5447" w14:textId="77777777" w:rsidR="00CD72DD" w:rsidRPr="002F733E" w:rsidRDefault="00CD72DD" w:rsidP="00CD72DD">
            <w:pPr>
              <w:pStyle w:val="TableText0"/>
              <w:rPr>
                <w:szCs w:val="18"/>
              </w:rPr>
            </w:pPr>
            <w:r w:rsidRPr="002F733E">
              <w:rPr>
                <w:szCs w:val="18"/>
              </w:rPr>
              <w:t xml:space="preserve">Morand, E. F., et al. Trial of anifrolumab in active systemic lupus erythematosus. </w:t>
            </w:r>
          </w:p>
        </w:tc>
        <w:tc>
          <w:tcPr>
            <w:tcW w:w="1177" w:type="pct"/>
            <w:tcBorders>
              <w:top w:val="nil"/>
              <w:bottom w:val="nil"/>
            </w:tcBorders>
            <w:shd w:val="clear" w:color="auto" w:fill="B8CCE4" w:themeFill="accent1" w:themeFillTint="66"/>
            <w:vAlign w:val="center"/>
          </w:tcPr>
          <w:p w14:paraId="41600B26" w14:textId="77777777" w:rsidR="00CD72DD" w:rsidRPr="002F733E" w:rsidRDefault="00CD72DD" w:rsidP="00CD72DD">
            <w:pPr>
              <w:pStyle w:val="TableText0"/>
              <w:rPr>
                <w:i/>
              </w:rPr>
            </w:pPr>
            <w:r w:rsidRPr="002F733E">
              <w:rPr>
                <w:szCs w:val="18"/>
              </w:rPr>
              <w:t>New England Journal of Medicine 2020; 382(3): 211-221.</w:t>
            </w:r>
          </w:p>
        </w:tc>
      </w:tr>
      <w:tr w:rsidR="00CD72DD" w:rsidRPr="002F733E" w14:paraId="0FFC24AF" w14:textId="77777777" w:rsidTr="00CD72DD">
        <w:tc>
          <w:tcPr>
            <w:tcW w:w="626" w:type="pct"/>
            <w:vMerge w:val="restart"/>
            <w:shd w:val="clear" w:color="auto" w:fill="B8CCE4" w:themeFill="accent1" w:themeFillTint="66"/>
            <w:vAlign w:val="center"/>
          </w:tcPr>
          <w:p w14:paraId="2236F72F" w14:textId="77777777" w:rsidR="00CD72DD" w:rsidRPr="002F733E" w:rsidRDefault="00CD72DD" w:rsidP="00CD72DD">
            <w:pPr>
              <w:pStyle w:val="TableText0"/>
            </w:pPr>
            <w:r w:rsidRPr="002F733E">
              <w:t>MUSE</w:t>
            </w:r>
          </w:p>
          <w:p w14:paraId="31B59D84" w14:textId="77777777" w:rsidR="00CD72DD" w:rsidRPr="002F733E" w:rsidRDefault="00CD72DD" w:rsidP="00CD72DD">
            <w:pPr>
              <w:pStyle w:val="TableText0"/>
            </w:pPr>
            <w:r w:rsidRPr="002F733E">
              <w:t>NCT01438489</w:t>
            </w:r>
          </w:p>
        </w:tc>
        <w:tc>
          <w:tcPr>
            <w:tcW w:w="3197" w:type="pct"/>
            <w:tcBorders>
              <w:bottom w:val="nil"/>
            </w:tcBorders>
            <w:shd w:val="clear" w:color="auto" w:fill="B8CCE4" w:themeFill="accent1" w:themeFillTint="66"/>
            <w:vAlign w:val="center"/>
          </w:tcPr>
          <w:p w14:paraId="1F68A9D2" w14:textId="77777777" w:rsidR="00CD72DD" w:rsidRPr="002F733E" w:rsidRDefault="00CD72DD" w:rsidP="00CD72DD">
            <w:pPr>
              <w:pStyle w:val="TableText0"/>
            </w:pPr>
            <w:r w:rsidRPr="002F733E">
              <w:t xml:space="preserve">A Phase 2, Randomized Study to Evaluate the Efficacy and Safety of MEDI-546 in Subjects with Systemic Lupus Erythematosus. </w:t>
            </w:r>
          </w:p>
        </w:tc>
        <w:tc>
          <w:tcPr>
            <w:tcW w:w="1177" w:type="pct"/>
            <w:tcBorders>
              <w:bottom w:val="nil"/>
            </w:tcBorders>
            <w:shd w:val="clear" w:color="auto" w:fill="B8CCE4" w:themeFill="accent1" w:themeFillTint="66"/>
            <w:vAlign w:val="center"/>
          </w:tcPr>
          <w:p w14:paraId="0D47A11A" w14:textId="77777777" w:rsidR="00CD72DD" w:rsidRPr="002F733E" w:rsidRDefault="00CD72DD" w:rsidP="00CD72DD">
            <w:pPr>
              <w:pStyle w:val="TableText0"/>
            </w:pPr>
            <w:r w:rsidRPr="002F733E">
              <w:t>April 2015.</w:t>
            </w:r>
          </w:p>
        </w:tc>
      </w:tr>
      <w:tr w:rsidR="00CD72DD" w:rsidRPr="002F733E" w14:paraId="0739E411" w14:textId="77777777" w:rsidTr="00CD72DD">
        <w:tc>
          <w:tcPr>
            <w:tcW w:w="626" w:type="pct"/>
            <w:vMerge/>
            <w:tcBorders>
              <w:bottom w:val="single" w:sz="4" w:space="0" w:color="auto"/>
            </w:tcBorders>
            <w:shd w:val="clear" w:color="auto" w:fill="B8CCE4" w:themeFill="accent1" w:themeFillTint="66"/>
            <w:vAlign w:val="center"/>
          </w:tcPr>
          <w:p w14:paraId="571816EE" w14:textId="77777777" w:rsidR="00CD72DD" w:rsidRPr="002F733E" w:rsidRDefault="00CD72DD" w:rsidP="00CD72DD">
            <w:pPr>
              <w:pStyle w:val="TableText0"/>
            </w:pPr>
          </w:p>
        </w:tc>
        <w:tc>
          <w:tcPr>
            <w:tcW w:w="3197" w:type="pct"/>
            <w:tcBorders>
              <w:top w:val="nil"/>
              <w:bottom w:val="single" w:sz="4" w:space="0" w:color="auto"/>
            </w:tcBorders>
            <w:shd w:val="clear" w:color="auto" w:fill="B8CCE4" w:themeFill="accent1" w:themeFillTint="66"/>
            <w:vAlign w:val="center"/>
          </w:tcPr>
          <w:p w14:paraId="52347BA1" w14:textId="77777777" w:rsidR="00CD72DD" w:rsidRPr="002F733E" w:rsidRDefault="00CD72DD" w:rsidP="00CD72DD">
            <w:pPr>
              <w:pStyle w:val="TableText0"/>
              <w:rPr>
                <w:szCs w:val="18"/>
              </w:rPr>
            </w:pPr>
            <w:r w:rsidRPr="002F733E">
              <w:rPr>
                <w:szCs w:val="18"/>
              </w:rPr>
              <w:t xml:space="preserve">Furie, R., et al. Anifrolumab, an Anti–Interferon-α Receptor Monoclonal Antibody, in Moderate to Severe Systemic Lupus Erythematosus. </w:t>
            </w:r>
          </w:p>
        </w:tc>
        <w:tc>
          <w:tcPr>
            <w:tcW w:w="1177" w:type="pct"/>
            <w:tcBorders>
              <w:top w:val="nil"/>
              <w:bottom w:val="single" w:sz="4" w:space="0" w:color="auto"/>
            </w:tcBorders>
            <w:shd w:val="clear" w:color="auto" w:fill="B8CCE4" w:themeFill="accent1" w:themeFillTint="66"/>
            <w:vAlign w:val="center"/>
          </w:tcPr>
          <w:p w14:paraId="4277C128" w14:textId="77777777" w:rsidR="00CD72DD" w:rsidRPr="002F733E" w:rsidRDefault="00CD72DD" w:rsidP="00CD72DD">
            <w:pPr>
              <w:pStyle w:val="TableText0"/>
            </w:pPr>
            <w:r w:rsidRPr="002F733E">
              <w:rPr>
                <w:szCs w:val="18"/>
              </w:rPr>
              <w:t>Arthritis and Rheumatology 2017; 69(2): 376-386.</w:t>
            </w:r>
          </w:p>
        </w:tc>
      </w:tr>
      <w:tr w:rsidR="00CD72DD" w:rsidRPr="002F733E" w14:paraId="2F818291" w14:textId="77777777" w:rsidTr="00CD72DD">
        <w:tc>
          <w:tcPr>
            <w:tcW w:w="626" w:type="pct"/>
            <w:vMerge w:val="restart"/>
            <w:tcBorders>
              <w:top w:val="single" w:sz="4" w:space="0" w:color="auto"/>
            </w:tcBorders>
            <w:shd w:val="clear" w:color="auto" w:fill="B8CCE4" w:themeFill="accent1" w:themeFillTint="66"/>
            <w:vAlign w:val="center"/>
          </w:tcPr>
          <w:p w14:paraId="52EF0D0F" w14:textId="77777777" w:rsidR="00CD72DD" w:rsidRPr="002F733E" w:rsidRDefault="00CD72DD" w:rsidP="00CD72DD">
            <w:pPr>
              <w:pStyle w:val="TableText0"/>
            </w:pPr>
            <w:r w:rsidRPr="002F733E">
              <w:t>MUSE LTE</w:t>
            </w:r>
          </w:p>
          <w:p w14:paraId="37D4CAB9" w14:textId="77777777" w:rsidR="00CD72DD" w:rsidRPr="002F733E" w:rsidRDefault="00CD72DD" w:rsidP="00CD72DD">
            <w:pPr>
              <w:pStyle w:val="TableText0"/>
            </w:pPr>
            <w:r w:rsidRPr="002F733E">
              <w:t>NCT01753193</w:t>
            </w:r>
          </w:p>
        </w:tc>
        <w:tc>
          <w:tcPr>
            <w:tcW w:w="3197" w:type="pct"/>
            <w:tcBorders>
              <w:top w:val="single" w:sz="4" w:space="0" w:color="auto"/>
              <w:bottom w:val="nil"/>
            </w:tcBorders>
            <w:shd w:val="clear" w:color="auto" w:fill="B8CCE4" w:themeFill="accent1" w:themeFillTint="66"/>
            <w:vAlign w:val="center"/>
          </w:tcPr>
          <w:p w14:paraId="7971DF9D" w14:textId="77777777" w:rsidR="00CD72DD" w:rsidRPr="002F733E" w:rsidRDefault="00CD72DD" w:rsidP="00CD72DD">
            <w:pPr>
              <w:pStyle w:val="TableText0"/>
              <w:rPr>
                <w:szCs w:val="18"/>
              </w:rPr>
            </w:pPr>
            <w:r w:rsidRPr="002F733E">
              <w:rPr>
                <w:szCs w:val="18"/>
              </w:rPr>
              <w:t>A Phase 2, Open-label Extension Study to Evaluate Long-term Safety of MEDI-546 in Adults with Systemic Lupus Erythematosus</w:t>
            </w:r>
          </w:p>
        </w:tc>
        <w:tc>
          <w:tcPr>
            <w:tcW w:w="1177" w:type="pct"/>
            <w:tcBorders>
              <w:top w:val="single" w:sz="4" w:space="0" w:color="auto"/>
              <w:bottom w:val="nil"/>
            </w:tcBorders>
            <w:shd w:val="clear" w:color="auto" w:fill="B8CCE4" w:themeFill="accent1" w:themeFillTint="66"/>
            <w:vAlign w:val="center"/>
          </w:tcPr>
          <w:p w14:paraId="209C8405" w14:textId="77777777" w:rsidR="00CD72DD" w:rsidRPr="002F733E" w:rsidRDefault="00CD72DD" w:rsidP="00CD72DD">
            <w:pPr>
              <w:pStyle w:val="TableText0"/>
              <w:rPr>
                <w:szCs w:val="18"/>
              </w:rPr>
            </w:pPr>
            <w:r w:rsidRPr="002F733E">
              <w:rPr>
                <w:szCs w:val="18"/>
              </w:rPr>
              <w:t>05 December 2018</w:t>
            </w:r>
          </w:p>
        </w:tc>
      </w:tr>
      <w:tr w:rsidR="00CD72DD" w:rsidRPr="002F733E" w14:paraId="7D1B0A3D" w14:textId="77777777" w:rsidTr="00CD72DD">
        <w:tc>
          <w:tcPr>
            <w:tcW w:w="626" w:type="pct"/>
            <w:vMerge/>
            <w:shd w:val="clear" w:color="auto" w:fill="B8CCE4" w:themeFill="accent1" w:themeFillTint="66"/>
            <w:vAlign w:val="center"/>
          </w:tcPr>
          <w:p w14:paraId="167ACAD9" w14:textId="77777777" w:rsidR="00CD72DD" w:rsidRPr="002F733E" w:rsidRDefault="00CD72DD" w:rsidP="00CD72DD">
            <w:pPr>
              <w:pStyle w:val="TableText0"/>
            </w:pPr>
          </w:p>
        </w:tc>
        <w:tc>
          <w:tcPr>
            <w:tcW w:w="3197" w:type="pct"/>
            <w:tcBorders>
              <w:top w:val="nil"/>
              <w:bottom w:val="single" w:sz="4" w:space="0" w:color="auto"/>
            </w:tcBorders>
            <w:shd w:val="clear" w:color="auto" w:fill="B8CCE4" w:themeFill="accent1" w:themeFillTint="66"/>
            <w:vAlign w:val="center"/>
          </w:tcPr>
          <w:p w14:paraId="7FC495F5" w14:textId="77777777" w:rsidR="00CD72DD" w:rsidRPr="002F733E" w:rsidRDefault="00CD72DD" w:rsidP="00CD72DD">
            <w:pPr>
              <w:pStyle w:val="TableText0"/>
              <w:rPr>
                <w:szCs w:val="18"/>
              </w:rPr>
            </w:pPr>
            <w:r w:rsidRPr="002F733E">
              <w:rPr>
                <w:szCs w:val="18"/>
              </w:rPr>
              <w:t>Chatham, W. W., et al. Long-Term Safety and Efficacy of Anifrolumab in Adults With Systemic Lupus Erythematosus: Results of a Phase II Open-Label Extension Study.</w:t>
            </w:r>
          </w:p>
        </w:tc>
        <w:tc>
          <w:tcPr>
            <w:tcW w:w="1177" w:type="pct"/>
            <w:tcBorders>
              <w:top w:val="nil"/>
              <w:bottom w:val="single" w:sz="4" w:space="0" w:color="auto"/>
            </w:tcBorders>
            <w:shd w:val="clear" w:color="auto" w:fill="B8CCE4" w:themeFill="accent1" w:themeFillTint="66"/>
            <w:vAlign w:val="center"/>
          </w:tcPr>
          <w:p w14:paraId="33B9E1DF" w14:textId="437778DA" w:rsidR="00CD72DD" w:rsidRPr="002F733E" w:rsidRDefault="00CD72DD" w:rsidP="00CD72DD">
            <w:pPr>
              <w:pStyle w:val="TableText0"/>
              <w:rPr>
                <w:i/>
                <w:szCs w:val="18"/>
              </w:rPr>
            </w:pPr>
            <w:r w:rsidRPr="002F733E">
              <w:rPr>
                <w:szCs w:val="18"/>
              </w:rPr>
              <w:t>Arthritis and Rheumatology 2021; 73(5): 816-825.</w:t>
            </w:r>
          </w:p>
        </w:tc>
      </w:tr>
      <w:tr w:rsidR="00CD72DD" w:rsidRPr="002F733E" w14:paraId="543AA9C0" w14:textId="77777777" w:rsidTr="00CD72DD">
        <w:tc>
          <w:tcPr>
            <w:tcW w:w="626" w:type="pct"/>
            <w:vMerge w:val="restart"/>
            <w:vAlign w:val="center"/>
          </w:tcPr>
          <w:p w14:paraId="1164CB63" w14:textId="77777777" w:rsidR="00CD72DD" w:rsidRPr="002F733E" w:rsidRDefault="00CD72DD" w:rsidP="00CD72DD">
            <w:pPr>
              <w:pStyle w:val="TableText0"/>
            </w:pPr>
            <w:r w:rsidRPr="002F733E">
              <w:t>TULIP LTE</w:t>
            </w:r>
          </w:p>
          <w:p w14:paraId="62DB46F1" w14:textId="77777777" w:rsidR="00CD72DD" w:rsidRPr="002F733E" w:rsidRDefault="00CD72DD" w:rsidP="00CD72DD">
            <w:pPr>
              <w:pStyle w:val="TableText0"/>
            </w:pPr>
            <w:r w:rsidRPr="002F733E">
              <w:t>NCT02794285</w:t>
            </w:r>
          </w:p>
        </w:tc>
        <w:tc>
          <w:tcPr>
            <w:tcW w:w="3197" w:type="pct"/>
            <w:tcBorders>
              <w:top w:val="single" w:sz="4" w:space="0" w:color="auto"/>
              <w:bottom w:val="nil"/>
            </w:tcBorders>
            <w:vAlign w:val="center"/>
          </w:tcPr>
          <w:p w14:paraId="113D6B50" w14:textId="77777777" w:rsidR="00CD72DD" w:rsidRPr="002F733E" w:rsidRDefault="00CD72DD" w:rsidP="00CD72DD">
            <w:pPr>
              <w:pStyle w:val="TableText0"/>
              <w:rPr>
                <w:szCs w:val="18"/>
              </w:rPr>
            </w:pPr>
            <w:r w:rsidRPr="002F733E">
              <w:rPr>
                <w:szCs w:val="18"/>
              </w:rPr>
              <w:t>A Multicentre, Randomised, Double-blind, Placebo-Controlled Phase 3 Extension Study to Characterise the Long-term Safety and Tolerability of Anifrolumab in Adult Subjects with Active Systemic Lupus Erythematosus. Study D3461C00009 Clinical Study Protocol v2.0</w:t>
            </w:r>
          </w:p>
        </w:tc>
        <w:tc>
          <w:tcPr>
            <w:tcW w:w="1177" w:type="pct"/>
            <w:tcBorders>
              <w:top w:val="single" w:sz="4" w:space="0" w:color="auto"/>
              <w:bottom w:val="nil"/>
            </w:tcBorders>
            <w:vAlign w:val="center"/>
          </w:tcPr>
          <w:p w14:paraId="7C4A94C8" w14:textId="77777777" w:rsidR="00CD72DD" w:rsidRPr="002F733E" w:rsidRDefault="00CD72DD" w:rsidP="00CD72DD">
            <w:pPr>
              <w:pStyle w:val="TableText0"/>
              <w:rPr>
                <w:szCs w:val="18"/>
              </w:rPr>
            </w:pPr>
            <w:r w:rsidRPr="002F733E">
              <w:rPr>
                <w:szCs w:val="18"/>
              </w:rPr>
              <w:t>6th May 2016</w:t>
            </w:r>
          </w:p>
        </w:tc>
      </w:tr>
      <w:tr w:rsidR="00CD72DD" w:rsidRPr="002F733E" w14:paraId="158E7B37" w14:textId="77777777" w:rsidTr="00CD72DD">
        <w:tc>
          <w:tcPr>
            <w:tcW w:w="626" w:type="pct"/>
            <w:vMerge/>
            <w:tcBorders>
              <w:bottom w:val="single" w:sz="4" w:space="0" w:color="auto"/>
            </w:tcBorders>
            <w:vAlign w:val="center"/>
          </w:tcPr>
          <w:p w14:paraId="698F1692" w14:textId="77777777" w:rsidR="00CD72DD" w:rsidRPr="002F733E" w:rsidRDefault="00CD72DD" w:rsidP="00CD72DD">
            <w:pPr>
              <w:pStyle w:val="TableText0"/>
            </w:pPr>
          </w:p>
        </w:tc>
        <w:tc>
          <w:tcPr>
            <w:tcW w:w="3197" w:type="pct"/>
            <w:tcBorders>
              <w:top w:val="nil"/>
              <w:bottom w:val="single" w:sz="4" w:space="0" w:color="auto"/>
            </w:tcBorders>
            <w:vAlign w:val="center"/>
          </w:tcPr>
          <w:p w14:paraId="3161C77E" w14:textId="77777777" w:rsidR="00CD72DD" w:rsidRPr="002F733E" w:rsidRDefault="00CD72DD" w:rsidP="00CD72DD">
            <w:pPr>
              <w:pStyle w:val="TableText0"/>
              <w:rPr>
                <w:szCs w:val="18"/>
              </w:rPr>
            </w:pPr>
            <w:r w:rsidRPr="002F733E">
              <w:rPr>
                <w:szCs w:val="18"/>
              </w:rPr>
              <w:t xml:space="preserve">Kalunian K, et al. Long-term Safety and Efficacy of Anifrolumab in Adult Patients with Systemic Lupus Erythematosus: A Multicenter, Randomized, Double-blind, Placebo-controlled 3-year TULIP Extension Study [abstract]. </w:t>
            </w:r>
          </w:p>
        </w:tc>
        <w:tc>
          <w:tcPr>
            <w:tcW w:w="1177" w:type="pct"/>
            <w:tcBorders>
              <w:top w:val="nil"/>
              <w:bottom w:val="single" w:sz="4" w:space="0" w:color="auto"/>
            </w:tcBorders>
            <w:vAlign w:val="center"/>
          </w:tcPr>
          <w:p w14:paraId="0F2EE832" w14:textId="59640FC5" w:rsidR="00CD72DD" w:rsidRPr="002F733E" w:rsidRDefault="00CD72DD" w:rsidP="00CD72DD">
            <w:pPr>
              <w:pStyle w:val="TableText0"/>
              <w:rPr>
                <w:szCs w:val="18"/>
              </w:rPr>
            </w:pPr>
            <w:r w:rsidRPr="002F733E">
              <w:rPr>
                <w:szCs w:val="18"/>
              </w:rPr>
              <w:t>Arthritis and Rheumatology 2022; 74 (suppl 9).</w:t>
            </w:r>
          </w:p>
        </w:tc>
      </w:tr>
    </w:tbl>
    <w:p w14:paraId="1619B789" w14:textId="77777777" w:rsidR="00CD72DD" w:rsidRPr="002F733E" w:rsidRDefault="00CD72DD" w:rsidP="00CD72DD">
      <w:pPr>
        <w:pStyle w:val="TableFigureFooter"/>
        <w:keepNext/>
        <w:spacing w:after="0"/>
        <w:rPr>
          <w:iCs/>
        </w:rPr>
      </w:pPr>
      <w:r w:rsidRPr="002F733E">
        <w:rPr>
          <w:iCs/>
          <w:shd w:val="clear" w:color="auto" w:fill="B8CCE4" w:themeFill="accent1" w:themeFillTint="66"/>
        </w:rPr>
        <w:t>Blue</w:t>
      </w:r>
      <w:r w:rsidRPr="002F733E">
        <w:rPr>
          <w:iCs/>
        </w:rPr>
        <w:t xml:space="preserve"> shading represents information previously considered by the PBAC.</w:t>
      </w:r>
    </w:p>
    <w:p w14:paraId="73A2D257" w14:textId="77777777" w:rsidR="00CD72DD" w:rsidRPr="002F733E" w:rsidRDefault="00CD72DD" w:rsidP="00CD72DD">
      <w:pPr>
        <w:pStyle w:val="TableFigureFooter"/>
        <w:rPr>
          <w:sz w:val="20"/>
        </w:rPr>
      </w:pPr>
      <w:r w:rsidRPr="002F733E">
        <w:t>Source: Table 2.2-1, p33-34 of the resubmission.</w:t>
      </w:r>
    </w:p>
    <w:p w14:paraId="7C08CAC6" w14:textId="2E26E124" w:rsidR="00CD72DD" w:rsidRPr="002F733E" w:rsidRDefault="005A67D0" w:rsidP="00CD72DD">
      <w:pPr>
        <w:pStyle w:val="3-BodyText"/>
      </w:pPr>
      <w:r w:rsidRPr="002F733E">
        <w:rPr>
          <w:rFonts w:cstheme="minorHAnsi"/>
          <w:b/>
          <w:bCs/>
        </w:rPr>
        <w:fldChar w:fldCharType="begin" w:fldLock="1"/>
      </w:r>
      <w:r w:rsidRPr="002F733E">
        <w:rPr>
          <w:rFonts w:cstheme="minorHAnsi"/>
        </w:rPr>
        <w:instrText xml:space="preserve"> REF _Ref121737380 \h </w:instrText>
      </w:r>
      <w:r w:rsidRPr="002F733E">
        <w:rPr>
          <w:rFonts w:cstheme="minorHAnsi"/>
          <w:b/>
          <w:bCs/>
        </w:rPr>
      </w:r>
      <w:r w:rsidRPr="002F733E">
        <w:rPr>
          <w:rFonts w:cstheme="minorHAnsi"/>
          <w:b/>
          <w:bCs/>
        </w:rPr>
        <w:fldChar w:fldCharType="separate"/>
      </w:r>
      <w:r w:rsidR="001316D2" w:rsidRPr="002F733E">
        <w:t>Table 4</w:t>
      </w:r>
      <w:r w:rsidRPr="002F733E">
        <w:rPr>
          <w:rFonts w:cstheme="minorHAnsi"/>
          <w:b/>
          <w:bCs/>
        </w:rPr>
        <w:fldChar w:fldCharType="end"/>
      </w:r>
      <w:r w:rsidR="00CD72DD" w:rsidRPr="002F733E">
        <w:rPr>
          <w:rFonts w:cstheme="minorHAnsi"/>
        </w:rPr>
        <w:t xml:space="preserve"> pr</w:t>
      </w:r>
      <w:r w:rsidR="00CD72DD" w:rsidRPr="002F733E">
        <w:t>esents the key features of the included trials.</w:t>
      </w:r>
    </w:p>
    <w:p w14:paraId="5C07A0D3" w14:textId="195BA6B1" w:rsidR="00CD72DD" w:rsidRPr="002F733E" w:rsidRDefault="005A67D0" w:rsidP="005A67D0">
      <w:pPr>
        <w:pStyle w:val="Caption"/>
        <w:jc w:val="left"/>
        <w:rPr>
          <w:rStyle w:val="CommentReference"/>
          <w:b/>
          <w:szCs w:val="24"/>
        </w:rPr>
      </w:pPr>
      <w:bookmarkStart w:id="22" w:name="_Ref121737380"/>
      <w:r w:rsidRPr="002F733E">
        <w:t xml:space="preserve">Table </w:t>
      </w:r>
      <w:fldSimple w:instr=" SEQ Table \* ARABIC " w:fldLock="1">
        <w:r w:rsidR="00781A0F" w:rsidRPr="002F733E">
          <w:t>4</w:t>
        </w:r>
      </w:fldSimple>
      <w:bookmarkEnd w:id="22"/>
      <w:r w:rsidR="00CD72DD" w:rsidRPr="002F733E">
        <w:rPr>
          <w:rStyle w:val="CommentReference"/>
          <w:b/>
          <w:szCs w:val="24"/>
        </w:rPr>
        <w:t>: 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694"/>
        <w:gridCol w:w="390"/>
        <w:gridCol w:w="1307"/>
        <w:gridCol w:w="622"/>
        <w:gridCol w:w="1708"/>
        <w:gridCol w:w="1542"/>
        <w:gridCol w:w="1823"/>
        <w:gridCol w:w="931"/>
      </w:tblGrid>
      <w:tr w:rsidR="00CD72DD" w:rsidRPr="002F733E" w14:paraId="0690599D" w14:textId="77777777" w:rsidTr="00CD72DD">
        <w:trPr>
          <w:cantSplit/>
          <w:tblHeader/>
        </w:trPr>
        <w:tc>
          <w:tcPr>
            <w:tcW w:w="385" w:type="pct"/>
            <w:shd w:val="clear" w:color="auto" w:fill="auto"/>
            <w:vAlign w:val="center"/>
          </w:tcPr>
          <w:p w14:paraId="2BB1B15E" w14:textId="77777777" w:rsidR="00CD72DD" w:rsidRPr="002F733E" w:rsidRDefault="00CD72DD" w:rsidP="00CD72DD">
            <w:pPr>
              <w:pStyle w:val="In-tableHeading"/>
              <w:rPr>
                <w:lang w:val="en-AU"/>
              </w:rPr>
            </w:pPr>
            <w:r w:rsidRPr="002F733E">
              <w:rPr>
                <w:lang w:val="en-AU"/>
              </w:rPr>
              <w:t>Trial</w:t>
            </w:r>
          </w:p>
        </w:tc>
        <w:tc>
          <w:tcPr>
            <w:tcW w:w="216" w:type="pct"/>
            <w:shd w:val="clear" w:color="auto" w:fill="auto"/>
            <w:vAlign w:val="center"/>
          </w:tcPr>
          <w:p w14:paraId="5AEE4082" w14:textId="77777777" w:rsidR="00CD72DD" w:rsidRPr="002F733E" w:rsidRDefault="00CD72DD" w:rsidP="00CD72DD">
            <w:pPr>
              <w:pStyle w:val="In-tableHeading"/>
              <w:jc w:val="center"/>
              <w:rPr>
                <w:lang w:val="en-AU"/>
              </w:rPr>
            </w:pPr>
            <w:r w:rsidRPr="002F733E">
              <w:rPr>
                <w:lang w:val="en-AU"/>
              </w:rPr>
              <w:t>N</w:t>
            </w:r>
          </w:p>
        </w:tc>
        <w:tc>
          <w:tcPr>
            <w:tcW w:w="725" w:type="pct"/>
            <w:shd w:val="clear" w:color="auto" w:fill="auto"/>
            <w:vAlign w:val="center"/>
          </w:tcPr>
          <w:p w14:paraId="012DA182" w14:textId="77777777" w:rsidR="00CD72DD" w:rsidRPr="002F733E" w:rsidRDefault="00CD72DD" w:rsidP="00CD72DD">
            <w:pPr>
              <w:pStyle w:val="In-tableHeading"/>
              <w:jc w:val="center"/>
              <w:rPr>
                <w:lang w:val="en-AU"/>
              </w:rPr>
            </w:pPr>
            <w:r w:rsidRPr="002F733E">
              <w:rPr>
                <w:lang w:val="en-AU"/>
              </w:rPr>
              <w:t>Design/ duration</w:t>
            </w:r>
          </w:p>
        </w:tc>
        <w:tc>
          <w:tcPr>
            <w:tcW w:w="345" w:type="pct"/>
            <w:shd w:val="clear" w:color="auto" w:fill="auto"/>
            <w:vAlign w:val="center"/>
          </w:tcPr>
          <w:p w14:paraId="4E99A961" w14:textId="77777777" w:rsidR="00CD72DD" w:rsidRPr="002F733E" w:rsidRDefault="00CD72DD" w:rsidP="00CD72DD">
            <w:pPr>
              <w:pStyle w:val="In-tableHeading"/>
              <w:jc w:val="center"/>
              <w:rPr>
                <w:lang w:val="en-AU"/>
              </w:rPr>
            </w:pPr>
            <w:r w:rsidRPr="002F733E">
              <w:rPr>
                <w:lang w:val="en-AU"/>
              </w:rPr>
              <w:t>Bias</w:t>
            </w:r>
          </w:p>
        </w:tc>
        <w:tc>
          <w:tcPr>
            <w:tcW w:w="947" w:type="pct"/>
            <w:vAlign w:val="center"/>
          </w:tcPr>
          <w:p w14:paraId="7803CE12" w14:textId="77777777" w:rsidR="00CD72DD" w:rsidRPr="002F733E" w:rsidRDefault="00CD72DD" w:rsidP="00CD72DD">
            <w:pPr>
              <w:pStyle w:val="In-tableHeading"/>
              <w:jc w:val="center"/>
              <w:rPr>
                <w:lang w:val="en-AU"/>
              </w:rPr>
            </w:pPr>
            <w:r w:rsidRPr="002F733E">
              <w:rPr>
                <w:lang w:val="en-AU"/>
              </w:rPr>
              <w:t>Treatment arms</w:t>
            </w:r>
          </w:p>
        </w:tc>
        <w:tc>
          <w:tcPr>
            <w:tcW w:w="855" w:type="pct"/>
            <w:shd w:val="clear" w:color="auto" w:fill="auto"/>
            <w:vAlign w:val="center"/>
          </w:tcPr>
          <w:p w14:paraId="45057A0E" w14:textId="77777777" w:rsidR="00CD72DD" w:rsidRPr="002F733E" w:rsidRDefault="00CD72DD" w:rsidP="00CD72DD">
            <w:pPr>
              <w:pStyle w:val="In-tableHeading"/>
              <w:jc w:val="center"/>
              <w:rPr>
                <w:lang w:val="en-AU"/>
              </w:rPr>
            </w:pPr>
            <w:r w:rsidRPr="002F733E">
              <w:rPr>
                <w:lang w:val="en-AU"/>
              </w:rPr>
              <w:t>Population</w:t>
            </w:r>
          </w:p>
        </w:tc>
        <w:tc>
          <w:tcPr>
            <w:tcW w:w="1011" w:type="pct"/>
            <w:shd w:val="clear" w:color="auto" w:fill="auto"/>
            <w:vAlign w:val="center"/>
          </w:tcPr>
          <w:p w14:paraId="7E284C1D" w14:textId="77777777" w:rsidR="00CD72DD" w:rsidRPr="002F733E" w:rsidRDefault="00CD72DD" w:rsidP="00CD72DD">
            <w:pPr>
              <w:pStyle w:val="In-tableHeading"/>
              <w:jc w:val="center"/>
              <w:rPr>
                <w:lang w:val="en-AU"/>
              </w:rPr>
            </w:pPr>
            <w:r w:rsidRPr="002F733E">
              <w:rPr>
                <w:lang w:val="en-AU"/>
              </w:rPr>
              <w:t>Outcome(s)</w:t>
            </w:r>
          </w:p>
        </w:tc>
        <w:tc>
          <w:tcPr>
            <w:tcW w:w="516" w:type="pct"/>
            <w:shd w:val="clear" w:color="auto" w:fill="auto"/>
            <w:vAlign w:val="center"/>
          </w:tcPr>
          <w:p w14:paraId="6AFCFD5A" w14:textId="77777777" w:rsidR="00CD72DD" w:rsidRPr="002F733E" w:rsidRDefault="00CD72DD" w:rsidP="00CD72DD">
            <w:pPr>
              <w:pStyle w:val="In-tableHeading"/>
              <w:jc w:val="center"/>
              <w:rPr>
                <w:lang w:val="en-AU"/>
              </w:rPr>
            </w:pPr>
            <w:r w:rsidRPr="002F733E">
              <w:rPr>
                <w:lang w:val="en-AU"/>
              </w:rPr>
              <w:t>Modelled evaluation</w:t>
            </w:r>
          </w:p>
        </w:tc>
      </w:tr>
      <w:tr w:rsidR="00CD72DD" w:rsidRPr="002F733E" w14:paraId="77F06642" w14:textId="77777777" w:rsidTr="00CD72DD">
        <w:trPr>
          <w:cantSplit/>
        </w:trPr>
        <w:tc>
          <w:tcPr>
            <w:tcW w:w="5000" w:type="pct"/>
            <w:gridSpan w:val="8"/>
          </w:tcPr>
          <w:p w14:paraId="6ACA8F82" w14:textId="77777777" w:rsidR="00CD72DD" w:rsidRPr="002F733E" w:rsidRDefault="00CD72DD" w:rsidP="00CD72DD">
            <w:pPr>
              <w:pStyle w:val="In-tableHeading"/>
              <w:rPr>
                <w:lang w:val="en-AU"/>
              </w:rPr>
            </w:pPr>
            <w:r w:rsidRPr="002F733E">
              <w:rPr>
                <w:lang w:val="en-AU"/>
              </w:rPr>
              <w:t>Anifrolumab vs SOC (placebo)</w:t>
            </w:r>
          </w:p>
        </w:tc>
      </w:tr>
      <w:tr w:rsidR="00CD72DD" w:rsidRPr="002F733E" w14:paraId="3BC1F6C7" w14:textId="77777777" w:rsidTr="00CD72DD">
        <w:trPr>
          <w:cantSplit/>
        </w:trPr>
        <w:tc>
          <w:tcPr>
            <w:tcW w:w="385" w:type="pct"/>
            <w:shd w:val="clear" w:color="auto" w:fill="B8CCE4" w:themeFill="accent1" w:themeFillTint="66"/>
            <w:vAlign w:val="center"/>
          </w:tcPr>
          <w:p w14:paraId="5C8FF1E1" w14:textId="77777777" w:rsidR="00CD72DD" w:rsidRPr="002F733E" w:rsidRDefault="00CD72DD" w:rsidP="00CD72DD">
            <w:pPr>
              <w:pStyle w:val="TableText0"/>
            </w:pPr>
            <w:r w:rsidRPr="002F733E">
              <w:t>TULIP-1</w:t>
            </w:r>
          </w:p>
        </w:tc>
        <w:tc>
          <w:tcPr>
            <w:tcW w:w="216" w:type="pct"/>
            <w:shd w:val="clear" w:color="auto" w:fill="B8CCE4" w:themeFill="accent1" w:themeFillTint="66"/>
            <w:vAlign w:val="center"/>
          </w:tcPr>
          <w:p w14:paraId="193F20FA" w14:textId="77777777" w:rsidR="00CD72DD" w:rsidRPr="002F733E" w:rsidRDefault="00CD72DD" w:rsidP="00CD72DD">
            <w:pPr>
              <w:pStyle w:val="TableText0"/>
              <w:jc w:val="center"/>
            </w:pPr>
            <w:r w:rsidRPr="002F733E">
              <w:t>457</w:t>
            </w:r>
            <w:r w:rsidRPr="002F733E">
              <w:rPr>
                <w:vertAlign w:val="superscript"/>
              </w:rPr>
              <w:t>a</w:t>
            </w:r>
          </w:p>
        </w:tc>
        <w:tc>
          <w:tcPr>
            <w:tcW w:w="725" w:type="pct"/>
            <w:shd w:val="clear" w:color="auto" w:fill="B8CCE4" w:themeFill="accent1" w:themeFillTint="66"/>
            <w:vAlign w:val="center"/>
          </w:tcPr>
          <w:p w14:paraId="25E0E14D" w14:textId="77777777" w:rsidR="00CD72DD" w:rsidRPr="002F733E" w:rsidRDefault="00CD72DD" w:rsidP="00CD72DD">
            <w:pPr>
              <w:pStyle w:val="TableText0"/>
              <w:jc w:val="center"/>
            </w:pPr>
            <w:r w:rsidRPr="002F733E">
              <w:t>R, MC, DB, PBO 52 weeks / f-up 12 weeks^</w:t>
            </w:r>
          </w:p>
        </w:tc>
        <w:tc>
          <w:tcPr>
            <w:tcW w:w="345" w:type="pct"/>
            <w:shd w:val="clear" w:color="auto" w:fill="B8CCE4" w:themeFill="accent1" w:themeFillTint="66"/>
            <w:vAlign w:val="center"/>
          </w:tcPr>
          <w:p w14:paraId="3F300F94" w14:textId="77777777" w:rsidR="00CD72DD" w:rsidRPr="002F733E" w:rsidRDefault="00CD72DD" w:rsidP="00CD72DD">
            <w:pPr>
              <w:pStyle w:val="TableText0"/>
              <w:jc w:val="center"/>
            </w:pPr>
            <w:r w:rsidRPr="002F733E">
              <w:t>Unclear</w:t>
            </w:r>
          </w:p>
        </w:tc>
        <w:tc>
          <w:tcPr>
            <w:tcW w:w="947" w:type="pct"/>
            <w:shd w:val="clear" w:color="auto" w:fill="B8CCE4" w:themeFill="accent1" w:themeFillTint="66"/>
            <w:vAlign w:val="center"/>
          </w:tcPr>
          <w:p w14:paraId="31D27AFB" w14:textId="77777777" w:rsidR="00CD72DD" w:rsidRPr="002F733E" w:rsidRDefault="00CD72DD" w:rsidP="00CD72DD">
            <w:pPr>
              <w:pStyle w:val="TableText0"/>
              <w:jc w:val="center"/>
            </w:pPr>
            <w:r w:rsidRPr="002F733E">
              <w:t>ANI 150 mg IV Q4W</w:t>
            </w:r>
          </w:p>
          <w:p w14:paraId="72C4BD55" w14:textId="77777777" w:rsidR="00CD72DD" w:rsidRPr="002F733E" w:rsidRDefault="00CD72DD" w:rsidP="00CD72DD">
            <w:pPr>
              <w:pStyle w:val="TableText0"/>
              <w:jc w:val="center"/>
            </w:pPr>
            <w:r w:rsidRPr="002F733E">
              <w:t>ANI 300 mg IV Q4W</w:t>
            </w:r>
          </w:p>
          <w:p w14:paraId="00A05108" w14:textId="77777777" w:rsidR="00CD72DD" w:rsidRPr="002F733E" w:rsidRDefault="00CD72DD" w:rsidP="00CD72DD">
            <w:pPr>
              <w:pStyle w:val="TableText0"/>
              <w:jc w:val="center"/>
            </w:pPr>
            <w:r w:rsidRPr="002F733E">
              <w:t>SOC (PBO)</w:t>
            </w:r>
            <w:r w:rsidRPr="002F733E">
              <w:rPr>
                <w:vertAlign w:val="superscript"/>
              </w:rPr>
              <w:t>e</w:t>
            </w:r>
          </w:p>
        </w:tc>
        <w:tc>
          <w:tcPr>
            <w:tcW w:w="855" w:type="pct"/>
            <w:shd w:val="clear" w:color="auto" w:fill="B8CCE4" w:themeFill="accent1" w:themeFillTint="66"/>
            <w:vAlign w:val="center"/>
          </w:tcPr>
          <w:p w14:paraId="215149CB" w14:textId="77777777" w:rsidR="00CD72DD" w:rsidRPr="002F733E" w:rsidRDefault="00CD72DD" w:rsidP="00CD72DD">
            <w:pPr>
              <w:pStyle w:val="TableText0"/>
              <w:jc w:val="center"/>
            </w:pPr>
            <w:r w:rsidRPr="002F733E">
              <w:t>18-70, SLEDAI-2K ≥6, autoantibody positive</w:t>
            </w:r>
          </w:p>
        </w:tc>
        <w:tc>
          <w:tcPr>
            <w:tcW w:w="1011" w:type="pct"/>
            <w:shd w:val="clear" w:color="auto" w:fill="B8CCE4" w:themeFill="accent1" w:themeFillTint="66"/>
            <w:vAlign w:val="center"/>
          </w:tcPr>
          <w:p w14:paraId="4688B8D4" w14:textId="77777777" w:rsidR="00CD72DD" w:rsidRPr="002F733E" w:rsidRDefault="00CD72DD" w:rsidP="00CD72DD">
            <w:pPr>
              <w:pStyle w:val="TableText0"/>
              <w:jc w:val="center"/>
            </w:pPr>
            <w:r w:rsidRPr="002F733E">
              <w:t>1°: SRI(4) (Wk 52)</w:t>
            </w:r>
          </w:p>
          <w:p w14:paraId="06277852" w14:textId="77777777" w:rsidR="00CD72DD" w:rsidRPr="002F733E" w:rsidRDefault="00CD72DD" w:rsidP="00CD72DD">
            <w:pPr>
              <w:pStyle w:val="TableText0"/>
              <w:jc w:val="center"/>
            </w:pPr>
            <w:r w:rsidRPr="002F733E">
              <w:t>2°: OCS dose, flare rate</w:t>
            </w:r>
          </w:p>
          <w:p w14:paraId="333F8EBF" w14:textId="77777777" w:rsidR="00CD72DD" w:rsidRPr="002F733E" w:rsidRDefault="00CD72DD" w:rsidP="00CD72DD">
            <w:pPr>
              <w:pStyle w:val="TableText0"/>
              <w:jc w:val="center"/>
            </w:pPr>
            <w:r w:rsidRPr="002F733E">
              <w:t>Other: BICLA</w:t>
            </w:r>
          </w:p>
        </w:tc>
        <w:tc>
          <w:tcPr>
            <w:tcW w:w="516" w:type="pct"/>
            <w:vMerge w:val="restart"/>
            <w:shd w:val="clear" w:color="auto" w:fill="B8CCE4" w:themeFill="accent1" w:themeFillTint="66"/>
            <w:vAlign w:val="center"/>
          </w:tcPr>
          <w:p w14:paraId="28540EA1" w14:textId="77777777" w:rsidR="00CD72DD" w:rsidRPr="002F733E" w:rsidRDefault="00CD72DD" w:rsidP="00CD72DD">
            <w:pPr>
              <w:pStyle w:val="TableText0"/>
              <w:jc w:val="center"/>
            </w:pPr>
            <w:r w:rsidRPr="002F733E">
              <w:t>SLEDAI-2K, flare rates, OCS dose</w:t>
            </w:r>
          </w:p>
        </w:tc>
      </w:tr>
      <w:tr w:rsidR="00CD72DD" w:rsidRPr="002F733E" w14:paraId="3F724F51" w14:textId="77777777" w:rsidTr="00CD72DD">
        <w:trPr>
          <w:cantSplit/>
        </w:trPr>
        <w:tc>
          <w:tcPr>
            <w:tcW w:w="385" w:type="pct"/>
            <w:shd w:val="clear" w:color="auto" w:fill="B8CCE4" w:themeFill="accent1" w:themeFillTint="66"/>
            <w:vAlign w:val="center"/>
          </w:tcPr>
          <w:p w14:paraId="1B25044A" w14:textId="77777777" w:rsidR="00CD72DD" w:rsidRPr="002F733E" w:rsidRDefault="00CD72DD" w:rsidP="00CD72DD">
            <w:pPr>
              <w:pStyle w:val="TableText0"/>
            </w:pPr>
            <w:r w:rsidRPr="002F733E">
              <w:t>TULIP-2</w:t>
            </w:r>
          </w:p>
        </w:tc>
        <w:tc>
          <w:tcPr>
            <w:tcW w:w="216" w:type="pct"/>
            <w:shd w:val="clear" w:color="auto" w:fill="B8CCE4" w:themeFill="accent1" w:themeFillTint="66"/>
            <w:vAlign w:val="center"/>
          </w:tcPr>
          <w:p w14:paraId="7622561C" w14:textId="77777777" w:rsidR="00CD72DD" w:rsidRPr="002F733E" w:rsidRDefault="00CD72DD" w:rsidP="00CD72DD">
            <w:pPr>
              <w:pStyle w:val="TableText0"/>
              <w:jc w:val="center"/>
            </w:pPr>
            <w:r w:rsidRPr="002F733E">
              <w:t>362</w:t>
            </w:r>
          </w:p>
        </w:tc>
        <w:tc>
          <w:tcPr>
            <w:tcW w:w="725" w:type="pct"/>
            <w:shd w:val="clear" w:color="auto" w:fill="B8CCE4" w:themeFill="accent1" w:themeFillTint="66"/>
            <w:vAlign w:val="center"/>
          </w:tcPr>
          <w:p w14:paraId="1E4E581A" w14:textId="77777777" w:rsidR="00CD72DD" w:rsidRPr="002F733E" w:rsidRDefault="00CD72DD" w:rsidP="00CD72DD">
            <w:pPr>
              <w:pStyle w:val="TableText0"/>
              <w:jc w:val="center"/>
            </w:pPr>
            <w:r w:rsidRPr="002F733E">
              <w:t>R, MC, DB, PBO 52 weeks / f-up 12 weeks^</w:t>
            </w:r>
          </w:p>
        </w:tc>
        <w:tc>
          <w:tcPr>
            <w:tcW w:w="345" w:type="pct"/>
            <w:shd w:val="clear" w:color="auto" w:fill="B8CCE4" w:themeFill="accent1" w:themeFillTint="66"/>
            <w:vAlign w:val="center"/>
          </w:tcPr>
          <w:p w14:paraId="3E968E86" w14:textId="01470F86" w:rsidR="00CD72DD" w:rsidRPr="002F733E" w:rsidRDefault="00F62ACC" w:rsidP="00CD72DD">
            <w:pPr>
              <w:pStyle w:val="TableText0"/>
              <w:jc w:val="center"/>
            </w:pPr>
            <w:r w:rsidRPr="002F733E">
              <w:t xml:space="preserve">Unclear </w:t>
            </w:r>
          </w:p>
        </w:tc>
        <w:tc>
          <w:tcPr>
            <w:tcW w:w="947" w:type="pct"/>
            <w:shd w:val="clear" w:color="auto" w:fill="B8CCE4" w:themeFill="accent1" w:themeFillTint="66"/>
            <w:vAlign w:val="center"/>
          </w:tcPr>
          <w:p w14:paraId="30E6838C" w14:textId="77777777" w:rsidR="00CD72DD" w:rsidRPr="002F733E" w:rsidRDefault="00CD72DD" w:rsidP="00CD72DD">
            <w:pPr>
              <w:pStyle w:val="TableText0"/>
              <w:jc w:val="center"/>
            </w:pPr>
            <w:r w:rsidRPr="002F733E">
              <w:t>ANI 300 mg IV Q4W</w:t>
            </w:r>
          </w:p>
          <w:p w14:paraId="165155AC" w14:textId="77777777" w:rsidR="00CD72DD" w:rsidRPr="002F733E" w:rsidRDefault="00CD72DD" w:rsidP="00CD72DD">
            <w:pPr>
              <w:pStyle w:val="TableText0"/>
              <w:jc w:val="center"/>
            </w:pPr>
            <w:r w:rsidRPr="002F733E">
              <w:t>SOC (PBO)</w:t>
            </w:r>
            <w:r w:rsidRPr="002F733E">
              <w:rPr>
                <w:vertAlign w:val="superscript"/>
              </w:rPr>
              <w:t>e</w:t>
            </w:r>
          </w:p>
        </w:tc>
        <w:tc>
          <w:tcPr>
            <w:tcW w:w="855" w:type="pct"/>
            <w:shd w:val="clear" w:color="auto" w:fill="B8CCE4" w:themeFill="accent1" w:themeFillTint="66"/>
            <w:vAlign w:val="center"/>
          </w:tcPr>
          <w:p w14:paraId="495069B9" w14:textId="77777777" w:rsidR="00CD72DD" w:rsidRPr="002F733E" w:rsidRDefault="00CD72DD" w:rsidP="00CD72DD">
            <w:pPr>
              <w:pStyle w:val="TableText0"/>
              <w:jc w:val="center"/>
            </w:pPr>
            <w:r w:rsidRPr="002F733E">
              <w:t>18-70, SLEDAI-2K ≥6, autoantibody positive</w:t>
            </w:r>
          </w:p>
        </w:tc>
        <w:tc>
          <w:tcPr>
            <w:tcW w:w="1011" w:type="pct"/>
            <w:shd w:val="clear" w:color="auto" w:fill="B8CCE4" w:themeFill="accent1" w:themeFillTint="66"/>
            <w:vAlign w:val="center"/>
          </w:tcPr>
          <w:p w14:paraId="2CF4A790" w14:textId="77777777" w:rsidR="00CD72DD" w:rsidRPr="002F733E" w:rsidRDefault="00CD72DD" w:rsidP="00CD72DD">
            <w:pPr>
              <w:pStyle w:val="TableText0"/>
              <w:jc w:val="center"/>
            </w:pPr>
            <w:r w:rsidRPr="002F733E">
              <w:t>1°: BICLA (Wk 52)</w:t>
            </w:r>
          </w:p>
          <w:p w14:paraId="40CD127C" w14:textId="77777777" w:rsidR="00CD72DD" w:rsidRPr="002F733E" w:rsidRDefault="00CD72DD" w:rsidP="00CD72DD">
            <w:pPr>
              <w:pStyle w:val="TableText0"/>
              <w:jc w:val="center"/>
            </w:pPr>
            <w:r w:rsidRPr="002F733E">
              <w:t xml:space="preserve">2°: OCS dose, flare rate, </w:t>
            </w:r>
          </w:p>
          <w:p w14:paraId="164AEA5A" w14:textId="77777777" w:rsidR="00CD72DD" w:rsidRPr="002F733E" w:rsidRDefault="00CD72DD" w:rsidP="00CD72DD">
            <w:pPr>
              <w:pStyle w:val="TableText0"/>
              <w:jc w:val="center"/>
            </w:pPr>
            <w:r w:rsidRPr="002F733E">
              <w:t>Other: SRI(4)</w:t>
            </w:r>
          </w:p>
        </w:tc>
        <w:tc>
          <w:tcPr>
            <w:tcW w:w="516" w:type="pct"/>
            <w:vMerge/>
            <w:shd w:val="clear" w:color="auto" w:fill="B8CCE4" w:themeFill="accent1" w:themeFillTint="66"/>
            <w:vAlign w:val="center"/>
          </w:tcPr>
          <w:p w14:paraId="530D473A" w14:textId="77777777" w:rsidR="00CD72DD" w:rsidRPr="002F733E" w:rsidRDefault="00CD72DD" w:rsidP="00CD72DD">
            <w:pPr>
              <w:pStyle w:val="TableText0"/>
              <w:jc w:val="center"/>
            </w:pPr>
          </w:p>
        </w:tc>
      </w:tr>
      <w:tr w:rsidR="00CD72DD" w:rsidRPr="002F733E" w14:paraId="45511E7F" w14:textId="77777777" w:rsidTr="00CD72DD">
        <w:trPr>
          <w:cantSplit/>
        </w:trPr>
        <w:tc>
          <w:tcPr>
            <w:tcW w:w="385" w:type="pct"/>
            <w:shd w:val="clear" w:color="auto" w:fill="B8CCE4" w:themeFill="accent1" w:themeFillTint="66"/>
            <w:vAlign w:val="center"/>
          </w:tcPr>
          <w:p w14:paraId="1F59A8B3" w14:textId="77777777" w:rsidR="00CD72DD" w:rsidRPr="002F733E" w:rsidRDefault="00CD72DD" w:rsidP="00CD72DD">
            <w:pPr>
              <w:pStyle w:val="TableText0"/>
            </w:pPr>
            <w:r w:rsidRPr="002F733E">
              <w:t>MUSE</w:t>
            </w:r>
          </w:p>
        </w:tc>
        <w:tc>
          <w:tcPr>
            <w:tcW w:w="216" w:type="pct"/>
            <w:shd w:val="clear" w:color="auto" w:fill="B8CCE4" w:themeFill="accent1" w:themeFillTint="66"/>
            <w:vAlign w:val="center"/>
          </w:tcPr>
          <w:p w14:paraId="4DA99F70" w14:textId="77777777" w:rsidR="00CD72DD" w:rsidRPr="002F733E" w:rsidRDefault="00CD72DD" w:rsidP="00CD72DD">
            <w:pPr>
              <w:pStyle w:val="TableText0"/>
              <w:jc w:val="center"/>
            </w:pPr>
            <w:r w:rsidRPr="002F733E">
              <w:t>305</w:t>
            </w:r>
            <w:r w:rsidRPr="002F733E">
              <w:rPr>
                <w:vertAlign w:val="superscript"/>
              </w:rPr>
              <w:t>b</w:t>
            </w:r>
          </w:p>
        </w:tc>
        <w:tc>
          <w:tcPr>
            <w:tcW w:w="725" w:type="pct"/>
            <w:shd w:val="clear" w:color="auto" w:fill="B8CCE4" w:themeFill="accent1" w:themeFillTint="66"/>
            <w:vAlign w:val="center"/>
          </w:tcPr>
          <w:p w14:paraId="7F565F4E" w14:textId="77777777" w:rsidR="00CD72DD" w:rsidRPr="002F733E" w:rsidRDefault="00CD72DD" w:rsidP="00CD72DD">
            <w:pPr>
              <w:pStyle w:val="TableText0"/>
              <w:jc w:val="center"/>
            </w:pPr>
            <w:r w:rsidRPr="002F733E">
              <w:t>R, MC, DB, PBO 52 weeks / f-up 12 weeks#</w:t>
            </w:r>
          </w:p>
        </w:tc>
        <w:tc>
          <w:tcPr>
            <w:tcW w:w="345" w:type="pct"/>
            <w:shd w:val="clear" w:color="auto" w:fill="B8CCE4" w:themeFill="accent1" w:themeFillTint="66"/>
            <w:vAlign w:val="center"/>
          </w:tcPr>
          <w:p w14:paraId="2F932873" w14:textId="77777777" w:rsidR="00CD72DD" w:rsidRPr="002F733E" w:rsidRDefault="00CD72DD" w:rsidP="00CD72DD">
            <w:pPr>
              <w:pStyle w:val="TableText0"/>
              <w:jc w:val="center"/>
            </w:pPr>
            <w:r w:rsidRPr="002F733E">
              <w:t>Low</w:t>
            </w:r>
          </w:p>
        </w:tc>
        <w:tc>
          <w:tcPr>
            <w:tcW w:w="947" w:type="pct"/>
            <w:shd w:val="clear" w:color="auto" w:fill="B8CCE4" w:themeFill="accent1" w:themeFillTint="66"/>
            <w:vAlign w:val="center"/>
          </w:tcPr>
          <w:p w14:paraId="3B839A05" w14:textId="77777777" w:rsidR="00CD72DD" w:rsidRPr="002F733E" w:rsidRDefault="00CD72DD" w:rsidP="00CD72DD">
            <w:pPr>
              <w:pStyle w:val="TableText0"/>
              <w:jc w:val="center"/>
            </w:pPr>
            <w:r w:rsidRPr="002F733E">
              <w:t>ANI 1000 mg IV Q4W</w:t>
            </w:r>
          </w:p>
          <w:p w14:paraId="42B88E47" w14:textId="77777777" w:rsidR="00CD72DD" w:rsidRPr="002F733E" w:rsidRDefault="00CD72DD" w:rsidP="00CD72DD">
            <w:pPr>
              <w:pStyle w:val="TableText0"/>
              <w:jc w:val="center"/>
            </w:pPr>
            <w:r w:rsidRPr="002F733E">
              <w:t>ANI 300 mg IV Q4W</w:t>
            </w:r>
          </w:p>
          <w:p w14:paraId="3D37192D" w14:textId="77777777" w:rsidR="00CD72DD" w:rsidRPr="002F733E" w:rsidRDefault="00CD72DD" w:rsidP="00CD72DD">
            <w:pPr>
              <w:pStyle w:val="TableText0"/>
              <w:jc w:val="center"/>
            </w:pPr>
            <w:r w:rsidRPr="002F733E">
              <w:t>SOC (PBO)</w:t>
            </w:r>
            <w:r w:rsidRPr="002F733E">
              <w:rPr>
                <w:vertAlign w:val="superscript"/>
              </w:rPr>
              <w:t>e</w:t>
            </w:r>
          </w:p>
        </w:tc>
        <w:tc>
          <w:tcPr>
            <w:tcW w:w="855" w:type="pct"/>
            <w:vMerge w:val="restart"/>
            <w:shd w:val="clear" w:color="auto" w:fill="B8CCE4" w:themeFill="accent1" w:themeFillTint="66"/>
            <w:vAlign w:val="center"/>
          </w:tcPr>
          <w:p w14:paraId="05CDB5F5" w14:textId="77777777" w:rsidR="00CD72DD" w:rsidRPr="002F733E" w:rsidRDefault="00CD72DD" w:rsidP="00CD72DD">
            <w:pPr>
              <w:pStyle w:val="TableText0"/>
              <w:jc w:val="center"/>
            </w:pPr>
            <w:r w:rsidRPr="002F733E">
              <w:t>18-65, SLEDAI-2K ≥6, autoantibody positive</w:t>
            </w:r>
          </w:p>
        </w:tc>
        <w:tc>
          <w:tcPr>
            <w:tcW w:w="1011" w:type="pct"/>
            <w:shd w:val="clear" w:color="auto" w:fill="B8CCE4" w:themeFill="accent1" w:themeFillTint="66"/>
            <w:vAlign w:val="center"/>
          </w:tcPr>
          <w:p w14:paraId="3FCA2CFB" w14:textId="77777777" w:rsidR="00CD72DD" w:rsidRPr="002F733E" w:rsidRDefault="00CD72DD" w:rsidP="00CD72DD">
            <w:pPr>
              <w:pStyle w:val="TableText0"/>
              <w:jc w:val="center"/>
            </w:pPr>
            <w:r w:rsidRPr="002F733E">
              <w:t>1°: SRI(4) (Wk 24)</w:t>
            </w:r>
          </w:p>
          <w:p w14:paraId="4A2C5CC5" w14:textId="77777777" w:rsidR="00CD72DD" w:rsidRPr="002F733E" w:rsidRDefault="00CD72DD" w:rsidP="00CD72DD">
            <w:pPr>
              <w:pStyle w:val="TableText0"/>
              <w:jc w:val="center"/>
            </w:pPr>
            <w:r w:rsidRPr="002F733E">
              <w:t>2°: OCS dose, AEs</w:t>
            </w:r>
          </w:p>
          <w:p w14:paraId="22EFC543" w14:textId="77777777" w:rsidR="00CD72DD" w:rsidRPr="002F733E" w:rsidRDefault="00CD72DD" w:rsidP="00CD72DD">
            <w:pPr>
              <w:pStyle w:val="TableText0"/>
              <w:jc w:val="center"/>
            </w:pPr>
            <w:r w:rsidRPr="002F733E">
              <w:t>Other: BICLA, flares</w:t>
            </w:r>
          </w:p>
        </w:tc>
        <w:tc>
          <w:tcPr>
            <w:tcW w:w="516" w:type="pct"/>
            <w:shd w:val="clear" w:color="auto" w:fill="B8CCE4" w:themeFill="accent1" w:themeFillTint="66"/>
            <w:vAlign w:val="center"/>
          </w:tcPr>
          <w:p w14:paraId="636F710E" w14:textId="77777777" w:rsidR="00CD72DD" w:rsidRPr="002F733E" w:rsidRDefault="00CD72DD" w:rsidP="00CD72DD">
            <w:pPr>
              <w:pStyle w:val="TableText0"/>
              <w:jc w:val="center"/>
            </w:pPr>
            <w:r w:rsidRPr="002F733E">
              <w:t>-</w:t>
            </w:r>
          </w:p>
        </w:tc>
      </w:tr>
      <w:tr w:rsidR="00CD72DD" w:rsidRPr="002F733E" w14:paraId="59193120" w14:textId="77777777" w:rsidTr="00CD72DD">
        <w:trPr>
          <w:cantSplit/>
        </w:trPr>
        <w:tc>
          <w:tcPr>
            <w:tcW w:w="385" w:type="pct"/>
            <w:shd w:val="clear" w:color="auto" w:fill="B8CCE4" w:themeFill="accent1" w:themeFillTint="66"/>
            <w:vAlign w:val="center"/>
          </w:tcPr>
          <w:p w14:paraId="540BC401" w14:textId="77777777" w:rsidR="00CD72DD" w:rsidRPr="002F733E" w:rsidRDefault="00CD72DD" w:rsidP="00CD72DD">
            <w:pPr>
              <w:pStyle w:val="TableText0"/>
            </w:pPr>
            <w:r w:rsidRPr="002F733E">
              <w:t>MUSE LTE</w:t>
            </w:r>
          </w:p>
        </w:tc>
        <w:tc>
          <w:tcPr>
            <w:tcW w:w="216" w:type="pct"/>
            <w:shd w:val="clear" w:color="auto" w:fill="B8CCE4" w:themeFill="accent1" w:themeFillTint="66"/>
            <w:vAlign w:val="center"/>
          </w:tcPr>
          <w:p w14:paraId="626B3A58" w14:textId="77777777" w:rsidR="00CD72DD" w:rsidRPr="002F733E" w:rsidRDefault="00CD72DD" w:rsidP="00CD72DD">
            <w:pPr>
              <w:pStyle w:val="TableText0"/>
              <w:jc w:val="center"/>
            </w:pPr>
            <w:r w:rsidRPr="002F733E">
              <w:t>246</w:t>
            </w:r>
            <w:r w:rsidRPr="002F733E">
              <w:rPr>
                <w:vertAlign w:val="superscript"/>
              </w:rPr>
              <w:t>c</w:t>
            </w:r>
          </w:p>
        </w:tc>
        <w:tc>
          <w:tcPr>
            <w:tcW w:w="725" w:type="pct"/>
            <w:shd w:val="clear" w:color="auto" w:fill="B8CCE4" w:themeFill="accent1" w:themeFillTint="66"/>
            <w:vAlign w:val="center"/>
          </w:tcPr>
          <w:p w14:paraId="46AA35F5" w14:textId="77777777" w:rsidR="00CD72DD" w:rsidRPr="002F733E" w:rsidRDefault="00CD72DD" w:rsidP="00CD72DD">
            <w:pPr>
              <w:pStyle w:val="TableText0"/>
              <w:jc w:val="center"/>
            </w:pPr>
            <w:r w:rsidRPr="002F733E">
              <w:t>MC, OL</w:t>
            </w:r>
          </w:p>
          <w:p w14:paraId="0AE4D8BD" w14:textId="77777777" w:rsidR="00CD72DD" w:rsidRPr="002F733E" w:rsidRDefault="00CD72DD" w:rsidP="00CD72DD">
            <w:pPr>
              <w:pStyle w:val="TableText0"/>
              <w:jc w:val="center"/>
            </w:pPr>
            <w:r w:rsidRPr="002F733E">
              <w:t>156 weeks</w:t>
            </w:r>
          </w:p>
        </w:tc>
        <w:tc>
          <w:tcPr>
            <w:tcW w:w="345" w:type="pct"/>
            <w:shd w:val="clear" w:color="auto" w:fill="B8CCE4" w:themeFill="accent1" w:themeFillTint="66"/>
            <w:vAlign w:val="center"/>
          </w:tcPr>
          <w:p w14:paraId="085B913F" w14:textId="77777777" w:rsidR="00CD72DD" w:rsidRPr="002F733E" w:rsidRDefault="00CD72DD" w:rsidP="00CD72DD">
            <w:pPr>
              <w:pStyle w:val="TableText0"/>
              <w:jc w:val="center"/>
            </w:pPr>
            <w:r w:rsidRPr="002F733E">
              <w:t>High</w:t>
            </w:r>
          </w:p>
        </w:tc>
        <w:tc>
          <w:tcPr>
            <w:tcW w:w="947" w:type="pct"/>
            <w:shd w:val="clear" w:color="auto" w:fill="B8CCE4" w:themeFill="accent1" w:themeFillTint="66"/>
            <w:vAlign w:val="center"/>
          </w:tcPr>
          <w:p w14:paraId="3BDFD569" w14:textId="77777777" w:rsidR="00CD72DD" w:rsidRPr="002F733E" w:rsidRDefault="00CD72DD" w:rsidP="00CD72DD">
            <w:pPr>
              <w:pStyle w:val="TableText0"/>
              <w:jc w:val="center"/>
            </w:pPr>
            <w:r w:rsidRPr="002F733E">
              <w:t>ANI 300 mg IV Q4W</w:t>
            </w:r>
            <w:r w:rsidRPr="002F733E">
              <w:rPr>
                <w:vertAlign w:val="superscript"/>
              </w:rPr>
              <w:t>d f</w:t>
            </w:r>
          </w:p>
        </w:tc>
        <w:tc>
          <w:tcPr>
            <w:tcW w:w="855" w:type="pct"/>
            <w:vMerge/>
            <w:shd w:val="clear" w:color="auto" w:fill="B8CCE4" w:themeFill="accent1" w:themeFillTint="66"/>
            <w:vAlign w:val="center"/>
          </w:tcPr>
          <w:p w14:paraId="150AE77A" w14:textId="77777777" w:rsidR="00CD72DD" w:rsidRPr="002F733E" w:rsidRDefault="00CD72DD" w:rsidP="00CD72DD">
            <w:pPr>
              <w:pStyle w:val="TableText0"/>
              <w:jc w:val="center"/>
            </w:pPr>
          </w:p>
        </w:tc>
        <w:tc>
          <w:tcPr>
            <w:tcW w:w="1011" w:type="pct"/>
            <w:shd w:val="clear" w:color="auto" w:fill="B8CCE4" w:themeFill="accent1" w:themeFillTint="66"/>
            <w:vAlign w:val="center"/>
          </w:tcPr>
          <w:p w14:paraId="5E5EEDFD" w14:textId="77777777" w:rsidR="00CD72DD" w:rsidRPr="002F733E" w:rsidRDefault="00CD72DD" w:rsidP="00CD72DD">
            <w:pPr>
              <w:pStyle w:val="TableText0"/>
              <w:jc w:val="center"/>
            </w:pPr>
            <w:r w:rsidRPr="002F733E">
              <w:t>1°: Safety</w:t>
            </w:r>
          </w:p>
          <w:p w14:paraId="7ADCE55D" w14:textId="77777777" w:rsidR="00CD72DD" w:rsidRPr="002F733E" w:rsidRDefault="00CD72DD" w:rsidP="00CD72DD">
            <w:pPr>
              <w:pStyle w:val="TableText0"/>
              <w:jc w:val="center"/>
            </w:pPr>
            <w:r w:rsidRPr="002F733E">
              <w:t>Other: SLEDAI-2K</w:t>
            </w:r>
          </w:p>
        </w:tc>
        <w:tc>
          <w:tcPr>
            <w:tcW w:w="516" w:type="pct"/>
            <w:shd w:val="clear" w:color="auto" w:fill="B8CCE4" w:themeFill="accent1" w:themeFillTint="66"/>
            <w:vAlign w:val="center"/>
          </w:tcPr>
          <w:p w14:paraId="0758148E" w14:textId="77777777" w:rsidR="00CD72DD" w:rsidRPr="002F733E" w:rsidRDefault="00CD72DD" w:rsidP="00CD72DD">
            <w:pPr>
              <w:pStyle w:val="TableText0"/>
              <w:jc w:val="center"/>
            </w:pPr>
            <w:r w:rsidRPr="002F733E">
              <w:t>-</w:t>
            </w:r>
          </w:p>
        </w:tc>
      </w:tr>
      <w:tr w:rsidR="00CD72DD" w:rsidRPr="002F733E" w14:paraId="76108439" w14:textId="77777777" w:rsidTr="00CD72DD">
        <w:trPr>
          <w:cantSplit/>
        </w:trPr>
        <w:tc>
          <w:tcPr>
            <w:tcW w:w="385" w:type="pct"/>
            <w:shd w:val="clear" w:color="auto" w:fill="auto"/>
            <w:vAlign w:val="center"/>
          </w:tcPr>
          <w:p w14:paraId="367E728A" w14:textId="77777777" w:rsidR="00CD72DD" w:rsidRPr="002F733E" w:rsidRDefault="00CD72DD" w:rsidP="00CD72DD">
            <w:pPr>
              <w:pStyle w:val="TableText0"/>
            </w:pPr>
            <w:r w:rsidRPr="002F733E">
              <w:t>TULIP LTE</w:t>
            </w:r>
          </w:p>
        </w:tc>
        <w:tc>
          <w:tcPr>
            <w:tcW w:w="216" w:type="pct"/>
            <w:shd w:val="clear" w:color="auto" w:fill="auto"/>
            <w:vAlign w:val="center"/>
          </w:tcPr>
          <w:p w14:paraId="2BFCF0C6" w14:textId="77777777" w:rsidR="00CD72DD" w:rsidRPr="002F733E" w:rsidRDefault="00CD72DD" w:rsidP="00CD72DD">
            <w:pPr>
              <w:pStyle w:val="TableText0"/>
              <w:jc w:val="center"/>
            </w:pPr>
            <w:r w:rsidRPr="002F733E">
              <w:t>547</w:t>
            </w:r>
            <w:r w:rsidRPr="002F733E">
              <w:rPr>
                <w:vertAlign w:val="superscript"/>
              </w:rPr>
              <w:t>g</w:t>
            </w:r>
          </w:p>
        </w:tc>
        <w:tc>
          <w:tcPr>
            <w:tcW w:w="725" w:type="pct"/>
            <w:shd w:val="clear" w:color="auto" w:fill="auto"/>
            <w:vAlign w:val="center"/>
          </w:tcPr>
          <w:p w14:paraId="21ADB133" w14:textId="77777777" w:rsidR="00CD72DD" w:rsidRPr="002F733E" w:rsidRDefault="00CD72DD" w:rsidP="00CD72DD">
            <w:pPr>
              <w:pStyle w:val="TableText0"/>
              <w:jc w:val="center"/>
            </w:pPr>
            <w:r w:rsidRPr="002F733E">
              <w:t>R, MC, DB, PBO 156 weeks / f-up 12 weeks#</w:t>
            </w:r>
          </w:p>
        </w:tc>
        <w:tc>
          <w:tcPr>
            <w:tcW w:w="345" w:type="pct"/>
            <w:shd w:val="clear" w:color="auto" w:fill="auto"/>
            <w:vAlign w:val="center"/>
          </w:tcPr>
          <w:p w14:paraId="1F73C021" w14:textId="77777777" w:rsidR="00CD72DD" w:rsidRPr="002F733E" w:rsidRDefault="00CD72DD" w:rsidP="00CD72DD">
            <w:pPr>
              <w:pStyle w:val="TableText0"/>
              <w:jc w:val="center"/>
            </w:pPr>
            <w:r w:rsidRPr="002F733E">
              <w:t>Low</w:t>
            </w:r>
          </w:p>
        </w:tc>
        <w:tc>
          <w:tcPr>
            <w:tcW w:w="947" w:type="pct"/>
            <w:vAlign w:val="center"/>
          </w:tcPr>
          <w:p w14:paraId="369E7A38" w14:textId="77777777" w:rsidR="00CD72DD" w:rsidRPr="002F733E" w:rsidRDefault="00CD72DD" w:rsidP="00CD72DD">
            <w:pPr>
              <w:pStyle w:val="TableText0"/>
              <w:jc w:val="center"/>
            </w:pPr>
            <w:r w:rsidRPr="002F733E">
              <w:t>ANI 300 mg IV Q4W</w:t>
            </w:r>
          </w:p>
          <w:p w14:paraId="78C39413" w14:textId="77777777" w:rsidR="00CD72DD" w:rsidRPr="002F733E" w:rsidRDefault="00CD72DD" w:rsidP="00CD72DD">
            <w:pPr>
              <w:pStyle w:val="TableText0"/>
              <w:jc w:val="center"/>
            </w:pPr>
            <w:r w:rsidRPr="002F733E">
              <w:t>SOC (PBO)</w:t>
            </w:r>
          </w:p>
        </w:tc>
        <w:tc>
          <w:tcPr>
            <w:tcW w:w="855" w:type="pct"/>
            <w:shd w:val="clear" w:color="auto" w:fill="auto"/>
            <w:vAlign w:val="center"/>
          </w:tcPr>
          <w:p w14:paraId="0214A606" w14:textId="77777777" w:rsidR="00CD72DD" w:rsidRPr="002F733E" w:rsidRDefault="00CD72DD" w:rsidP="00CD72DD">
            <w:pPr>
              <w:pStyle w:val="TableText0"/>
              <w:jc w:val="center"/>
            </w:pPr>
            <w:r w:rsidRPr="002F733E">
              <w:t>Completed 52 weeks of TULIP-1 or TULIP-2</w:t>
            </w:r>
          </w:p>
        </w:tc>
        <w:tc>
          <w:tcPr>
            <w:tcW w:w="1011" w:type="pct"/>
            <w:shd w:val="clear" w:color="auto" w:fill="auto"/>
            <w:vAlign w:val="center"/>
          </w:tcPr>
          <w:p w14:paraId="6D31F73D" w14:textId="77777777" w:rsidR="00CD72DD" w:rsidRPr="002F733E" w:rsidRDefault="00CD72DD" w:rsidP="00CD72DD">
            <w:pPr>
              <w:pStyle w:val="TableText0"/>
              <w:jc w:val="center"/>
            </w:pPr>
            <w:r w:rsidRPr="002F733E">
              <w:t>1°: Safety</w:t>
            </w:r>
          </w:p>
          <w:p w14:paraId="30E6CECF" w14:textId="77777777" w:rsidR="00CD72DD" w:rsidRPr="002F733E" w:rsidRDefault="00CD72DD" w:rsidP="00CD72DD">
            <w:pPr>
              <w:pStyle w:val="TableText0"/>
              <w:jc w:val="center"/>
            </w:pPr>
            <w:r w:rsidRPr="002F733E">
              <w:t>Other: SLEDAI-2K, OCS dose, SDI</w:t>
            </w:r>
          </w:p>
        </w:tc>
        <w:tc>
          <w:tcPr>
            <w:tcW w:w="516" w:type="pct"/>
            <w:shd w:val="clear" w:color="auto" w:fill="auto"/>
            <w:vAlign w:val="center"/>
          </w:tcPr>
          <w:p w14:paraId="2198981E" w14:textId="77777777" w:rsidR="00CD72DD" w:rsidRPr="002F733E" w:rsidRDefault="00CD72DD" w:rsidP="00CD72DD">
            <w:pPr>
              <w:pStyle w:val="TableText0"/>
              <w:jc w:val="center"/>
            </w:pPr>
            <w:r w:rsidRPr="002F733E">
              <w:t>Safety, SLEDAI-2K, OCS dose</w:t>
            </w:r>
          </w:p>
        </w:tc>
      </w:tr>
    </w:tbl>
    <w:p w14:paraId="72AD69ED" w14:textId="77777777" w:rsidR="00CD72DD" w:rsidRPr="002F733E" w:rsidRDefault="00CD72DD" w:rsidP="00CD72DD">
      <w:pPr>
        <w:pStyle w:val="TableFigureFooter"/>
        <w:keepNext/>
        <w:spacing w:after="0"/>
        <w:rPr>
          <w:iCs/>
        </w:rPr>
      </w:pPr>
      <w:r w:rsidRPr="002F733E">
        <w:rPr>
          <w:iCs/>
          <w:shd w:val="clear" w:color="auto" w:fill="B8CCE4" w:themeFill="accent1" w:themeFillTint="66"/>
        </w:rPr>
        <w:t>Blue</w:t>
      </w:r>
      <w:r w:rsidRPr="002F733E">
        <w:rPr>
          <w:iCs/>
        </w:rPr>
        <w:t xml:space="preserve"> shading represents information previously considered by the PBAC.</w:t>
      </w:r>
    </w:p>
    <w:p w14:paraId="01C5A69B" w14:textId="77777777" w:rsidR="00CD72DD" w:rsidRPr="002F733E" w:rsidRDefault="00CD72DD" w:rsidP="00CD72DD">
      <w:pPr>
        <w:pStyle w:val="TableFigureFooter"/>
        <w:rPr>
          <w:iCs/>
        </w:rPr>
      </w:pPr>
      <w:r w:rsidRPr="002F733E">
        <w:rPr>
          <w:iCs/>
        </w:rPr>
        <w:t>Italics indicate results extracted during the evaluation.</w:t>
      </w:r>
    </w:p>
    <w:p w14:paraId="16954561" w14:textId="77777777" w:rsidR="00CD72DD" w:rsidRPr="002F733E" w:rsidRDefault="00CD72DD" w:rsidP="00CD72DD">
      <w:pPr>
        <w:pStyle w:val="TableFigureFooter"/>
        <w:rPr>
          <w:iCs/>
        </w:rPr>
      </w:pPr>
      <w:r w:rsidRPr="002F733E">
        <w:rPr>
          <w:iCs/>
        </w:rPr>
        <w:t>Source: Furie 2019 (TULIP-1), Morand 2020 (TULIP-2), Furie 2017 (MUSE), Chatham 2020 (MUSE LTE), Kalunian 2022 (TULIP LTE).</w:t>
      </w:r>
    </w:p>
    <w:p w14:paraId="77934F23" w14:textId="77777777" w:rsidR="00CD72DD" w:rsidRPr="002F733E" w:rsidRDefault="00CD72DD" w:rsidP="00CD72DD">
      <w:pPr>
        <w:pStyle w:val="TableFigureFooter"/>
        <w:shd w:val="clear" w:color="auto" w:fill="B8CCE4" w:themeFill="accent1" w:themeFillTint="66"/>
        <w:rPr>
          <w:iCs/>
        </w:rPr>
      </w:pPr>
      <w:r w:rsidRPr="002F733E">
        <w:rPr>
          <w:iCs/>
        </w:rPr>
        <w:t>ANI=anifrolumab; AE=adverse event; AZA=azathioprine; BICLA=British Isles Lupus Assessment Group-based Composite Lupus Assessment; BILAG=British Isles Lupus Assessment Group; DB=double blind; f-up =follow up, MC=multi-centre; MTX=methotrexate; NSAIDs=nonsteroidal anti-inflammatory drugs; OCS=oral corticosteroids; OL=open label; PBO=placebo; R=randomised; SDI=SLICC/ACR (Systemic Lupus International Collaborating Clinics/American College of Rheumatology) Damage Index; SLE=systemic lupus erythematosus; SLEDAI-2K=Systemic Lupus Erythematosus Disease Activity Index 2000; SRI(4)=4-point reduction on the SLE Responder Index; SOC=standard of care; Q4W=every 4 weeks; Wk=week.</w:t>
      </w:r>
    </w:p>
    <w:p w14:paraId="694FEBB2" w14:textId="77777777" w:rsidR="00CD72DD" w:rsidRPr="002F733E" w:rsidRDefault="00CD72DD" w:rsidP="00CD72DD">
      <w:pPr>
        <w:pStyle w:val="TableFigureFooter"/>
        <w:shd w:val="clear" w:color="auto" w:fill="B8CCE4" w:themeFill="accent1" w:themeFillTint="66"/>
        <w:ind w:left="165" w:hanging="165"/>
        <w:rPr>
          <w:iCs/>
        </w:rPr>
      </w:pPr>
      <w:r w:rsidRPr="002F733E">
        <w:rPr>
          <w:iCs/>
        </w:rPr>
        <w:t>^</w:t>
      </w:r>
      <w:r w:rsidRPr="002F733E">
        <w:rPr>
          <w:iCs/>
        </w:rPr>
        <w:tab/>
        <w:t>At week 52, if eligible, patients were enrolled in a separate long-term extension study (TULIP LTE), or they continued the study for another 8 weeks to complete a 12-week safety follow-up after the last dose of study medication (given at Week 48)</w:t>
      </w:r>
    </w:p>
    <w:p w14:paraId="3A1200C7" w14:textId="77777777" w:rsidR="00CD72DD" w:rsidRPr="002F733E" w:rsidRDefault="00CD72DD" w:rsidP="00CD72DD">
      <w:pPr>
        <w:pStyle w:val="TableFigureFooter"/>
        <w:shd w:val="clear" w:color="auto" w:fill="B8CCE4" w:themeFill="accent1" w:themeFillTint="66"/>
        <w:rPr>
          <w:iCs/>
        </w:rPr>
      </w:pPr>
      <w:r w:rsidRPr="002F733E">
        <w:rPr>
          <w:iCs/>
        </w:rPr>
        <w:t>#</w:t>
      </w:r>
      <w:r w:rsidRPr="002F733E">
        <w:rPr>
          <w:iCs/>
        </w:rPr>
        <w:tab/>
        <w:t>All patients were required to complete a 12-week follow-up period after administration of the final dose of the study drug.</w:t>
      </w:r>
    </w:p>
    <w:p w14:paraId="5FB4A875" w14:textId="77777777" w:rsidR="00CD72DD" w:rsidRPr="002F733E" w:rsidRDefault="00CD72DD" w:rsidP="00CD72DD">
      <w:pPr>
        <w:pStyle w:val="TableFigureFooter"/>
        <w:shd w:val="clear" w:color="auto" w:fill="B8CCE4" w:themeFill="accent1" w:themeFillTint="66"/>
        <w:ind w:left="170" w:hanging="170"/>
        <w:rPr>
          <w:iCs/>
        </w:rPr>
      </w:pPr>
      <w:r w:rsidRPr="002F733E">
        <w:rPr>
          <w:iCs/>
        </w:rPr>
        <w:t>a</w:t>
      </w:r>
      <w:r w:rsidRPr="002F733E">
        <w:rPr>
          <w:iCs/>
          <w:vertAlign w:val="superscript"/>
        </w:rPr>
        <w:tab/>
      </w:r>
      <w:r w:rsidRPr="002F733E">
        <w:rPr>
          <w:iCs/>
        </w:rPr>
        <w:t>Eligible patients randomized in 1:2:2 ratio to receive a fixed IV dose of anifrolumab, (150 or 300 mg) or placebo Q4W for a total of 13 doses (Week 0 to Week 48).</w:t>
      </w:r>
    </w:p>
    <w:p w14:paraId="30AF8C5D" w14:textId="77777777" w:rsidR="00CD72DD" w:rsidRPr="002F733E" w:rsidRDefault="00CD72DD" w:rsidP="00CD72DD">
      <w:pPr>
        <w:pStyle w:val="TableFigureFooter"/>
        <w:shd w:val="clear" w:color="auto" w:fill="B8CCE4" w:themeFill="accent1" w:themeFillTint="66"/>
        <w:ind w:left="170" w:hanging="170"/>
        <w:rPr>
          <w:iCs/>
          <w:szCs w:val="18"/>
        </w:rPr>
      </w:pPr>
      <w:r w:rsidRPr="002F733E">
        <w:rPr>
          <w:iCs/>
          <w:szCs w:val="18"/>
        </w:rPr>
        <w:t>b</w:t>
      </w:r>
      <w:r w:rsidRPr="002F733E">
        <w:rPr>
          <w:iCs/>
          <w:szCs w:val="18"/>
        </w:rPr>
        <w:tab/>
        <w:t>Eligible patients randomised in a 1:1:1 ratio to receive a fixed IV dose of anifrolumab (300 or 1000 mg) or placebo Q4W for a total of 13 doses over 48 weeks.</w:t>
      </w:r>
    </w:p>
    <w:p w14:paraId="59A888ED" w14:textId="77777777" w:rsidR="00CD72DD" w:rsidRPr="002F733E" w:rsidRDefault="00CD72DD" w:rsidP="00CD72DD">
      <w:pPr>
        <w:pStyle w:val="TableFigureFooter"/>
        <w:shd w:val="clear" w:color="auto" w:fill="B8CCE4" w:themeFill="accent1" w:themeFillTint="66"/>
        <w:ind w:left="170" w:hanging="170"/>
        <w:rPr>
          <w:iCs/>
          <w:szCs w:val="18"/>
        </w:rPr>
      </w:pPr>
      <w:r w:rsidRPr="002F733E">
        <w:rPr>
          <w:iCs/>
          <w:szCs w:val="18"/>
        </w:rPr>
        <w:t>c</w:t>
      </w:r>
      <w:r w:rsidRPr="002F733E">
        <w:rPr>
          <w:iCs/>
          <w:szCs w:val="18"/>
        </w:rPr>
        <w:tab/>
        <w:t>Patients were eligible for the OL extension if they completed RCT treatment (MUSE) and follow-up, met the open-label extension inclusion criteria, and had no safety issues that led to exclusion.</w:t>
      </w:r>
      <w:r w:rsidRPr="002F733E">
        <w:rPr>
          <w:iCs/>
        </w:rPr>
        <w:t xml:space="preserve"> </w:t>
      </w:r>
      <w:r w:rsidRPr="002F733E">
        <w:rPr>
          <w:iCs/>
          <w:szCs w:val="18"/>
        </w:rPr>
        <w:t>The start of OLE study (Day 1 the subject received their first dose of open-label anifrolumab) was to occur within 28 days of the Day 422 visit of MUSE.</w:t>
      </w:r>
    </w:p>
    <w:p w14:paraId="3199CE54" w14:textId="77777777" w:rsidR="00CD72DD" w:rsidRPr="002F733E" w:rsidRDefault="00CD72DD" w:rsidP="00CD72DD">
      <w:pPr>
        <w:pStyle w:val="TableFigureFooter"/>
        <w:shd w:val="clear" w:color="auto" w:fill="B8CCE4" w:themeFill="accent1" w:themeFillTint="66"/>
        <w:ind w:left="170" w:hanging="170"/>
        <w:rPr>
          <w:iCs/>
          <w:szCs w:val="18"/>
        </w:rPr>
      </w:pPr>
      <w:r w:rsidRPr="002F733E">
        <w:rPr>
          <w:iCs/>
          <w:szCs w:val="18"/>
        </w:rPr>
        <w:t>d</w:t>
      </w:r>
      <w:r w:rsidRPr="002F733E">
        <w:rPr>
          <w:iCs/>
          <w:szCs w:val="18"/>
        </w:rPr>
        <w:tab/>
        <w:t>Prior to implementation of Protocol Amendment dated 12 February 2015, all patients received IV anifrolumab 1000 mg fixed dose administered as infusion over at least 60 minutes Q4W starting at Day 1 (Week 0). After Amendment, all patients received IV anifrolumab as a 300 mg fixed dose infusion over at least 30 minutes Q4W starting at Day 1 (Week 0) for a total 40 doses or up to 3 years.</w:t>
      </w:r>
    </w:p>
    <w:p w14:paraId="748D4B5F" w14:textId="77777777" w:rsidR="00CD72DD" w:rsidRPr="002F733E" w:rsidRDefault="00CD72DD" w:rsidP="00CD72DD">
      <w:pPr>
        <w:pStyle w:val="TableFigureFooter"/>
        <w:shd w:val="clear" w:color="auto" w:fill="B8CCE4" w:themeFill="accent1" w:themeFillTint="66"/>
        <w:ind w:left="170" w:hanging="170"/>
        <w:rPr>
          <w:iCs/>
          <w:szCs w:val="18"/>
        </w:rPr>
      </w:pPr>
      <w:r w:rsidRPr="002F733E">
        <w:rPr>
          <w:iCs/>
          <w:szCs w:val="18"/>
        </w:rPr>
        <w:t>e</w:t>
      </w:r>
      <w:r w:rsidRPr="002F733E">
        <w:rPr>
          <w:iCs/>
          <w:szCs w:val="18"/>
        </w:rPr>
        <w:tab/>
        <w:t>Permitted medications for SOC included OCS (≤40 mg/day prednisone or equivalent), antimalarials, immunosuppressants (AZA, MTX, mycophenolate) and NSAIDs.</w:t>
      </w:r>
    </w:p>
    <w:p w14:paraId="6B917A10" w14:textId="77777777" w:rsidR="00CD72DD" w:rsidRPr="002F733E" w:rsidRDefault="00CD72DD" w:rsidP="00CD72DD">
      <w:pPr>
        <w:pStyle w:val="TableFigureFooter"/>
        <w:shd w:val="clear" w:color="auto" w:fill="B8CCE4" w:themeFill="accent1" w:themeFillTint="66"/>
        <w:ind w:left="170" w:hanging="170"/>
        <w:rPr>
          <w:iCs/>
          <w:szCs w:val="18"/>
        </w:rPr>
      </w:pPr>
      <w:r w:rsidRPr="002F733E">
        <w:rPr>
          <w:iCs/>
          <w:szCs w:val="18"/>
        </w:rPr>
        <w:t>f</w:t>
      </w:r>
      <w:r w:rsidRPr="002F733E">
        <w:rPr>
          <w:iCs/>
          <w:szCs w:val="18"/>
        </w:rPr>
        <w:tab/>
        <w:t>SOC treatments for SLE were allowed throughout the open-label extension and were modified at the discretion of the investigator within protocol-defined limits. Permitted SLE medication included OCS (up to 40 mg/day of prednisone or equivalent), immunosuppressants (MTX, AZA, mycophenolate) and NSAIDs.</w:t>
      </w:r>
    </w:p>
    <w:p w14:paraId="4704B013" w14:textId="77777777" w:rsidR="00CD72DD" w:rsidRPr="002F733E" w:rsidRDefault="00CD72DD" w:rsidP="00CD72DD">
      <w:pPr>
        <w:pStyle w:val="TableFigureFooter"/>
        <w:ind w:left="170" w:hanging="170"/>
        <w:rPr>
          <w:iCs/>
          <w:szCs w:val="18"/>
        </w:rPr>
      </w:pPr>
      <w:r w:rsidRPr="002F733E">
        <w:rPr>
          <w:iCs/>
          <w:szCs w:val="18"/>
        </w:rPr>
        <w:t>g</w:t>
      </w:r>
      <w:r w:rsidRPr="002F733E">
        <w:rPr>
          <w:iCs/>
          <w:szCs w:val="18"/>
        </w:rPr>
        <w:tab/>
        <w:t>TULIP LTE enrolled 547 patients who completed 52-week treatment in TULIP-1 or TULIP-2 and at least 1 dose in LTE study. Of these, 257 patients in the TULIP trials treated with anifrolumab 300 mg continued LTE anifrolumab 300 mg. Of the 223 placebo patients in the TULIP trials, 112 were re-randomised to LTE placebo and 111 to LTE anifrolumab 300 mg. In addition, 67 patients switched from anifrolumab 150 mg in TULIP-1 to LTE anifrolumab 300 mg.</w:t>
      </w:r>
    </w:p>
    <w:p w14:paraId="128960B6" w14:textId="4AA1BF63" w:rsidR="00CD72DD" w:rsidRPr="002F733E" w:rsidRDefault="00CD72DD" w:rsidP="002E4F02">
      <w:pPr>
        <w:pStyle w:val="3-BodyText"/>
      </w:pPr>
      <w:r w:rsidRPr="002F733E">
        <w:t xml:space="preserve">Details of TULIP-1, TULIP-2, MUSE and MUSE LTE were unchanged from the July 2022 submission. TULIP LTE was a 3-year multicentre, randomised, double blind placebo-controlled long-term safety extension study. The enrolled population comprised of patients who completed 52-week double-blind treatment in TULIP-1 or TULIP-2. In total, 85.6% (547/639) patients who completed 52 weeks of treatment in TULIP-1 or TULIP-2 enrolled in TULIP LTE and received at least one dose of study drug. Of these, 257 patients treated with anifrolumab 300 mg in the TULIP trials continued treatment with anifrolumab 300 mg (LTE anifrolumab 300 mg group). Of the 223 patients treated with placebo in the TULIP trials, 112 patients were re-randomised to continue placebo (LTE placebo group) and 111 patients </w:t>
      </w:r>
      <w:r w:rsidR="005B0BC7" w:rsidRPr="002F733E">
        <w:t xml:space="preserve">were </w:t>
      </w:r>
      <w:r w:rsidRPr="002F733E">
        <w:t>re-randomised to anifrolumab 300 mg. In addition, 67 patients treated with anifrolumab 150 mg in TULIP-1 switched to anifrolumab 300 mg in TULIP LTE. The proportion of patients who completed 156 weeks of LTE treatment across the treatment arms was 62.3% (68.9% in LTE anifrolumab 300 mg group and 46.4% in LTE placebo group).</w:t>
      </w:r>
    </w:p>
    <w:p w14:paraId="083EC8F3" w14:textId="01E7A868" w:rsidR="003E568B" w:rsidRPr="002F733E" w:rsidRDefault="003E568B" w:rsidP="003E568B">
      <w:pPr>
        <w:pStyle w:val="3-BodyText"/>
      </w:pPr>
      <w:r w:rsidRPr="002F733E">
        <w:t xml:space="preserve">It was noted that less stringent steroid rules were applied in TULIP LTE, </w:t>
      </w:r>
      <w:r w:rsidR="009E1100" w:rsidRPr="002F733E">
        <w:t xml:space="preserve">as </w:t>
      </w:r>
      <w:r w:rsidRPr="002F733E">
        <w:t>there was no requirement for steroid tapering and steroid burst was permitted. Patients with increased SLE disease activity could receive one steroid burst within the first 12 weeks of the LTE</w:t>
      </w:r>
      <w:r w:rsidR="009E1100" w:rsidRPr="002F733E">
        <w:t xml:space="preserve"> study. A</w:t>
      </w:r>
      <w:r w:rsidRPr="002F733E">
        <w:t>fter this time point</w:t>
      </w:r>
      <w:r w:rsidR="009E1100" w:rsidRPr="002F733E">
        <w:t>,</w:t>
      </w:r>
      <w:r w:rsidRPr="002F733E">
        <w:t xml:space="preserve"> one </w:t>
      </w:r>
      <w:r w:rsidR="009E1100" w:rsidRPr="002F733E">
        <w:t xml:space="preserve">steroid </w:t>
      </w:r>
      <w:r w:rsidRPr="002F733E">
        <w:t xml:space="preserve">burst </w:t>
      </w:r>
      <w:r w:rsidR="009E1100" w:rsidRPr="002F733E">
        <w:t xml:space="preserve">was allowed </w:t>
      </w:r>
      <w:r w:rsidRPr="002F733E">
        <w:t xml:space="preserve">every 6 months. </w:t>
      </w:r>
      <w:r w:rsidR="009E1100" w:rsidRPr="002F733E">
        <w:t>An i</w:t>
      </w:r>
      <w:r w:rsidRPr="002F733E">
        <w:t xml:space="preserve">ncrease </w:t>
      </w:r>
      <w:r w:rsidR="009E1100" w:rsidRPr="002F733E">
        <w:t xml:space="preserve">in </w:t>
      </w:r>
      <w:r w:rsidRPr="002F733E">
        <w:t xml:space="preserve">the regular OCS dose was also allowed if needed to control </w:t>
      </w:r>
      <w:r w:rsidR="00591738" w:rsidRPr="002F733E">
        <w:t xml:space="preserve">the </w:t>
      </w:r>
      <w:r w:rsidRPr="002F733E">
        <w:t xml:space="preserve">disease. In contrast, SOC must </w:t>
      </w:r>
      <w:r w:rsidR="005847EF" w:rsidRPr="002F733E">
        <w:t xml:space="preserve">have </w:t>
      </w:r>
      <w:r w:rsidRPr="002F733E">
        <w:t>remain</w:t>
      </w:r>
      <w:r w:rsidR="005847EF" w:rsidRPr="002F733E">
        <w:t>ed</w:t>
      </w:r>
      <w:r w:rsidRPr="002F733E">
        <w:t xml:space="preserve"> stable throughout </w:t>
      </w:r>
      <w:r w:rsidR="009E1100" w:rsidRPr="002F733E">
        <w:t xml:space="preserve">the </w:t>
      </w:r>
      <w:r w:rsidRPr="002F733E">
        <w:t>TULIP-1 and TULIP-2</w:t>
      </w:r>
      <w:r w:rsidR="009E1100" w:rsidRPr="002F733E">
        <w:t xml:space="preserve"> trials</w:t>
      </w:r>
      <w:r w:rsidRPr="002F733E">
        <w:t xml:space="preserve">, and there was a mandatory attempt to taper OCS to </w:t>
      </w:r>
      <w:r w:rsidRPr="002F733E">
        <w:rPr>
          <w:rFonts w:cs="Calibri"/>
        </w:rPr>
        <w:t>≤</w:t>
      </w:r>
      <w:r w:rsidRPr="002F733E">
        <w:t xml:space="preserve">7.5 mg/day in patients receiving </w:t>
      </w:r>
      <w:r w:rsidRPr="002F733E">
        <w:rPr>
          <w:rFonts w:cs="Calibri"/>
        </w:rPr>
        <w:t>≥</w:t>
      </w:r>
      <w:r w:rsidRPr="002F733E">
        <w:t>10 mg at baseline.</w:t>
      </w:r>
    </w:p>
    <w:p w14:paraId="0B7618BD" w14:textId="7661DAED" w:rsidR="003E568B" w:rsidRPr="002F733E" w:rsidRDefault="003E568B" w:rsidP="003E568B">
      <w:pPr>
        <w:pStyle w:val="3-BodyText"/>
      </w:pPr>
      <w:bookmarkStart w:id="23" w:name="_Ref122442844"/>
      <w:r w:rsidRPr="002F733E">
        <w:t>Among the RCTs, the risk of bias associated with MUSE and TULIP LTE trial was considered low. However, there was unclear risk of bias with the TULIP trials due to two amendments for outcome assessment</w:t>
      </w:r>
      <w:r w:rsidR="009E1100" w:rsidRPr="002F733E">
        <w:t xml:space="preserve"> that</w:t>
      </w:r>
      <w:r w:rsidRPr="002F733E">
        <w:t xml:space="preserve"> likely favour</w:t>
      </w:r>
      <w:r w:rsidR="009E1100" w:rsidRPr="002F733E">
        <w:t>ed</w:t>
      </w:r>
      <w:r w:rsidRPr="002F733E">
        <w:t xml:space="preserve"> anifrolumab (paragraph 6.10, anifrolumab PSD</w:t>
      </w:r>
      <w:r w:rsidR="00D75FD7" w:rsidRPr="002F733E">
        <w:t>,</w:t>
      </w:r>
      <w:r w:rsidRPr="002F733E">
        <w:t xml:space="preserve"> July 2022 PBAC meeting):</w:t>
      </w:r>
      <w:bookmarkEnd w:id="23"/>
    </w:p>
    <w:p w14:paraId="05E10A80" w14:textId="2CB44688" w:rsidR="003E568B" w:rsidRPr="002F733E" w:rsidRDefault="003E568B" w:rsidP="003E568B">
      <w:pPr>
        <w:pStyle w:val="ListBullet"/>
        <w:tabs>
          <w:tab w:val="clear" w:pos="360"/>
          <w:tab w:val="num" w:pos="1040"/>
        </w:tabs>
        <w:spacing w:after="120"/>
        <w:ind w:left="1037" w:hanging="357"/>
        <w:contextualSpacing w:val="0"/>
      </w:pPr>
      <w:r w:rsidRPr="002F733E">
        <w:t xml:space="preserve">TULIP-1 was unblinded first and detected no difference between anifrolumab and placebo in terms of </w:t>
      </w:r>
      <w:r w:rsidR="001973D8" w:rsidRPr="002F733E">
        <w:t>response on the SLE response index (</w:t>
      </w:r>
      <w:r w:rsidRPr="002F733E">
        <w:t>SRI(4)</w:t>
      </w:r>
      <w:r w:rsidR="001973D8" w:rsidRPr="002F733E">
        <w:t>)</w:t>
      </w:r>
      <w:r w:rsidRPr="002F733E">
        <w:t xml:space="preserve">, however a larger nominally significant difference was detected using the </w:t>
      </w:r>
      <w:r w:rsidR="001973D8" w:rsidRPr="002F733E">
        <w:t>British Isles Lupus Assessment Group based Composite Lupus Assessment (</w:t>
      </w:r>
      <w:r w:rsidRPr="002F733E">
        <w:t>BICLA</w:t>
      </w:r>
      <w:r w:rsidR="001973D8" w:rsidRPr="002F733E">
        <w:t>)</w:t>
      </w:r>
      <w:r w:rsidRPr="002F733E">
        <w:t>. Based on this, the primary outcome of TULIP-2 was amended to BICLA response (with the trial investigators arguing that SRI(4) lacked sensitivity). While the trial amendment had occurred prior to data lock and unblinding in TULIP-2, the amended analysis was akin to a post-hoc analysis given the trial was already nearing completion at the time of the change.</w:t>
      </w:r>
    </w:p>
    <w:p w14:paraId="255C7B49" w14:textId="6C61A8AC" w:rsidR="003E568B" w:rsidRPr="002F733E" w:rsidRDefault="003E568B" w:rsidP="003E568B">
      <w:pPr>
        <w:pStyle w:val="ListBullet"/>
        <w:tabs>
          <w:tab w:val="clear" w:pos="360"/>
          <w:tab w:val="num" w:pos="1040"/>
        </w:tabs>
        <w:spacing w:after="120"/>
        <w:ind w:left="1037" w:hanging="357"/>
        <w:contextualSpacing w:val="0"/>
      </w:pPr>
      <w:r w:rsidRPr="002F733E">
        <w:t xml:space="preserve">Following the unblinding of the TULIP-1 trial and data review, investigators decided that the restricted medication rules were not appropriate and </w:t>
      </w:r>
      <w:r w:rsidR="009E1100" w:rsidRPr="002F733E">
        <w:t xml:space="preserve">were </w:t>
      </w:r>
      <w:r w:rsidRPr="002F733E">
        <w:t xml:space="preserve">overly restrictive </w:t>
      </w:r>
      <w:r w:rsidR="009E1100" w:rsidRPr="002F733E">
        <w:t xml:space="preserve">compared to </w:t>
      </w:r>
      <w:r w:rsidRPr="002F733E">
        <w:t>clinical practice, particularly with regard to the use of NSAIDs and limited OCS for mild flares. TULIP-1 therefore performed post-hoc analyses with the revised restricted medication rules that allowed patients with NSAID use before Week 50 of the 52-week trial to be classified as responders. The new medication rule was also adopted for TULIP-2 and was referred to as the pre-specified analysis in the publications. The rule change occurred after significant data collection, thus</w:t>
      </w:r>
      <w:r w:rsidR="009469FA" w:rsidRPr="002F733E">
        <w:t>,</w:t>
      </w:r>
      <w:r w:rsidRPr="002F733E">
        <w:t xml:space="preserve"> for much of the trial</w:t>
      </w:r>
      <w:r w:rsidR="009469FA" w:rsidRPr="002F733E">
        <w:t>,</w:t>
      </w:r>
      <w:r w:rsidRPr="002F733E">
        <w:t xml:space="preserve"> investigators had followed the original medication rules. Based on results of TULIP-1, the new medication rule appeared to favour anifrolumab.</w:t>
      </w:r>
    </w:p>
    <w:p w14:paraId="5E014E14" w14:textId="4731ADCD" w:rsidR="00CD72DD" w:rsidRPr="002F733E" w:rsidRDefault="003E568B" w:rsidP="002E4F02">
      <w:pPr>
        <w:pStyle w:val="3-BodyText"/>
      </w:pPr>
      <w:r w:rsidRPr="002F733E">
        <w:t>Baseline demographics and disease characteristics were reasonably balanced between treatment arms and across the included trials. The baseline characteristics of patients continuing in TULIP LTE were generally consistent with the overall patient population in the TULIP trials.</w:t>
      </w:r>
    </w:p>
    <w:p w14:paraId="44AD0D90" w14:textId="6CCD7BF8" w:rsidR="00CD72DD" w:rsidRPr="002F733E" w:rsidRDefault="009469FA" w:rsidP="002E4F02">
      <w:pPr>
        <w:pStyle w:val="3-BodyText"/>
      </w:pPr>
      <w:r w:rsidRPr="002F733E">
        <w:t>In July 2022, t</w:t>
      </w:r>
      <w:r w:rsidR="003E568B" w:rsidRPr="002F733E">
        <w:t xml:space="preserve">he PBAC had </w:t>
      </w:r>
      <w:r w:rsidRPr="002F733E">
        <w:t>considered</w:t>
      </w:r>
      <w:r w:rsidR="003E568B" w:rsidRPr="002F733E">
        <w:t xml:space="preserve"> that the proportion of patients in the trials who would meet the proposed PBS criteria was likely to be small, and as such the included trials may not present direct evidence for the requested PBS population. However, the PBAC acknowledged that the purpose of restricting use to this narrow population was to target patients with the greatest clinical need (paragraph 6.11, anifrolumab PSD</w:t>
      </w:r>
      <w:r w:rsidR="00D75FD7" w:rsidRPr="002F733E">
        <w:t>,</w:t>
      </w:r>
      <w:r w:rsidR="003E568B" w:rsidRPr="002F733E">
        <w:t xml:space="preserve"> July 2022 PBAC meeting).</w:t>
      </w:r>
    </w:p>
    <w:p w14:paraId="4A4FE085" w14:textId="1C5613CC" w:rsidR="00B60939" w:rsidRPr="002F733E" w:rsidRDefault="00B60939" w:rsidP="00EC5836">
      <w:pPr>
        <w:pStyle w:val="4-SubsectionHeading"/>
      </w:pPr>
      <w:bookmarkStart w:id="24" w:name="_Toc22897641"/>
      <w:bookmarkStart w:id="25" w:name="_Toc124521448"/>
      <w:r w:rsidRPr="002F733E">
        <w:t>Comparative effectiveness</w:t>
      </w:r>
      <w:bookmarkEnd w:id="24"/>
      <w:bookmarkEnd w:id="25"/>
    </w:p>
    <w:p w14:paraId="498F5B26" w14:textId="0B797D34" w:rsidR="003E15C2" w:rsidRPr="002F733E" w:rsidRDefault="005A67D0" w:rsidP="00EC5836">
      <w:pPr>
        <w:pStyle w:val="3-BodyText"/>
      </w:pPr>
      <w:r w:rsidRPr="002F733E">
        <w:fldChar w:fldCharType="begin" w:fldLock="1"/>
      </w:r>
      <w:r w:rsidRPr="002F733E">
        <w:instrText xml:space="preserve"> REF _Ref121737361 \h </w:instrText>
      </w:r>
      <w:r w:rsidRPr="002F733E">
        <w:fldChar w:fldCharType="separate"/>
      </w:r>
      <w:r w:rsidR="001316D2" w:rsidRPr="002F733E">
        <w:t>Table 5</w:t>
      </w:r>
      <w:r w:rsidRPr="002F733E">
        <w:fldChar w:fldCharType="end"/>
      </w:r>
      <w:r w:rsidRPr="002F733E">
        <w:t xml:space="preserve"> </w:t>
      </w:r>
      <w:r w:rsidR="003E15C2" w:rsidRPr="002F733E">
        <w:t>presents the key outcomes of SRI(4) and BICLA response plus its component indexes at Week 52</w:t>
      </w:r>
      <w:r w:rsidR="00C51C19" w:rsidRPr="002F733E">
        <w:t xml:space="preserve"> from the TULIP-1, TULIP-2 and MUSE trials</w:t>
      </w:r>
      <w:r w:rsidR="003E15C2" w:rsidRPr="002F733E">
        <w:t>.</w:t>
      </w:r>
    </w:p>
    <w:p w14:paraId="4E679D9F" w14:textId="7B7255C4" w:rsidR="003E15C2" w:rsidRPr="002F733E" w:rsidRDefault="005A67D0" w:rsidP="00C43264">
      <w:pPr>
        <w:pStyle w:val="Caption"/>
        <w:widowControl w:val="0"/>
        <w:rPr>
          <w:szCs w:val="20"/>
        </w:rPr>
      </w:pPr>
      <w:bookmarkStart w:id="26" w:name="_Ref121737361"/>
      <w:r w:rsidRPr="002F733E">
        <w:t xml:space="preserve">Table </w:t>
      </w:r>
      <w:fldSimple w:instr=" SEQ Table \* ARABIC " w:fldLock="1">
        <w:r w:rsidR="00781A0F" w:rsidRPr="002F733E">
          <w:t>5</w:t>
        </w:r>
      </w:fldSimple>
      <w:bookmarkEnd w:id="26"/>
      <w:r w:rsidRPr="002F733E">
        <w:t>:</w:t>
      </w:r>
      <w:r w:rsidR="003E15C2" w:rsidRPr="002F733E">
        <w:rPr>
          <w:szCs w:val="20"/>
        </w:rPr>
        <w:t xml:space="preserve"> SRI(4) and BICLA and their component indexes plus medication rules at Week 52 </w:t>
      </w:r>
      <w:r w:rsidR="00C43264" w:rsidRPr="002F733E">
        <w:rPr>
          <w:szCs w:val="20"/>
        </w:rPr>
        <w:t>from the TULIP-1, TU</w:t>
      </w:r>
      <w:r w:rsidR="009F553A" w:rsidRPr="002F733E">
        <w:rPr>
          <w:szCs w:val="20"/>
        </w:rPr>
        <w:t>LIP</w:t>
      </w:r>
      <w:r w:rsidR="00C43264" w:rsidRPr="002F733E">
        <w:rPr>
          <w:szCs w:val="20"/>
        </w:rPr>
        <w:t>-2 and MUSE trials</w:t>
      </w:r>
    </w:p>
    <w:tbl>
      <w:tblPr>
        <w:tblStyle w:val="TableGrid"/>
        <w:tblW w:w="0" w:type="auto"/>
        <w:tblCellMar>
          <w:left w:w="28" w:type="dxa"/>
          <w:right w:w="28" w:type="dxa"/>
        </w:tblCellMar>
        <w:tblLook w:val="04A0" w:firstRow="1" w:lastRow="0" w:firstColumn="1" w:lastColumn="0" w:noHBand="0" w:noVBand="1"/>
      </w:tblPr>
      <w:tblGrid>
        <w:gridCol w:w="2405"/>
        <w:gridCol w:w="2204"/>
        <w:gridCol w:w="2190"/>
        <w:gridCol w:w="2218"/>
      </w:tblGrid>
      <w:tr w:rsidR="003E15C2" w:rsidRPr="002F733E" w14:paraId="287E6D45" w14:textId="77777777" w:rsidTr="006A0431">
        <w:trPr>
          <w:tblHeader/>
        </w:trPr>
        <w:tc>
          <w:tcPr>
            <w:tcW w:w="2405" w:type="dxa"/>
            <w:tcBorders>
              <w:bottom w:val="single" w:sz="4" w:space="0" w:color="auto"/>
            </w:tcBorders>
            <w:vAlign w:val="center"/>
          </w:tcPr>
          <w:p w14:paraId="7816AD9B" w14:textId="77777777" w:rsidR="003E15C2" w:rsidRPr="002F733E" w:rsidRDefault="003E15C2" w:rsidP="009469FA">
            <w:pPr>
              <w:keepNext/>
              <w:widowControl w:val="0"/>
              <w:shd w:val="clear" w:color="auto" w:fill="B8CCE4" w:themeFill="accent1" w:themeFillTint="66"/>
              <w:jc w:val="left"/>
              <w:rPr>
                <w:rFonts w:ascii="Arial Narrow" w:hAnsi="Arial Narrow"/>
                <w:b/>
                <w:sz w:val="20"/>
                <w:szCs w:val="20"/>
              </w:rPr>
            </w:pPr>
          </w:p>
        </w:tc>
        <w:tc>
          <w:tcPr>
            <w:tcW w:w="2204" w:type="dxa"/>
            <w:tcBorders>
              <w:bottom w:val="single" w:sz="4" w:space="0" w:color="auto"/>
            </w:tcBorders>
            <w:vAlign w:val="center"/>
          </w:tcPr>
          <w:p w14:paraId="190F1324"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Anifrolumab 300 mg IV</w:t>
            </w:r>
          </w:p>
          <w:p w14:paraId="725DFB0E"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n/N (%)</w:t>
            </w:r>
          </w:p>
        </w:tc>
        <w:tc>
          <w:tcPr>
            <w:tcW w:w="2190" w:type="dxa"/>
            <w:tcBorders>
              <w:bottom w:val="single" w:sz="4" w:space="0" w:color="auto"/>
            </w:tcBorders>
            <w:vAlign w:val="center"/>
          </w:tcPr>
          <w:p w14:paraId="1A754405"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Placebo (SOC)</w:t>
            </w:r>
          </w:p>
          <w:p w14:paraId="1FBF3814"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n/N (%)</w:t>
            </w:r>
          </w:p>
        </w:tc>
        <w:tc>
          <w:tcPr>
            <w:tcW w:w="2218" w:type="dxa"/>
            <w:tcBorders>
              <w:bottom w:val="single" w:sz="4" w:space="0" w:color="auto"/>
            </w:tcBorders>
            <w:vAlign w:val="center"/>
          </w:tcPr>
          <w:p w14:paraId="05D71CF4"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RD (95%CI)</w:t>
            </w:r>
          </w:p>
        </w:tc>
      </w:tr>
      <w:tr w:rsidR="003E15C2" w:rsidRPr="002F733E" w14:paraId="57CF0295" w14:textId="77777777" w:rsidTr="006A0431">
        <w:tc>
          <w:tcPr>
            <w:tcW w:w="9017" w:type="dxa"/>
            <w:gridSpan w:val="4"/>
            <w:tcBorders>
              <w:bottom w:val="single" w:sz="4" w:space="0" w:color="auto"/>
            </w:tcBorders>
            <w:shd w:val="clear" w:color="auto" w:fill="D9D9D9" w:themeFill="background1" w:themeFillShade="D9"/>
            <w:vAlign w:val="center"/>
          </w:tcPr>
          <w:p w14:paraId="1532C57D" w14:textId="77777777" w:rsidR="003E15C2" w:rsidRPr="002F733E" w:rsidRDefault="003E15C2" w:rsidP="009469FA">
            <w:pPr>
              <w:keepNext/>
              <w:widowControl w:val="0"/>
              <w:shd w:val="clear" w:color="auto" w:fill="B8CCE4" w:themeFill="accent1" w:themeFillTint="66"/>
              <w:jc w:val="left"/>
              <w:rPr>
                <w:rFonts w:ascii="Arial Narrow" w:hAnsi="Arial Narrow"/>
                <w:b/>
                <w:sz w:val="20"/>
                <w:szCs w:val="20"/>
              </w:rPr>
            </w:pPr>
            <w:r w:rsidRPr="002F733E">
              <w:rPr>
                <w:rFonts w:ascii="Arial Narrow" w:hAnsi="Arial Narrow"/>
                <w:b/>
                <w:sz w:val="20"/>
                <w:szCs w:val="20"/>
              </w:rPr>
              <w:t>SRI(4) response</w:t>
            </w:r>
          </w:p>
        </w:tc>
      </w:tr>
      <w:tr w:rsidR="003E15C2" w:rsidRPr="002F733E" w14:paraId="6994F6C9" w14:textId="77777777" w:rsidTr="006A0431">
        <w:trPr>
          <w:trHeight w:val="94"/>
        </w:trPr>
        <w:tc>
          <w:tcPr>
            <w:tcW w:w="2405" w:type="dxa"/>
            <w:tcBorders>
              <w:top w:val="single" w:sz="4" w:space="0" w:color="auto"/>
              <w:bottom w:val="nil"/>
            </w:tcBorders>
          </w:tcPr>
          <w:p w14:paraId="3BA2F47B" w14:textId="77777777" w:rsidR="003E15C2" w:rsidRPr="002F733E" w:rsidRDefault="003E15C2" w:rsidP="009469FA">
            <w:pPr>
              <w:keepNext/>
              <w:widowControl w:val="0"/>
              <w:shd w:val="clear" w:color="auto" w:fill="B8CCE4" w:themeFill="accent1" w:themeFillTint="66"/>
              <w:jc w:val="left"/>
              <w:rPr>
                <w:rFonts w:ascii="Arial Narrow" w:hAnsi="Arial Narrow"/>
                <w:sz w:val="20"/>
                <w:szCs w:val="20"/>
              </w:rPr>
            </w:pPr>
            <w:r w:rsidRPr="002F733E">
              <w:rPr>
                <w:rFonts w:ascii="Arial Narrow" w:hAnsi="Arial Narrow"/>
                <w:sz w:val="20"/>
                <w:szCs w:val="20"/>
              </w:rPr>
              <w:t>TULIP-1 (pre-specified)</w:t>
            </w:r>
            <w:r w:rsidRPr="002F733E">
              <w:rPr>
                <w:rFonts w:ascii="Arial Narrow" w:hAnsi="Arial Narrow"/>
                <w:sz w:val="20"/>
                <w:szCs w:val="20"/>
                <w:vertAlign w:val="superscript"/>
              </w:rPr>
              <w:t># a</w:t>
            </w:r>
          </w:p>
        </w:tc>
        <w:tc>
          <w:tcPr>
            <w:tcW w:w="2204" w:type="dxa"/>
            <w:tcBorders>
              <w:top w:val="single" w:sz="4" w:space="0" w:color="auto"/>
              <w:bottom w:val="nil"/>
            </w:tcBorders>
            <w:vAlign w:val="center"/>
          </w:tcPr>
          <w:p w14:paraId="7589F12A"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65/180 (36.2)</w:t>
            </w:r>
          </w:p>
        </w:tc>
        <w:tc>
          <w:tcPr>
            <w:tcW w:w="2190" w:type="dxa"/>
            <w:tcBorders>
              <w:top w:val="single" w:sz="4" w:space="0" w:color="auto"/>
              <w:bottom w:val="nil"/>
            </w:tcBorders>
            <w:vAlign w:val="center"/>
          </w:tcPr>
          <w:p w14:paraId="47F5DA55"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74/184 (40.4)</w:t>
            </w:r>
          </w:p>
        </w:tc>
        <w:tc>
          <w:tcPr>
            <w:tcW w:w="2218" w:type="dxa"/>
            <w:tcBorders>
              <w:top w:val="single" w:sz="4" w:space="0" w:color="auto"/>
              <w:bottom w:val="nil"/>
            </w:tcBorders>
            <w:vAlign w:val="center"/>
          </w:tcPr>
          <w:p w14:paraId="3DC5D54E" w14:textId="17AED5D8"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–4</w:t>
            </w:r>
            <w:r w:rsidR="009469FA" w:rsidRPr="002F733E">
              <w:rPr>
                <w:rFonts w:ascii="Arial Narrow" w:hAnsi="Arial Narrow"/>
                <w:sz w:val="20"/>
                <w:szCs w:val="20"/>
              </w:rPr>
              <w:t>.</w:t>
            </w:r>
            <w:r w:rsidRPr="002F733E">
              <w:rPr>
                <w:rFonts w:ascii="Arial Narrow" w:hAnsi="Arial Narrow"/>
                <w:sz w:val="20"/>
                <w:szCs w:val="20"/>
              </w:rPr>
              <w:t>2 (–14·2, 5·8)</w:t>
            </w:r>
            <w:r w:rsidRPr="002F733E">
              <w:rPr>
                <w:rFonts w:ascii="Arial Narrow" w:hAnsi="Arial Narrow"/>
                <w:sz w:val="20"/>
                <w:szCs w:val="20"/>
                <w:vertAlign w:val="superscript"/>
              </w:rPr>
              <w:t>b</w:t>
            </w:r>
          </w:p>
        </w:tc>
      </w:tr>
      <w:tr w:rsidR="003E15C2" w:rsidRPr="002F733E" w14:paraId="146F3C2B" w14:textId="77777777" w:rsidTr="004676A9">
        <w:tc>
          <w:tcPr>
            <w:tcW w:w="2405" w:type="dxa"/>
            <w:tcBorders>
              <w:top w:val="nil"/>
              <w:bottom w:val="nil"/>
            </w:tcBorders>
          </w:tcPr>
          <w:p w14:paraId="12CC7AFA" w14:textId="77777777" w:rsidR="003E15C2" w:rsidRPr="002F733E" w:rsidRDefault="003E15C2" w:rsidP="009469FA">
            <w:pPr>
              <w:keepNext/>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TULIP-1 (post-hoc)</w:t>
            </w:r>
            <w:r w:rsidRPr="002F733E">
              <w:rPr>
                <w:rFonts w:ascii="Arial Narrow" w:hAnsi="Arial Narrow"/>
                <w:sz w:val="20"/>
                <w:szCs w:val="20"/>
                <w:vertAlign w:val="superscript"/>
              </w:rPr>
              <w:t># c</w:t>
            </w:r>
          </w:p>
        </w:tc>
        <w:tc>
          <w:tcPr>
            <w:tcW w:w="2204" w:type="dxa"/>
            <w:tcBorders>
              <w:top w:val="nil"/>
              <w:bottom w:val="nil"/>
            </w:tcBorders>
            <w:vAlign w:val="center"/>
          </w:tcPr>
          <w:p w14:paraId="49968942"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84/180 (46.9)</w:t>
            </w:r>
          </w:p>
        </w:tc>
        <w:tc>
          <w:tcPr>
            <w:tcW w:w="2190" w:type="dxa"/>
            <w:tcBorders>
              <w:top w:val="nil"/>
              <w:bottom w:val="nil"/>
            </w:tcBorders>
            <w:vAlign w:val="center"/>
          </w:tcPr>
          <w:p w14:paraId="2F1C8AE9"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79/184 (43.0)</w:t>
            </w:r>
          </w:p>
        </w:tc>
        <w:tc>
          <w:tcPr>
            <w:tcW w:w="2218" w:type="dxa"/>
            <w:tcBorders>
              <w:top w:val="nil"/>
              <w:bottom w:val="nil"/>
            </w:tcBorders>
            <w:vAlign w:val="center"/>
          </w:tcPr>
          <w:p w14:paraId="7509CFA1" w14:textId="294E903E"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3</w:t>
            </w:r>
            <w:r w:rsidR="009469FA" w:rsidRPr="002F733E">
              <w:rPr>
                <w:rFonts w:ascii="Arial Narrow" w:hAnsi="Arial Narrow"/>
                <w:sz w:val="20"/>
                <w:szCs w:val="20"/>
              </w:rPr>
              <w:t>.</w:t>
            </w:r>
            <w:r w:rsidRPr="002F733E">
              <w:rPr>
                <w:rFonts w:ascii="Arial Narrow" w:hAnsi="Arial Narrow"/>
                <w:sz w:val="20"/>
                <w:szCs w:val="20"/>
              </w:rPr>
              <w:t>9 (–6·3, 14·1)</w:t>
            </w:r>
            <w:r w:rsidRPr="002F733E">
              <w:rPr>
                <w:rFonts w:ascii="Arial Narrow" w:hAnsi="Arial Narrow"/>
                <w:sz w:val="20"/>
                <w:szCs w:val="20"/>
                <w:vertAlign w:val="superscript"/>
              </w:rPr>
              <w:t>b</w:t>
            </w:r>
          </w:p>
        </w:tc>
      </w:tr>
      <w:tr w:rsidR="003E15C2" w:rsidRPr="002F733E" w14:paraId="1663329E" w14:textId="77777777" w:rsidTr="004676A9">
        <w:tc>
          <w:tcPr>
            <w:tcW w:w="2405" w:type="dxa"/>
            <w:tcBorders>
              <w:top w:val="nil"/>
              <w:bottom w:val="nil"/>
            </w:tcBorders>
          </w:tcPr>
          <w:p w14:paraId="0A63E7A9" w14:textId="77777777" w:rsidR="003E15C2" w:rsidRPr="002F733E" w:rsidRDefault="003E15C2" w:rsidP="009469FA">
            <w:pPr>
              <w:keepNext/>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TULIP-2</w:t>
            </w:r>
            <w:r w:rsidRPr="002F733E">
              <w:rPr>
                <w:rFonts w:ascii="Arial Narrow" w:hAnsi="Arial Narrow"/>
                <w:sz w:val="20"/>
                <w:szCs w:val="20"/>
                <w:vertAlign w:val="superscript"/>
              </w:rPr>
              <w:t>#</w:t>
            </w:r>
          </w:p>
        </w:tc>
        <w:tc>
          <w:tcPr>
            <w:tcW w:w="2204" w:type="dxa"/>
            <w:tcBorders>
              <w:top w:val="nil"/>
              <w:bottom w:val="nil"/>
            </w:tcBorders>
            <w:vAlign w:val="center"/>
          </w:tcPr>
          <w:p w14:paraId="35BAEE0D"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100/180 (55.5)</w:t>
            </w:r>
          </w:p>
        </w:tc>
        <w:tc>
          <w:tcPr>
            <w:tcW w:w="2190" w:type="dxa"/>
            <w:tcBorders>
              <w:top w:val="nil"/>
              <w:bottom w:val="nil"/>
            </w:tcBorders>
            <w:vAlign w:val="center"/>
          </w:tcPr>
          <w:p w14:paraId="5F4B3047"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68/182 (37.3)</w:t>
            </w:r>
          </w:p>
        </w:tc>
        <w:tc>
          <w:tcPr>
            <w:tcW w:w="2218" w:type="dxa"/>
            <w:tcBorders>
              <w:top w:val="nil"/>
              <w:bottom w:val="nil"/>
            </w:tcBorders>
            <w:vAlign w:val="center"/>
          </w:tcPr>
          <w:p w14:paraId="6287FF8A"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18.2 (8.1, 28.3)</w:t>
            </w:r>
            <w:r w:rsidRPr="002F733E">
              <w:rPr>
                <w:rFonts w:ascii="Arial Narrow" w:hAnsi="Arial Narrow"/>
                <w:b/>
                <w:sz w:val="20"/>
                <w:szCs w:val="20"/>
                <w:vertAlign w:val="superscript"/>
              </w:rPr>
              <w:t>b</w:t>
            </w:r>
          </w:p>
        </w:tc>
      </w:tr>
      <w:tr w:rsidR="003E15C2" w:rsidRPr="002F733E" w14:paraId="1FFF8BBF" w14:textId="77777777" w:rsidTr="004676A9">
        <w:tc>
          <w:tcPr>
            <w:tcW w:w="2405" w:type="dxa"/>
            <w:tcBorders>
              <w:top w:val="nil"/>
              <w:bottom w:val="nil"/>
            </w:tcBorders>
          </w:tcPr>
          <w:p w14:paraId="769996EF" w14:textId="77777777" w:rsidR="003E15C2" w:rsidRPr="002F733E" w:rsidRDefault="003E15C2" w:rsidP="009469FA">
            <w:pPr>
              <w:keepNext/>
              <w:widowControl w:val="0"/>
              <w:shd w:val="clear" w:color="auto" w:fill="B8CCE4" w:themeFill="accent1" w:themeFillTint="66"/>
              <w:jc w:val="right"/>
              <w:rPr>
                <w:rFonts w:ascii="Arial Narrow" w:hAnsi="Arial Narrow"/>
                <w:sz w:val="20"/>
                <w:szCs w:val="20"/>
              </w:rPr>
            </w:pPr>
            <w:r w:rsidRPr="002F733E">
              <w:rPr>
                <w:rFonts w:ascii="Arial Narrow" w:hAnsi="Arial Narrow"/>
                <w:sz w:val="20"/>
                <w:szCs w:val="20"/>
              </w:rPr>
              <w:t>TULIP 1 &amp; 2 pooled</w:t>
            </w:r>
            <w:r w:rsidRPr="002F733E">
              <w:rPr>
                <w:rFonts w:ascii="Arial Narrow" w:hAnsi="Arial Narrow"/>
                <w:sz w:val="20"/>
                <w:szCs w:val="20"/>
                <w:vertAlign w:val="superscript"/>
              </w:rPr>
              <w:t>d</w:t>
            </w:r>
          </w:p>
        </w:tc>
        <w:tc>
          <w:tcPr>
            <w:tcW w:w="2204" w:type="dxa"/>
            <w:tcBorders>
              <w:top w:val="nil"/>
              <w:bottom w:val="nil"/>
            </w:tcBorders>
            <w:vAlign w:val="center"/>
          </w:tcPr>
          <w:p w14:paraId="7D405039"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184/360 (52.2)</w:t>
            </w:r>
          </w:p>
        </w:tc>
        <w:tc>
          <w:tcPr>
            <w:tcW w:w="2190" w:type="dxa"/>
            <w:tcBorders>
              <w:top w:val="nil"/>
              <w:bottom w:val="nil"/>
            </w:tcBorders>
            <w:vAlign w:val="center"/>
          </w:tcPr>
          <w:p w14:paraId="27528F39"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147/366 (40.2)</w:t>
            </w:r>
          </w:p>
        </w:tc>
        <w:tc>
          <w:tcPr>
            <w:tcW w:w="2218" w:type="dxa"/>
            <w:tcBorders>
              <w:top w:val="nil"/>
              <w:bottom w:val="nil"/>
            </w:tcBorders>
            <w:vAlign w:val="center"/>
          </w:tcPr>
          <w:p w14:paraId="254D4291"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12.1 (4.9, 19.3)</w:t>
            </w:r>
            <w:r w:rsidRPr="002F733E">
              <w:rPr>
                <w:rFonts w:ascii="Arial Narrow" w:hAnsi="Arial Narrow"/>
                <w:b/>
                <w:sz w:val="20"/>
                <w:szCs w:val="20"/>
                <w:vertAlign w:val="superscript"/>
              </w:rPr>
              <w:t>e</w:t>
            </w:r>
          </w:p>
        </w:tc>
      </w:tr>
      <w:tr w:rsidR="003E15C2" w:rsidRPr="002F733E" w14:paraId="148C29AC" w14:textId="77777777" w:rsidTr="004676A9">
        <w:tc>
          <w:tcPr>
            <w:tcW w:w="2405" w:type="dxa"/>
            <w:tcBorders>
              <w:top w:val="nil"/>
              <w:bottom w:val="nil"/>
            </w:tcBorders>
          </w:tcPr>
          <w:p w14:paraId="29A0D469" w14:textId="77777777" w:rsidR="003E15C2" w:rsidRPr="002F733E" w:rsidRDefault="003E15C2" w:rsidP="009469FA">
            <w:pPr>
              <w:keepNext/>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MUSE (incl. OCS taper)</w:t>
            </w:r>
          </w:p>
        </w:tc>
        <w:tc>
          <w:tcPr>
            <w:tcW w:w="2204" w:type="dxa"/>
            <w:tcBorders>
              <w:top w:val="nil"/>
              <w:bottom w:val="nil"/>
            </w:tcBorders>
            <w:vAlign w:val="center"/>
          </w:tcPr>
          <w:p w14:paraId="1A019890"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51/99 (51.5)</w:t>
            </w:r>
          </w:p>
        </w:tc>
        <w:tc>
          <w:tcPr>
            <w:tcW w:w="2190" w:type="dxa"/>
            <w:tcBorders>
              <w:top w:val="nil"/>
              <w:bottom w:val="nil"/>
            </w:tcBorders>
            <w:vAlign w:val="center"/>
          </w:tcPr>
          <w:p w14:paraId="4A468CAD"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26/102 (25.5)</w:t>
            </w:r>
          </w:p>
        </w:tc>
        <w:tc>
          <w:tcPr>
            <w:tcW w:w="2218" w:type="dxa"/>
            <w:tcBorders>
              <w:top w:val="nil"/>
              <w:bottom w:val="nil"/>
            </w:tcBorders>
            <w:vAlign w:val="center"/>
          </w:tcPr>
          <w:p w14:paraId="0F8FA3D0"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26 (13, 39)</w:t>
            </w:r>
            <w:r w:rsidRPr="002F733E">
              <w:rPr>
                <w:rFonts w:ascii="Arial Narrow" w:hAnsi="Arial Narrow"/>
                <w:b/>
                <w:sz w:val="20"/>
                <w:szCs w:val="20"/>
                <w:vertAlign w:val="superscript"/>
              </w:rPr>
              <w:t>f</w:t>
            </w:r>
          </w:p>
        </w:tc>
      </w:tr>
      <w:tr w:rsidR="003E15C2" w:rsidRPr="002F733E" w14:paraId="60B02DC0" w14:textId="77777777" w:rsidTr="006A0431">
        <w:tc>
          <w:tcPr>
            <w:tcW w:w="2405" w:type="dxa"/>
            <w:tcBorders>
              <w:top w:val="nil"/>
              <w:bottom w:val="single" w:sz="4" w:space="0" w:color="auto"/>
            </w:tcBorders>
          </w:tcPr>
          <w:p w14:paraId="60276D6B" w14:textId="77777777" w:rsidR="003E15C2" w:rsidRPr="002F733E" w:rsidRDefault="003E15C2" w:rsidP="009469FA">
            <w:pPr>
              <w:keepNext/>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MUSE (excl. OCS taper)</w:t>
            </w:r>
          </w:p>
        </w:tc>
        <w:tc>
          <w:tcPr>
            <w:tcW w:w="2204" w:type="dxa"/>
            <w:tcBorders>
              <w:top w:val="nil"/>
              <w:bottom w:val="single" w:sz="4" w:space="0" w:color="auto"/>
            </w:tcBorders>
            <w:vAlign w:val="center"/>
          </w:tcPr>
          <w:p w14:paraId="639D9C14"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62/99 (62.6)</w:t>
            </w:r>
          </w:p>
        </w:tc>
        <w:tc>
          <w:tcPr>
            <w:tcW w:w="2190" w:type="dxa"/>
            <w:tcBorders>
              <w:top w:val="nil"/>
              <w:bottom w:val="single" w:sz="4" w:space="0" w:color="auto"/>
            </w:tcBorders>
            <w:vAlign w:val="center"/>
          </w:tcPr>
          <w:p w14:paraId="30798EEC"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41/102 (40.2)</w:t>
            </w:r>
          </w:p>
        </w:tc>
        <w:tc>
          <w:tcPr>
            <w:tcW w:w="2218" w:type="dxa"/>
            <w:tcBorders>
              <w:top w:val="nil"/>
              <w:bottom w:val="single" w:sz="4" w:space="0" w:color="auto"/>
            </w:tcBorders>
            <w:vAlign w:val="center"/>
          </w:tcPr>
          <w:p w14:paraId="426CBD8A"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22 (9, 36)</w:t>
            </w:r>
            <w:r w:rsidRPr="002F733E">
              <w:rPr>
                <w:rFonts w:ascii="Arial Narrow" w:hAnsi="Arial Narrow"/>
                <w:b/>
                <w:sz w:val="20"/>
                <w:szCs w:val="20"/>
                <w:vertAlign w:val="superscript"/>
              </w:rPr>
              <w:t>f</w:t>
            </w:r>
          </w:p>
        </w:tc>
      </w:tr>
      <w:tr w:rsidR="003E15C2" w:rsidRPr="002F733E" w14:paraId="35460C15" w14:textId="77777777" w:rsidTr="006A0431">
        <w:tc>
          <w:tcPr>
            <w:tcW w:w="9017" w:type="dxa"/>
            <w:gridSpan w:val="4"/>
            <w:tcBorders>
              <w:bottom w:val="single" w:sz="4" w:space="0" w:color="auto"/>
            </w:tcBorders>
            <w:shd w:val="clear" w:color="auto" w:fill="B8CCE4" w:themeFill="accent1" w:themeFillTint="66"/>
            <w:vAlign w:val="center"/>
          </w:tcPr>
          <w:p w14:paraId="61D7F7B0" w14:textId="77777777" w:rsidR="003E15C2" w:rsidRPr="002F733E" w:rsidRDefault="003E15C2" w:rsidP="009469FA">
            <w:pPr>
              <w:keepNext/>
              <w:widowControl w:val="0"/>
              <w:shd w:val="clear" w:color="auto" w:fill="B8CCE4" w:themeFill="accent1" w:themeFillTint="66"/>
              <w:ind w:left="104"/>
              <w:jc w:val="left"/>
              <w:rPr>
                <w:rFonts w:ascii="Arial Narrow" w:hAnsi="Arial Narrow"/>
                <w:b/>
                <w:sz w:val="20"/>
                <w:szCs w:val="20"/>
              </w:rPr>
            </w:pPr>
            <w:r w:rsidRPr="002F733E">
              <w:rPr>
                <w:rFonts w:ascii="Arial Narrow" w:hAnsi="Arial Narrow"/>
                <w:b/>
                <w:sz w:val="20"/>
                <w:szCs w:val="20"/>
              </w:rPr>
              <w:t>≥4 point reduction from baseline in SLEDAI-2K</w:t>
            </w:r>
          </w:p>
        </w:tc>
      </w:tr>
      <w:tr w:rsidR="003E15C2" w:rsidRPr="002F733E" w14:paraId="695EFD23" w14:textId="77777777" w:rsidTr="006A0431">
        <w:tc>
          <w:tcPr>
            <w:tcW w:w="2405" w:type="dxa"/>
            <w:tcBorders>
              <w:top w:val="single" w:sz="4" w:space="0" w:color="auto"/>
              <w:bottom w:val="nil"/>
            </w:tcBorders>
            <w:shd w:val="clear" w:color="auto" w:fill="B8CCE4" w:themeFill="accent1" w:themeFillTint="66"/>
          </w:tcPr>
          <w:p w14:paraId="5B4A3FBE"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TULIP-1 (pre-specified)</w:t>
            </w:r>
            <w:r w:rsidRPr="002F733E">
              <w:rPr>
                <w:rFonts w:ascii="Arial Narrow" w:hAnsi="Arial Narrow"/>
                <w:sz w:val="20"/>
                <w:szCs w:val="20"/>
                <w:vertAlign w:val="superscript"/>
              </w:rPr>
              <w:t xml:space="preserve"> a</w:t>
            </w:r>
          </w:p>
        </w:tc>
        <w:tc>
          <w:tcPr>
            <w:tcW w:w="2204" w:type="dxa"/>
            <w:tcBorders>
              <w:top w:val="single" w:sz="4" w:space="0" w:color="auto"/>
              <w:bottom w:val="nil"/>
            </w:tcBorders>
            <w:shd w:val="clear" w:color="auto" w:fill="B8CCE4" w:themeFill="accent1" w:themeFillTint="66"/>
            <w:vAlign w:val="center"/>
          </w:tcPr>
          <w:p w14:paraId="4A7C4C1E"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66/180 (36.7)</w:t>
            </w:r>
          </w:p>
        </w:tc>
        <w:tc>
          <w:tcPr>
            <w:tcW w:w="2190" w:type="dxa"/>
            <w:tcBorders>
              <w:top w:val="single" w:sz="4" w:space="0" w:color="auto"/>
              <w:bottom w:val="nil"/>
            </w:tcBorders>
            <w:shd w:val="clear" w:color="auto" w:fill="B8CCE4" w:themeFill="accent1" w:themeFillTint="66"/>
            <w:vAlign w:val="center"/>
          </w:tcPr>
          <w:p w14:paraId="1D80EA8D"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75/184 (40.8)</w:t>
            </w:r>
          </w:p>
        </w:tc>
        <w:tc>
          <w:tcPr>
            <w:tcW w:w="2218" w:type="dxa"/>
            <w:tcBorders>
              <w:top w:val="single" w:sz="4" w:space="0" w:color="auto"/>
              <w:bottom w:val="nil"/>
            </w:tcBorders>
            <w:shd w:val="clear" w:color="auto" w:fill="B8CCE4" w:themeFill="accent1" w:themeFillTint="66"/>
            <w:vAlign w:val="center"/>
          </w:tcPr>
          <w:p w14:paraId="75B2D9EB"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-4 (-14, 6)</w:t>
            </w:r>
          </w:p>
        </w:tc>
      </w:tr>
      <w:tr w:rsidR="003E15C2" w:rsidRPr="002F733E" w14:paraId="5AD78DBC" w14:textId="77777777" w:rsidTr="009469FA">
        <w:tc>
          <w:tcPr>
            <w:tcW w:w="2405" w:type="dxa"/>
            <w:tcBorders>
              <w:top w:val="nil"/>
              <w:bottom w:val="nil"/>
            </w:tcBorders>
            <w:shd w:val="clear" w:color="auto" w:fill="B8CCE4" w:themeFill="accent1" w:themeFillTint="66"/>
          </w:tcPr>
          <w:p w14:paraId="7C220FC9"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TULIP-1 (post-hoc)</w:t>
            </w:r>
            <w:r w:rsidRPr="002F733E">
              <w:rPr>
                <w:rFonts w:ascii="Arial Narrow" w:hAnsi="Arial Narrow"/>
                <w:sz w:val="20"/>
                <w:szCs w:val="20"/>
                <w:vertAlign w:val="superscript"/>
              </w:rPr>
              <w:t xml:space="preserve"> c</w:t>
            </w:r>
          </w:p>
        </w:tc>
        <w:tc>
          <w:tcPr>
            <w:tcW w:w="2204" w:type="dxa"/>
            <w:tcBorders>
              <w:top w:val="nil"/>
              <w:bottom w:val="nil"/>
            </w:tcBorders>
            <w:shd w:val="clear" w:color="auto" w:fill="B8CCE4" w:themeFill="accent1" w:themeFillTint="66"/>
            <w:vAlign w:val="center"/>
          </w:tcPr>
          <w:p w14:paraId="41C49DB0"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85/180 (47.2)</w:t>
            </w:r>
          </w:p>
        </w:tc>
        <w:tc>
          <w:tcPr>
            <w:tcW w:w="2190" w:type="dxa"/>
            <w:tcBorders>
              <w:top w:val="nil"/>
              <w:bottom w:val="nil"/>
            </w:tcBorders>
            <w:shd w:val="clear" w:color="auto" w:fill="B8CCE4" w:themeFill="accent1" w:themeFillTint="66"/>
            <w:vAlign w:val="center"/>
          </w:tcPr>
          <w:p w14:paraId="2EE23298"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80/184 (43.5)</w:t>
            </w:r>
          </w:p>
        </w:tc>
        <w:tc>
          <w:tcPr>
            <w:tcW w:w="2218" w:type="dxa"/>
            <w:tcBorders>
              <w:top w:val="nil"/>
              <w:bottom w:val="nil"/>
            </w:tcBorders>
            <w:shd w:val="clear" w:color="auto" w:fill="B8CCE4" w:themeFill="accent1" w:themeFillTint="66"/>
            <w:vAlign w:val="center"/>
          </w:tcPr>
          <w:p w14:paraId="36BBB9E6"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4 (-6, 14)</w:t>
            </w:r>
          </w:p>
        </w:tc>
      </w:tr>
      <w:tr w:rsidR="003E15C2" w:rsidRPr="002F733E" w14:paraId="72612956" w14:textId="77777777" w:rsidTr="009469FA">
        <w:tc>
          <w:tcPr>
            <w:tcW w:w="2405" w:type="dxa"/>
            <w:tcBorders>
              <w:top w:val="nil"/>
              <w:bottom w:val="nil"/>
            </w:tcBorders>
            <w:shd w:val="clear" w:color="auto" w:fill="B8CCE4" w:themeFill="accent1" w:themeFillTint="66"/>
          </w:tcPr>
          <w:p w14:paraId="1A6555B1"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TULIP-2</w:t>
            </w:r>
          </w:p>
        </w:tc>
        <w:tc>
          <w:tcPr>
            <w:tcW w:w="2204" w:type="dxa"/>
            <w:tcBorders>
              <w:top w:val="nil"/>
              <w:bottom w:val="nil"/>
            </w:tcBorders>
            <w:shd w:val="clear" w:color="auto" w:fill="B8CCE4" w:themeFill="accent1" w:themeFillTint="66"/>
            <w:vAlign w:val="center"/>
          </w:tcPr>
          <w:p w14:paraId="3C952C76"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101/180 (56.1)</w:t>
            </w:r>
          </w:p>
        </w:tc>
        <w:tc>
          <w:tcPr>
            <w:tcW w:w="2190" w:type="dxa"/>
            <w:tcBorders>
              <w:top w:val="nil"/>
              <w:bottom w:val="nil"/>
            </w:tcBorders>
            <w:shd w:val="clear" w:color="auto" w:fill="B8CCE4" w:themeFill="accent1" w:themeFillTint="66"/>
            <w:vAlign w:val="center"/>
          </w:tcPr>
          <w:p w14:paraId="41D77772"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71/182 (39.0)</w:t>
            </w:r>
          </w:p>
        </w:tc>
        <w:tc>
          <w:tcPr>
            <w:tcW w:w="2218" w:type="dxa"/>
            <w:tcBorders>
              <w:top w:val="nil"/>
              <w:bottom w:val="nil"/>
            </w:tcBorders>
            <w:shd w:val="clear" w:color="auto" w:fill="B8CCE4" w:themeFill="accent1" w:themeFillTint="66"/>
            <w:vAlign w:val="center"/>
          </w:tcPr>
          <w:p w14:paraId="020E1C52"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17 (7, 27)</w:t>
            </w:r>
          </w:p>
        </w:tc>
      </w:tr>
      <w:tr w:rsidR="003E15C2" w:rsidRPr="002F733E" w14:paraId="28BF8A1E" w14:textId="77777777" w:rsidTr="009469FA">
        <w:tc>
          <w:tcPr>
            <w:tcW w:w="2405" w:type="dxa"/>
            <w:tcBorders>
              <w:top w:val="nil"/>
              <w:bottom w:val="nil"/>
            </w:tcBorders>
            <w:shd w:val="clear" w:color="auto" w:fill="B8CCE4" w:themeFill="accent1" w:themeFillTint="66"/>
          </w:tcPr>
          <w:p w14:paraId="147BC740" w14:textId="77777777" w:rsidR="003E15C2" w:rsidRPr="002F733E" w:rsidRDefault="003E15C2" w:rsidP="009469FA">
            <w:pPr>
              <w:keepNext/>
              <w:widowControl w:val="0"/>
              <w:shd w:val="clear" w:color="auto" w:fill="B8CCE4" w:themeFill="accent1" w:themeFillTint="66"/>
              <w:ind w:left="104"/>
              <w:jc w:val="right"/>
              <w:rPr>
                <w:rFonts w:ascii="Arial Narrow" w:hAnsi="Arial Narrow"/>
                <w:sz w:val="20"/>
                <w:szCs w:val="20"/>
              </w:rPr>
            </w:pPr>
            <w:r w:rsidRPr="002F733E">
              <w:rPr>
                <w:rFonts w:ascii="Arial Narrow" w:hAnsi="Arial Narrow"/>
                <w:sz w:val="20"/>
                <w:szCs w:val="20"/>
              </w:rPr>
              <w:t>TULIP 1 &amp; 2 pooled</w:t>
            </w:r>
            <w:r w:rsidRPr="002F733E">
              <w:rPr>
                <w:rFonts w:ascii="Arial Narrow" w:hAnsi="Arial Narrow"/>
                <w:sz w:val="20"/>
                <w:szCs w:val="20"/>
                <w:vertAlign w:val="superscript"/>
              </w:rPr>
              <w:t>d</w:t>
            </w:r>
          </w:p>
        </w:tc>
        <w:tc>
          <w:tcPr>
            <w:tcW w:w="2204" w:type="dxa"/>
            <w:tcBorders>
              <w:top w:val="nil"/>
              <w:bottom w:val="nil"/>
            </w:tcBorders>
            <w:shd w:val="clear" w:color="auto" w:fill="B8CCE4" w:themeFill="accent1" w:themeFillTint="66"/>
            <w:vAlign w:val="center"/>
          </w:tcPr>
          <w:p w14:paraId="6B97A828"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186/360 (51.7)</w:t>
            </w:r>
          </w:p>
        </w:tc>
        <w:tc>
          <w:tcPr>
            <w:tcW w:w="2190" w:type="dxa"/>
            <w:tcBorders>
              <w:top w:val="nil"/>
              <w:bottom w:val="nil"/>
            </w:tcBorders>
            <w:shd w:val="clear" w:color="auto" w:fill="B8CCE4" w:themeFill="accent1" w:themeFillTint="66"/>
            <w:vAlign w:val="center"/>
          </w:tcPr>
          <w:p w14:paraId="341AF26E"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151/366 (41.3)</w:t>
            </w:r>
          </w:p>
        </w:tc>
        <w:tc>
          <w:tcPr>
            <w:tcW w:w="2218" w:type="dxa"/>
            <w:tcBorders>
              <w:top w:val="nil"/>
              <w:bottom w:val="nil"/>
            </w:tcBorders>
            <w:shd w:val="clear" w:color="auto" w:fill="B8CCE4" w:themeFill="accent1" w:themeFillTint="66"/>
            <w:vAlign w:val="center"/>
          </w:tcPr>
          <w:p w14:paraId="08D32F05"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b/>
                <w:sz w:val="20"/>
                <w:szCs w:val="20"/>
              </w:rPr>
              <w:t>10 (3, 18)</w:t>
            </w:r>
          </w:p>
        </w:tc>
      </w:tr>
      <w:tr w:rsidR="003E15C2" w:rsidRPr="002F733E" w14:paraId="7BA3B0AA" w14:textId="77777777" w:rsidTr="006A0431">
        <w:tc>
          <w:tcPr>
            <w:tcW w:w="2405" w:type="dxa"/>
            <w:tcBorders>
              <w:top w:val="nil"/>
              <w:bottom w:val="single" w:sz="4" w:space="0" w:color="auto"/>
            </w:tcBorders>
            <w:shd w:val="clear" w:color="auto" w:fill="B8CCE4" w:themeFill="accent1" w:themeFillTint="66"/>
          </w:tcPr>
          <w:p w14:paraId="57225652"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MUSE</w:t>
            </w:r>
          </w:p>
        </w:tc>
        <w:tc>
          <w:tcPr>
            <w:tcW w:w="2204" w:type="dxa"/>
            <w:tcBorders>
              <w:top w:val="nil"/>
              <w:bottom w:val="single" w:sz="4" w:space="0" w:color="auto"/>
            </w:tcBorders>
            <w:shd w:val="clear" w:color="auto" w:fill="B8CCE4" w:themeFill="accent1" w:themeFillTint="66"/>
            <w:vAlign w:val="center"/>
          </w:tcPr>
          <w:p w14:paraId="5B56752F"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62/99 (62.6)</w:t>
            </w:r>
          </w:p>
        </w:tc>
        <w:tc>
          <w:tcPr>
            <w:tcW w:w="2190" w:type="dxa"/>
            <w:tcBorders>
              <w:top w:val="nil"/>
              <w:bottom w:val="single" w:sz="4" w:space="0" w:color="auto"/>
            </w:tcBorders>
            <w:shd w:val="clear" w:color="auto" w:fill="B8CCE4" w:themeFill="accent1" w:themeFillTint="66"/>
            <w:vAlign w:val="center"/>
          </w:tcPr>
          <w:p w14:paraId="1EDA6D69"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40/102 (40.2)</w:t>
            </w:r>
          </w:p>
        </w:tc>
        <w:tc>
          <w:tcPr>
            <w:tcW w:w="2218" w:type="dxa"/>
            <w:tcBorders>
              <w:top w:val="nil"/>
              <w:bottom w:val="single" w:sz="4" w:space="0" w:color="auto"/>
            </w:tcBorders>
            <w:shd w:val="clear" w:color="auto" w:fill="B8CCE4" w:themeFill="accent1" w:themeFillTint="66"/>
            <w:vAlign w:val="center"/>
          </w:tcPr>
          <w:p w14:paraId="3CA406BF"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23 (10, 37)</w:t>
            </w:r>
          </w:p>
        </w:tc>
      </w:tr>
      <w:tr w:rsidR="003E15C2" w:rsidRPr="002F733E" w14:paraId="68B6C9A2" w14:textId="77777777" w:rsidTr="006A0431">
        <w:tc>
          <w:tcPr>
            <w:tcW w:w="9017" w:type="dxa"/>
            <w:gridSpan w:val="4"/>
            <w:tcBorders>
              <w:bottom w:val="single" w:sz="4" w:space="0" w:color="auto"/>
            </w:tcBorders>
            <w:shd w:val="clear" w:color="auto" w:fill="B8CCE4" w:themeFill="accent1" w:themeFillTint="66"/>
            <w:vAlign w:val="center"/>
          </w:tcPr>
          <w:p w14:paraId="51BD5D72" w14:textId="77777777" w:rsidR="003E15C2" w:rsidRPr="002F733E" w:rsidRDefault="003E15C2" w:rsidP="009469FA">
            <w:pPr>
              <w:keepNext/>
              <w:widowControl w:val="0"/>
              <w:shd w:val="clear" w:color="auto" w:fill="B8CCE4" w:themeFill="accent1" w:themeFillTint="66"/>
              <w:ind w:left="104"/>
              <w:jc w:val="left"/>
              <w:rPr>
                <w:rFonts w:ascii="Arial Narrow" w:hAnsi="Arial Narrow"/>
                <w:b/>
                <w:sz w:val="20"/>
                <w:szCs w:val="20"/>
              </w:rPr>
            </w:pPr>
            <w:r w:rsidRPr="002F733E">
              <w:rPr>
                <w:rFonts w:ascii="Arial Narrow" w:hAnsi="Arial Narrow"/>
                <w:b/>
                <w:sz w:val="20"/>
                <w:szCs w:val="20"/>
              </w:rPr>
              <w:t>No worsening (increase of &lt;0.30 points from baseline) in PGA</w:t>
            </w:r>
          </w:p>
        </w:tc>
      </w:tr>
      <w:tr w:rsidR="003E15C2" w:rsidRPr="002F733E" w14:paraId="57AEE779" w14:textId="77777777" w:rsidTr="006A0431">
        <w:tc>
          <w:tcPr>
            <w:tcW w:w="2405" w:type="dxa"/>
            <w:tcBorders>
              <w:top w:val="single" w:sz="4" w:space="0" w:color="auto"/>
              <w:bottom w:val="nil"/>
            </w:tcBorders>
            <w:shd w:val="clear" w:color="auto" w:fill="B8CCE4" w:themeFill="accent1" w:themeFillTint="66"/>
          </w:tcPr>
          <w:p w14:paraId="47624948"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TULIP-1 (pre-specified)</w:t>
            </w:r>
            <w:r w:rsidRPr="002F733E">
              <w:rPr>
                <w:rFonts w:ascii="Arial Narrow" w:hAnsi="Arial Narrow"/>
                <w:sz w:val="20"/>
                <w:szCs w:val="20"/>
                <w:vertAlign w:val="superscript"/>
              </w:rPr>
              <w:t xml:space="preserve"> a</w:t>
            </w:r>
          </w:p>
        </w:tc>
        <w:tc>
          <w:tcPr>
            <w:tcW w:w="2204" w:type="dxa"/>
            <w:tcBorders>
              <w:top w:val="single" w:sz="4" w:space="0" w:color="auto"/>
              <w:bottom w:val="nil"/>
            </w:tcBorders>
            <w:shd w:val="clear" w:color="auto" w:fill="B8CCE4" w:themeFill="accent1" w:themeFillTint="66"/>
            <w:vAlign w:val="center"/>
          </w:tcPr>
          <w:p w14:paraId="20A22B8C"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94/180 (52.2)</w:t>
            </w:r>
          </w:p>
        </w:tc>
        <w:tc>
          <w:tcPr>
            <w:tcW w:w="2190" w:type="dxa"/>
            <w:tcBorders>
              <w:top w:val="single" w:sz="4" w:space="0" w:color="auto"/>
              <w:bottom w:val="nil"/>
            </w:tcBorders>
            <w:shd w:val="clear" w:color="auto" w:fill="B8CCE4" w:themeFill="accent1" w:themeFillTint="66"/>
            <w:vAlign w:val="center"/>
          </w:tcPr>
          <w:p w14:paraId="086D4BEA"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96/184 (52.2)</w:t>
            </w:r>
          </w:p>
        </w:tc>
        <w:tc>
          <w:tcPr>
            <w:tcW w:w="2218" w:type="dxa"/>
            <w:tcBorders>
              <w:top w:val="single" w:sz="4" w:space="0" w:color="auto"/>
              <w:bottom w:val="nil"/>
            </w:tcBorders>
            <w:shd w:val="clear" w:color="auto" w:fill="B8CCE4" w:themeFill="accent1" w:themeFillTint="66"/>
            <w:vAlign w:val="center"/>
          </w:tcPr>
          <w:p w14:paraId="6406105F"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0 (-10, 10)</w:t>
            </w:r>
          </w:p>
        </w:tc>
      </w:tr>
      <w:tr w:rsidR="003E15C2" w:rsidRPr="002F733E" w14:paraId="249B3A13" w14:textId="77777777" w:rsidTr="009469FA">
        <w:tc>
          <w:tcPr>
            <w:tcW w:w="2405" w:type="dxa"/>
            <w:tcBorders>
              <w:top w:val="nil"/>
              <w:bottom w:val="nil"/>
            </w:tcBorders>
            <w:shd w:val="clear" w:color="auto" w:fill="B8CCE4" w:themeFill="accent1" w:themeFillTint="66"/>
          </w:tcPr>
          <w:p w14:paraId="6BF2FA6D"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TULIP-1 (post-hoc)</w:t>
            </w:r>
            <w:r w:rsidRPr="002F733E">
              <w:rPr>
                <w:rFonts w:ascii="Arial Narrow" w:hAnsi="Arial Narrow"/>
                <w:sz w:val="20"/>
                <w:szCs w:val="20"/>
                <w:vertAlign w:val="superscript"/>
              </w:rPr>
              <w:t xml:space="preserve"> c</w:t>
            </w:r>
          </w:p>
        </w:tc>
        <w:tc>
          <w:tcPr>
            <w:tcW w:w="2204" w:type="dxa"/>
            <w:tcBorders>
              <w:top w:val="nil"/>
              <w:bottom w:val="nil"/>
            </w:tcBorders>
            <w:shd w:val="clear" w:color="auto" w:fill="B8CCE4" w:themeFill="accent1" w:themeFillTint="66"/>
            <w:vAlign w:val="center"/>
          </w:tcPr>
          <w:p w14:paraId="637E0FE5"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114/180 (63.3)</w:t>
            </w:r>
          </w:p>
        </w:tc>
        <w:tc>
          <w:tcPr>
            <w:tcW w:w="2190" w:type="dxa"/>
            <w:tcBorders>
              <w:top w:val="nil"/>
              <w:bottom w:val="nil"/>
            </w:tcBorders>
            <w:shd w:val="clear" w:color="auto" w:fill="B8CCE4" w:themeFill="accent1" w:themeFillTint="66"/>
            <w:vAlign w:val="center"/>
          </w:tcPr>
          <w:p w14:paraId="7634BE65"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104/184 (56.5)</w:t>
            </w:r>
          </w:p>
        </w:tc>
        <w:tc>
          <w:tcPr>
            <w:tcW w:w="2218" w:type="dxa"/>
            <w:tcBorders>
              <w:top w:val="nil"/>
              <w:bottom w:val="nil"/>
            </w:tcBorders>
            <w:shd w:val="clear" w:color="auto" w:fill="B8CCE4" w:themeFill="accent1" w:themeFillTint="66"/>
            <w:vAlign w:val="center"/>
          </w:tcPr>
          <w:p w14:paraId="607932B5"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7 (-3, 17)</w:t>
            </w:r>
          </w:p>
        </w:tc>
      </w:tr>
      <w:tr w:rsidR="003E15C2" w:rsidRPr="002F733E" w14:paraId="3E8C5A8C" w14:textId="77777777" w:rsidTr="009469FA">
        <w:tc>
          <w:tcPr>
            <w:tcW w:w="2405" w:type="dxa"/>
            <w:tcBorders>
              <w:top w:val="nil"/>
              <w:bottom w:val="nil"/>
            </w:tcBorders>
            <w:shd w:val="clear" w:color="auto" w:fill="B8CCE4" w:themeFill="accent1" w:themeFillTint="66"/>
          </w:tcPr>
          <w:p w14:paraId="720FA917"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TULIP-2</w:t>
            </w:r>
          </w:p>
        </w:tc>
        <w:tc>
          <w:tcPr>
            <w:tcW w:w="2204" w:type="dxa"/>
            <w:tcBorders>
              <w:top w:val="nil"/>
              <w:bottom w:val="nil"/>
            </w:tcBorders>
            <w:shd w:val="clear" w:color="auto" w:fill="B8CCE4" w:themeFill="accent1" w:themeFillTint="66"/>
            <w:vAlign w:val="center"/>
          </w:tcPr>
          <w:p w14:paraId="5DD6CE6A"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122/180 (67.8)</w:t>
            </w:r>
          </w:p>
        </w:tc>
        <w:tc>
          <w:tcPr>
            <w:tcW w:w="2190" w:type="dxa"/>
            <w:tcBorders>
              <w:top w:val="nil"/>
              <w:bottom w:val="nil"/>
            </w:tcBorders>
            <w:shd w:val="clear" w:color="auto" w:fill="B8CCE4" w:themeFill="accent1" w:themeFillTint="66"/>
            <w:vAlign w:val="center"/>
          </w:tcPr>
          <w:p w14:paraId="14B9AA7A"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95/182 (52.2)</w:t>
            </w:r>
          </w:p>
        </w:tc>
        <w:tc>
          <w:tcPr>
            <w:tcW w:w="2218" w:type="dxa"/>
            <w:tcBorders>
              <w:top w:val="nil"/>
              <w:bottom w:val="nil"/>
            </w:tcBorders>
            <w:shd w:val="clear" w:color="auto" w:fill="B8CCE4" w:themeFill="accent1" w:themeFillTint="66"/>
            <w:vAlign w:val="center"/>
          </w:tcPr>
          <w:p w14:paraId="31CDC85D" w14:textId="77777777" w:rsidR="003E15C2" w:rsidRPr="002F733E" w:rsidRDefault="003E15C2" w:rsidP="009469FA">
            <w:pPr>
              <w:keepNext/>
              <w:widowControl w:val="0"/>
              <w:shd w:val="clear" w:color="auto" w:fill="B8CCE4" w:themeFill="accent1" w:themeFillTint="66"/>
              <w:ind w:left="104"/>
              <w:jc w:val="center"/>
              <w:rPr>
                <w:rFonts w:ascii="Arial Narrow" w:hAnsi="Arial Narrow"/>
                <w:b/>
                <w:sz w:val="20"/>
                <w:szCs w:val="20"/>
              </w:rPr>
            </w:pPr>
            <w:r w:rsidRPr="002F733E">
              <w:rPr>
                <w:rFonts w:ascii="Arial Narrow" w:hAnsi="Arial Narrow"/>
                <w:b/>
                <w:sz w:val="20"/>
                <w:szCs w:val="20"/>
              </w:rPr>
              <w:t>16 (6, 26)</w:t>
            </w:r>
          </w:p>
        </w:tc>
      </w:tr>
      <w:tr w:rsidR="003E15C2" w:rsidRPr="002F733E" w14:paraId="288A2706" w14:textId="77777777" w:rsidTr="009469FA">
        <w:tc>
          <w:tcPr>
            <w:tcW w:w="2405" w:type="dxa"/>
            <w:tcBorders>
              <w:top w:val="nil"/>
              <w:bottom w:val="nil"/>
            </w:tcBorders>
            <w:shd w:val="clear" w:color="auto" w:fill="B8CCE4" w:themeFill="accent1" w:themeFillTint="66"/>
          </w:tcPr>
          <w:p w14:paraId="297A80A2" w14:textId="77777777" w:rsidR="003E15C2" w:rsidRPr="002F733E" w:rsidRDefault="003E15C2" w:rsidP="009469FA">
            <w:pPr>
              <w:keepNext/>
              <w:widowControl w:val="0"/>
              <w:shd w:val="clear" w:color="auto" w:fill="B8CCE4" w:themeFill="accent1" w:themeFillTint="66"/>
              <w:ind w:left="104"/>
              <w:jc w:val="right"/>
              <w:rPr>
                <w:rFonts w:ascii="Arial Narrow" w:hAnsi="Arial Narrow"/>
                <w:sz w:val="20"/>
                <w:szCs w:val="20"/>
              </w:rPr>
            </w:pPr>
            <w:r w:rsidRPr="002F733E">
              <w:rPr>
                <w:rFonts w:ascii="Arial Narrow" w:hAnsi="Arial Narrow"/>
                <w:sz w:val="20"/>
                <w:szCs w:val="20"/>
              </w:rPr>
              <w:t>TULIP 1 &amp; 2 pooled</w:t>
            </w:r>
            <w:r w:rsidRPr="002F733E">
              <w:rPr>
                <w:rFonts w:ascii="Arial Narrow" w:hAnsi="Arial Narrow"/>
                <w:sz w:val="20"/>
                <w:szCs w:val="20"/>
                <w:vertAlign w:val="superscript"/>
              </w:rPr>
              <w:t>d</w:t>
            </w:r>
          </w:p>
        </w:tc>
        <w:tc>
          <w:tcPr>
            <w:tcW w:w="2204" w:type="dxa"/>
            <w:tcBorders>
              <w:top w:val="nil"/>
              <w:bottom w:val="nil"/>
            </w:tcBorders>
            <w:shd w:val="clear" w:color="auto" w:fill="B8CCE4" w:themeFill="accent1" w:themeFillTint="66"/>
            <w:vAlign w:val="center"/>
          </w:tcPr>
          <w:p w14:paraId="5BA57D2C"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236/360 (65.6)</w:t>
            </w:r>
          </w:p>
        </w:tc>
        <w:tc>
          <w:tcPr>
            <w:tcW w:w="2190" w:type="dxa"/>
            <w:tcBorders>
              <w:top w:val="nil"/>
              <w:bottom w:val="nil"/>
            </w:tcBorders>
            <w:shd w:val="clear" w:color="auto" w:fill="B8CCE4" w:themeFill="accent1" w:themeFillTint="66"/>
            <w:vAlign w:val="center"/>
          </w:tcPr>
          <w:p w14:paraId="76BFF545"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199/366 (54.4)</w:t>
            </w:r>
          </w:p>
        </w:tc>
        <w:tc>
          <w:tcPr>
            <w:tcW w:w="2218" w:type="dxa"/>
            <w:tcBorders>
              <w:top w:val="nil"/>
              <w:bottom w:val="nil"/>
            </w:tcBorders>
            <w:shd w:val="clear" w:color="auto" w:fill="B8CCE4" w:themeFill="accent1" w:themeFillTint="66"/>
            <w:vAlign w:val="center"/>
          </w:tcPr>
          <w:p w14:paraId="3D3154AC"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b/>
                <w:sz w:val="20"/>
                <w:szCs w:val="20"/>
              </w:rPr>
              <w:t>11 (4, 18)</w:t>
            </w:r>
          </w:p>
        </w:tc>
      </w:tr>
      <w:tr w:rsidR="003E15C2" w:rsidRPr="002F733E" w14:paraId="49B7F27A" w14:textId="77777777" w:rsidTr="006A0431">
        <w:tc>
          <w:tcPr>
            <w:tcW w:w="2405" w:type="dxa"/>
            <w:tcBorders>
              <w:top w:val="nil"/>
              <w:bottom w:val="single" w:sz="4" w:space="0" w:color="auto"/>
            </w:tcBorders>
            <w:shd w:val="clear" w:color="auto" w:fill="B8CCE4" w:themeFill="accent1" w:themeFillTint="66"/>
          </w:tcPr>
          <w:p w14:paraId="5707D12B"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MUSE</w:t>
            </w:r>
          </w:p>
        </w:tc>
        <w:tc>
          <w:tcPr>
            <w:tcW w:w="2204" w:type="dxa"/>
            <w:tcBorders>
              <w:top w:val="nil"/>
              <w:bottom w:val="single" w:sz="4" w:space="0" w:color="auto"/>
            </w:tcBorders>
            <w:shd w:val="clear" w:color="auto" w:fill="B8CCE4" w:themeFill="accent1" w:themeFillTint="66"/>
            <w:vAlign w:val="center"/>
          </w:tcPr>
          <w:p w14:paraId="61F03D1B"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76/99 (76.8)</w:t>
            </w:r>
          </w:p>
        </w:tc>
        <w:tc>
          <w:tcPr>
            <w:tcW w:w="2190" w:type="dxa"/>
            <w:tcBorders>
              <w:top w:val="nil"/>
              <w:bottom w:val="single" w:sz="4" w:space="0" w:color="auto"/>
            </w:tcBorders>
            <w:shd w:val="clear" w:color="auto" w:fill="B8CCE4" w:themeFill="accent1" w:themeFillTint="66"/>
            <w:vAlign w:val="center"/>
          </w:tcPr>
          <w:p w14:paraId="58651085"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62/102 (60.8)</w:t>
            </w:r>
          </w:p>
        </w:tc>
        <w:tc>
          <w:tcPr>
            <w:tcW w:w="2218" w:type="dxa"/>
            <w:tcBorders>
              <w:top w:val="nil"/>
              <w:bottom w:val="single" w:sz="4" w:space="0" w:color="auto"/>
            </w:tcBorders>
            <w:shd w:val="clear" w:color="auto" w:fill="B8CCE4" w:themeFill="accent1" w:themeFillTint="66"/>
            <w:vAlign w:val="center"/>
          </w:tcPr>
          <w:p w14:paraId="3837A4BF" w14:textId="77777777" w:rsidR="003E15C2" w:rsidRPr="002F733E" w:rsidRDefault="003E15C2" w:rsidP="009469FA">
            <w:pPr>
              <w:keepNext/>
              <w:widowControl w:val="0"/>
              <w:shd w:val="clear" w:color="auto" w:fill="B8CCE4" w:themeFill="accent1" w:themeFillTint="66"/>
              <w:ind w:left="104"/>
              <w:jc w:val="center"/>
              <w:rPr>
                <w:rFonts w:ascii="Arial Narrow" w:hAnsi="Arial Narrow"/>
                <w:b/>
                <w:sz w:val="20"/>
                <w:szCs w:val="20"/>
              </w:rPr>
            </w:pPr>
            <w:r w:rsidRPr="002F733E">
              <w:rPr>
                <w:rFonts w:ascii="Arial Narrow" w:hAnsi="Arial Narrow"/>
                <w:b/>
                <w:sz w:val="20"/>
                <w:szCs w:val="20"/>
              </w:rPr>
              <w:t>16 (3, 29)</w:t>
            </w:r>
          </w:p>
        </w:tc>
      </w:tr>
      <w:tr w:rsidR="003E15C2" w:rsidRPr="002F733E" w14:paraId="512F1672" w14:textId="77777777" w:rsidTr="006A0431">
        <w:tc>
          <w:tcPr>
            <w:tcW w:w="9017" w:type="dxa"/>
            <w:gridSpan w:val="4"/>
            <w:tcBorders>
              <w:bottom w:val="single" w:sz="4" w:space="0" w:color="auto"/>
            </w:tcBorders>
            <w:shd w:val="clear" w:color="auto" w:fill="B8CCE4" w:themeFill="accent1" w:themeFillTint="66"/>
            <w:vAlign w:val="center"/>
          </w:tcPr>
          <w:p w14:paraId="30DE09EA" w14:textId="77777777" w:rsidR="003E15C2" w:rsidRPr="002F733E" w:rsidRDefault="003E15C2" w:rsidP="009469FA">
            <w:pPr>
              <w:keepNext/>
              <w:widowControl w:val="0"/>
              <w:shd w:val="clear" w:color="auto" w:fill="B8CCE4" w:themeFill="accent1" w:themeFillTint="66"/>
              <w:ind w:left="104"/>
              <w:jc w:val="left"/>
              <w:rPr>
                <w:rFonts w:ascii="Arial Narrow" w:hAnsi="Arial Narrow"/>
                <w:b/>
                <w:sz w:val="20"/>
                <w:szCs w:val="20"/>
              </w:rPr>
            </w:pPr>
            <w:r w:rsidRPr="002F733E">
              <w:rPr>
                <w:rFonts w:ascii="Arial Narrow" w:hAnsi="Arial Narrow"/>
                <w:b/>
                <w:sz w:val="20"/>
                <w:szCs w:val="20"/>
              </w:rPr>
              <w:t xml:space="preserve">No new 1A/2B BILAG domain scores </w:t>
            </w:r>
          </w:p>
        </w:tc>
      </w:tr>
      <w:tr w:rsidR="003E15C2" w:rsidRPr="002F733E" w14:paraId="6C42039D" w14:textId="77777777" w:rsidTr="006A0431">
        <w:tc>
          <w:tcPr>
            <w:tcW w:w="2405" w:type="dxa"/>
            <w:tcBorders>
              <w:top w:val="single" w:sz="4" w:space="0" w:color="auto"/>
              <w:bottom w:val="nil"/>
            </w:tcBorders>
            <w:shd w:val="clear" w:color="auto" w:fill="B8CCE4" w:themeFill="accent1" w:themeFillTint="66"/>
          </w:tcPr>
          <w:p w14:paraId="167CF559"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TULIP-1 (pre-specified)</w:t>
            </w:r>
            <w:r w:rsidRPr="002F733E">
              <w:rPr>
                <w:rFonts w:ascii="Arial Narrow" w:hAnsi="Arial Narrow"/>
                <w:sz w:val="20"/>
                <w:szCs w:val="20"/>
                <w:vertAlign w:val="superscript"/>
              </w:rPr>
              <w:t xml:space="preserve"> a</w:t>
            </w:r>
          </w:p>
        </w:tc>
        <w:tc>
          <w:tcPr>
            <w:tcW w:w="2204" w:type="dxa"/>
            <w:tcBorders>
              <w:top w:val="single" w:sz="4" w:space="0" w:color="auto"/>
              <w:bottom w:val="nil"/>
            </w:tcBorders>
            <w:shd w:val="clear" w:color="auto" w:fill="B8CCE4" w:themeFill="accent1" w:themeFillTint="66"/>
            <w:vAlign w:val="center"/>
          </w:tcPr>
          <w:p w14:paraId="52DD1A51"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96/180 (53.3)</w:t>
            </w:r>
          </w:p>
        </w:tc>
        <w:tc>
          <w:tcPr>
            <w:tcW w:w="2190" w:type="dxa"/>
            <w:tcBorders>
              <w:top w:val="single" w:sz="4" w:space="0" w:color="auto"/>
              <w:bottom w:val="nil"/>
            </w:tcBorders>
            <w:shd w:val="clear" w:color="auto" w:fill="B8CCE4" w:themeFill="accent1" w:themeFillTint="66"/>
            <w:vAlign w:val="center"/>
          </w:tcPr>
          <w:p w14:paraId="07477E1B"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96/184 (52.2)</w:t>
            </w:r>
          </w:p>
        </w:tc>
        <w:tc>
          <w:tcPr>
            <w:tcW w:w="2218" w:type="dxa"/>
            <w:tcBorders>
              <w:top w:val="single" w:sz="4" w:space="0" w:color="auto"/>
              <w:bottom w:val="nil"/>
            </w:tcBorders>
            <w:shd w:val="clear" w:color="auto" w:fill="B8CCE4" w:themeFill="accent1" w:themeFillTint="66"/>
            <w:vAlign w:val="center"/>
          </w:tcPr>
          <w:p w14:paraId="5CBD7BC4"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 (-9, 11)</w:t>
            </w:r>
          </w:p>
        </w:tc>
      </w:tr>
      <w:tr w:rsidR="003E15C2" w:rsidRPr="002F733E" w14:paraId="18DAA93E" w14:textId="77777777" w:rsidTr="009469FA">
        <w:tc>
          <w:tcPr>
            <w:tcW w:w="2405" w:type="dxa"/>
            <w:tcBorders>
              <w:top w:val="nil"/>
              <w:bottom w:val="nil"/>
            </w:tcBorders>
            <w:shd w:val="clear" w:color="auto" w:fill="B8CCE4" w:themeFill="accent1" w:themeFillTint="66"/>
          </w:tcPr>
          <w:p w14:paraId="3B919014"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TULIP-1 (post-hoc)</w:t>
            </w:r>
            <w:r w:rsidRPr="002F733E">
              <w:rPr>
                <w:rFonts w:ascii="Arial Narrow" w:hAnsi="Arial Narrow"/>
                <w:sz w:val="20"/>
                <w:szCs w:val="20"/>
                <w:vertAlign w:val="superscript"/>
              </w:rPr>
              <w:t xml:space="preserve"> c</w:t>
            </w:r>
          </w:p>
        </w:tc>
        <w:tc>
          <w:tcPr>
            <w:tcW w:w="2204" w:type="dxa"/>
            <w:tcBorders>
              <w:top w:val="nil"/>
              <w:bottom w:val="nil"/>
            </w:tcBorders>
            <w:shd w:val="clear" w:color="auto" w:fill="B8CCE4" w:themeFill="accent1" w:themeFillTint="66"/>
            <w:vAlign w:val="center"/>
          </w:tcPr>
          <w:p w14:paraId="5A51146C"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116/180 (64.4)</w:t>
            </w:r>
          </w:p>
        </w:tc>
        <w:tc>
          <w:tcPr>
            <w:tcW w:w="2190" w:type="dxa"/>
            <w:tcBorders>
              <w:top w:val="nil"/>
              <w:bottom w:val="nil"/>
            </w:tcBorders>
            <w:shd w:val="clear" w:color="auto" w:fill="B8CCE4" w:themeFill="accent1" w:themeFillTint="66"/>
            <w:vAlign w:val="center"/>
          </w:tcPr>
          <w:p w14:paraId="7389662C"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104/184 (56.5)</w:t>
            </w:r>
          </w:p>
        </w:tc>
        <w:tc>
          <w:tcPr>
            <w:tcW w:w="2218" w:type="dxa"/>
            <w:tcBorders>
              <w:top w:val="nil"/>
              <w:bottom w:val="nil"/>
            </w:tcBorders>
            <w:shd w:val="clear" w:color="auto" w:fill="B8CCE4" w:themeFill="accent1" w:themeFillTint="66"/>
            <w:vAlign w:val="center"/>
          </w:tcPr>
          <w:p w14:paraId="7921983F"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8 (-2, 18)</w:t>
            </w:r>
          </w:p>
        </w:tc>
      </w:tr>
      <w:tr w:rsidR="003E15C2" w:rsidRPr="002F733E" w14:paraId="5006C07B" w14:textId="77777777" w:rsidTr="009469FA">
        <w:tc>
          <w:tcPr>
            <w:tcW w:w="2405" w:type="dxa"/>
            <w:tcBorders>
              <w:top w:val="nil"/>
              <w:bottom w:val="nil"/>
            </w:tcBorders>
            <w:shd w:val="clear" w:color="auto" w:fill="B8CCE4" w:themeFill="accent1" w:themeFillTint="66"/>
          </w:tcPr>
          <w:p w14:paraId="179B68D9"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TULIP-2</w:t>
            </w:r>
          </w:p>
        </w:tc>
        <w:tc>
          <w:tcPr>
            <w:tcW w:w="2204" w:type="dxa"/>
            <w:tcBorders>
              <w:top w:val="nil"/>
              <w:bottom w:val="nil"/>
            </w:tcBorders>
            <w:shd w:val="clear" w:color="auto" w:fill="B8CCE4" w:themeFill="accent1" w:themeFillTint="66"/>
            <w:vAlign w:val="center"/>
          </w:tcPr>
          <w:p w14:paraId="4011FE96"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125/180 (69.4)</w:t>
            </w:r>
          </w:p>
        </w:tc>
        <w:tc>
          <w:tcPr>
            <w:tcW w:w="2190" w:type="dxa"/>
            <w:tcBorders>
              <w:top w:val="nil"/>
              <w:bottom w:val="nil"/>
            </w:tcBorders>
            <w:shd w:val="clear" w:color="auto" w:fill="B8CCE4" w:themeFill="accent1" w:themeFillTint="66"/>
            <w:vAlign w:val="center"/>
          </w:tcPr>
          <w:p w14:paraId="0D608B59"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94/182 (51.6)</w:t>
            </w:r>
          </w:p>
        </w:tc>
        <w:tc>
          <w:tcPr>
            <w:tcW w:w="2218" w:type="dxa"/>
            <w:tcBorders>
              <w:top w:val="nil"/>
              <w:bottom w:val="nil"/>
            </w:tcBorders>
            <w:shd w:val="clear" w:color="auto" w:fill="B8CCE4" w:themeFill="accent1" w:themeFillTint="66"/>
            <w:vAlign w:val="center"/>
          </w:tcPr>
          <w:p w14:paraId="4BCE9A6A" w14:textId="77777777" w:rsidR="003E15C2" w:rsidRPr="002F733E" w:rsidRDefault="003E15C2" w:rsidP="009469FA">
            <w:pPr>
              <w:keepNext/>
              <w:widowControl w:val="0"/>
              <w:shd w:val="clear" w:color="auto" w:fill="B8CCE4" w:themeFill="accent1" w:themeFillTint="66"/>
              <w:ind w:left="104"/>
              <w:jc w:val="center"/>
              <w:rPr>
                <w:rFonts w:ascii="Arial Narrow" w:hAnsi="Arial Narrow"/>
                <w:b/>
                <w:sz w:val="20"/>
                <w:szCs w:val="20"/>
              </w:rPr>
            </w:pPr>
            <w:r w:rsidRPr="002F733E">
              <w:rPr>
                <w:rFonts w:ascii="Arial Narrow" w:hAnsi="Arial Narrow"/>
                <w:b/>
                <w:sz w:val="20"/>
                <w:szCs w:val="20"/>
              </w:rPr>
              <w:t>18 (8, 28)</w:t>
            </w:r>
          </w:p>
        </w:tc>
      </w:tr>
      <w:tr w:rsidR="003E15C2" w:rsidRPr="002F733E" w14:paraId="65BDF8C1" w14:textId="77777777" w:rsidTr="009469FA">
        <w:tc>
          <w:tcPr>
            <w:tcW w:w="2405" w:type="dxa"/>
            <w:tcBorders>
              <w:top w:val="nil"/>
              <w:bottom w:val="nil"/>
            </w:tcBorders>
            <w:shd w:val="clear" w:color="auto" w:fill="B8CCE4" w:themeFill="accent1" w:themeFillTint="66"/>
          </w:tcPr>
          <w:p w14:paraId="2E12FEB5" w14:textId="77777777" w:rsidR="003E15C2" w:rsidRPr="002F733E" w:rsidRDefault="003E15C2" w:rsidP="009469FA">
            <w:pPr>
              <w:keepNext/>
              <w:widowControl w:val="0"/>
              <w:shd w:val="clear" w:color="auto" w:fill="B8CCE4" w:themeFill="accent1" w:themeFillTint="66"/>
              <w:ind w:left="104"/>
              <w:jc w:val="right"/>
              <w:rPr>
                <w:rFonts w:ascii="Arial Narrow" w:hAnsi="Arial Narrow"/>
                <w:sz w:val="20"/>
                <w:szCs w:val="20"/>
              </w:rPr>
            </w:pPr>
            <w:r w:rsidRPr="002F733E">
              <w:rPr>
                <w:rFonts w:ascii="Arial Narrow" w:hAnsi="Arial Narrow"/>
                <w:sz w:val="20"/>
                <w:szCs w:val="20"/>
              </w:rPr>
              <w:t>TULIP 1 &amp; 2 pooled</w:t>
            </w:r>
            <w:r w:rsidRPr="002F733E">
              <w:rPr>
                <w:rFonts w:ascii="Arial Narrow" w:hAnsi="Arial Narrow"/>
                <w:sz w:val="20"/>
                <w:szCs w:val="20"/>
                <w:vertAlign w:val="superscript"/>
              </w:rPr>
              <w:t>d</w:t>
            </w:r>
          </w:p>
        </w:tc>
        <w:tc>
          <w:tcPr>
            <w:tcW w:w="2204" w:type="dxa"/>
            <w:tcBorders>
              <w:top w:val="nil"/>
              <w:bottom w:val="nil"/>
            </w:tcBorders>
            <w:shd w:val="clear" w:color="auto" w:fill="B8CCE4" w:themeFill="accent1" w:themeFillTint="66"/>
            <w:vAlign w:val="center"/>
          </w:tcPr>
          <w:p w14:paraId="29C23F4B"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241/360 (66.9)</w:t>
            </w:r>
          </w:p>
        </w:tc>
        <w:tc>
          <w:tcPr>
            <w:tcW w:w="2190" w:type="dxa"/>
            <w:tcBorders>
              <w:top w:val="nil"/>
              <w:bottom w:val="nil"/>
            </w:tcBorders>
            <w:shd w:val="clear" w:color="auto" w:fill="B8CCE4" w:themeFill="accent1" w:themeFillTint="66"/>
            <w:vAlign w:val="center"/>
          </w:tcPr>
          <w:p w14:paraId="1C02FC69"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198/366 (54.1)</w:t>
            </w:r>
          </w:p>
        </w:tc>
        <w:tc>
          <w:tcPr>
            <w:tcW w:w="2218" w:type="dxa"/>
            <w:tcBorders>
              <w:top w:val="nil"/>
              <w:bottom w:val="nil"/>
            </w:tcBorders>
            <w:shd w:val="clear" w:color="auto" w:fill="B8CCE4" w:themeFill="accent1" w:themeFillTint="66"/>
            <w:vAlign w:val="center"/>
          </w:tcPr>
          <w:p w14:paraId="399A0BA8"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b/>
                <w:sz w:val="20"/>
                <w:szCs w:val="20"/>
              </w:rPr>
              <w:t>13 (6, 20)</w:t>
            </w:r>
          </w:p>
        </w:tc>
      </w:tr>
      <w:tr w:rsidR="003E15C2" w:rsidRPr="002F733E" w14:paraId="39416BD4" w14:textId="77777777" w:rsidTr="006A0431">
        <w:tc>
          <w:tcPr>
            <w:tcW w:w="2405" w:type="dxa"/>
            <w:tcBorders>
              <w:top w:val="nil"/>
              <w:bottom w:val="single" w:sz="4" w:space="0" w:color="auto"/>
            </w:tcBorders>
            <w:shd w:val="clear" w:color="auto" w:fill="B8CCE4" w:themeFill="accent1" w:themeFillTint="66"/>
          </w:tcPr>
          <w:p w14:paraId="43FD0451"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MUSE</w:t>
            </w:r>
          </w:p>
        </w:tc>
        <w:tc>
          <w:tcPr>
            <w:tcW w:w="2204" w:type="dxa"/>
            <w:tcBorders>
              <w:top w:val="nil"/>
              <w:bottom w:val="single" w:sz="4" w:space="0" w:color="auto"/>
            </w:tcBorders>
            <w:shd w:val="clear" w:color="auto" w:fill="B8CCE4" w:themeFill="accent1" w:themeFillTint="66"/>
            <w:vAlign w:val="center"/>
          </w:tcPr>
          <w:p w14:paraId="5C9B6919"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75/99 (75.8)</w:t>
            </w:r>
          </w:p>
        </w:tc>
        <w:tc>
          <w:tcPr>
            <w:tcW w:w="2190" w:type="dxa"/>
            <w:tcBorders>
              <w:top w:val="nil"/>
              <w:bottom w:val="single" w:sz="4" w:space="0" w:color="auto"/>
            </w:tcBorders>
            <w:shd w:val="clear" w:color="auto" w:fill="B8CCE4" w:themeFill="accent1" w:themeFillTint="66"/>
            <w:vAlign w:val="center"/>
          </w:tcPr>
          <w:p w14:paraId="511BBD79"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61/102 (59.8)</w:t>
            </w:r>
          </w:p>
        </w:tc>
        <w:tc>
          <w:tcPr>
            <w:tcW w:w="2218" w:type="dxa"/>
            <w:tcBorders>
              <w:top w:val="nil"/>
              <w:bottom w:val="single" w:sz="4" w:space="0" w:color="auto"/>
            </w:tcBorders>
            <w:shd w:val="clear" w:color="auto" w:fill="B8CCE4" w:themeFill="accent1" w:themeFillTint="66"/>
            <w:vAlign w:val="center"/>
          </w:tcPr>
          <w:p w14:paraId="3040992F" w14:textId="77777777" w:rsidR="003E15C2" w:rsidRPr="002F733E" w:rsidRDefault="003E15C2" w:rsidP="009469FA">
            <w:pPr>
              <w:keepNext/>
              <w:widowControl w:val="0"/>
              <w:shd w:val="clear" w:color="auto" w:fill="B8CCE4" w:themeFill="accent1" w:themeFillTint="66"/>
              <w:ind w:left="104"/>
              <w:jc w:val="center"/>
              <w:rPr>
                <w:rFonts w:ascii="Arial Narrow" w:hAnsi="Arial Narrow"/>
                <w:b/>
                <w:sz w:val="20"/>
                <w:szCs w:val="20"/>
              </w:rPr>
            </w:pPr>
            <w:r w:rsidRPr="002F733E">
              <w:rPr>
                <w:rFonts w:ascii="Arial Narrow" w:hAnsi="Arial Narrow"/>
                <w:b/>
                <w:sz w:val="20"/>
                <w:szCs w:val="20"/>
              </w:rPr>
              <w:t>16 (3, 29)</w:t>
            </w:r>
          </w:p>
        </w:tc>
      </w:tr>
      <w:tr w:rsidR="003E15C2" w:rsidRPr="002F733E" w14:paraId="2D1F4428" w14:textId="77777777" w:rsidTr="006A0431">
        <w:tc>
          <w:tcPr>
            <w:tcW w:w="9017" w:type="dxa"/>
            <w:gridSpan w:val="4"/>
            <w:tcBorders>
              <w:bottom w:val="single" w:sz="4" w:space="0" w:color="auto"/>
            </w:tcBorders>
            <w:shd w:val="clear" w:color="auto" w:fill="D9D9D9" w:themeFill="background1" w:themeFillShade="D9"/>
            <w:vAlign w:val="center"/>
          </w:tcPr>
          <w:p w14:paraId="1DD26FFF" w14:textId="77777777" w:rsidR="003E15C2" w:rsidRPr="002F733E" w:rsidRDefault="003E15C2" w:rsidP="009469FA">
            <w:pPr>
              <w:keepNext/>
              <w:widowControl w:val="0"/>
              <w:shd w:val="clear" w:color="auto" w:fill="B8CCE4" w:themeFill="accent1" w:themeFillTint="66"/>
              <w:jc w:val="left"/>
              <w:rPr>
                <w:rFonts w:ascii="Arial Narrow" w:hAnsi="Arial Narrow"/>
                <w:b/>
                <w:sz w:val="20"/>
                <w:szCs w:val="20"/>
              </w:rPr>
            </w:pPr>
            <w:r w:rsidRPr="002F733E">
              <w:rPr>
                <w:rFonts w:ascii="Arial Narrow" w:hAnsi="Arial Narrow"/>
                <w:b/>
                <w:sz w:val="20"/>
                <w:szCs w:val="20"/>
              </w:rPr>
              <w:t xml:space="preserve">BICLA response </w:t>
            </w:r>
          </w:p>
        </w:tc>
      </w:tr>
      <w:tr w:rsidR="003E15C2" w:rsidRPr="002F733E" w14:paraId="107125CD" w14:textId="77777777" w:rsidTr="006A0431">
        <w:tc>
          <w:tcPr>
            <w:tcW w:w="2405" w:type="dxa"/>
            <w:tcBorders>
              <w:top w:val="single" w:sz="4" w:space="0" w:color="auto"/>
              <w:bottom w:val="nil"/>
            </w:tcBorders>
          </w:tcPr>
          <w:p w14:paraId="2386870D" w14:textId="77777777" w:rsidR="003E15C2" w:rsidRPr="002F733E" w:rsidRDefault="003E15C2" w:rsidP="009469FA">
            <w:pPr>
              <w:keepNext/>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TULIP-1 (pre-specified)</w:t>
            </w:r>
            <w:r w:rsidRPr="002F733E">
              <w:rPr>
                <w:rFonts w:ascii="Arial Narrow" w:hAnsi="Arial Narrow"/>
                <w:sz w:val="20"/>
                <w:szCs w:val="20"/>
                <w:vertAlign w:val="superscript"/>
              </w:rPr>
              <w:t># a</w:t>
            </w:r>
          </w:p>
        </w:tc>
        <w:tc>
          <w:tcPr>
            <w:tcW w:w="2204" w:type="dxa"/>
            <w:tcBorders>
              <w:top w:val="single" w:sz="4" w:space="0" w:color="auto"/>
              <w:bottom w:val="nil"/>
            </w:tcBorders>
            <w:vAlign w:val="center"/>
          </w:tcPr>
          <w:p w14:paraId="7AF7D35D"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67/180 (37.1)</w:t>
            </w:r>
          </w:p>
        </w:tc>
        <w:tc>
          <w:tcPr>
            <w:tcW w:w="2190" w:type="dxa"/>
            <w:tcBorders>
              <w:top w:val="single" w:sz="4" w:space="0" w:color="auto"/>
              <w:bottom w:val="nil"/>
            </w:tcBorders>
            <w:vAlign w:val="center"/>
          </w:tcPr>
          <w:p w14:paraId="1074883B"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49/184 (27.0)</w:t>
            </w:r>
          </w:p>
        </w:tc>
        <w:tc>
          <w:tcPr>
            <w:tcW w:w="2218" w:type="dxa"/>
            <w:tcBorders>
              <w:top w:val="single" w:sz="4" w:space="0" w:color="auto"/>
              <w:bottom w:val="nil"/>
            </w:tcBorders>
            <w:vAlign w:val="center"/>
          </w:tcPr>
          <w:p w14:paraId="619AF335"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10.1 (0.6, 19.7)</w:t>
            </w:r>
          </w:p>
        </w:tc>
      </w:tr>
      <w:tr w:rsidR="003E15C2" w:rsidRPr="002F733E" w14:paraId="64B4F190" w14:textId="77777777" w:rsidTr="006A0431">
        <w:tc>
          <w:tcPr>
            <w:tcW w:w="2405" w:type="dxa"/>
            <w:tcBorders>
              <w:top w:val="nil"/>
              <w:bottom w:val="nil"/>
            </w:tcBorders>
          </w:tcPr>
          <w:p w14:paraId="5FC3F260" w14:textId="77777777" w:rsidR="003E15C2" w:rsidRPr="002F733E" w:rsidRDefault="003E15C2" w:rsidP="009469FA">
            <w:pPr>
              <w:keepNext/>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TULIP-1 (post-hoc)</w:t>
            </w:r>
            <w:r w:rsidRPr="002F733E">
              <w:rPr>
                <w:rFonts w:ascii="Arial Narrow" w:hAnsi="Arial Narrow"/>
                <w:sz w:val="20"/>
                <w:szCs w:val="20"/>
                <w:vertAlign w:val="superscript"/>
              </w:rPr>
              <w:t># c</w:t>
            </w:r>
          </w:p>
        </w:tc>
        <w:tc>
          <w:tcPr>
            <w:tcW w:w="2204" w:type="dxa"/>
            <w:tcBorders>
              <w:top w:val="nil"/>
              <w:bottom w:val="nil"/>
            </w:tcBorders>
            <w:vAlign w:val="center"/>
          </w:tcPr>
          <w:p w14:paraId="7B3642F5"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83/180 (46.1)</w:t>
            </w:r>
          </w:p>
        </w:tc>
        <w:tc>
          <w:tcPr>
            <w:tcW w:w="2190" w:type="dxa"/>
            <w:tcBorders>
              <w:top w:val="nil"/>
              <w:bottom w:val="nil"/>
            </w:tcBorders>
            <w:vAlign w:val="center"/>
          </w:tcPr>
          <w:p w14:paraId="6BB3BB65"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54/184 (29.6)</w:t>
            </w:r>
          </w:p>
        </w:tc>
        <w:tc>
          <w:tcPr>
            <w:tcW w:w="2218" w:type="dxa"/>
            <w:tcBorders>
              <w:top w:val="nil"/>
              <w:bottom w:val="nil"/>
            </w:tcBorders>
            <w:vAlign w:val="center"/>
          </w:tcPr>
          <w:p w14:paraId="6928FE69"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16.4 (6.7, 26.2)</w:t>
            </w:r>
          </w:p>
        </w:tc>
      </w:tr>
      <w:tr w:rsidR="003E15C2" w:rsidRPr="002F733E" w14:paraId="5EABF26E" w14:textId="77777777" w:rsidTr="004676A9">
        <w:tc>
          <w:tcPr>
            <w:tcW w:w="2405" w:type="dxa"/>
            <w:tcBorders>
              <w:top w:val="nil"/>
              <w:bottom w:val="nil"/>
            </w:tcBorders>
          </w:tcPr>
          <w:p w14:paraId="0CA3FEFA" w14:textId="77777777" w:rsidR="003E15C2" w:rsidRPr="002F733E" w:rsidRDefault="003E15C2" w:rsidP="009469FA">
            <w:pPr>
              <w:keepNext/>
              <w:widowControl w:val="0"/>
              <w:shd w:val="clear" w:color="auto" w:fill="B8CCE4" w:themeFill="accent1" w:themeFillTint="66"/>
              <w:jc w:val="left"/>
              <w:rPr>
                <w:rFonts w:ascii="Arial Narrow" w:hAnsi="Arial Narrow"/>
                <w:sz w:val="20"/>
                <w:szCs w:val="20"/>
              </w:rPr>
            </w:pPr>
            <w:r w:rsidRPr="002F733E">
              <w:rPr>
                <w:rFonts w:ascii="Arial Narrow" w:hAnsi="Arial Narrow"/>
                <w:sz w:val="20"/>
                <w:szCs w:val="20"/>
              </w:rPr>
              <w:t>TULIP-2</w:t>
            </w:r>
            <w:r w:rsidRPr="002F733E">
              <w:rPr>
                <w:rFonts w:ascii="Arial Narrow" w:hAnsi="Arial Narrow"/>
                <w:sz w:val="20"/>
                <w:szCs w:val="20"/>
                <w:vertAlign w:val="superscript"/>
              </w:rPr>
              <w:t>#</w:t>
            </w:r>
          </w:p>
        </w:tc>
        <w:tc>
          <w:tcPr>
            <w:tcW w:w="2204" w:type="dxa"/>
            <w:tcBorders>
              <w:top w:val="nil"/>
              <w:bottom w:val="nil"/>
            </w:tcBorders>
            <w:vAlign w:val="center"/>
          </w:tcPr>
          <w:p w14:paraId="0A79723F"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86/180 (47.8)</w:t>
            </w:r>
          </w:p>
        </w:tc>
        <w:tc>
          <w:tcPr>
            <w:tcW w:w="2190" w:type="dxa"/>
            <w:tcBorders>
              <w:top w:val="nil"/>
              <w:bottom w:val="nil"/>
            </w:tcBorders>
            <w:vAlign w:val="center"/>
          </w:tcPr>
          <w:p w14:paraId="7020A1EB"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57/182 (31.5)</w:t>
            </w:r>
          </w:p>
        </w:tc>
        <w:tc>
          <w:tcPr>
            <w:tcW w:w="2218" w:type="dxa"/>
            <w:tcBorders>
              <w:top w:val="nil"/>
              <w:bottom w:val="nil"/>
            </w:tcBorders>
            <w:vAlign w:val="center"/>
          </w:tcPr>
          <w:p w14:paraId="2EF095B4"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16.3 (6.3, 26.3)</w:t>
            </w:r>
            <w:r w:rsidRPr="002F733E">
              <w:rPr>
                <w:rFonts w:ascii="Arial Narrow" w:hAnsi="Arial Narrow"/>
                <w:b/>
                <w:sz w:val="20"/>
                <w:szCs w:val="20"/>
                <w:vertAlign w:val="superscript"/>
              </w:rPr>
              <w:t>b</w:t>
            </w:r>
          </w:p>
        </w:tc>
      </w:tr>
      <w:tr w:rsidR="003E15C2" w:rsidRPr="002F733E" w14:paraId="7B6C1DDE" w14:textId="77777777" w:rsidTr="004676A9">
        <w:tc>
          <w:tcPr>
            <w:tcW w:w="2405" w:type="dxa"/>
            <w:tcBorders>
              <w:top w:val="nil"/>
              <w:bottom w:val="nil"/>
            </w:tcBorders>
          </w:tcPr>
          <w:p w14:paraId="05805037" w14:textId="77777777" w:rsidR="003E15C2" w:rsidRPr="002F733E" w:rsidRDefault="003E15C2" w:rsidP="009469FA">
            <w:pPr>
              <w:keepNext/>
              <w:widowControl w:val="0"/>
              <w:shd w:val="clear" w:color="auto" w:fill="B8CCE4" w:themeFill="accent1" w:themeFillTint="66"/>
              <w:jc w:val="right"/>
              <w:rPr>
                <w:rFonts w:ascii="Arial Narrow" w:hAnsi="Arial Narrow"/>
                <w:sz w:val="20"/>
                <w:szCs w:val="20"/>
              </w:rPr>
            </w:pPr>
            <w:r w:rsidRPr="002F733E">
              <w:rPr>
                <w:rFonts w:ascii="Arial Narrow" w:hAnsi="Arial Narrow"/>
                <w:sz w:val="20"/>
                <w:szCs w:val="20"/>
              </w:rPr>
              <w:t>TULIP 1 &amp; 2 pooled</w:t>
            </w:r>
            <w:r w:rsidRPr="002F733E">
              <w:rPr>
                <w:rFonts w:ascii="Arial Narrow" w:hAnsi="Arial Narrow"/>
                <w:sz w:val="20"/>
                <w:szCs w:val="20"/>
                <w:vertAlign w:val="superscript"/>
              </w:rPr>
              <w:t>d</w:t>
            </w:r>
          </w:p>
        </w:tc>
        <w:tc>
          <w:tcPr>
            <w:tcW w:w="2204" w:type="dxa"/>
            <w:tcBorders>
              <w:top w:val="nil"/>
              <w:bottom w:val="nil"/>
            </w:tcBorders>
            <w:vAlign w:val="center"/>
          </w:tcPr>
          <w:p w14:paraId="2691F0D3"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169/360 (46.9)</w:t>
            </w:r>
          </w:p>
        </w:tc>
        <w:tc>
          <w:tcPr>
            <w:tcW w:w="2190" w:type="dxa"/>
            <w:tcBorders>
              <w:top w:val="nil"/>
              <w:bottom w:val="nil"/>
            </w:tcBorders>
            <w:vAlign w:val="center"/>
          </w:tcPr>
          <w:p w14:paraId="47D093E3"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111/366 (30.3)</w:t>
            </w:r>
          </w:p>
        </w:tc>
        <w:tc>
          <w:tcPr>
            <w:tcW w:w="2218" w:type="dxa"/>
            <w:tcBorders>
              <w:top w:val="nil"/>
              <w:bottom w:val="nil"/>
            </w:tcBorders>
            <w:vAlign w:val="center"/>
          </w:tcPr>
          <w:p w14:paraId="27C63F03"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16.8 (9.8, 23.8)</w:t>
            </w:r>
            <w:r w:rsidRPr="002F733E">
              <w:rPr>
                <w:rFonts w:ascii="Arial Narrow" w:hAnsi="Arial Narrow"/>
                <w:b/>
                <w:sz w:val="20"/>
                <w:szCs w:val="20"/>
                <w:vertAlign w:val="superscript"/>
              </w:rPr>
              <w:t>h</w:t>
            </w:r>
          </w:p>
        </w:tc>
      </w:tr>
      <w:tr w:rsidR="003E15C2" w:rsidRPr="002F733E" w14:paraId="5EC8D9FB" w14:textId="77777777" w:rsidTr="004676A9">
        <w:tc>
          <w:tcPr>
            <w:tcW w:w="2405" w:type="dxa"/>
            <w:tcBorders>
              <w:top w:val="nil"/>
              <w:bottom w:val="nil"/>
            </w:tcBorders>
          </w:tcPr>
          <w:p w14:paraId="7DC2CE4C" w14:textId="77777777" w:rsidR="003E15C2" w:rsidRPr="002F733E" w:rsidRDefault="003E15C2" w:rsidP="009469FA">
            <w:pPr>
              <w:keepNext/>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MUSE (incl. OCS taper)</w:t>
            </w:r>
          </w:p>
        </w:tc>
        <w:tc>
          <w:tcPr>
            <w:tcW w:w="2204" w:type="dxa"/>
            <w:tcBorders>
              <w:top w:val="nil"/>
              <w:bottom w:val="nil"/>
            </w:tcBorders>
            <w:vAlign w:val="center"/>
          </w:tcPr>
          <w:p w14:paraId="3571352B"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43/99 (43.4%)</w:t>
            </w:r>
          </w:p>
        </w:tc>
        <w:tc>
          <w:tcPr>
            <w:tcW w:w="2190" w:type="dxa"/>
            <w:tcBorders>
              <w:top w:val="nil"/>
              <w:bottom w:val="nil"/>
            </w:tcBorders>
            <w:vAlign w:val="center"/>
          </w:tcPr>
          <w:p w14:paraId="53117A54"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17/102 (16.8%)</w:t>
            </w:r>
          </w:p>
        </w:tc>
        <w:tc>
          <w:tcPr>
            <w:tcW w:w="2218" w:type="dxa"/>
            <w:tcBorders>
              <w:top w:val="nil"/>
              <w:bottom w:val="nil"/>
            </w:tcBorders>
            <w:vAlign w:val="center"/>
          </w:tcPr>
          <w:p w14:paraId="608EBBD6"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27 (15, 39)</w:t>
            </w:r>
            <w:r w:rsidRPr="002F733E">
              <w:rPr>
                <w:rFonts w:ascii="Arial Narrow" w:hAnsi="Arial Narrow"/>
                <w:b/>
                <w:sz w:val="20"/>
                <w:szCs w:val="20"/>
                <w:vertAlign w:val="superscript"/>
              </w:rPr>
              <w:t>f</w:t>
            </w:r>
          </w:p>
        </w:tc>
      </w:tr>
      <w:tr w:rsidR="003E15C2" w:rsidRPr="002F733E" w14:paraId="40E7A5B2" w14:textId="77777777" w:rsidTr="006A0431">
        <w:tc>
          <w:tcPr>
            <w:tcW w:w="2405" w:type="dxa"/>
            <w:tcBorders>
              <w:top w:val="nil"/>
              <w:bottom w:val="single" w:sz="4" w:space="0" w:color="auto"/>
            </w:tcBorders>
          </w:tcPr>
          <w:p w14:paraId="5A5F58D6" w14:textId="77777777" w:rsidR="003E15C2" w:rsidRPr="002F733E" w:rsidRDefault="003E15C2" w:rsidP="009469FA">
            <w:pPr>
              <w:keepNext/>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MUSE (excl. OCS taper)</w:t>
            </w:r>
          </w:p>
        </w:tc>
        <w:tc>
          <w:tcPr>
            <w:tcW w:w="2204" w:type="dxa"/>
            <w:tcBorders>
              <w:top w:val="nil"/>
              <w:bottom w:val="single" w:sz="4" w:space="0" w:color="auto"/>
            </w:tcBorders>
            <w:vAlign w:val="center"/>
          </w:tcPr>
          <w:p w14:paraId="16DFDDBD"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53/99 (53.5)</w:t>
            </w:r>
          </w:p>
        </w:tc>
        <w:tc>
          <w:tcPr>
            <w:tcW w:w="2190" w:type="dxa"/>
            <w:tcBorders>
              <w:top w:val="nil"/>
              <w:bottom w:val="single" w:sz="4" w:space="0" w:color="auto"/>
            </w:tcBorders>
            <w:vAlign w:val="center"/>
          </w:tcPr>
          <w:p w14:paraId="254A66E4" w14:textId="77777777" w:rsidR="003E15C2" w:rsidRPr="002F733E" w:rsidRDefault="003E15C2" w:rsidP="009469FA">
            <w:pPr>
              <w:keepNext/>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26/102 (25.7)</w:t>
            </w:r>
          </w:p>
        </w:tc>
        <w:tc>
          <w:tcPr>
            <w:tcW w:w="2218" w:type="dxa"/>
            <w:tcBorders>
              <w:top w:val="nil"/>
              <w:bottom w:val="single" w:sz="4" w:space="0" w:color="auto"/>
            </w:tcBorders>
            <w:vAlign w:val="center"/>
          </w:tcPr>
          <w:p w14:paraId="3259FA64" w14:textId="77777777" w:rsidR="003E15C2" w:rsidRPr="002F733E" w:rsidRDefault="003E15C2" w:rsidP="009469FA">
            <w:pPr>
              <w:keepNext/>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28 (15, 41)</w:t>
            </w:r>
            <w:r w:rsidRPr="002F733E">
              <w:rPr>
                <w:rFonts w:ascii="Arial Narrow" w:hAnsi="Arial Narrow"/>
                <w:b/>
                <w:sz w:val="20"/>
                <w:szCs w:val="20"/>
                <w:vertAlign w:val="superscript"/>
              </w:rPr>
              <w:t>f</w:t>
            </w:r>
          </w:p>
        </w:tc>
      </w:tr>
      <w:tr w:rsidR="003E15C2" w:rsidRPr="002F733E" w14:paraId="6AE0AF3E" w14:textId="77777777" w:rsidTr="006A0431">
        <w:tc>
          <w:tcPr>
            <w:tcW w:w="9017" w:type="dxa"/>
            <w:gridSpan w:val="4"/>
            <w:tcBorders>
              <w:bottom w:val="single" w:sz="4" w:space="0" w:color="auto"/>
            </w:tcBorders>
            <w:shd w:val="clear" w:color="auto" w:fill="B8CCE4" w:themeFill="accent1" w:themeFillTint="66"/>
            <w:vAlign w:val="center"/>
          </w:tcPr>
          <w:p w14:paraId="11CC6F90" w14:textId="77777777" w:rsidR="003E15C2" w:rsidRPr="002F733E" w:rsidRDefault="003E15C2" w:rsidP="009469FA">
            <w:pPr>
              <w:keepNext/>
              <w:widowControl w:val="0"/>
              <w:shd w:val="clear" w:color="auto" w:fill="B8CCE4" w:themeFill="accent1" w:themeFillTint="66"/>
              <w:ind w:left="104"/>
              <w:jc w:val="left"/>
              <w:rPr>
                <w:rFonts w:ascii="Arial Narrow" w:hAnsi="Arial Narrow"/>
                <w:b/>
                <w:sz w:val="20"/>
                <w:szCs w:val="20"/>
              </w:rPr>
            </w:pPr>
            <w:r w:rsidRPr="002F733E">
              <w:rPr>
                <w:rFonts w:ascii="Arial Narrow" w:hAnsi="Arial Narrow"/>
                <w:b/>
                <w:sz w:val="20"/>
                <w:szCs w:val="20"/>
              </w:rPr>
              <w:t>Reduction of baseline BILAG A and B scores and no new 1A/2B BILAG domain scores</w:t>
            </w:r>
          </w:p>
        </w:tc>
      </w:tr>
      <w:tr w:rsidR="003E15C2" w:rsidRPr="002F733E" w14:paraId="789D43BF" w14:textId="77777777" w:rsidTr="006A0431">
        <w:tc>
          <w:tcPr>
            <w:tcW w:w="2405" w:type="dxa"/>
            <w:tcBorders>
              <w:top w:val="single" w:sz="4" w:space="0" w:color="auto"/>
              <w:bottom w:val="nil"/>
            </w:tcBorders>
            <w:shd w:val="clear" w:color="auto" w:fill="B8CCE4" w:themeFill="accent1" w:themeFillTint="66"/>
          </w:tcPr>
          <w:p w14:paraId="48AFC5C0"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TULIP-1 (pre-specified)</w:t>
            </w:r>
            <w:r w:rsidRPr="002F733E">
              <w:rPr>
                <w:rFonts w:ascii="Arial Narrow" w:hAnsi="Arial Narrow"/>
                <w:sz w:val="20"/>
                <w:szCs w:val="20"/>
                <w:vertAlign w:val="superscript"/>
              </w:rPr>
              <w:t xml:space="preserve"> a</w:t>
            </w:r>
          </w:p>
        </w:tc>
        <w:tc>
          <w:tcPr>
            <w:tcW w:w="2204" w:type="dxa"/>
            <w:tcBorders>
              <w:top w:val="single" w:sz="4" w:space="0" w:color="auto"/>
              <w:bottom w:val="nil"/>
            </w:tcBorders>
            <w:shd w:val="clear" w:color="auto" w:fill="B8CCE4" w:themeFill="accent1" w:themeFillTint="66"/>
            <w:vAlign w:val="center"/>
          </w:tcPr>
          <w:p w14:paraId="1A4223B4"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67/180 (37.2)</w:t>
            </w:r>
          </w:p>
        </w:tc>
        <w:tc>
          <w:tcPr>
            <w:tcW w:w="2190" w:type="dxa"/>
            <w:tcBorders>
              <w:top w:val="single" w:sz="4" w:space="0" w:color="auto"/>
              <w:bottom w:val="nil"/>
            </w:tcBorders>
            <w:shd w:val="clear" w:color="auto" w:fill="B8CCE4" w:themeFill="accent1" w:themeFillTint="66"/>
            <w:vAlign w:val="center"/>
          </w:tcPr>
          <w:p w14:paraId="766078C5"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51/184 (27.7)</w:t>
            </w:r>
          </w:p>
        </w:tc>
        <w:tc>
          <w:tcPr>
            <w:tcW w:w="2218" w:type="dxa"/>
            <w:tcBorders>
              <w:top w:val="single" w:sz="4" w:space="0" w:color="auto"/>
              <w:bottom w:val="nil"/>
            </w:tcBorders>
            <w:shd w:val="clear" w:color="auto" w:fill="B8CCE4" w:themeFill="accent1" w:themeFillTint="66"/>
            <w:vAlign w:val="center"/>
          </w:tcPr>
          <w:p w14:paraId="6E06093C"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10 (-0, 19)</w:t>
            </w:r>
          </w:p>
        </w:tc>
      </w:tr>
      <w:tr w:rsidR="003E15C2" w:rsidRPr="002F733E" w14:paraId="6C12C0A3" w14:textId="77777777" w:rsidTr="009469FA">
        <w:tc>
          <w:tcPr>
            <w:tcW w:w="2405" w:type="dxa"/>
            <w:tcBorders>
              <w:top w:val="nil"/>
              <w:bottom w:val="nil"/>
            </w:tcBorders>
            <w:shd w:val="clear" w:color="auto" w:fill="B8CCE4" w:themeFill="accent1" w:themeFillTint="66"/>
          </w:tcPr>
          <w:p w14:paraId="443CE774"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TULIP-1 (post-hoc)</w:t>
            </w:r>
            <w:r w:rsidRPr="002F733E">
              <w:rPr>
                <w:rFonts w:ascii="Arial Narrow" w:hAnsi="Arial Narrow"/>
                <w:sz w:val="20"/>
                <w:szCs w:val="20"/>
                <w:vertAlign w:val="superscript"/>
              </w:rPr>
              <w:t xml:space="preserve"> c</w:t>
            </w:r>
          </w:p>
        </w:tc>
        <w:tc>
          <w:tcPr>
            <w:tcW w:w="2204" w:type="dxa"/>
            <w:tcBorders>
              <w:top w:val="nil"/>
              <w:bottom w:val="nil"/>
            </w:tcBorders>
            <w:shd w:val="clear" w:color="auto" w:fill="B8CCE4" w:themeFill="accent1" w:themeFillTint="66"/>
            <w:vAlign w:val="center"/>
          </w:tcPr>
          <w:p w14:paraId="6F882AB9"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83/180 (46.1)</w:t>
            </w:r>
          </w:p>
        </w:tc>
        <w:tc>
          <w:tcPr>
            <w:tcW w:w="2190" w:type="dxa"/>
            <w:tcBorders>
              <w:top w:val="nil"/>
              <w:bottom w:val="nil"/>
            </w:tcBorders>
            <w:shd w:val="clear" w:color="auto" w:fill="B8CCE4" w:themeFill="accent1" w:themeFillTint="66"/>
            <w:vAlign w:val="center"/>
          </w:tcPr>
          <w:p w14:paraId="55DBF663"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57/184 (31.0)</w:t>
            </w:r>
          </w:p>
        </w:tc>
        <w:tc>
          <w:tcPr>
            <w:tcW w:w="2218" w:type="dxa"/>
            <w:tcBorders>
              <w:top w:val="nil"/>
              <w:bottom w:val="nil"/>
            </w:tcBorders>
            <w:shd w:val="clear" w:color="auto" w:fill="B8CCE4" w:themeFill="accent1" w:themeFillTint="66"/>
            <w:vAlign w:val="center"/>
          </w:tcPr>
          <w:p w14:paraId="7288257A" w14:textId="77777777" w:rsidR="003E15C2" w:rsidRPr="002F733E" w:rsidRDefault="003E15C2" w:rsidP="009469FA">
            <w:pPr>
              <w:keepNext/>
              <w:widowControl w:val="0"/>
              <w:shd w:val="clear" w:color="auto" w:fill="B8CCE4" w:themeFill="accent1" w:themeFillTint="66"/>
              <w:ind w:left="104"/>
              <w:jc w:val="center"/>
              <w:rPr>
                <w:rFonts w:ascii="Arial Narrow" w:hAnsi="Arial Narrow"/>
                <w:b/>
                <w:sz w:val="20"/>
                <w:szCs w:val="20"/>
              </w:rPr>
            </w:pPr>
            <w:r w:rsidRPr="002F733E">
              <w:rPr>
                <w:rFonts w:ascii="Arial Narrow" w:hAnsi="Arial Narrow"/>
                <w:b/>
                <w:sz w:val="20"/>
                <w:szCs w:val="20"/>
              </w:rPr>
              <w:t>15 (5, 25)</w:t>
            </w:r>
          </w:p>
        </w:tc>
      </w:tr>
      <w:tr w:rsidR="003E15C2" w:rsidRPr="002F733E" w14:paraId="388AB0DB" w14:textId="77777777" w:rsidTr="009469FA">
        <w:tc>
          <w:tcPr>
            <w:tcW w:w="2405" w:type="dxa"/>
            <w:tcBorders>
              <w:top w:val="nil"/>
              <w:bottom w:val="nil"/>
            </w:tcBorders>
            <w:shd w:val="clear" w:color="auto" w:fill="B8CCE4" w:themeFill="accent1" w:themeFillTint="66"/>
          </w:tcPr>
          <w:p w14:paraId="26752F38"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TULIP-2</w:t>
            </w:r>
          </w:p>
        </w:tc>
        <w:tc>
          <w:tcPr>
            <w:tcW w:w="2204" w:type="dxa"/>
            <w:tcBorders>
              <w:top w:val="nil"/>
              <w:bottom w:val="nil"/>
            </w:tcBorders>
            <w:shd w:val="clear" w:color="auto" w:fill="B8CCE4" w:themeFill="accent1" w:themeFillTint="66"/>
            <w:vAlign w:val="center"/>
          </w:tcPr>
          <w:p w14:paraId="78A13083"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88/180 (48.9)</w:t>
            </w:r>
          </w:p>
        </w:tc>
        <w:tc>
          <w:tcPr>
            <w:tcW w:w="2190" w:type="dxa"/>
            <w:tcBorders>
              <w:top w:val="nil"/>
              <w:bottom w:val="nil"/>
            </w:tcBorders>
            <w:shd w:val="clear" w:color="auto" w:fill="B8CCE4" w:themeFill="accent1" w:themeFillTint="66"/>
            <w:vAlign w:val="center"/>
          </w:tcPr>
          <w:p w14:paraId="5ACF0221"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59/182 (32.4)</w:t>
            </w:r>
          </w:p>
        </w:tc>
        <w:tc>
          <w:tcPr>
            <w:tcW w:w="2218" w:type="dxa"/>
            <w:tcBorders>
              <w:top w:val="nil"/>
              <w:bottom w:val="nil"/>
            </w:tcBorders>
            <w:shd w:val="clear" w:color="auto" w:fill="B8CCE4" w:themeFill="accent1" w:themeFillTint="66"/>
            <w:vAlign w:val="center"/>
          </w:tcPr>
          <w:p w14:paraId="5291A599" w14:textId="77777777" w:rsidR="003E15C2" w:rsidRPr="002F733E" w:rsidRDefault="003E15C2" w:rsidP="009469FA">
            <w:pPr>
              <w:keepNext/>
              <w:widowControl w:val="0"/>
              <w:shd w:val="clear" w:color="auto" w:fill="B8CCE4" w:themeFill="accent1" w:themeFillTint="66"/>
              <w:ind w:left="104"/>
              <w:jc w:val="center"/>
              <w:rPr>
                <w:rFonts w:ascii="Arial Narrow" w:hAnsi="Arial Narrow"/>
                <w:b/>
                <w:sz w:val="20"/>
                <w:szCs w:val="20"/>
              </w:rPr>
            </w:pPr>
            <w:r w:rsidRPr="002F733E">
              <w:rPr>
                <w:rFonts w:ascii="Arial Narrow" w:hAnsi="Arial Narrow"/>
                <w:b/>
                <w:sz w:val="20"/>
                <w:szCs w:val="20"/>
              </w:rPr>
              <w:t>16 (6, 26)</w:t>
            </w:r>
          </w:p>
        </w:tc>
      </w:tr>
      <w:tr w:rsidR="003E15C2" w:rsidRPr="002F733E" w14:paraId="4A479B70" w14:textId="77777777" w:rsidTr="009469FA">
        <w:tc>
          <w:tcPr>
            <w:tcW w:w="2405" w:type="dxa"/>
            <w:tcBorders>
              <w:top w:val="nil"/>
              <w:bottom w:val="nil"/>
            </w:tcBorders>
            <w:shd w:val="clear" w:color="auto" w:fill="B8CCE4" w:themeFill="accent1" w:themeFillTint="66"/>
          </w:tcPr>
          <w:p w14:paraId="3BAF85F8" w14:textId="77777777" w:rsidR="003E15C2" w:rsidRPr="002F733E" w:rsidRDefault="003E15C2" w:rsidP="009469FA">
            <w:pPr>
              <w:keepNext/>
              <w:widowControl w:val="0"/>
              <w:shd w:val="clear" w:color="auto" w:fill="B8CCE4" w:themeFill="accent1" w:themeFillTint="66"/>
              <w:ind w:left="104"/>
              <w:jc w:val="right"/>
              <w:rPr>
                <w:rFonts w:ascii="Arial Narrow" w:hAnsi="Arial Narrow"/>
                <w:sz w:val="20"/>
                <w:szCs w:val="20"/>
              </w:rPr>
            </w:pPr>
            <w:r w:rsidRPr="002F733E">
              <w:rPr>
                <w:rFonts w:ascii="Arial Narrow" w:hAnsi="Arial Narrow"/>
                <w:sz w:val="20"/>
                <w:szCs w:val="20"/>
              </w:rPr>
              <w:t>TULIP 1 &amp; 2 pooled</w:t>
            </w:r>
            <w:r w:rsidRPr="002F733E">
              <w:rPr>
                <w:rFonts w:ascii="Arial Narrow" w:hAnsi="Arial Narrow"/>
                <w:sz w:val="20"/>
                <w:szCs w:val="20"/>
                <w:vertAlign w:val="superscript"/>
              </w:rPr>
              <w:t>d</w:t>
            </w:r>
          </w:p>
        </w:tc>
        <w:tc>
          <w:tcPr>
            <w:tcW w:w="2204" w:type="dxa"/>
            <w:tcBorders>
              <w:top w:val="nil"/>
              <w:bottom w:val="nil"/>
            </w:tcBorders>
            <w:shd w:val="clear" w:color="auto" w:fill="B8CCE4" w:themeFill="accent1" w:themeFillTint="66"/>
            <w:vAlign w:val="center"/>
          </w:tcPr>
          <w:p w14:paraId="57B34EB6"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171/360 (47.5)</w:t>
            </w:r>
          </w:p>
        </w:tc>
        <w:tc>
          <w:tcPr>
            <w:tcW w:w="2190" w:type="dxa"/>
            <w:tcBorders>
              <w:top w:val="nil"/>
              <w:bottom w:val="nil"/>
            </w:tcBorders>
            <w:shd w:val="clear" w:color="auto" w:fill="B8CCE4" w:themeFill="accent1" w:themeFillTint="66"/>
            <w:vAlign w:val="center"/>
          </w:tcPr>
          <w:p w14:paraId="14DF913C"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116/366 (31.7)</w:t>
            </w:r>
          </w:p>
        </w:tc>
        <w:tc>
          <w:tcPr>
            <w:tcW w:w="2218" w:type="dxa"/>
            <w:tcBorders>
              <w:top w:val="nil"/>
              <w:bottom w:val="nil"/>
            </w:tcBorders>
            <w:shd w:val="clear" w:color="auto" w:fill="B8CCE4" w:themeFill="accent1" w:themeFillTint="66"/>
            <w:vAlign w:val="center"/>
          </w:tcPr>
          <w:p w14:paraId="5FD35A99" w14:textId="77777777" w:rsidR="003E15C2" w:rsidRPr="002F733E" w:rsidRDefault="003E15C2" w:rsidP="009469FA">
            <w:pPr>
              <w:keepNext/>
              <w:widowControl w:val="0"/>
              <w:shd w:val="clear" w:color="auto" w:fill="B8CCE4" w:themeFill="accent1" w:themeFillTint="66"/>
              <w:ind w:left="104"/>
              <w:jc w:val="center"/>
              <w:rPr>
                <w:rFonts w:ascii="Arial Narrow" w:hAnsi="Arial Narrow"/>
                <w:b/>
                <w:sz w:val="20"/>
                <w:szCs w:val="20"/>
              </w:rPr>
            </w:pPr>
            <w:r w:rsidRPr="002F733E">
              <w:rPr>
                <w:rFonts w:ascii="Arial Narrow" w:hAnsi="Arial Narrow"/>
                <w:b/>
                <w:sz w:val="20"/>
                <w:szCs w:val="20"/>
              </w:rPr>
              <w:t>16 (9, 23)</w:t>
            </w:r>
          </w:p>
        </w:tc>
      </w:tr>
      <w:tr w:rsidR="003E15C2" w:rsidRPr="002F733E" w14:paraId="77755583" w14:textId="77777777" w:rsidTr="006A0431">
        <w:tc>
          <w:tcPr>
            <w:tcW w:w="2405" w:type="dxa"/>
            <w:tcBorders>
              <w:top w:val="nil"/>
              <w:bottom w:val="single" w:sz="4" w:space="0" w:color="auto"/>
            </w:tcBorders>
            <w:shd w:val="clear" w:color="auto" w:fill="B8CCE4" w:themeFill="accent1" w:themeFillTint="66"/>
          </w:tcPr>
          <w:p w14:paraId="3822FB31" w14:textId="77777777" w:rsidR="003E15C2" w:rsidRPr="002F733E" w:rsidRDefault="003E15C2" w:rsidP="009469FA">
            <w:pPr>
              <w:keepNext/>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MUSE</w:t>
            </w:r>
          </w:p>
        </w:tc>
        <w:tc>
          <w:tcPr>
            <w:tcW w:w="2204" w:type="dxa"/>
            <w:tcBorders>
              <w:top w:val="nil"/>
              <w:bottom w:val="single" w:sz="4" w:space="0" w:color="auto"/>
            </w:tcBorders>
            <w:shd w:val="clear" w:color="auto" w:fill="B8CCE4" w:themeFill="accent1" w:themeFillTint="66"/>
            <w:vAlign w:val="center"/>
          </w:tcPr>
          <w:p w14:paraId="310B6908"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NR</w:t>
            </w:r>
          </w:p>
        </w:tc>
        <w:tc>
          <w:tcPr>
            <w:tcW w:w="2190" w:type="dxa"/>
            <w:tcBorders>
              <w:top w:val="nil"/>
              <w:bottom w:val="single" w:sz="4" w:space="0" w:color="auto"/>
            </w:tcBorders>
            <w:shd w:val="clear" w:color="auto" w:fill="B8CCE4" w:themeFill="accent1" w:themeFillTint="66"/>
            <w:vAlign w:val="center"/>
          </w:tcPr>
          <w:p w14:paraId="1DC936C5"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NR</w:t>
            </w:r>
          </w:p>
        </w:tc>
        <w:tc>
          <w:tcPr>
            <w:tcW w:w="2218" w:type="dxa"/>
            <w:tcBorders>
              <w:top w:val="nil"/>
              <w:bottom w:val="single" w:sz="4" w:space="0" w:color="auto"/>
            </w:tcBorders>
            <w:shd w:val="clear" w:color="auto" w:fill="B8CCE4" w:themeFill="accent1" w:themeFillTint="66"/>
            <w:vAlign w:val="center"/>
          </w:tcPr>
          <w:p w14:paraId="4B46D565" w14:textId="77777777" w:rsidR="003E15C2" w:rsidRPr="002F733E" w:rsidRDefault="003E15C2" w:rsidP="009469FA">
            <w:pPr>
              <w:keepNext/>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w:t>
            </w:r>
          </w:p>
        </w:tc>
      </w:tr>
      <w:tr w:rsidR="003E15C2" w:rsidRPr="002F733E" w14:paraId="2012226E" w14:textId="77777777" w:rsidTr="006A0431">
        <w:tc>
          <w:tcPr>
            <w:tcW w:w="9017" w:type="dxa"/>
            <w:gridSpan w:val="4"/>
            <w:tcBorders>
              <w:bottom w:val="single" w:sz="4" w:space="0" w:color="auto"/>
            </w:tcBorders>
            <w:shd w:val="clear" w:color="auto" w:fill="B8CCE4" w:themeFill="accent1" w:themeFillTint="66"/>
            <w:vAlign w:val="center"/>
          </w:tcPr>
          <w:p w14:paraId="6B5E69EA" w14:textId="77777777" w:rsidR="003E15C2" w:rsidRPr="002F733E" w:rsidRDefault="003E15C2" w:rsidP="009469FA">
            <w:pPr>
              <w:widowControl w:val="0"/>
              <w:shd w:val="clear" w:color="auto" w:fill="B8CCE4" w:themeFill="accent1" w:themeFillTint="66"/>
              <w:ind w:left="104"/>
              <w:jc w:val="left"/>
              <w:rPr>
                <w:rFonts w:ascii="Arial Narrow" w:hAnsi="Arial Narrow"/>
                <w:b/>
                <w:sz w:val="20"/>
                <w:szCs w:val="20"/>
              </w:rPr>
            </w:pPr>
            <w:r w:rsidRPr="002F733E">
              <w:rPr>
                <w:rFonts w:ascii="Arial Narrow" w:hAnsi="Arial Narrow"/>
                <w:b/>
                <w:sz w:val="20"/>
                <w:szCs w:val="20"/>
              </w:rPr>
              <w:t>No worsening (increase &gt;0 points) from baseline in the SLEDAI-2K score</w:t>
            </w:r>
          </w:p>
        </w:tc>
      </w:tr>
      <w:tr w:rsidR="003E15C2" w:rsidRPr="002F733E" w14:paraId="367478FF" w14:textId="77777777" w:rsidTr="006A0431">
        <w:tc>
          <w:tcPr>
            <w:tcW w:w="2405" w:type="dxa"/>
            <w:tcBorders>
              <w:top w:val="single" w:sz="4" w:space="0" w:color="auto"/>
              <w:bottom w:val="nil"/>
            </w:tcBorders>
            <w:shd w:val="clear" w:color="auto" w:fill="B8CCE4" w:themeFill="accent1" w:themeFillTint="66"/>
          </w:tcPr>
          <w:p w14:paraId="72BFA981" w14:textId="77777777" w:rsidR="003E15C2" w:rsidRPr="002F733E" w:rsidRDefault="003E15C2" w:rsidP="009469FA">
            <w:pPr>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TULIP-1 (pre-specified)</w:t>
            </w:r>
            <w:r w:rsidRPr="002F733E">
              <w:rPr>
                <w:rFonts w:ascii="Arial Narrow" w:hAnsi="Arial Narrow"/>
                <w:sz w:val="20"/>
                <w:szCs w:val="20"/>
                <w:vertAlign w:val="superscript"/>
              </w:rPr>
              <w:t xml:space="preserve"> a</w:t>
            </w:r>
          </w:p>
        </w:tc>
        <w:tc>
          <w:tcPr>
            <w:tcW w:w="2204" w:type="dxa"/>
            <w:tcBorders>
              <w:top w:val="single" w:sz="4" w:space="0" w:color="auto"/>
              <w:bottom w:val="nil"/>
            </w:tcBorders>
            <w:shd w:val="clear" w:color="auto" w:fill="B8CCE4" w:themeFill="accent1" w:themeFillTint="66"/>
            <w:vAlign w:val="center"/>
          </w:tcPr>
          <w:p w14:paraId="3DD6A802" w14:textId="77777777" w:rsidR="003E15C2" w:rsidRPr="002F733E" w:rsidRDefault="003E15C2" w:rsidP="009469FA">
            <w:pPr>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98/180 (54.4)</w:t>
            </w:r>
          </w:p>
        </w:tc>
        <w:tc>
          <w:tcPr>
            <w:tcW w:w="2190" w:type="dxa"/>
            <w:tcBorders>
              <w:top w:val="single" w:sz="4" w:space="0" w:color="auto"/>
              <w:bottom w:val="nil"/>
            </w:tcBorders>
            <w:shd w:val="clear" w:color="auto" w:fill="B8CCE4" w:themeFill="accent1" w:themeFillTint="66"/>
            <w:vAlign w:val="center"/>
          </w:tcPr>
          <w:p w14:paraId="6EF82F2A" w14:textId="77777777" w:rsidR="003E15C2" w:rsidRPr="002F733E" w:rsidRDefault="003E15C2" w:rsidP="009469FA">
            <w:pPr>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96/184 (52.2)</w:t>
            </w:r>
          </w:p>
        </w:tc>
        <w:tc>
          <w:tcPr>
            <w:tcW w:w="2218" w:type="dxa"/>
            <w:tcBorders>
              <w:top w:val="single" w:sz="4" w:space="0" w:color="auto"/>
              <w:bottom w:val="nil"/>
            </w:tcBorders>
            <w:shd w:val="clear" w:color="auto" w:fill="B8CCE4" w:themeFill="accent1" w:themeFillTint="66"/>
            <w:vAlign w:val="center"/>
          </w:tcPr>
          <w:p w14:paraId="42364150" w14:textId="77777777" w:rsidR="003E15C2" w:rsidRPr="002F733E" w:rsidRDefault="003E15C2" w:rsidP="009469FA">
            <w:pPr>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2 (-8, 13)</w:t>
            </w:r>
          </w:p>
        </w:tc>
      </w:tr>
      <w:tr w:rsidR="003E15C2" w:rsidRPr="002F733E" w14:paraId="7574AB7F" w14:textId="77777777" w:rsidTr="009469FA">
        <w:tc>
          <w:tcPr>
            <w:tcW w:w="2405" w:type="dxa"/>
            <w:tcBorders>
              <w:top w:val="nil"/>
              <w:bottom w:val="nil"/>
            </w:tcBorders>
            <w:shd w:val="clear" w:color="auto" w:fill="B8CCE4" w:themeFill="accent1" w:themeFillTint="66"/>
          </w:tcPr>
          <w:p w14:paraId="2D52ADCC" w14:textId="77777777" w:rsidR="003E15C2" w:rsidRPr="002F733E" w:rsidRDefault="003E15C2" w:rsidP="009469FA">
            <w:pPr>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TULIP-1 (post-hoc)</w:t>
            </w:r>
            <w:r w:rsidRPr="002F733E">
              <w:rPr>
                <w:rFonts w:ascii="Arial Narrow" w:hAnsi="Arial Narrow"/>
                <w:sz w:val="20"/>
                <w:szCs w:val="20"/>
                <w:vertAlign w:val="superscript"/>
              </w:rPr>
              <w:t xml:space="preserve"> c</w:t>
            </w:r>
          </w:p>
        </w:tc>
        <w:tc>
          <w:tcPr>
            <w:tcW w:w="2204" w:type="dxa"/>
            <w:tcBorders>
              <w:top w:val="nil"/>
              <w:bottom w:val="nil"/>
            </w:tcBorders>
            <w:shd w:val="clear" w:color="auto" w:fill="B8CCE4" w:themeFill="accent1" w:themeFillTint="66"/>
            <w:vAlign w:val="center"/>
          </w:tcPr>
          <w:p w14:paraId="57E238CF" w14:textId="77777777" w:rsidR="003E15C2" w:rsidRPr="002F733E" w:rsidRDefault="003E15C2" w:rsidP="009469FA">
            <w:pPr>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118/180 (65.6)</w:t>
            </w:r>
          </w:p>
        </w:tc>
        <w:tc>
          <w:tcPr>
            <w:tcW w:w="2190" w:type="dxa"/>
            <w:tcBorders>
              <w:top w:val="nil"/>
              <w:bottom w:val="nil"/>
            </w:tcBorders>
            <w:shd w:val="clear" w:color="auto" w:fill="B8CCE4" w:themeFill="accent1" w:themeFillTint="66"/>
            <w:vAlign w:val="center"/>
          </w:tcPr>
          <w:p w14:paraId="1CAA44E7" w14:textId="77777777" w:rsidR="003E15C2" w:rsidRPr="002F733E" w:rsidRDefault="003E15C2" w:rsidP="009469FA">
            <w:pPr>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103/184 (56.0)</w:t>
            </w:r>
          </w:p>
        </w:tc>
        <w:tc>
          <w:tcPr>
            <w:tcW w:w="2218" w:type="dxa"/>
            <w:tcBorders>
              <w:top w:val="nil"/>
              <w:bottom w:val="nil"/>
            </w:tcBorders>
            <w:shd w:val="clear" w:color="auto" w:fill="B8CCE4" w:themeFill="accent1" w:themeFillTint="66"/>
            <w:vAlign w:val="center"/>
          </w:tcPr>
          <w:p w14:paraId="4B221461" w14:textId="77777777" w:rsidR="003E15C2" w:rsidRPr="002F733E" w:rsidRDefault="003E15C2" w:rsidP="009469FA">
            <w:pPr>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10 (-0, 20)</w:t>
            </w:r>
          </w:p>
        </w:tc>
      </w:tr>
      <w:tr w:rsidR="003E15C2" w:rsidRPr="002F733E" w14:paraId="1B830E35" w14:textId="77777777" w:rsidTr="009469FA">
        <w:tc>
          <w:tcPr>
            <w:tcW w:w="2405" w:type="dxa"/>
            <w:tcBorders>
              <w:top w:val="nil"/>
              <w:bottom w:val="nil"/>
            </w:tcBorders>
            <w:shd w:val="clear" w:color="auto" w:fill="B8CCE4" w:themeFill="accent1" w:themeFillTint="66"/>
          </w:tcPr>
          <w:p w14:paraId="17E4144F" w14:textId="77777777" w:rsidR="003E15C2" w:rsidRPr="002F733E" w:rsidRDefault="003E15C2" w:rsidP="009469FA">
            <w:pPr>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TULIP-2</w:t>
            </w:r>
          </w:p>
        </w:tc>
        <w:tc>
          <w:tcPr>
            <w:tcW w:w="2204" w:type="dxa"/>
            <w:tcBorders>
              <w:top w:val="nil"/>
              <w:bottom w:val="nil"/>
            </w:tcBorders>
            <w:shd w:val="clear" w:color="auto" w:fill="B8CCE4" w:themeFill="accent1" w:themeFillTint="66"/>
            <w:vAlign w:val="center"/>
          </w:tcPr>
          <w:p w14:paraId="23EBE734" w14:textId="77777777" w:rsidR="003E15C2" w:rsidRPr="002F733E" w:rsidRDefault="003E15C2" w:rsidP="009469FA">
            <w:pPr>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122/180 (67.8)</w:t>
            </w:r>
          </w:p>
        </w:tc>
        <w:tc>
          <w:tcPr>
            <w:tcW w:w="2190" w:type="dxa"/>
            <w:tcBorders>
              <w:top w:val="nil"/>
              <w:bottom w:val="nil"/>
            </w:tcBorders>
            <w:shd w:val="clear" w:color="auto" w:fill="B8CCE4" w:themeFill="accent1" w:themeFillTint="66"/>
            <w:vAlign w:val="center"/>
          </w:tcPr>
          <w:p w14:paraId="2C117AD4" w14:textId="77777777" w:rsidR="003E15C2" w:rsidRPr="002F733E" w:rsidRDefault="003E15C2" w:rsidP="009469FA">
            <w:pPr>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94/182 (51.6)</w:t>
            </w:r>
          </w:p>
        </w:tc>
        <w:tc>
          <w:tcPr>
            <w:tcW w:w="2218" w:type="dxa"/>
            <w:tcBorders>
              <w:top w:val="nil"/>
              <w:bottom w:val="nil"/>
            </w:tcBorders>
            <w:shd w:val="clear" w:color="auto" w:fill="B8CCE4" w:themeFill="accent1" w:themeFillTint="66"/>
            <w:vAlign w:val="center"/>
          </w:tcPr>
          <w:p w14:paraId="35A1CEB0" w14:textId="77777777" w:rsidR="003E15C2" w:rsidRPr="002F733E" w:rsidRDefault="003E15C2" w:rsidP="009469FA">
            <w:pPr>
              <w:widowControl w:val="0"/>
              <w:shd w:val="clear" w:color="auto" w:fill="B8CCE4" w:themeFill="accent1" w:themeFillTint="66"/>
              <w:ind w:left="104"/>
              <w:jc w:val="center"/>
              <w:rPr>
                <w:rFonts w:ascii="Arial Narrow" w:hAnsi="Arial Narrow"/>
                <w:b/>
                <w:sz w:val="20"/>
                <w:szCs w:val="20"/>
              </w:rPr>
            </w:pPr>
            <w:r w:rsidRPr="002F733E">
              <w:rPr>
                <w:rFonts w:ascii="Arial Narrow" w:hAnsi="Arial Narrow"/>
                <w:b/>
                <w:sz w:val="20"/>
                <w:szCs w:val="20"/>
              </w:rPr>
              <w:t>16 (6, 26)</w:t>
            </w:r>
          </w:p>
        </w:tc>
      </w:tr>
      <w:tr w:rsidR="003E15C2" w:rsidRPr="002F733E" w14:paraId="65263733" w14:textId="77777777" w:rsidTr="009469FA">
        <w:tc>
          <w:tcPr>
            <w:tcW w:w="2405" w:type="dxa"/>
            <w:tcBorders>
              <w:top w:val="nil"/>
              <w:bottom w:val="nil"/>
            </w:tcBorders>
            <w:shd w:val="clear" w:color="auto" w:fill="B8CCE4" w:themeFill="accent1" w:themeFillTint="66"/>
          </w:tcPr>
          <w:p w14:paraId="0DC4B9AF" w14:textId="77777777" w:rsidR="003E15C2" w:rsidRPr="002F733E" w:rsidRDefault="003E15C2" w:rsidP="009469FA">
            <w:pPr>
              <w:widowControl w:val="0"/>
              <w:shd w:val="clear" w:color="auto" w:fill="B8CCE4" w:themeFill="accent1" w:themeFillTint="66"/>
              <w:ind w:left="104"/>
              <w:jc w:val="right"/>
              <w:rPr>
                <w:rFonts w:ascii="Arial Narrow" w:hAnsi="Arial Narrow"/>
                <w:sz w:val="20"/>
                <w:szCs w:val="20"/>
              </w:rPr>
            </w:pPr>
            <w:r w:rsidRPr="002F733E">
              <w:rPr>
                <w:rFonts w:ascii="Arial Narrow" w:hAnsi="Arial Narrow"/>
                <w:sz w:val="20"/>
                <w:szCs w:val="20"/>
              </w:rPr>
              <w:t>TULIP 1 &amp; 2 pooled</w:t>
            </w:r>
            <w:r w:rsidRPr="002F733E">
              <w:rPr>
                <w:rFonts w:ascii="Arial Narrow" w:hAnsi="Arial Narrow"/>
                <w:sz w:val="20"/>
                <w:szCs w:val="20"/>
                <w:vertAlign w:val="superscript"/>
              </w:rPr>
              <w:t>d</w:t>
            </w:r>
          </w:p>
        </w:tc>
        <w:tc>
          <w:tcPr>
            <w:tcW w:w="2204" w:type="dxa"/>
            <w:tcBorders>
              <w:top w:val="nil"/>
              <w:bottom w:val="nil"/>
            </w:tcBorders>
            <w:shd w:val="clear" w:color="auto" w:fill="B8CCE4" w:themeFill="accent1" w:themeFillTint="66"/>
            <w:vAlign w:val="center"/>
          </w:tcPr>
          <w:p w14:paraId="4F142B6A" w14:textId="77777777" w:rsidR="003E15C2" w:rsidRPr="002F733E" w:rsidRDefault="003E15C2" w:rsidP="009469FA">
            <w:pPr>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240/360 (66.7)</w:t>
            </w:r>
          </w:p>
        </w:tc>
        <w:tc>
          <w:tcPr>
            <w:tcW w:w="2190" w:type="dxa"/>
            <w:tcBorders>
              <w:top w:val="nil"/>
              <w:bottom w:val="nil"/>
            </w:tcBorders>
            <w:shd w:val="clear" w:color="auto" w:fill="B8CCE4" w:themeFill="accent1" w:themeFillTint="66"/>
            <w:vAlign w:val="center"/>
          </w:tcPr>
          <w:p w14:paraId="53D26E3A" w14:textId="77777777" w:rsidR="003E15C2" w:rsidRPr="002F733E" w:rsidRDefault="003E15C2" w:rsidP="009469FA">
            <w:pPr>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197/366 (53.8)</w:t>
            </w:r>
          </w:p>
        </w:tc>
        <w:tc>
          <w:tcPr>
            <w:tcW w:w="2218" w:type="dxa"/>
            <w:tcBorders>
              <w:top w:val="nil"/>
              <w:bottom w:val="nil"/>
            </w:tcBorders>
            <w:shd w:val="clear" w:color="auto" w:fill="B8CCE4" w:themeFill="accent1" w:themeFillTint="66"/>
            <w:vAlign w:val="center"/>
          </w:tcPr>
          <w:p w14:paraId="4ADB966A" w14:textId="77777777" w:rsidR="003E15C2" w:rsidRPr="002F733E" w:rsidRDefault="003E15C2" w:rsidP="009469FA">
            <w:pPr>
              <w:widowControl w:val="0"/>
              <w:shd w:val="clear" w:color="auto" w:fill="B8CCE4" w:themeFill="accent1" w:themeFillTint="66"/>
              <w:ind w:left="104"/>
              <w:jc w:val="center"/>
              <w:rPr>
                <w:rFonts w:ascii="Arial Narrow" w:hAnsi="Arial Narrow"/>
                <w:b/>
                <w:sz w:val="20"/>
                <w:szCs w:val="20"/>
              </w:rPr>
            </w:pPr>
            <w:r w:rsidRPr="002F733E">
              <w:rPr>
                <w:rFonts w:ascii="Arial Narrow" w:hAnsi="Arial Narrow"/>
                <w:b/>
                <w:sz w:val="20"/>
                <w:szCs w:val="20"/>
              </w:rPr>
              <w:t>13 (6, 20)</w:t>
            </w:r>
          </w:p>
        </w:tc>
      </w:tr>
      <w:tr w:rsidR="003E15C2" w:rsidRPr="002F733E" w14:paraId="75505B53" w14:textId="77777777" w:rsidTr="006A0431">
        <w:tc>
          <w:tcPr>
            <w:tcW w:w="2405" w:type="dxa"/>
            <w:tcBorders>
              <w:top w:val="nil"/>
              <w:bottom w:val="single" w:sz="4" w:space="0" w:color="auto"/>
            </w:tcBorders>
            <w:shd w:val="clear" w:color="auto" w:fill="B8CCE4" w:themeFill="accent1" w:themeFillTint="66"/>
          </w:tcPr>
          <w:p w14:paraId="06207F70" w14:textId="77777777" w:rsidR="003E15C2" w:rsidRPr="002F733E" w:rsidRDefault="003E15C2" w:rsidP="009469FA">
            <w:pPr>
              <w:widowControl w:val="0"/>
              <w:shd w:val="clear" w:color="auto" w:fill="B8CCE4" w:themeFill="accent1" w:themeFillTint="66"/>
              <w:ind w:left="104"/>
              <w:rPr>
                <w:rFonts w:ascii="Arial Narrow" w:hAnsi="Arial Narrow"/>
                <w:sz w:val="20"/>
                <w:szCs w:val="20"/>
              </w:rPr>
            </w:pPr>
            <w:r w:rsidRPr="002F733E">
              <w:rPr>
                <w:rFonts w:ascii="Arial Narrow" w:hAnsi="Arial Narrow"/>
                <w:sz w:val="20"/>
                <w:szCs w:val="20"/>
              </w:rPr>
              <w:t>MUSE</w:t>
            </w:r>
          </w:p>
        </w:tc>
        <w:tc>
          <w:tcPr>
            <w:tcW w:w="2204" w:type="dxa"/>
            <w:tcBorders>
              <w:top w:val="nil"/>
              <w:bottom w:val="single" w:sz="4" w:space="0" w:color="auto"/>
            </w:tcBorders>
            <w:shd w:val="clear" w:color="auto" w:fill="B8CCE4" w:themeFill="accent1" w:themeFillTint="66"/>
            <w:vAlign w:val="center"/>
          </w:tcPr>
          <w:p w14:paraId="27C5B259" w14:textId="77777777" w:rsidR="003E15C2" w:rsidRPr="002F733E" w:rsidRDefault="003E15C2" w:rsidP="009469FA">
            <w:pPr>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NR</w:t>
            </w:r>
          </w:p>
        </w:tc>
        <w:tc>
          <w:tcPr>
            <w:tcW w:w="2190" w:type="dxa"/>
            <w:tcBorders>
              <w:top w:val="nil"/>
              <w:bottom w:val="single" w:sz="4" w:space="0" w:color="auto"/>
            </w:tcBorders>
            <w:shd w:val="clear" w:color="auto" w:fill="B8CCE4" w:themeFill="accent1" w:themeFillTint="66"/>
            <w:vAlign w:val="center"/>
          </w:tcPr>
          <w:p w14:paraId="6657BED2" w14:textId="77777777" w:rsidR="003E15C2" w:rsidRPr="002F733E" w:rsidRDefault="003E15C2" w:rsidP="009469FA">
            <w:pPr>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NR</w:t>
            </w:r>
          </w:p>
        </w:tc>
        <w:tc>
          <w:tcPr>
            <w:tcW w:w="2218" w:type="dxa"/>
            <w:tcBorders>
              <w:top w:val="nil"/>
              <w:bottom w:val="single" w:sz="4" w:space="0" w:color="auto"/>
            </w:tcBorders>
            <w:shd w:val="clear" w:color="auto" w:fill="B8CCE4" w:themeFill="accent1" w:themeFillTint="66"/>
            <w:vAlign w:val="center"/>
          </w:tcPr>
          <w:p w14:paraId="4F406ADC" w14:textId="77777777" w:rsidR="003E15C2" w:rsidRPr="002F733E" w:rsidRDefault="003E15C2" w:rsidP="009469FA">
            <w:pPr>
              <w:widowControl w:val="0"/>
              <w:shd w:val="clear" w:color="auto" w:fill="B8CCE4" w:themeFill="accent1" w:themeFillTint="66"/>
              <w:ind w:left="104"/>
              <w:jc w:val="center"/>
              <w:rPr>
                <w:rFonts w:ascii="Arial Narrow" w:hAnsi="Arial Narrow"/>
                <w:sz w:val="20"/>
                <w:szCs w:val="20"/>
              </w:rPr>
            </w:pPr>
            <w:r w:rsidRPr="002F733E">
              <w:rPr>
                <w:rFonts w:ascii="Arial Narrow" w:hAnsi="Arial Narrow"/>
                <w:sz w:val="20"/>
                <w:szCs w:val="20"/>
              </w:rPr>
              <w:t>-</w:t>
            </w:r>
          </w:p>
        </w:tc>
      </w:tr>
      <w:tr w:rsidR="003E15C2" w:rsidRPr="002F733E" w14:paraId="0F020F04" w14:textId="77777777" w:rsidTr="006A0431">
        <w:tc>
          <w:tcPr>
            <w:tcW w:w="9017" w:type="dxa"/>
            <w:gridSpan w:val="4"/>
            <w:tcBorders>
              <w:bottom w:val="single" w:sz="4" w:space="0" w:color="auto"/>
            </w:tcBorders>
            <w:shd w:val="clear" w:color="auto" w:fill="D9D9D9" w:themeFill="background1" w:themeFillShade="D9"/>
            <w:vAlign w:val="center"/>
          </w:tcPr>
          <w:p w14:paraId="26CC8474" w14:textId="77777777" w:rsidR="003E15C2" w:rsidRPr="002F733E" w:rsidRDefault="003E15C2" w:rsidP="009469FA">
            <w:pPr>
              <w:widowControl w:val="0"/>
              <w:shd w:val="clear" w:color="auto" w:fill="B8CCE4" w:themeFill="accent1" w:themeFillTint="66"/>
              <w:jc w:val="left"/>
              <w:rPr>
                <w:rFonts w:ascii="Arial Narrow" w:hAnsi="Arial Narrow"/>
                <w:b/>
                <w:sz w:val="20"/>
                <w:szCs w:val="20"/>
              </w:rPr>
            </w:pPr>
            <w:r w:rsidRPr="002F733E">
              <w:rPr>
                <w:rFonts w:ascii="Arial Narrow" w:hAnsi="Arial Narrow"/>
                <w:b/>
                <w:sz w:val="20"/>
                <w:szCs w:val="20"/>
              </w:rPr>
              <w:t>No discontinuation of study drugs</w:t>
            </w:r>
          </w:p>
        </w:tc>
      </w:tr>
      <w:tr w:rsidR="003E15C2" w:rsidRPr="002F733E" w14:paraId="4575B59E" w14:textId="77777777" w:rsidTr="006A0431">
        <w:tc>
          <w:tcPr>
            <w:tcW w:w="2405" w:type="dxa"/>
            <w:tcBorders>
              <w:top w:val="single" w:sz="4" w:space="0" w:color="auto"/>
              <w:bottom w:val="nil"/>
            </w:tcBorders>
          </w:tcPr>
          <w:p w14:paraId="5D06BAC2" w14:textId="77777777" w:rsidR="003E15C2" w:rsidRPr="002F733E" w:rsidRDefault="003E15C2" w:rsidP="009469FA">
            <w:pPr>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TULIP-1 (pre-specified)</w:t>
            </w:r>
            <w:r w:rsidRPr="002F733E">
              <w:rPr>
                <w:rFonts w:ascii="Arial Narrow" w:hAnsi="Arial Narrow"/>
                <w:sz w:val="20"/>
                <w:szCs w:val="20"/>
                <w:vertAlign w:val="superscript"/>
              </w:rPr>
              <w:t xml:space="preserve"> a</w:t>
            </w:r>
          </w:p>
        </w:tc>
        <w:tc>
          <w:tcPr>
            <w:tcW w:w="2204" w:type="dxa"/>
            <w:tcBorders>
              <w:top w:val="single" w:sz="4" w:space="0" w:color="auto"/>
              <w:bottom w:val="nil"/>
            </w:tcBorders>
            <w:vAlign w:val="center"/>
          </w:tcPr>
          <w:p w14:paraId="6637880E"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144/180 (80.0)</w:t>
            </w:r>
          </w:p>
        </w:tc>
        <w:tc>
          <w:tcPr>
            <w:tcW w:w="2190" w:type="dxa"/>
            <w:tcBorders>
              <w:top w:val="single" w:sz="4" w:space="0" w:color="auto"/>
              <w:bottom w:val="nil"/>
            </w:tcBorders>
            <w:vAlign w:val="center"/>
          </w:tcPr>
          <w:p w14:paraId="7B6B6A48"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146/184 (79.3)</w:t>
            </w:r>
          </w:p>
        </w:tc>
        <w:tc>
          <w:tcPr>
            <w:tcW w:w="2218" w:type="dxa"/>
            <w:tcBorders>
              <w:top w:val="single" w:sz="4" w:space="0" w:color="auto"/>
              <w:bottom w:val="nil"/>
            </w:tcBorders>
            <w:vAlign w:val="center"/>
          </w:tcPr>
          <w:p w14:paraId="62D94D42"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 (-8, 9)</w:t>
            </w:r>
          </w:p>
        </w:tc>
      </w:tr>
      <w:tr w:rsidR="003E15C2" w:rsidRPr="002F733E" w14:paraId="6A418210" w14:textId="77777777" w:rsidTr="004676A9">
        <w:tc>
          <w:tcPr>
            <w:tcW w:w="2405" w:type="dxa"/>
            <w:tcBorders>
              <w:top w:val="nil"/>
              <w:bottom w:val="nil"/>
            </w:tcBorders>
          </w:tcPr>
          <w:p w14:paraId="4FC543AB" w14:textId="77777777" w:rsidR="003E15C2" w:rsidRPr="002F733E" w:rsidRDefault="003E15C2" w:rsidP="009469FA">
            <w:pPr>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TULIP-1 (post-hoc)</w:t>
            </w:r>
            <w:r w:rsidRPr="002F733E">
              <w:rPr>
                <w:rFonts w:ascii="Arial Narrow" w:hAnsi="Arial Narrow"/>
                <w:sz w:val="20"/>
                <w:szCs w:val="20"/>
                <w:vertAlign w:val="superscript"/>
              </w:rPr>
              <w:t xml:space="preserve"> c</w:t>
            </w:r>
          </w:p>
        </w:tc>
        <w:tc>
          <w:tcPr>
            <w:tcW w:w="2204" w:type="dxa"/>
            <w:tcBorders>
              <w:top w:val="nil"/>
              <w:bottom w:val="nil"/>
            </w:tcBorders>
            <w:vAlign w:val="center"/>
          </w:tcPr>
          <w:p w14:paraId="5DC1C5B8"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144/180 (80.0)</w:t>
            </w:r>
          </w:p>
        </w:tc>
        <w:tc>
          <w:tcPr>
            <w:tcW w:w="2190" w:type="dxa"/>
            <w:tcBorders>
              <w:top w:val="nil"/>
              <w:bottom w:val="nil"/>
            </w:tcBorders>
            <w:vAlign w:val="center"/>
          </w:tcPr>
          <w:p w14:paraId="6DCB126F"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146/184 (79.3)</w:t>
            </w:r>
          </w:p>
        </w:tc>
        <w:tc>
          <w:tcPr>
            <w:tcW w:w="2218" w:type="dxa"/>
            <w:tcBorders>
              <w:top w:val="nil"/>
              <w:bottom w:val="nil"/>
            </w:tcBorders>
            <w:vAlign w:val="center"/>
          </w:tcPr>
          <w:p w14:paraId="228F306D"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 (-8, 9)</w:t>
            </w:r>
          </w:p>
        </w:tc>
      </w:tr>
      <w:tr w:rsidR="003E15C2" w:rsidRPr="002F733E" w14:paraId="4D05A621" w14:textId="77777777" w:rsidTr="004676A9">
        <w:tc>
          <w:tcPr>
            <w:tcW w:w="2405" w:type="dxa"/>
            <w:tcBorders>
              <w:top w:val="nil"/>
              <w:bottom w:val="nil"/>
            </w:tcBorders>
          </w:tcPr>
          <w:p w14:paraId="6E27900D" w14:textId="77777777" w:rsidR="003E15C2" w:rsidRPr="002F733E" w:rsidRDefault="003E15C2" w:rsidP="009469FA">
            <w:pPr>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TULIP-2</w:t>
            </w:r>
          </w:p>
        </w:tc>
        <w:tc>
          <w:tcPr>
            <w:tcW w:w="2204" w:type="dxa"/>
            <w:tcBorders>
              <w:top w:val="nil"/>
              <w:bottom w:val="nil"/>
            </w:tcBorders>
            <w:vAlign w:val="center"/>
          </w:tcPr>
          <w:p w14:paraId="7ECE46AB"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153/180 (85.0)</w:t>
            </w:r>
          </w:p>
        </w:tc>
        <w:tc>
          <w:tcPr>
            <w:tcW w:w="2190" w:type="dxa"/>
            <w:tcBorders>
              <w:top w:val="nil"/>
              <w:bottom w:val="nil"/>
            </w:tcBorders>
            <w:vAlign w:val="center"/>
          </w:tcPr>
          <w:p w14:paraId="4A7A0961"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130/182 (71.4)</w:t>
            </w:r>
          </w:p>
        </w:tc>
        <w:tc>
          <w:tcPr>
            <w:tcW w:w="2218" w:type="dxa"/>
            <w:tcBorders>
              <w:top w:val="nil"/>
              <w:bottom w:val="nil"/>
            </w:tcBorders>
            <w:vAlign w:val="center"/>
          </w:tcPr>
          <w:p w14:paraId="46C6A06F" w14:textId="77777777" w:rsidR="003E15C2" w:rsidRPr="002F733E" w:rsidRDefault="003E15C2" w:rsidP="009469FA">
            <w:pPr>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14 (5, 22)</w:t>
            </w:r>
          </w:p>
        </w:tc>
      </w:tr>
      <w:tr w:rsidR="003E15C2" w:rsidRPr="002F733E" w14:paraId="1275F63A" w14:textId="77777777" w:rsidTr="004676A9">
        <w:tc>
          <w:tcPr>
            <w:tcW w:w="2405" w:type="dxa"/>
            <w:tcBorders>
              <w:top w:val="nil"/>
              <w:bottom w:val="nil"/>
            </w:tcBorders>
          </w:tcPr>
          <w:p w14:paraId="6CC317BA" w14:textId="77777777" w:rsidR="003E15C2" w:rsidRPr="002F733E" w:rsidRDefault="003E15C2" w:rsidP="009469FA">
            <w:pPr>
              <w:widowControl w:val="0"/>
              <w:shd w:val="clear" w:color="auto" w:fill="B8CCE4" w:themeFill="accent1" w:themeFillTint="66"/>
              <w:jc w:val="right"/>
              <w:rPr>
                <w:rFonts w:ascii="Arial Narrow" w:hAnsi="Arial Narrow"/>
                <w:sz w:val="20"/>
                <w:szCs w:val="20"/>
              </w:rPr>
            </w:pPr>
            <w:r w:rsidRPr="002F733E">
              <w:rPr>
                <w:rFonts w:ascii="Arial Narrow" w:hAnsi="Arial Narrow"/>
                <w:sz w:val="20"/>
                <w:szCs w:val="20"/>
              </w:rPr>
              <w:t>TULIP 1 &amp; 2 pooled</w:t>
            </w:r>
            <w:r w:rsidRPr="002F733E">
              <w:rPr>
                <w:rFonts w:ascii="Arial Narrow" w:hAnsi="Arial Narrow"/>
                <w:sz w:val="20"/>
                <w:szCs w:val="20"/>
                <w:vertAlign w:val="superscript"/>
              </w:rPr>
              <w:t>d</w:t>
            </w:r>
          </w:p>
        </w:tc>
        <w:tc>
          <w:tcPr>
            <w:tcW w:w="2204" w:type="dxa"/>
            <w:tcBorders>
              <w:top w:val="nil"/>
              <w:bottom w:val="nil"/>
            </w:tcBorders>
            <w:vAlign w:val="center"/>
          </w:tcPr>
          <w:p w14:paraId="13722F50"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297/360 (82.5)</w:t>
            </w:r>
          </w:p>
        </w:tc>
        <w:tc>
          <w:tcPr>
            <w:tcW w:w="2190" w:type="dxa"/>
            <w:tcBorders>
              <w:top w:val="nil"/>
              <w:bottom w:val="nil"/>
            </w:tcBorders>
            <w:vAlign w:val="center"/>
          </w:tcPr>
          <w:p w14:paraId="1E8DC38A"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276/366 (75.4)</w:t>
            </w:r>
          </w:p>
        </w:tc>
        <w:tc>
          <w:tcPr>
            <w:tcW w:w="2218" w:type="dxa"/>
            <w:tcBorders>
              <w:top w:val="nil"/>
              <w:bottom w:val="nil"/>
            </w:tcBorders>
            <w:vAlign w:val="center"/>
          </w:tcPr>
          <w:p w14:paraId="3F9356CE" w14:textId="77777777" w:rsidR="003E15C2" w:rsidRPr="002F733E" w:rsidRDefault="003E15C2" w:rsidP="009469FA">
            <w:pPr>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7 (1, 13)</w:t>
            </w:r>
          </w:p>
        </w:tc>
      </w:tr>
      <w:tr w:rsidR="003E15C2" w:rsidRPr="002F733E" w14:paraId="79E8CDB9" w14:textId="77777777" w:rsidTr="006A0431">
        <w:tc>
          <w:tcPr>
            <w:tcW w:w="2405" w:type="dxa"/>
            <w:tcBorders>
              <w:top w:val="nil"/>
              <w:bottom w:val="single" w:sz="4" w:space="0" w:color="auto"/>
            </w:tcBorders>
          </w:tcPr>
          <w:p w14:paraId="5273DD4B" w14:textId="77777777" w:rsidR="003E15C2" w:rsidRPr="002F733E" w:rsidRDefault="003E15C2" w:rsidP="009469FA">
            <w:pPr>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MUSE</w:t>
            </w:r>
          </w:p>
        </w:tc>
        <w:tc>
          <w:tcPr>
            <w:tcW w:w="2204" w:type="dxa"/>
            <w:tcBorders>
              <w:top w:val="nil"/>
              <w:bottom w:val="single" w:sz="4" w:space="0" w:color="auto"/>
            </w:tcBorders>
            <w:vAlign w:val="center"/>
          </w:tcPr>
          <w:p w14:paraId="41FD785D"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NR</w:t>
            </w:r>
          </w:p>
        </w:tc>
        <w:tc>
          <w:tcPr>
            <w:tcW w:w="2190" w:type="dxa"/>
            <w:tcBorders>
              <w:top w:val="nil"/>
              <w:bottom w:val="single" w:sz="4" w:space="0" w:color="auto"/>
            </w:tcBorders>
            <w:vAlign w:val="center"/>
          </w:tcPr>
          <w:p w14:paraId="33FF53C3"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NR</w:t>
            </w:r>
          </w:p>
        </w:tc>
        <w:tc>
          <w:tcPr>
            <w:tcW w:w="2218" w:type="dxa"/>
            <w:tcBorders>
              <w:top w:val="nil"/>
              <w:bottom w:val="single" w:sz="4" w:space="0" w:color="auto"/>
            </w:tcBorders>
            <w:vAlign w:val="center"/>
          </w:tcPr>
          <w:p w14:paraId="653D40B8"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w:t>
            </w:r>
          </w:p>
        </w:tc>
      </w:tr>
      <w:tr w:rsidR="003E15C2" w:rsidRPr="002F733E" w14:paraId="0DDEBF23" w14:textId="77777777" w:rsidTr="006A0431">
        <w:tc>
          <w:tcPr>
            <w:tcW w:w="9017" w:type="dxa"/>
            <w:gridSpan w:val="4"/>
            <w:tcBorders>
              <w:bottom w:val="single" w:sz="4" w:space="0" w:color="auto"/>
            </w:tcBorders>
            <w:shd w:val="clear" w:color="auto" w:fill="D9D9D9" w:themeFill="background1" w:themeFillShade="D9"/>
            <w:vAlign w:val="center"/>
          </w:tcPr>
          <w:p w14:paraId="73292E36" w14:textId="77777777" w:rsidR="003E15C2" w:rsidRPr="002F733E" w:rsidRDefault="003E15C2" w:rsidP="009469FA">
            <w:pPr>
              <w:widowControl w:val="0"/>
              <w:shd w:val="clear" w:color="auto" w:fill="B8CCE4" w:themeFill="accent1" w:themeFillTint="66"/>
              <w:jc w:val="left"/>
              <w:rPr>
                <w:rFonts w:ascii="Arial Narrow" w:hAnsi="Arial Narrow"/>
                <w:b/>
                <w:sz w:val="20"/>
                <w:szCs w:val="20"/>
              </w:rPr>
            </w:pPr>
            <w:r w:rsidRPr="002F733E">
              <w:rPr>
                <w:rFonts w:ascii="Arial Narrow" w:hAnsi="Arial Narrow"/>
                <w:b/>
                <w:sz w:val="20"/>
                <w:szCs w:val="20"/>
              </w:rPr>
              <w:t>No use of medication beyond protocol allowed thresholds</w:t>
            </w:r>
          </w:p>
        </w:tc>
      </w:tr>
      <w:tr w:rsidR="003E15C2" w:rsidRPr="002F733E" w14:paraId="22DB3600" w14:textId="77777777" w:rsidTr="006A0431">
        <w:tc>
          <w:tcPr>
            <w:tcW w:w="2405" w:type="dxa"/>
            <w:tcBorders>
              <w:top w:val="single" w:sz="4" w:space="0" w:color="auto"/>
              <w:bottom w:val="nil"/>
            </w:tcBorders>
          </w:tcPr>
          <w:p w14:paraId="35575C62" w14:textId="77777777" w:rsidR="003E15C2" w:rsidRPr="002F733E" w:rsidRDefault="003E15C2" w:rsidP="009469FA">
            <w:pPr>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TULIP-1 (pre-specified)</w:t>
            </w:r>
            <w:r w:rsidRPr="002F733E">
              <w:rPr>
                <w:rFonts w:ascii="Arial Narrow" w:hAnsi="Arial Narrow"/>
                <w:sz w:val="20"/>
                <w:szCs w:val="20"/>
                <w:vertAlign w:val="superscript"/>
              </w:rPr>
              <w:t xml:space="preserve"> a</w:t>
            </w:r>
          </w:p>
        </w:tc>
        <w:tc>
          <w:tcPr>
            <w:tcW w:w="2204" w:type="dxa"/>
            <w:tcBorders>
              <w:top w:val="single" w:sz="4" w:space="0" w:color="auto"/>
              <w:bottom w:val="nil"/>
            </w:tcBorders>
            <w:vAlign w:val="center"/>
          </w:tcPr>
          <w:p w14:paraId="737FFE0E"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114/180 (63.3)</w:t>
            </w:r>
          </w:p>
        </w:tc>
        <w:tc>
          <w:tcPr>
            <w:tcW w:w="2190" w:type="dxa"/>
            <w:tcBorders>
              <w:top w:val="single" w:sz="4" w:space="0" w:color="auto"/>
              <w:bottom w:val="nil"/>
            </w:tcBorders>
            <w:vAlign w:val="center"/>
          </w:tcPr>
          <w:p w14:paraId="104252DA"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113/184 (61.4)</w:t>
            </w:r>
          </w:p>
        </w:tc>
        <w:tc>
          <w:tcPr>
            <w:tcW w:w="2218" w:type="dxa"/>
            <w:tcBorders>
              <w:top w:val="single" w:sz="4" w:space="0" w:color="auto"/>
              <w:bottom w:val="nil"/>
            </w:tcBorders>
            <w:vAlign w:val="center"/>
          </w:tcPr>
          <w:p w14:paraId="5B714119"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2 (-8, 12)</w:t>
            </w:r>
          </w:p>
        </w:tc>
      </w:tr>
      <w:tr w:rsidR="003E15C2" w:rsidRPr="002F733E" w14:paraId="78B47364" w14:textId="77777777" w:rsidTr="004676A9">
        <w:tc>
          <w:tcPr>
            <w:tcW w:w="2405" w:type="dxa"/>
            <w:tcBorders>
              <w:top w:val="nil"/>
              <w:bottom w:val="nil"/>
            </w:tcBorders>
          </w:tcPr>
          <w:p w14:paraId="4EB35047" w14:textId="77777777" w:rsidR="003E15C2" w:rsidRPr="002F733E" w:rsidRDefault="003E15C2" w:rsidP="009469FA">
            <w:pPr>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TULIP-1 (post-hoc)</w:t>
            </w:r>
            <w:r w:rsidRPr="002F733E">
              <w:rPr>
                <w:rFonts w:ascii="Arial Narrow" w:hAnsi="Arial Narrow"/>
                <w:sz w:val="20"/>
                <w:szCs w:val="20"/>
                <w:vertAlign w:val="superscript"/>
              </w:rPr>
              <w:t xml:space="preserve"> c</w:t>
            </w:r>
          </w:p>
        </w:tc>
        <w:tc>
          <w:tcPr>
            <w:tcW w:w="2204" w:type="dxa"/>
            <w:tcBorders>
              <w:top w:val="nil"/>
              <w:bottom w:val="nil"/>
            </w:tcBorders>
            <w:vAlign w:val="center"/>
          </w:tcPr>
          <w:p w14:paraId="501B8910"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138/180 (76.7)</w:t>
            </w:r>
          </w:p>
        </w:tc>
        <w:tc>
          <w:tcPr>
            <w:tcW w:w="2190" w:type="dxa"/>
            <w:tcBorders>
              <w:top w:val="nil"/>
              <w:bottom w:val="nil"/>
            </w:tcBorders>
            <w:vAlign w:val="center"/>
          </w:tcPr>
          <w:p w14:paraId="4B65F969"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127/184 (69.0)</w:t>
            </w:r>
          </w:p>
        </w:tc>
        <w:tc>
          <w:tcPr>
            <w:tcW w:w="2218" w:type="dxa"/>
            <w:tcBorders>
              <w:top w:val="nil"/>
              <w:bottom w:val="nil"/>
            </w:tcBorders>
            <w:vAlign w:val="center"/>
          </w:tcPr>
          <w:p w14:paraId="221E1FBE"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8 (-1, 17)</w:t>
            </w:r>
          </w:p>
        </w:tc>
      </w:tr>
      <w:tr w:rsidR="003E15C2" w:rsidRPr="002F733E" w14:paraId="22A7660C" w14:textId="77777777" w:rsidTr="004676A9">
        <w:tc>
          <w:tcPr>
            <w:tcW w:w="2405" w:type="dxa"/>
            <w:tcBorders>
              <w:top w:val="nil"/>
              <w:bottom w:val="nil"/>
            </w:tcBorders>
          </w:tcPr>
          <w:p w14:paraId="3DBBCC73" w14:textId="77777777" w:rsidR="003E15C2" w:rsidRPr="002F733E" w:rsidRDefault="003E15C2" w:rsidP="009469FA">
            <w:pPr>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TULIP-2</w:t>
            </w:r>
          </w:p>
        </w:tc>
        <w:tc>
          <w:tcPr>
            <w:tcW w:w="2204" w:type="dxa"/>
            <w:tcBorders>
              <w:top w:val="nil"/>
              <w:bottom w:val="nil"/>
            </w:tcBorders>
            <w:vAlign w:val="center"/>
          </w:tcPr>
          <w:p w14:paraId="689F1AD6"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144/180 (80.0)</w:t>
            </w:r>
          </w:p>
        </w:tc>
        <w:tc>
          <w:tcPr>
            <w:tcW w:w="2190" w:type="dxa"/>
            <w:tcBorders>
              <w:top w:val="nil"/>
              <w:bottom w:val="nil"/>
            </w:tcBorders>
            <w:vAlign w:val="center"/>
          </w:tcPr>
          <w:p w14:paraId="3AD57363"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123/182 (67.6)</w:t>
            </w:r>
          </w:p>
        </w:tc>
        <w:tc>
          <w:tcPr>
            <w:tcW w:w="2218" w:type="dxa"/>
            <w:tcBorders>
              <w:top w:val="nil"/>
              <w:bottom w:val="nil"/>
            </w:tcBorders>
            <w:vAlign w:val="center"/>
          </w:tcPr>
          <w:p w14:paraId="29B8692B" w14:textId="77777777" w:rsidR="003E15C2" w:rsidRPr="002F733E" w:rsidRDefault="003E15C2" w:rsidP="009469FA">
            <w:pPr>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12 (3, 21)</w:t>
            </w:r>
          </w:p>
        </w:tc>
      </w:tr>
      <w:tr w:rsidR="003E15C2" w:rsidRPr="002F733E" w14:paraId="7FA6461E" w14:textId="77777777" w:rsidTr="004676A9">
        <w:tc>
          <w:tcPr>
            <w:tcW w:w="2405" w:type="dxa"/>
            <w:tcBorders>
              <w:top w:val="nil"/>
              <w:bottom w:val="nil"/>
            </w:tcBorders>
          </w:tcPr>
          <w:p w14:paraId="0B02A285" w14:textId="77777777" w:rsidR="003E15C2" w:rsidRPr="002F733E" w:rsidRDefault="003E15C2" w:rsidP="009469FA">
            <w:pPr>
              <w:widowControl w:val="0"/>
              <w:shd w:val="clear" w:color="auto" w:fill="B8CCE4" w:themeFill="accent1" w:themeFillTint="66"/>
              <w:jc w:val="right"/>
              <w:rPr>
                <w:rFonts w:ascii="Arial Narrow" w:hAnsi="Arial Narrow"/>
                <w:sz w:val="20"/>
                <w:szCs w:val="20"/>
              </w:rPr>
            </w:pPr>
            <w:r w:rsidRPr="002F733E">
              <w:rPr>
                <w:rFonts w:ascii="Arial Narrow" w:hAnsi="Arial Narrow"/>
                <w:sz w:val="20"/>
                <w:szCs w:val="20"/>
              </w:rPr>
              <w:t>TULIP 1 &amp; 2 pooled</w:t>
            </w:r>
            <w:r w:rsidRPr="002F733E">
              <w:rPr>
                <w:rFonts w:ascii="Arial Narrow" w:hAnsi="Arial Narrow"/>
                <w:sz w:val="20"/>
                <w:szCs w:val="20"/>
                <w:vertAlign w:val="superscript"/>
              </w:rPr>
              <w:t>d</w:t>
            </w:r>
          </w:p>
        </w:tc>
        <w:tc>
          <w:tcPr>
            <w:tcW w:w="2204" w:type="dxa"/>
            <w:tcBorders>
              <w:top w:val="nil"/>
              <w:bottom w:val="nil"/>
            </w:tcBorders>
            <w:vAlign w:val="center"/>
          </w:tcPr>
          <w:p w14:paraId="7F2178B7"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282/360 (78.3)</w:t>
            </w:r>
          </w:p>
        </w:tc>
        <w:tc>
          <w:tcPr>
            <w:tcW w:w="2190" w:type="dxa"/>
            <w:tcBorders>
              <w:top w:val="nil"/>
              <w:bottom w:val="nil"/>
            </w:tcBorders>
            <w:vAlign w:val="center"/>
          </w:tcPr>
          <w:p w14:paraId="422111B8"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250/366 (68.3)</w:t>
            </w:r>
          </w:p>
        </w:tc>
        <w:tc>
          <w:tcPr>
            <w:tcW w:w="2218" w:type="dxa"/>
            <w:tcBorders>
              <w:top w:val="nil"/>
              <w:bottom w:val="nil"/>
            </w:tcBorders>
            <w:vAlign w:val="center"/>
          </w:tcPr>
          <w:p w14:paraId="09B1A8D2" w14:textId="77777777" w:rsidR="003E15C2" w:rsidRPr="002F733E" w:rsidRDefault="003E15C2" w:rsidP="009469FA">
            <w:pPr>
              <w:widowControl w:val="0"/>
              <w:shd w:val="clear" w:color="auto" w:fill="B8CCE4" w:themeFill="accent1" w:themeFillTint="66"/>
              <w:jc w:val="center"/>
              <w:rPr>
                <w:rFonts w:ascii="Arial Narrow" w:hAnsi="Arial Narrow"/>
                <w:b/>
                <w:sz w:val="20"/>
                <w:szCs w:val="20"/>
              </w:rPr>
            </w:pPr>
            <w:r w:rsidRPr="002F733E">
              <w:rPr>
                <w:rFonts w:ascii="Arial Narrow" w:hAnsi="Arial Narrow"/>
                <w:b/>
                <w:sz w:val="20"/>
                <w:szCs w:val="20"/>
              </w:rPr>
              <w:t>10 (4, 16)</w:t>
            </w:r>
          </w:p>
        </w:tc>
      </w:tr>
      <w:tr w:rsidR="003E15C2" w:rsidRPr="002F733E" w14:paraId="58A029BD" w14:textId="77777777" w:rsidTr="004676A9">
        <w:tc>
          <w:tcPr>
            <w:tcW w:w="2405" w:type="dxa"/>
            <w:tcBorders>
              <w:top w:val="nil"/>
            </w:tcBorders>
          </w:tcPr>
          <w:p w14:paraId="28DCF831" w14:textId="77777777" w:rsidR="003E15C2" w:rsidRPr="002F733E" w:rsidRDefault="003E15C2" w:rsidP="009469FA">
            <w:pPr>
              <w:widowControl w:val="0"/>
              <w:shd w:val="clear" w:color="auto" w:fill="B8CCE4" w:themeFill="accent1" w:themeFillTint="66"/>
              <w:rPr>
                <w:rFonts w:ascii="Arial Narrow" w:hAnsi="Arial Narrow"/>
                <w:sz w:val="20"/>
                <w:szCs w:val="20"/>
              </w:rPr>
            </w:pPr>
            <w:r w:rsidRPr="002F733E">
              <w:rPr>
                <w:rFonts w:ascii="Arial Narrow" w:hAnsi="Arial Narrow"/>
                <w:sz w:val="20"/>
                <w:szCs w:val="20"/>
              </w:rPr>
              <w:t>MUSE</w:t>
            </w:r>
          </w:p>
        </w:tc>
        <w:tc>
          <w:tcPr>
            <w:tcW w:w="2204" w:type="dxa"/>
            <w:tcBorders>
              <w:top w:val="nil"/>
            </w:tcBorders>
            <w:vAlign w:val="center"/>
          </w:tcPr>
          <w:p w14:paraId="402A3D0D"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NR</w:t>
            </w:r>
          </w:p>
        </w:tc>
        <w:tc>
          <w:tcPr>
            <w:tcW w:w="2190" w:type="dxa"/>
            <w:tcBorders>
              <w:top w:val="nil"/>
            </w:tcBorders>
            <w:vAlign w:val="center"/>
          </w:tcPr>
          <w:p w14:paraId="2F74FFFA"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NR</w:t>
            </w:r>
          </w:p>
        </w:tc>
        <w:tc>
          <w:tcPr>
            <w:tcW w:w="2218" w:type="dxa"/>
            <w:tcBorders>
              <w:top w:val="nil"/>
            </w:tcBorders>
            <w:vAlign w:val="center"/>
          </w:tcPr>
          <w:p w14:paraId="368CF502" w14:textId="77777777" w:rsidR="003E15C2" w:rsidRPr="002F733E" w:rsidRDefault="003E15C2" w:rsidP="009469FA">
            <w:pPr>
              <w:widowControl w:val="0"/>
              <w:shd w:val="clear" w:color="auto" w:fill="B8CCE4" w:themeFill="accent1" w:themeFillTint="66"/>
              <w:jc w:val="center"/>
              <w:rPr>
                <w:rFonts w:ascii="Arial Narrow" w:hAnsi="Arial Narrow"/>
                <w:sz w:val="20"/>
                <w:szCs w:val="20"/>
              </w:rPr>
            </w:pPr>
            <w:r w:rsidRPr="002F733E">
              <w:rPr>
                <w:rFonts w:ascii="Arial Narrow" w:hAnsi="Arial Narrow"/>
                <w:sz w:val="20"/>
                <w:szCs w:val="20"/>
              </w:rPr>
              <w:t>-</w:t>
            </w:r>
          </w:p>
        </w:tc>
      </w:tr>
    </w:tbl>
    <w:p w14:paraId="136E139A" w14:textId="77777777" w:rsidR="003E15C2" w:rsidRPr="002F733E" w:rsidRDefault="003E15C2" w:rsidP="009469FA">
      <w:pPr>
        <w:pStyle w:val="TableFigureFooter"/>
        <w:widowControl w:val="0"/>
        <w:spacing w:after="0"/>
        <w:rPr>
          <w:iCs/>
        </w:rPr>
      </w:pPr>
      <w:r w:rsidRPr="002F733E">
        <w:rPr>
          <w:iCs/>
          <w:shd w:val="clear" w:color="auto" w:fill="B8CCE4" w:themeFill="accent1" w:themeFillTint="66"/>
        </w:rPr>
        <w:t>Blue</w:t>
      </w:r>
      <w:r w:rsidRPr="002F733E">
        <w:rPr>
          <w:iCs/>
        </w:rPr>
        <w:t xml:space="preserve"> shading represents information previously considered by the PBAC.</w:t>
      </w:r>
    </w:p>
    <w:p w14:paraId="00F2A98E" w14:textId="77777777" w:rsidR="003E15C2" w:rsidRPr="002F733E" w:rsidRDefault="003E15C2" w:rsidP="009469FA">
      <w:pPr>
        <w:widowControl w:val="0"/>
        <w:contextualSpacing/>
        <w:rPr>
          <w:rFonts w:ascii="Arial Narrow" w:hAnsi="Arial Narrow"/>
          <w:iCs/>
          <w:snapToGrid w:val="0"/>
          <w:sz w:val="18"/>
          <w:szCs w:val="22"/>
        </w:rPr>
      </w:pPr>
      <w:r w:rsidRPr="002F733E">
        <w:rPr>
          <w:rFonts w:ascii="Arial Narrow" w:hAnsi="Arial Narrow"/>
          <w:iCs/>
          <w:snapToGrid w:val="0"/>
          <w:sz w:val="18"/>
          <w:szCs w:val="22"/>
        </w:rPr>
        <w:t>Italics indicate results estimated during the evaluation. D</w:t>
      </w:r>
      <w:r w:rsidRPr="002F733E">
        <w:rPr>
          <w:rFonts w:ascii="Arial Narrow" w:hAnsi="Arial Narrow"/>
          <w:iCs/>
          <w:snapToGrid w:val="0"/>
          <w:sz w:val="18"/>
          <w:szCs w:val="18"/>
        </w:rPr>
        <w:t xml:space="preserve">ifference in response rate was calculated using Review Manager (version 5.4.1). </w:t>
      </w:r>
      <w:r w:rsidRPr="002F733E">
        <w:rPr>
          <w:rFonts w:ascii="Arial Narrow" w:hAnsi="Arial Narrow"/>
          <w:b/>
          <w:bCs/>
          <w:iCs/>
          <w:snapToGrid w:val="0"/>
          <w:sz w:val="18"/>
          <w:szCs w:val="22"/>
        </w:rPr>
        <w:t>Bold</w:t>
      </w:r>
      <w:r w:rsidRPr="002F733E">
        <w:rPr>
          <w:rFonts w:ascii="Arial Narrow" w:hAnsi="Arial Narrow"/>
          <w:iCs/>
          <w:snapToGrid w:val="0"/>
          <w:sz w:val="18"/>
          <w:szCs w:val="22"/>
        </w:rPr>
        <w:t xml:space="preserve"> text designates statistical significance.</w:t>
      </w:r>
    </w:p>
    <w:p w14:paraId="785F5F4F" w14:textId="77777777" w:rsidR="003E15C2" w:rsidRPr="002F733E" w:rsidRDefault="003E15C2" w:rsidP="009469FA">
      <w:pPr>
        <w:widowControl w:val="0"/>
        <w:rPr>
          <w:rFonts w:ascii="Arial Narrow" w:hAnsi="Arial Narrow"/>
          <w:iCs/>
          <w:sz w:val="18"/>
          <w:szCs w:val="18"/>
        </w:rPr>
      </w:pPr>
      <w:r w:rsidRPr="002F733E">
        <w:rPr>
          <w:rFonts w:ascii="Arial Narrow" w:hAnsi="Arial Narrow"/>
          <w:iCs/>
          <w:sz w:val="18"/>
          <w:szCs w:val="18"/>
        </w:rPr>
        <w:t>Source: Table 2.5-1, pp80-81, Table 2.5-2, p84 of the resubmission, Table 11.2.3.2.2 and 11.2.3.2.2a, pp315-322, Tables 11.2.3.2.3 and 11.2.3.2.4, pp327-328 of TULIP-1 CSR Section 11 Tables, Table 11.2.1.1, pp199-201, Table 11.2.1.3, p203 and Table 11.2.3.1.2, pp291-292, Table 11.2.3.1.4, p294 of TULIP-2 CSR Section 11 Tables, Table 14.2.2.3.4, pp283-285, Table 14.2.2.4.17, pp374-376, Table 14.2.2.5.5, pp395-397 of MUSE CSR Errata List</w:t>
      </w:r>
    </w:p>
    <w:p w14:paraId="7DD858C6" w14:textId="77777777" w:rsidR="003E15C2" w:rsidRPr="002F733E" w:rsidRDefault="003E15C2" w:rsidP="009469FA">
      <w:pPr>
        <w:widowControl w:val="0"/>
        <w:shd w:val="clear" w:color="auto" w:fill="B8CCE4" w:themeFill="accent1" w:themeFillTint="66"/>
        <w:rPr>
          <w:rFonts w:ascii="Arial Narrow" w:hAnsi="Arial Narrow"/>
          <w:iCs/>
          <w:sz w:val="18"/>
          <w:szCs w:val="18"/>
        </w:rPr>
      </w:pPr>
      <w:r w:rsidRPr="002F733E">
        <w:rPr>
          <w:rFonts w:ascii="Arial Narrow" w:hAnsi="Arial Narrow"/>
          <w:iCs/>
          <w:sz w:val="18"/>
          <w:szCs w:val="18"/>
        </w:rPr>
        <w:t>BICLA=BILAG-Based Composite Lupus Assessment; BILAG=British Isles Lupus Assessment Group; CI=confidence interval; CMH=Cochran-Mantel-Haenszel; FAS=full analysis set; OCS=oral corticosteroids; NR=not reported; PGA=physician’s global assessment; RD=risk difference; SLE=Systemic Lupus Erythematosus; SLEDAI-2K=Systemic Lupus Erythematosus Disease Activity Index 2000; SOC=standard of care; SRI(4)=4-point reduction on SLE Responder Index.</w:t>
      </w:r>
    </w:p>
    <w:p w14:paraId="6FD2B211" w14:textId="77777777" w:rsidR="003E15C2" w:rsidRPr="002F733E" w:rsidRDefault="003E15C2" w:rsidP="009469FA">
      <w:pPr>
        <w:widowControl w:val="0"/>
        <w:shd w:val="clear" w:color="auto" w:fill="B8CCE4" w:themeFill="accent1" w:themeFillTint="66"/>
        <w:ind w:left="170" w:hanging="170"/>
        <w:rPr>
          <w:rFonts w:ascii="Arial Narrow" w:hAnsi="Arial Narrow"/>
          <w:iCs/>
          <w:sz w:val="18"/>
          <w:szCs w:val="18"/>
        </w:rPr>
      </w:pPr>
      <w:r w:rsidRPr="002F733E">
        <w:rPr>
          <w:rFonts w:ascii="Arial Narrow" w:hAnsi="Arial Narrow"/>
          <w:iCs/>
          <w:sz w:val="18"/>
          <w:szCs w:val="18"/>
        </w:rPr>
        <w:t>#</w:t>
      </w:r>
      <w:r w:rsidRPr="002F733E">
        <w:rPr>
          <w:rFonts w:ascii="Arial Narrow" w:hAnsi="Arial Narrow"/>
          <w:iCs/>
          <w:sz w:val="18"/>
          <w:szCs w:val="18"/>
        </w:rPr>
        <w:tab/>
        <w:t>The responder/non-responder rates (percentages), the difference in estimates and associated 95% CI are weighted and calculated using a stratified CMH approach, with stratification factors (SLEDAI-2K score at screening [&lt;10 vs ≥10 points], Week 0 OCS dose [&lt;10 vs ≥10 mg/day prednisone or equivalent] and type I IFN gene signature test result at screening [high vs low]).</w:t>
      </w:r>
    </w:p>
    <w:p w14:paraId="0106260C" w14:textId="77777777" w:rsidR="003E15C2" w:rsidRPr="002F733E" w:rsidRDefault="003E15C2" w:rsidP="009469FA">
      <w:pPr>
        <w:widowControl w:val="0"/>
        <w:shd w:val="clear" w:color="auto" w:fill="B8CCE4" w:themeFill="accent1" w:themeFillTint="66"/>
        <w:rPr>
          <w:rFonts w:ascii="Arial Narrow" w:hAnsi="Arial Narrow"/>
          <w:iCs/>
          <w:sz w:val="18"/>
          <w:szCs w:val="18"/>
        </w:rPr>
      </w:pPr>
      <w:r w:rsidRPr="002F733E">
        <w:rPr>
          <w:rFonts w:ascii="Arial Narrow" w:hAnsi="Arial Narrow"/>
          <w:iCs/>
          <w:sz w:val="18"/>
          <w:szCs w:val="18"/>
        </w:rPr>
        <w:t>a</w:t>
      </w:r>
      <w:r w:rsidRPr="002F733E">
        <w:rPr>
          <w:rFonts w:ascii="Arial Narrow" w:hAnsi="Arial Narrow"/>
          <w:iCs/>
          <w:sz w:val="18"/>
          <w:szCs w:val="18"/>
        </w:rPr>
        <w:tab/>
        <w:t>Original prespecified restricted medication rules.</w:t>
      </w:r>
    </w:p>
    <w:p w14:paraId="63EE552D" w14:textId="77777777" w:rsidR="003E15C2" w:rsidRPr="002F733E" w:rsidRDefault="003E15C2" w:rsidP="009469FA">
      <w:pPr>
        <w:widowControl w:val="0"/>
        <w:shd w:val="clear" w:color="auto" w:fill="B8CCE4" w:themeFill="accent1" w:themeFillTint="66"/>
        <w:rPr>
          <w:rFonts w:ascii="Arial Narrow" w:hAnsi="Arial Narrow"/>
          <w:iCs/>
          <w:sz w:val="18"/>
          <w:szCs w:val="18"/>
        </w:rPr>
      </w:pPr>
      <w:r w:rsidRPr="002F733E">
        <w:rPr>
          <w:rFonts w:ascii="Arial Narrow" w:hAnsi="Arial Narrow"/>
          <w:iCs/>
          <w:sz w:val="18"/>
          <w:szCs w:val="18"/>
        </w:rPr>
        <w:t>b</w:t>
      </w:r>
      <w:r w:rsidRPr="002F733E">
        <w:rPr>
          <w:rFonts w:ascii="Arial Narrow" w:hAnsi="Arial Narrow"/>
          <w:iCs/>
          <w:sz w:val="18"/>
          <w:szCs w:val="18"/>
        </w:rPr>
        <w:tab/>
        <w:t>Unadjusted p-value.</w:t>
      </w:r>
    </w:p>
    <w:p w14:paraId="49468FBE" w14:textId="77777777" w:rsidR="003E15C2" w:rsidRPr="002F733E" w:rsidRDefault="003E15C2" w:rsidP="009469FA">
      <w:pPr>
        <w:widowControl w:val="0"/>
        <w:shd w:val="clear" w:color="auto" w:fill="B8CCE4" w:themeFill="accent1" w:themeFillTint="66"/>
        <w:rPr>
          <w:rFonts w:ascii="Arial Narrow" w:hAnsi="Arial Narrow"/>
          <w:iCs/>
          <w:sz w:val="18"/>
          <w:szCs w:val="18"/>
        </w:rPr>
      </w:pPr>
      <w:r w:rsidRPr="002F733E">
        <w:rPr>
          <w:rFonts w:ascii="Arial Narrow" w:hAnsi="Arial Narrow"/>
          <w:iCs/>
          <w:sz w:val="18"/>
          <w:szCs w:val="18"/>
        </w:rPr>
        <w:t>c</w:t>
      </w:r>
      <w:r w:rsidRPr="002F733E">
        <w:rPr>
          <w:rFonts w:ascii="Arial Narrow" w:hAnsi="Arial Narrow"/>
          <w:iCs/>
          <w:sz w:val="18"/>
          <w:szCs w:val="18"/>
        </w:rPr>
        <w:tab/>
        <w:t>Post-hoc revised restricted medication rules.</w:t>
      </w:r>
    </w:p>
    <w:p w14:paraId="33053CA6" w14:textId="77777777" w:rsidR="003E15C2" w:rsidRPr="002F733E" w:rsidRDefault="003E15C2" w:rsidP="009469FA">
      <w:pPr>
        <w:widowControl w:val="0"/>
        <w:shd w:val="clear" w:color="auto" w:fill="B8CCE4" w:themeFill="accent1" w:themeFillTint="66"/>
        <w:rPr>
          <w:rFonts w:ascii="Arial Narrow" w:hAnsi="Arial Narrow"/>
          <w:iCs/>
          <w:sz w:val="18"/>
          <w:szCs w:val="18"/>
        </w:rPr>
      </w:pPr>
      <w:r w:rsidRPr="002F733E">
        <w:rPr>
          <w:rFonts w:ascii="Arial Narrow" w:hAnsi="Arial Narrow"/>
          <w:iCs/>
          <w:sz w:val="18"/>
          <w:szCs w:val="18"/>
        </w:rPr>
        <w:t>d</w:t>
      </w:r>
      <w:r w:rsidRPr="002F733E">
        <w:rPr>
          <w:rFonts w:ascii="Arial Narrow" w:hAnsi="Arial Narrow"/>
          <w:iCs/>
          <w:sz w:val="18"/>
          <w:szCs w:val="18"/>
        </w:rPr>
        <w:tab/>
        <w:t>Pooled analysis excluded the 150 mg group from TULIP-1. Results are based on the revised restricted medication rules.</w:t>
      </w:r>
    </w:p>
    <w:p w14:paraId="6AF470DD" w14:textId="77777777" w:rsidR="003E15C2" w:rsidRPr="002F733E" w:rsidRDefault="003E15C2" w:rsidP="009469FA">
      <w:pPr>
        <w:widowControl w:val="0"/>
        <w:shd w:val="clear" w:color="auto" w:fill="B8CCE4" w:themeFill="accent1" w:themeFillTint="66"/>
        <w:ind w:left="170" w:hanging="170"/>
        <w:rPr>
          <w:rFonts w:ascii="Arial Narrow" w:hAnsi="Arial Narrow"/>
          <w:iCs/>
          <w:sz w:val="18"/>
          <w:szCs w:val="18"/>
        </w:rPr>
      </w:pPr>
      <w:r w:rsidRPr="002F733E">
        <w:rPr>
          <w:rFonts w:ascii="Arial Narrow" w:hAnsi="Arial Narrow"/>
          <w:iCs/>
          <w:sz w:val="18"/>
          <w:szCs w:val="18"/>
        </w:rPr>
        <w:t>e</w:t>
      </w:r>
      <w:r w:rsidRPr="002F733E">
        <w:rPr>
          <w:rFonts w:ascii="Arial Narrow" w:hAnsi="Arial Narrow"/>
          <w:iCs/>
          <w:sz w:val="18"/>
          <w:szCs w:val="18"/>
        </w:rPr>
        <w:tab/>
        <w:t xml:space="preserve">The submission reported pooled TULIP-1 and TULIP-2 result based on SRI(4) response of 188/360 (52.2%) on anifrolumab, which could not be verified. Correcting for the pooled response on anifrolumab group, the analysis conducted during the evaluation resulted in pooled response difference of 11 (4, 18). </w:t>
      </w:r>
    </w:p>
    <w:p w14:paraId="3E9AAFD8" w14:textId="77777777" w:rsidR="003E15C2" w:rsidRPr="002F733E" w:rsidRDefault="003E15C2" w:rsidP="009469FA">
      <w:pPr>
        <w:widowControl w:val="0"/>
        <w:shd w:val="clear" w:color="auto" w:fill="B8CCE4" w:themeFill="accent1" w:themeFillTint="66"/>
        <w:ind w:left="170" w:hanging="170"/>
        <w:rPr>
          <w:rFonts w:ascii="Arial Narrow" w:hAnsi="Arial Narrow"/>
          <w:iCs/>
          <w:sz w:val="18"/>
          <w:szCs w:val="18"/>
        </w:rPr>
      </w:pPr>
      <w:r w:rsidRPr="002F733E">
        <w:rPr>
          <w:rFonts w:ascii="Arial Narrow" w:hAnsi="Arial Narrow"/>
          <w:iCs/>
          <w:sz w:val="18"/>
          <w:szCs w:val="18"/>
        </w:rPr>
        <w:t>f</w:t>
      </w:r>
      <w:r w:rsidRPr="002F733E">
        <w:rPr>
          <w:rFonts w:ascii="Arial Narrow" w:hAnsi="Arial Narrow"/>
          <w:iCs/>
          <w:sz w:val="18"/>
          <w:szCs w:val="18"/>
        </w:rPr>
        <w:tab/>
        <w:t xml:space="preserve">MUSE presented odds ratio (90% CI) and p-values based on a logistic regression model for comparisons of each anifrolumab group versus placebo adjusted for randomization stratification factors. </w:t>
      </w:r>
    </w:p>
    <w:p w14:paraId="4F58B820" w14:textId="19633222" w:rsidR="003E15C2" w:rsidRPr="002F733E" w:rsidRDefault="003E15C2" w:rsidP="009469FA">
      <w:pPr>
        <w:widowControl w:val="0"/>
        <w:shd w:val="clear" w:color="auto" w:fill="B8CCE4" w:themeFill="accent1" w:themeFillTint="66"/>
        <w:ind w:left="170" w:hanging="170"/>
        <w:rPr>
          <w:rFonts w:ascii="Arial Narrow" w:hAnsi="Arial Narrow"/>
          <w:iCs/>
          <w:sz w:val="18"/>
          <w:szCs w:val="18"/>
        </w:rPr>
      </w:pPr>
      <w:r w:rsidRPr="002F733E">
        <w:rPr>
          <w:rFonts w:ascii="Arial Narrow" w:hAnsi="Arial Narrow"/>
          <w:iCs/>
          <w:sz w:val="18"/>
          <w:szCs w:val="18"/>
        </w:rPr>
        <w:t>h</w:t>
      </w:r>
      <w:r w:rsidRPr="002F733E">
        <w:rPr>
          <w:rFonts w:ascii="Arial Narrow" w:hAnsi="Arial Narrow"/>
          <w:iCs/>
          <w:sz w:val="18"/>
          <w:szCs w:val="18"/>
        </w:rPr>
        <w:tab/>
        <w:t>The submission reported pooled TULIP-1 and TULIP-2 result based on BICLA response of 171/360 (47.5%) on anifrolumab vs 112/366 (30.6%) on placebo, which could not be verified. Correcting for the pooled response on anifrolumab and placebo group, the analysis conducted during the evaluation showed minimal change in the pooled response difference of 17 (10, 24).</w:t>
      </w:r>
    </w:p>
    <w:p w14:paraId="0D87099D" w14:textId="77777777" w:rsidR="006C7EFA" w:rsidRPr="002F733E" w:rsidRDefault="006C7EFA" w:rsidP="006C7EFA">
      <w:pPr>
        <w:widowControl w:val="0"/>
        <w:ind w:left="170" w:hanging="170"/>
      </w:pPr>
    </w:p>
    <w:p w14:paraId="2C6732F4" w14:textId="653761ED" w:rsidR="003E15C2" w:rsidRPr="002F733E" w:rsidRDefault="003E15C2" w:rsidP="009469FA">
      <w:pPr>
        <w:pStyle w:val="3-BodyText"/>
        <w:widowControl w:val="0"/>
      </w:pPr>
      <w:r w:rsidRPr="002F733E">
        <w:t>The results of SRI(4) and BICLA response at Weeks 52 and 24 were unchanged from the July 2022 submission. The results demonstrated that there was improved disease activity in both anifrolumab and placebo treated patients based on SRI(4) and BICLA responses and their component indexes (including reduction in SLEDAI-2K ≥4) at Weeks 24 and 52. In TULIP-1 there were no significant differences between anifrolumab and placebo treated patients for SRI(4) at either Week 24 or Week 52, with results favouring placebo in the prespecified analysis. In contrast, numerically more patients achieved a BICLA response at Week 52 in the anifrolumab arm, reaching nominal significance. In TULIP-2 and MUSE, the SRI(4) and BICLA responses at Week 24 and Week 52 were significantly higher in the anifrolumab 300 mg group compared to placebo. However, placebo response was high (approximately 40%) in all trials.</w:t>
      </w:r>
    </w:p>
    <w:p w14:paraId="0C7004CE" w14:textId="2BEF2EB9" w:rsidR="003E15C2" w:rsidRPr="002F733E" w:rsidRDefault="00894CDB" w:rsidP="009469FA">
      <w:pPr>
        <w:pStyle w:val="3-BodyText"/>
        <w:widowControl w:val="0"/>
      </w:pPr>
      <w:r w:rsidRPr="002F733E">
        <w:t xml:space="preserve">At </w:t>
      </w:r>
      <w:r w:rsidR="003E15C2" w:rsidRPr="002F733E">
        <w:t xml:space="preserve">the July 2022 meeting, the PBAC considered that anifrolumab likely </w:t>
      </w:r>
      <w:r w:rsidR="009F553A" w:rsidRPr="002F733E">
        <w:t>conferred</w:t>
      </w:r>
      <w:r w:rsidR="003E15C2" w:rsidRPr="002F733E">
        <w:t xml:space="preserve"> a small reduction in disease activity, with a risk difference in SRI(4) response of 12.1% (95% CI: 4.9%, 19.3%) pooled across the TULIP-1 and TULIP-2 trials, noting the large placebo response (SRI(4) response rate of 40.2% in the placebo arm</w:t>
      </w:r>
      <w:r w:rsidR="001A662A" w:rsidRPr="002F733E">
        <w:t>, compared with 52.5% in the anifrolumab arm</w:t>
      </w:r>
      <w:r w:rsidR="003E15C2" w:rsidRPr="002F733E">
        <w:t xml:space="preserve">, pooled results). </w:t>
      </w:r>
      <w:r w:rsidR="005450A2" w:rsidRPr="002F733E">
        <w:t>However, the PBAC also considered the magnitude of benefit was uncertain (paragraph 7.5, anifrolumab PSD</w:t>
      </w:r>
      <w:r w:rsidR="00D75FD7" w:rsidRPr="002F733E">
        <w:t>,</w:t>
      </w:r>
      <w:r w:rsidR="005450A2" w:rsidRPr="002F733E">
        <w:t xml:space="preserve"> July 2022 PBAC meeting) due to:</w:t>
      </w:r>
    </w:p>
    <w:p w14:paraId="66D8F2FA" w14:textId="47B82B8D" w:rsidR="005450A2" w:rsidRPr="002F733E" w:rsidRDefault="005450A2" w:rsidP="005450A2">
      <w:pPr>
        <w:pStyle w:val="ListBullet"/>
        <w:tabs>
          <w:tab w:val="clear" w:pos="360"/>
          <w:tab w:val="num" w:pos="1040"/>
        </w:tabs>
        <w:spacing w:after="120"/>
        <w:ind w:left="1037" w:hanging="357"/>
        <w:contextualSpacing w:val="0"/>
      </w:pPr>
      <w:r w:rsidRPr="002F733E">
        <w:t xml:space="preserve">differing results between TULIP-1 and TULIP-2 with respect to SRI(4), despite similar trial designs and patient characteristics. </w:t>
      </w:r>
    </w:p>
    <w:p w14:paraId="4206D207" w14:textId="73F46ECE" w:rsidR="003E15C2" w:rsidRPr="002F733E" w:rsidRDefault="005450A2" w:rsidP="005450A2">
      <w:pPr>
        <w:pStyle w:val="ListBullet"/>
        <w:tabs>
          <w:tab w:val="clear" w:pos="360"/>
          <w:tab w:val="num" w:pos="1040"/>
        </w:tabs>
        <w:spacing w:after="120"/>
        <w:ind w:left="1037" w:hanging="357"/>
        <w:contextualSpacing w:val="0"/>
        <w:rPr>
          <w:snapToGrid w:val="0"/>
        </w:rPr>
      </w:pPr>
      <w:r w:rsidRPr="002F733E">
        <w:t>changes in trial design which likely biased results in favour of anifrolumab. The PBAC noted th</w:t>
      </w:r>
      <w:r w:rsidR="004D0387" w:rsidRPr="002F733E">
        <w:t>at</w:t>
      </w:r>
      <w:r w:rsidRPr="002F733E">
        <w:t xml:space="preserve"> two amendments to outcome assessment occurred during the TULIP trials. These amendments were introduced following unblinding of TULIP-1, in which no difference in terms of SRI(4) response between anifrolumab and placebo was observed</w:t>
      </w:r>
      <w:r w:rsidR="004F0932" w:rsidRPr="002F733E">
        <w:t xml:space="preserve"> (s</w:t>
      </w:r>
      <w:r w:rsidRPr="002F733E">
        <w:t xml:space="preserve">ee </w:t>
      </w:r>
      <w:r w:rsidR="004F0932" w:rsidRPr="002F733E">
        <w:t xml:space="preserve">paragraph </w:t>
      </w:r>
      <w:r w:rsidR="004F0932" w:rsidRPr="002F733E">
        <w:fldChar w:fldCharType="begin" w:fldLock="1"/>
      </w:r>
      <w:r w:rsidR="004F0932" w:rsidRPr="002F733E">
        <w:instrText xml:space="preserve"> REF _Ref122442844 \r \h </w:instrText>
      </w:r>
      <w:r w:rsidR="00A1789B" w:rsidRPr="002F733E">
        <w:instrText xml:space="preserve"> \* MERGEFORMAT </w:instrText>
      </w:r>
      <w:r w:rsidR="004F0932" w:rsidRPr="002F733E">
        <w:fldChar w:fldCharType="separate"/>
      </w:r>
      <w:r w:rsidR="004D1B58" w:rsidRPr="002F733E">
        <w:t>6.6</w:t>
      </w:r>
      <w:r w:rsidR="004F0932" w:rsidRPr="002F733E">
        <w:fldChar w:fldCharType="end"/>
      </w:r>
      <w:r w:rsidR="004F0932" w:rsidRPr="002F733E">
        <w:t>)</w:t>
      </w:r>
      <w:r w:rsidRPr="002F733E">
        <w:t>.</w:t>
      </w:r>
    </w:p>
    <w:p w14:paraId="629472D9" w14:textId="70AE24E7" w:rsidR="003E15C2" w:rsidRPr="002F733E" w:rsidRDefault="000A24F1" w:rsidP="00EC5836">
      <w:pPr>
        <w:pStyle w:val="3-BodyText"/>
      </w:pPr>
      <w:r w:rsidRPr="002F733E">
        <w:t>Of note, in its consideration</w:t>
      </w:r>
      <w:r w:rsidR="0045450E" w:rsidRPr="002F733E">
        <w:t>s</w:t>
      </w:r>
      <w:r w:rsidRPr="002F733E">
        <w:t xml:space="preserve"> of belimumab</w:t>
      </w:r>
      <w:r w:rsidR="004F0932" w:rsidRPr="002F733E">
        <w:t xml:space="preserve"> for </w:t>
      </w:r>
      <w:r w:rsidR="0045450E" w:rsidRPr="002F733E">
        <w:t xml:space="preserve">a similar </w:t>
      </w:r>
      <w:r w:rsidR="004F0932" w:rsidRPr="002F733E">
        <w:t>SLE</w:t>
      </w:r>
      <w:r w:rsidRPr="002F733E">
        <w:t xml:space="preserve"> </w:t>
      </w:r>
      <w:r w:rsidR="0045450E" w:rsidRPr="002F733E">
        <w:t xml:space="preserve">population </w:t>
      </w:r>
      <w:r w:rsidRPr="002F733E">
        <w:t>in November 2019 and July 2022</w:t>
      </w:r>
      <w:r w:rsidR="0045450E" w:rsidRPr="002F733E">
        <w:t xml:space="preserve"> (both submissions were not recommended)</w:t>
      </w:r>
      <w:r w:rsidRPr="002F733E">
        <w:t>, the PBAC considered that belimumab demonstrated a modest clinical benefit compared with placebo, based on a 13% increase in the proportion of SRI responders at Week 52 in the belimumab group compared with placebo plus SOC (0.13; 95% CI: 0.06, 0.20) (paragraph 7.7, belimumab PSD</w:t>
      </w:r>
      <w:r w:rsidR="00D75FD7" w:rsidRPr="002F733E">
        <w:t>,</w:t>
      </w:r>
      <w:r w:rsidRPr="002F733E">
        <w:t xml:space="preserve"> November 2019 PBAC meeting and paragraph 7.4, belimumab PSD</w:t>
      </w:r>
      <w:r w:rsidR="00D75FD7" w:rsidRPr="002F733E">
        <w:t>,</w:t>
      </w:r>
      <w:r w:rsidRPr="002F733E">
        <w:t xml:space="preserve"> July 2020 PBAC meeting).</w:t>
      </w:r>
    </w:p>
    <w:p w14:paraId="31E7BE6A" w14:textId="7E63DEC3" w:rsidR="000A24F1" w:rsidRPr="002F733E" w:rsidRDefault="000A24F1" w:rsidP="000A24F1">
      <w:pPr>
        <w:pStyle w:val="3-BodyText"/>
      </w:pPr>
      <w:r w:rsidRPr="002F733E">
        <w:t>The resubmission reiterated from the July 2022 PSCR that the reason that there was no significant difference in SRI(4) in TULIP-1 was that there were fewer arthritis responders in the anifrolumab arm compared to placebo (50% vs 78.6%). The subgroup with discordant BICLA/SRI(4) response was larger in TULIP-1. Bruce et al 2022</w:t>
      </w:r>
      <w:r w:rsidRPr="002F733E">
        <w:rPr>
          <w:rStyle w:val="FootnoteReference"/>
        </w:rPr>
        <w:footnoteReference w:id="8"/>
      </w:r>
      <w:r w:rsidRPr="002F733E">
        <w:t xml:space="preserve"> suggested the discordance was primarily driven by the sensitivity of SRI(4) to single organ (arthritis) improvement as the discordant placebo group had more patients with lower baseline joint counts</w:t>
      </w:r>
      <w:r w:rsidR="004E18FA" w:rsidRPr="002F733E">
        <w:t>. T</w:t>
      </w:r>
      <w:r w:rsidRPr="002F733E">
        <w:t>herefore</w:t>
      </w:r>
      <w:r w:rsidR="004F0932" w:rsidRPr="002F733E">
        <w:t>,</w:t>
      </w:r>
      <w:r w:rsidRPr="002F733E">
        <w:t xml:space="preserve"> SLEDAI-2K arthritis responses (hence SRI(4) responses) may be more easily achieved in the placebo group of TULIP-1. The study reported that across the trials, most patients had concordant BICLA/SRI(4) outcomes and dual BICLA/SRI(4) responses favoured anifrolumab. A BICLA non-responder/SRI(4) responder subgroup was identified where imbalances of key factors driving the BICLA/SRI(4) discordance (disease activity, glucocorticoid taper) disproportionately favoured the TULIP-1 placebo group. Improvement in arthritis was sufficient to achieve individual SRI(4) response, but insufficient for BICLA response unless there was improvement from baseline in the BILAG-2004 A and B organ activity.</w:t>
      </w:r>
    </w:p>
    <w:p w14:paraId="23CC4109" w14:textId="7CF1CEE2" w:rsidR="000A24F1" w:rsidRPr="002F733E" w:rsidRDefault="000A24F1" w:rsidP="000A24F1">
      <w:pPr>
        <w:pStyle w:val="3-BodyText"/>
      </w:pPr>
      <w:r w:rsidRPr="002F733E">
        <w:t>However, at the July 2022 meeting, the PBAC considered this explanation was unlikely to fully account for the differences in trial results (paragraph 7.5, anifrolumab PSD</w:t>
      </w:r>
      <w:r w:rsidR="00D75FD7" w:rsidRPr="002F733E">
        <w:t>,</w:t>
      </w:r>
      <w:r w:rsidRPr="002F733E">
        <w:t xml:space="preserve"> July 2022 PBAC meeting). It was noted there were similar proportions of patients achieving a SLEDAI-2K ≥4 response in the placebo arms of TULIP-1 and TULIP-2 (43.5% in TULIP-1 and 39.0% in TULIP-2). While the reason for the discrepancy </w:t>
      </w:r>
      <w:r w:rsidR="004E18FA" w:rsidRPr="002F733E">
        <w:t>wa</w:t>
      </w:r>
      <w:r w:rsidRPr="002F733E">
        <w:t xml:space="preserve">s unclear, it </w:t>
      </w:r>
      <w:r w:rsidR="004E18FA" w:rsidRPr="002F733E">
        <w:t>wa</w:t>
      </w:r>
      <w:r w:rsidRPr="002F733E">
        <w:t xml:space="preserve">s likely to be impacted by patient heterogeneity, including unobserved and yet unknown characteristics that drive the disease, and it may </w:t>
      </w:r>
      <w:r w:rsidR="004E18FA" w:rsidRPr="002F733E">
        <w:t xml:space="preserve">have </w:t>
      </w:r>
      <w:r w:rsidRPr="002F733E">
        <w:t>be</w:t>
      </w:r>
      <w:r w:rsidR="004E18FA" w:rsidRPr="002F733E">
        <w:t>en</w:t>
      </w:r>
      <w:r w:rsidRPr="002F733E">
        <w:t xml:space="preserve"> an issue with the response indexes (paragraph 6.15, anifrolumab PSD</w:t>
      </w:r>
      <w:r w:rsidR="00D75FD7" w:rsidRPr="002F733E">
        <w:t>,</w:t>
      </w:r>
      <w:r w:rsidRPr="002F733E">
        <w:t xml:space="preserve"> July 2022 PBAC meeting).</w:t>
      </w:r>
    </w:p>
    <w:p w14:paraId="455B487D" w14:textId="12181DF0" w:rsidR="003E15C2" w:rsidRPr="002F733E" w:rsidRDefault="005A67D0" w:rsidP="00EC5836">
      <w:pPr>
        <w:pStyle w:val="3-BodyText"/>
      </w:pPr>
      <w:r w:rsidRPr="002F733E">
        <w:fldChar w:fldCharType="begin" w:fldLock="1"/>
      </w:r>
      <w:r w:rsidRPr="002F733E">
        <w:instrText xml:space="preserve"> REF _Ref121737457 \h </w:instrText>
      </w:r>
      <w:r w:rsidR="00A1789B" w:rsidRPr="002F733E">
        <w:instrText xml:space="preserve"> \* MERGEFORMAT </w:instrText>
      </w:r>
      <w:r w:rsidRPr="002F733E">
        <w:fldChar w:fldCharType="separate"/>
      </w:r>
      <w:r w:rsidR="001316D2" w:rsidRPr="002F733E">
        <w:t>Table 6</w:t>
      </w:r>
      <w:r w:rsidRPr="002F733E">
        <w:fldChar w:fldCharType="end"/>
      </w:r>
      <w:r w:rsidR="000A24F1" w:rsidRPr="002F733E">
        <w:t xml:space="preserve"> presents the mean change </w:t>
      </w:r>
      <w:r w:rsidR="00350823" w:rsidRPr="002F733E">
        <w:t xml:space="preserve">from baseline </w:t>
      </w:r>
      <w:r w:rsidR="000A24F1" w:rsidRPr="002F733E">
        <w:t xml:space="preserve">in SLEDAI-2K, reduction in annual OCS use </w:t>
      </w:r>
      <w:r w:rsidR="008C4F84" w:rsidRPr="002F733E">
        <w:t xml:space="preserve">(excluding patients with </w:t>
      </w:r>
      <w:r w:rsidR="008C4F84" w:rsidRPr="002F733E">
        <w:rPr>
          <w:rFonts w:cstheme="minorHAnsi"/>
        </w:rPr>
        <w:t>&gt;40 mg/day at baseline)</w:t>
      </w:r>
      <w:r w:rsidR="000A24F1" w:rsidRPr="002F733E">
        <w:t xml:space="preserve">, and </w:t>
      </w:r>
      <w:r w:rsidR="00033DCE" w:rsidRPr="002F733E">
        <w:t>Systemic Lupus International Collaborating Clinics/American College of Rheumatology Damage Index (</w:t>
      </w:r>
      <w:r w:rsidR="000A24F1" w:rsidRPr="002F733E">
        <w:t>SDI</w:t>
      </w:r>
      <w:r w:rsidR="00033DCE" w:rsidRPr="002F733E">
        <w:t>)</w:t>
      </w:r>
      <w:r w:rsidR="000A24F1" w:rsidRPr="002F733E">
        <w:t xml:space="preserve"> score in TULIP LTE to Week 216</w:t>
      </w:r>
      <w:r w:rsidR="00AF0AB5" w:rsidRPr="002F733E">
        <w:t xml:space="preserve"> (4.15 years)</w:t>
      </w:r>
      <w:r w:rsidR="000A24F1" w:rsidRPr="002F733E">
        <w:t>.</w:t>
      </w:r>
    </w:p>
    <w:p w14:paraId="2A218642" w14:textId="328BE5F3" w:rsidR="000A24F1" w:rsidRPr="002F733E" w:rsidRDefault="005A67D0" w:rsidP="00D8312F">
      <w:pPr>
        <w:pStyle w:val="Caption"/>
        <w:rPr>
          <w:szCs w:val="20"/>
        </w:rPr>
      </w:pPr>
      <w:bookmarkStart w:id="27" w:name="_Ref121737457"/>
      <w:r w:rsidRPr="002F733E">
        <w:t xml:space="preserve">Table </w:t>
      </w:r>
      <w:fldSimple w:instr=" SEQ Table \* ARABIC " w:fldLock="1">
        <w:r w:rsidR="00781A0F" w:rsidRPr="002F733E">
          <w:t>6</w:t>
        </w:r>
      </w:fldSimple>
      <w:bookmarkEnd w:id="27"/>
      <w:r w:rsidRPr="002F733E">
        <w:t>:</w:t>
      </w:r>
      <w:r w:rsidR="000A24F1" w:rsidRPr="002F733E">
        <w:rPr>
          <w:szCs w:val="20"/>
        </w:rPr>
        <w:t xml:space="preserve"> mean change</w:t>
      </w:r>
      <w:r w:rsidR="00350823" w:rsidRPr="002F733E">
        <w:rPr>
          <w:szCs w:val="20"/>
        </w:rPr>
        <w:t xml:space="preserve"> from baseline</w:t>
      </w:r>
      <w:r w:rsidR="000A24F1" w:rsidRPr="002F733E">
        <w:rPr>
          <w:szCs w:val="20"/>
        </w:rPr>
        <w:t xml:space="preserve"> in SLEDAI-2K, reduction in annual OCS use and SDI score in TULIP LTE to Week 216.</w:t>
      </w:r>
    </w:p>
    <w:tbl>
      <w:tblPr>
        <w:tblStyle w:val="TableGrid"/>
        <w:tblW w:w="0" w:type="auto"/>
        <w:tblCellMar>
          <w:left w:w="28" w:type="dxa"/>
          <w:right w:w="28" w:type="dxa"/>
        </w:tblCellMar>
        <w:tblLook w:val="04A0" w:firstRow="1" w:lastRow="0" w:firstColumn="1" w:lastColumn="0" w:noHBand="0" w:noVBand="1"/>
      </w:tblPr>
      <w:tblGrid>
        <w:gridCol w:w="2122"/>
        <w:gridCol w:w="425"/>
        <w:gridCol w:w="2126"/>
        <w:gridCol w:w="425"/>
        <w:gridCol w:w="1995"/>
        <w:gridCol w:w="1924"/>
      </w:tblGrid>
      <w:tr w:rsidR="000A24F1" w:rsidRPr="002F733E" w14:paraId="6C6E4AAB" w14:textId="77777777" w:rsidTr="004676A9">
        <w:tc>
          <w:tcPr>
            <w:tcW w:w="2122" w:type="dxa"/>
            <w:vAlign w:val="center"/>
          </w:tcPr>
          <w:p w14:paraId="6328655F" w14:textId="77777777" w:rsidR="000A24F1" w:rsidRPr="002F733E" w:rsidRDefault="000A24F1" w:rsidP="00D8312F">
            <w:pPr>
              <w:keepNext/>
              <w:keepLines/>
              <w:jc w:val="left"/>
              <w:rPr>
                <w:rFonts w:ascii="Arial Narrow" w:hAnsi="Arial Narrow"/>
                <w:b/>
                <w:sz w:val="20"/>
                <w:szCs w:val="20"/>
              </w:rPr>
            </w:pPr>
            <w:r w:rsidRPr="002F733E">
              <w:rPr>
                <w:rFonts w:ascii="Arial Narrow" w:hAnsi="Arial Narrow"/>
                <w:b/>
                <w:sz w:val="20"/>
                <w:szCs w:val="20"/>
              </w:rPr>
              <w:t>Exploratory outcomes</w:t>
            </w:r>
          </w:p>
        </w:tc>
        <w:tc>
          <w:tcPr>
            <w:tcW w:w="2551" w:type="dxa"/>
            <w:gridSpan w:val="2"/>
            <w:vAlign w:val="center"/>
          </w:tcPr>
          <w:p w14:paraId="1FC5CDB9"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Combined anifrolumab 300 mg</w:t>
            </w:r>
          </w:p>
          <w:p w14:paraId="0271EE61"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N=358</w:t>
            </w:r>
            <w:r w:rsidRPr="002F733E">
              <w:rPr>
                <w:rFonts w:ascii="Arial Narrow" w:hAnsi="Arial Narrow"/>
                <w:b/>
                <w:sz w:val="20"/>
                <w:szCs w:val="20"/>
                <w:vertAlign w:val="superscript"/>
              </w:rPr>
              <w:t>a</w:t>
            </w:r>
          </w:p>
        </w:tc>
        <w:tc>
          <w:tcPr>
            <w:tcW w:w="2420" w:type="dxa"/>
            <w:gridSpan w:val="2"/>
            <w:vAlign w:val="center"/>
          </w:tcPr>
          <w:p w14:paraId="67D2AD3E"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Combined placebo (SOC)</w:t>
            </w:r>
          </w:p>
          <w:p w14:paraId="184D1199"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N=360</w:t>
            </w:r>
            <w:r w:rsidRPr="002F733E">
              <w:rPr>
                <w:rFonts w:ascii="Arial Narrow" w:hAnsi="Arial Narrow"/>
                <w:b/>
                <w:sz w:val="20"/>
                <w:szCs w:val="20"/>
                <w:vertAlign w:val="superscript"/>
              </w:rPr>
              <w:t>b</w:t>
            </w:r>
          </w:p>
        </w:tc>
        <w:tc>
          <w:tcPr>
            <w:tcW w:w="1924" w:type="dxa"/>
            <w:vAlign w:val="center"/>
          </w:tcPr>
          <w:p w14:paraId="5FA8DE8A"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Difference</w:t>
            </w:r>
          </w:p>
        </w:tc>
      </w:tr>
      <w:tr w:rsidR="000A24F1" w:rsidRPr="002F733E" w14:paraId="3183C25D" w14:textId="77777777" w:rsidTr="004676A9">
        <w:tc>
          <w:tcPr>
            <w:tcW w:w="2122" w:type="dxa"/>
          </w:tcPr>
          <w:p w14:paraId="5E336998" w14:textId="77777777" w:rsidR="000A24F1" w:rsidRPr="002F733E" w:rsidRDefault="000A24F1" w:rsidP="00D8312F">
            <w:pPr>
              <w:keepNext/>
              <w:keepLines/>
              <w:rPr>
                <w:rFonts w:ascii="Arial Narrow" w:hAnsi="Arial Narrow"/>
                <w:b/>
                <w:sz w:val="20"/>
                <w:szCs w:val="20"/>
              </w:rPr>
            </w:pPr>
            <w:r w:rsidRPr="002F733E">
              <w:rPr>
                <w:rFonts w:ascii="Arial Narrow" w:hAnsi="Arial Narrow"/>
                <w:b/>
                <w:sz w:val="20"/>
                <w:szCs w:val="20"/>
              </w:rPr>
              <w:t>SLEDAI-2K</w:t>
            </w:r>
          </w:p>
        </w:tc>
        <w:tc>
          <w:tcPr>
            <w:tcW w:w="425" w:type="dxa"/>
            <w:vAlign w:val="center"/>
          </w:tcPr>
          <w:p w14:paraId="7566E693"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n</w:t>
            </w:r>
          </w:p>
        </w:tc>
        <w:tc>
          <w:tcPr>
            <w:tcW w:w="2126" w:type="dxa"/>
            <w:vAlign w:val="center"/>
          </w:tcPr>
          <w:p w14:paraId="07A886FF"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mean change (SD)</w:t>
            </w:r>
          </w:p>
        </w:tc>
        <w:tc>
          <w:tcPr>
            <w:tcW w:w="425" w:type="dxa"/>
            <w:vAlign w:val="center"/>
          </w:tcPr>
          <w:p w14:paraId="674FA632"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n</w:t>
            </w:r>
          </w:p>
        </w:tc>
        <w:tc>
          <w:tcPr>
            <w:tcW w:w="1995" w:type="dxa"/>
            <w:vAlign w:val="center"/>
          </w:tcPr>
          <w:p w14:paraId="75A7C9E4"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mean change (SD)</w:t>
            </w:r>
          </w:p>
        </w:tc>
        <w:tc>
          <w:tcPr>
            <w:tcW w:w="1924" w:type="dxa"/>
            <w:vAlign w:val="center"/>
          </w:tcPr>
          <w:p w14:paraId="40F92817"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Difference (SE), p-value</w:t>
            </w:r>
          </w:p>
        </w:tc>
      </w:tr>
      <w:tr w:rsidR="000A24F1" w:rsidRPr="002F733E" w14:paraId="58EFA9B3" w14:textId="77777777" w:rsidTr="004676A9">
        <w:tc>
          <w:tcPr>
            <w:tcW w:w="2122" w:type="dxa"/>
            <w:vAlign w:val="center"/>
          </w:tcPr>
          <w:p w14:paraId="26C4329E" w14:textId="77777777" w:rsidR="000A24F1" w:rsidRPr="002F733E" w:rsidRDefault="000A24F1" w:rsidP="00D8312F">
            <w:pPr>
              <w:keepNext/>
              <w:keepLines/>
              <w:jc w:val="left"/>
              <w:rPr>
                <w:rFonts w:ascii="Arial Narrow" w:hAnsi="Arial Narrow"/>
                <w:sz w:val="20"/>
                <w:szCs w:val="20"/>
              </w:rPr>
            </w:pPr>
            <w:r w:rsidRPr="002F733E">
              <w:rPr>
                <w:rFonts w:ascii="Arial Narrow" w:hAnsi="Arial Narrow"/>
                <w:sz w:val="20"/>
                <w:szCs w:val="20"/>
              </w:rPr>
              <w:t>1 year (Wk 52)</w:t>
            </w:r>
          </w:p>
        </w:tc>
        <w:tc>
          <w:tcPr>
            <w:tcW w:w="425" w:type="dxa"/>
            <w:vAlign w:val="center"/>
          </w:tcPr>
          <w:p w14:paraId="4FD6A027"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293</w:t>
            </w:r>
          </w:p>
        </w:tc>
        <w:tc>
          <w:tcPr>
            <w:tcW w:w="2126" w:type="dxa"/>
            <w:vAlign w:val="center"/>
          </w:tcPr>
          <w:p w14:paraId="77CAE051"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-6.1 (4.12)</w:t>
            </w:r>
          </w:p>
        </w:tc>
        <w:tc>
          <w:tcPr>
            <w:tcW w:w="425" w:type="dxa"/>
            <w:vAlign w:val="center"/>
          </w:tcPr>
          <w:p w14:paraId="3D0C6FB3"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284</w:t>
            </w:r>
          </w:p>
        </w:tc>
        <w:tc>
          <w:tcPr>
            <w:tcW w:w="1995" w:type="dxa"/>
            <w:vAlign w:val="center"/>
          </w:tcPr>
          <w:p w14:paraId="2125EBA3"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-5.2 (4.33)</w:t>
            </w:r>
          </w:p>
        </w:tc>
        <w:tc>
          <w:tcPr>
            <w:tcW w:w="1924" w:type="dxa"/>
            <w:vAlign w:val="center"/>
          </w:tcPr>
          <w:p w14:paraId="46CD9C3D"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-0.9 (0.4), p=0.01</w:t>
            </w:r>
          </w:p>
        </w:tc>
      </w:tr>
      <w:tr w:rsidR="000A24F1" w:rsidRPr="002F733E" w14:paraId="75714314" w14:textId="77777777" w:rsidTr="004676A9">
        <w:tc>
          <w:tcPr>
            <w:tcW w:w="2122" w:type="dxa"/>
            <w:vAlign w:val="center"/>
          </w:tcPr>
          <w:p w14:paraId="7D4E1430" w14:textId="77777777" w:rsidR="000A24F1" w:rsidRPr="002F733E" w:rsidRDefault="000A24F1" w:rsidP="00D8312F">
            <w:pPr>
              <w:keepNext/>
              <w:keepLines/>
              <w:jc w:val="left"/>
              <w:rPr>
                <w:rFonts w:ascii="Arial Narrow" w:hAnsi="Arial Narrow"/>
                <w:sz w:val="20"/>
                <w:szCs w:val="20"/>
              </w:rPr>
            </w:pPr>
            <w:r w:rsidRPr="002F733E">
              <w:rPr>
                <w:rFonts w:ascii="Arial Narrow" w:hAnsi="Arial Narrow"/>
                <w:sz w:val="20"/>
                <w:szCs w:val="20"/>
              </w:rPr>
              <w:t>2-years (Week 104)</w:t>
            </w:r>
          </w:p>
        </w:tc>
        <w:tc>
          <w:tcPr>
            <w:tcW w:w="425" w:type="dxa"/>
            <w:vAlign w:val="center"/>
          </w:tcPr>
          <w:p w14:paraId="37695F50"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198</w:t>
            </w:r>
          </w:p>
        </w:tc>
        <w:tc>
          <w:tcPr>
            <w:tcW w:w="2126" w:type="dxa"/>
            <w:vAlign w:val="center"/>
          </w:tcPr>
          <w:p w14:paraId="607A4CDD"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-7.4 (4.33)</w:t>
            </w:r>
          </w:p>
        </w:tc>
        <w:tc>
          <w:tcPr>
            <w:tcW w:w="425" w:type="dxa"/>
            <w:vAlign w:val="center"/>
          </w:tcPr>
          <w:p w14:paraId="4EE39B18"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85</w:t>
            </w:r>
          </w:p>
        </w:tc>
        <w:tc>
          <w:tcPr>
            <w:tcW w:w="1995" w:type="dxa"/>
            <w:vAlign w:val="center"/>
          </w:tcPr>
          <w:p w14:paraId="0CC1B546"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-6.1 (4.22)</w:t>
            </w:r>
          </w:p>
        </w:tc>
        <w:tc>
          <w:tcPr>
            <w:tcW w:w="1924" w:type="dxa"/>
            <w:vAlign w:val="center"/>
          </w:tcPr>
          <w:p w14:paraId="7E53F1D4"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-1.3 (0.6), p=0.02</w:t>
            </w:r>
          </w:p>
        </w:tc>
      </w:tr>
      <w:tr w:rsidR="000A24F1" w:rsidRPr="002F733E" w14:paraId="11BD8457" w14:textId="77777777" w:rsidTr="004676A9">
        <w:tc>
          <w:tcPr>
            <w:tcW w:w="2122" w:type="dxa"/>
            <w:vAlign w:val="center"/>
          </w:tcPr>
          <w:p w14:paraId="15275A38" w14:textId="77777777" w:rsidR="000A24F1" w:rsidRPr="002F733E" w:rsidRDefault="000A24F1" w:rsidP="00D8312F">
            <w:pPr>
              <w:keepNext/>
              <w:keepLines/>
              <w:jc w:val="left"/>
              <w:rPr>
                <w:rFonts w:ascii="Arial Narrow" w:hAnsi="Arial Narrow"/>
                <w:sz w:val="20"/>
                <w:szCs w:val="20"/>
              </w:rPr>
            </w:pPr>
            <w:r w:rsidRPr="002F733E">
              <w:rPr>
                <w:rFonts w:ascii="Arial Narrow" w:hAnsi="Arial Narrow"/>
                <w:sz w:val="20"/>
                <w:szCs w:val="20"/>
              </w:rPr>
              <w:t>3-years (Week 156)</w:t>
            </w:r>
          </w:p>
        </w:tc>
        <w:tc>
          <w:tcPr>
            <w:tcW w:w="425" w:type="dxa"/>
            <w:vAlign w:val="center"/>
          </w:tcPr>
          <w:p w14:paraId="21BCC4E0"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173</w:t>
            </w:r>
          </w:p>
        </w:tc>
        <w:tc>
          <w:tcPr>
            <w:tcW w:w="2126" w:type="dxa"/>
            <w:vAlign w:val="center"/>
          </w:tcPr>
          <w:p w14:paraId="61D9977F"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-7.5 (4.02)</w:t>
            </w:r>
          </w:p>
        </w:tc>
        <w:tc>
          <w:tcPr>
            <w:tcW w:w="425" w:type="dxa"/>
            <w:vAlign w:val="center"/>
          </w:tcPr>
          <w:p w14:paraId="7395BFF8"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55</w:t>
            </w:r>
          </w:p>
        </w:tc>
        <w:tc>
          <w:tcPr>
            <w:tcW w:w="1995" w:type="dxa"/>
            <w:vAlign w:val="center"/>
          </w:tcPr>
          <w:p w14:paraId="52F28F51"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-5.7 (4.69)</w:t>
            </w:r>
          </w:p>
        </w:tc>
        <w:tc>
          <w:tcPr>
            <w:tcW w:w="1924" w:type="dxa"/>
            <w:vAlign w:val="center"/>
          </w:tcPr>
          <w:p w14:paraId="3E710AF1"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-1.8 (0.7), p=0.01</w:t>
            </w:r>
          </w:p>
        </w:tc>
      </w:tr>
      <w:tr w:rsidR="000A24F1" w:rsidRPr="002F733E" w14:paraId="229ECF38" w14:textId="77777777" w:rsidTr="004676A9">
        <w:tc>
          <w:tcPr>
            <w:tcW w:w="2122" w:type="dxa"/>
            <w:vAlign w:val="center"/>
          </w:tcPr>
          <w:p w14:paraId="2E8AA758" w14:textId="77777777" w:rsidR="000A24F1" w:rsidRPr="002F733E" w:rsidRDefault="000A24F1" w:rsidP="00D8312F">
            <w:pPr>
              <w:keepNext/>
              <w:keepLines/>
              <w:jc w:val="left"/>
              <w:rPr>
                <w:rFonts w:ascii="Arial Narrow" w:hAnsi="Arial Narrow"/>
                <w:sz w:val="20"/>
                <w:szCs w:val="20"/>
              </w:rPr>
            </w:pPr>
            <w:r w:rsidRPr="002F733E">
              <w:rPr>
                <w:rFonts w:ascii="Arial Narrow" w:hAnsi="Arial Narrow"/>
                <w:sz w:val="20"/>
                <w:szCs w:val="20"/>
              </w:rPr>
              <w:t>4-years (Week 208)</w:t>
            </w:r>
          </w:p>
        </w:tc>
        <w:tc>
          <w:tcPr>
            <w:tcW w:w="425" w:type="dxa"/>
            <w:vAlign w:val="center"/>
          </w:tcPr>
          <w:p w14:paraId="1842951E"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139</w:t>
            </w:r>
          </w:p>
        </w:tc>
        <w:tc>
          <w:tcPr>
            <w:tcW w:w="2126" w:type="dxa"/>
            <w:vAlign w:val="center"/>
          </w:tcPr>
          <w:p w14:paraId="4D5F5193"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-7.7 (4.00)</w:t>
            </w:r>
          </w:p>
        </w:tc>
        <w:tc>
          <w:tcPr>
            <w:tcW w:w="425" w:type="dxa"/>
            <w:vAlign w:val="center"/>
          </w:tcPr>
          <w:p w14:paraId="5CC95EA6"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44</w:t>
            </w:r>
          </w:p>
        </w:tc>
        <w:tc>
          <w:tcPr>
            <w:tcW w:w="1995" w:type="dxa"/>
            <w:vAlign w:val="center"/>
          </w:tcPr>
          <w:p w14:paraId="3440F5E0"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-6.4 (3.60)</w:t>
            </w:r>
          </w:p>
        </w:tc>
        <w:tc>
          <w:tcPr>
            <w:tcW w:w="1924" w:type="dxa"/>
            <w:vAlign w:val="center"/>
          </w:tcPr>
          <w:p w14:paraId="3B25579C"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-1.3 (0.6), p=0.04</w:t>
            </w:r>
          </w:p>
        </w:tc>
      </w:tr>
      <w:tr w:rsidR="000A24F1" w:rsidRPr="002F733E" w14:paraId="5036609C" w14:textId="77777777" w:rsidTr="004676A9">
        <w:tc>
          <w:tcPr>
            <w:tcW w:w="2122" w:type="dxa"/>
            <w:vAlign w:val="center"/>
          </w:tcPr>
          <w:p w14:paraId="41805F20" w14:textId="77777777" w:rsidR="000A24F1" w:rsidRPr="002F733E" w:rsidRDefault="000A24F1" w:rsidP="00D8312F">
            <w:pPr>
              <w:keepNext/>
              <w:keepLines/>
              <w:jc w:val="left"/>
              <w:rPr>
                <w:rFonts w:ascii="Arial Narrow" w:hAnsi="Arial Narrow"/>
                <w:sz w:val="20"/>
                <w:szCs w:val="20"/>
              </w:rPr>
            </w:pPr>
            <w:r w:rsidRPr="002F733E">
              <w:rPr>
                <w:rFonts w:ascii="Arial Narrow" w:hAnsi="Arial Narrow"/>
                <w:sz w:val="20"/>
                <w:szCs w:val="20"/>
              </w:rPr>
              <w:t>Safety FU (week 216)</w:t>
            </w:r>
          </w:p>
        </w:tc>
        <w:tc>
          <w:tcPr>
            <w:tcW w:w="425" w:type="dxa"/>
            <w:vAlign w:val="center"/>
          </w:tcPr>
          <w:p w14:paraId="74CE28E9"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142</w:t>
            </w:r>
          </w:p>
        </w:tc>
        <w:tc>
          <w:tcPr>
            <w:tcW w:w="2126" w:type="dxa"/>
            <w:vAlign w:val="center"/>
          </w:tcPr>
          <w:p w14:paraId="24046E21"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-7.0 (4.12)</w:t>
            </w:r>
          </w:p>
        </w:tc>
        <w:tc>
          <w:tcPr>
            <w:tcW w:w="425" w:type="dxa"/>
            <w:vAlign w:val="center"/>
          </w:tcPr>
          <w:p w14:paraId="5901A8A6"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40</w:t>
            </w:r>
          </w:p>
        </w:tc>
        <w:tc>
          <w:tcPr>
            <w:tcW w:w="1995" w:type="dxa"/>
            <w:vAlign w:val="center"/>
          </w:tcPr>
          <w:p w14:paraId="2FAFDF24"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-5.5 (4.44)</w:t>
            </w:r>
          </w:p>
        </w:tc>
        <w:tc>
          <w:tcPr>
            <w:tcW w:w="1924" w:type="dxa"/>
            <w:vAlign w:val="center"/>
          </w:tcPr>
          <w:p w14:paraId="09104511"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-1.5 (0.8), p=0.05</w:t>
            </w:r>
          </w:p>
        </w:tc>
      </w:tr>
      <w:tr w:rsidR="000A24F1" w:rsidRPr="002F733E" w14:paraId="37D334E0" w14:textId="77777777" w:rsidTr="004676A9">
        <w:tc>
          <w:tcPr>
            <w:tcW w:w="2122" w:type="dxa"/>
            <w:vAlign w:val="center"/>
          </w:tcPr>
          <w:p w14:paraId="51252CCB" w14:textId="5D4FA976" w:rsidR="000A24F1" w:rsidRPr="002F733E" w:rsidRDefault="000A24F1" w:rsidP="00D8312F">
            <w:pPr>
              <w:keepNext/>
              <w:keepLines/>
              <w:jc w:val="left"/>
              <w:rPr>
                <w:rFonts w:ascii="Arial Narrow" w:hAnsi="Arial Narrow"/>
                <w:b/>
                <w:sz w:val="20"/>
                <w:szCs w:val="20"/>
              </w:rPr>
            </w:pPr>
            <w:r w:rsidRPr="002F733E">
              <w:rPr>
                <w:rFonts w:ascii="Arial Narrow" w:hAnsi="Arial Narrow"/>
                <w:b/>
                <w:sz w:val="20"/>
                <w:szCs w:val="20"/>
              </w:rPr>
              <w:t>Annual OCS use (standardised AUC)</w:t>
            </w:r>
            <w:r w:rsidRPr="002F733E">
              <w:rPr>
                <w:rFonts w:ascii="Arial Narrow" w:hAnsi="Arial Narrow"/>
                <w:b/>
                <w:sz w:val="20"/>
                <w:szCs w:val="20"/>
                <w:vertAlign w:val="superscript"/>
              </w:rPr>
              <w:t>c</w:t>
            </w:r>
          </w:p>
        </w:tc>
        <w:tc>
          <w:tcPr>
            <w:tcW w:w="425" w:type="dxa"/>
            <w:vAlign w:val="center"/>
          </w:tcPr>
          <w:p w14:paraId="1A3445B5"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n</w:t>
            </w:r>
          </w:p>
        </w:tc>
        <w:tc>
          <w:tcPr>
            <w:tcW w:w="2126" w:type="dxa"/>
            <w:vAlign w:val="center"/>
          </w:tcPr>
          <w:p w14:paraId="6263020D" w14:textId="29246035"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mean dose</w:t>
            </w:r>
            <w:r w:rsidR="00460FDD" w:rsidRPr="002F733E">
              <w:rPr>
                <w:rFonts w:ascii="Arial Narrow" w:hAnsi="Arial Narrow"/>
                <w:b/>
                <w:sz w:val="20"/>
                <w:szCs w:val="20"/>
              </w:rPr>
              <w:t>, mg</w:t>
            </w:r>
            <w:r w:rsidRPr="002F733E">
              <w:rPr>
                <w:rFonts w:ascii="Arial Narrow" w:hAnsi="Arial Narrow"/>
                <w:b/>
                <w:sz w:val="20"/>
                <w:szCs w:val="20"/>
              </w:rPr>
              <w:t xml:space="preserve"> (SD)</w:t>
            </w:r>
          </w:p>
        </w:tc>
        <w:tc>
          <w:tcPr>
            <w:tcW w:w="425" w:type="dxa"/>
            <w:vAlign w:val="center"/>
          </w:tcPr>
          <w:p w14:paraId="0B5289A3" w14:textId="77777777"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n</w:t>
            </w:r>
          </w:p>
        </w:tc>
        <w:tc>
          <w:tcPr>
            <w:tcW w:w="1995" w:type="dxa"/>
            <w:vAlign w:val="center"/>
          </w:tcPr>
          <w:p w14:paraId="7876EEAE" w14:textId="0D2A26D3"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mean dose</w:t>
            </w:r>
            <w:r w:rsidR="00460FDD" w:rsidRPr="002F733E">
              <w:rPr>
                <w:rFonts w:ascii="Arial Narrow" w:hAnsi="Arial Narrow"/>
                <w:b/>
                <w:sz w:val="20"/>
                <w:szCs w:val="20"/>
              </w:rPr>
              <w:t>, mg</w:t>
            </w:r>
            <w:r w:rsidRPr="002F733E">
              <w:rPr>
                <w:rFonts w:ascii="Arial Narrow" w:hAnsi="Arial Narrow"/>
                <w:b/>
                <w:sz w:val="20"/>
                <w:szCs w:val="20"/>
              </w:rPr>
              <w:t xml:space="preserve"> (SD)</w:t>
            </w:r>
          </w:p>
        </w:tc>
        <w:tc>
          <w:tcPr>
            <w:tcW w:w="1924" w:type="dxa"/>
            <w:vAlign w:val="center"/>
          </w:tcPr>
          <w:p w14:paraId="05AF7975" w14:textId="06544A63" w:rsidR="000A24F1" w:rsidRPr="002F733E" w:rsidRDefault="000A24F1" w:rsidP="00D8312F">
            <w:pPr>
              <w:keepNext/>
              <w:keepLines/>
              <w:jc w:val="center"/>
              <w:rPr>
                <w:rFonts w:ascii="Arial Narrow" w:hAnsi="Arial Narrow"/>
                <w:b/>
                <w:sz w:val="20"/>
                <w:szCs w:val="20"/>
              </w:rPr>
            </w:pPr>
            <w:r w:rsidRPr="002F733E">
              <w:rPr>
                <w:rFonts w:ascii="Arial Narrow" w:hAnsi="Arial Narrow"/>
                <w:b/>
                <w:sz w:val="20"/>
                <w:szCs w:val="20"/>
              </w:rPr>
              <w:t>Difference</w:t>
            </w:r>
            <w:r w:rsidR="003358C4" w:rsidRPr="002F733E">
              <w:rPr>
                <w:rFonts w:ascii="Arial Narrow" w:hAnsi="Arial Narrow"/>
                <w:b/>
                <w:sz w:val="20"/>
                <w:szCs w:val="20"/>
              </w:rPr>
              <w:t>, mg</w:t>
            </w:r>
          </w:p>
        </w:tc>
      </w:tr>
      <w:tr w:rsidR="000A24F1" w:rsidRPr="002F733E" w14:paraId="0A0FC700" w14:textId="77777777" w:rsidTr="004676A9">
        <w:tc>
          <w:tcPr>
            <w:tcW w:w="2122" w:type="dxa"/>
            <w:vAlign w:val="center"/>
          </w:tcPr>
          <w:p w14:paraId="3CA05822" w14:textId="77777777" w:rsidR="000A24F1" w:rsidRPr="002F733E" w:rsidRDefault="000A24F1" w:rsidP="00D8312F">
            <w:pPr>
              <w:keepNext/>
              <w:keepLines/>
              <w:jc w:val="left"/>
              <w:rPr>
                <w:rFonts w:ascii="Arial Narrow" w:hAnsi="Arial Narrow"/>
                <w:sz w:val="20"/>
                <w:szCs w:val="20"/>
              </w:rPr>
            </w:pPr>
            <w:r w:rsidRPr="002F733E">
              <w:rPr>
                <w:rFonts w:ascii="Arial Narrow" w:hAnsi="Arial Narrow"/>
                <w:sz w:val="20"/>
                <w:szCs w:val="20"/>
              </w:rPr>
              <w:t>1 year (Wk 52)</w:t>
            </w:r>
          </w:p>
        </w:tc>
        <w:tc>
          <w:tcPr>
            <w:tcW w:w="425" w:type="dxa"/>
            <w:vAlign w:val="center"/>
          </w:tcPr>
          <w:p w14:paraId="6E61D343"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355</w:t>
            </w:r>
          </w:p>
        </w:tc>
        <w:tc>
          <w:tcPr>
            <w:tcW w:w="2126" w:type="dxa"/>
            <w:vAlign w:val="center"/>
          </w:tcPr>
          <w:p w14:paraId="39F2930C" w14:textId="33AC3F74"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2</w:t>
            </w:r>
            <w:r w:rsidR="004D1B58" w:rsidRPr="002F733E">
              <w:rPr>
                <w:rFonts w:ascii="Arial Narrow" w:hAnsi="Arial Narrow"/>
                <w:sz w:val="20"/>
                <w:szCs w:val="20"/>
              </w:rPr>
              <w:t>,</w:t>
            </w:r>
            <w:r w:rsidRPr="002F733E">
              <w:rPr>
                <w:rFonts w:ascii="Arial Narrow" w:hAnsi="Arial Narrow"/>
                <w:sz w:val="20"/>
                <w:szCs w:val="20"/>
              </w:rPr>
              <w:t>445 (1</w:t>
            </w:r>
            <w:r w:rsidR="004D1B58" w:rsidRPr="002F733E">
              <w:rPr>
                <w:rFonts w:ascii="Arial Narrow" w:hAnsi="Arial Narrow"/>
                <w:sz w:val="20"/>
                <w:szCs w:val="20"/>
              </w:rPr>
              <w:t>,</w:t>
            </w:r>
            <w:r w:rsidRPr="002F733E">
              <w:rPr>
                <w:rFonts w:ascii="Arial Narrow" w:hAnsi="Arial Narrow"/>
                <w:sz w:val="20"/>
                <w:szCs w:val="20"/>
              </w:rPr>
              <w:t>948)</w:t>
            </w:r>
          </w:p>
        </w:tc>
        <w:tc>
          <w:tcPr>
            <w:tcW w:w="425" w:type="dxa"/>
            <w:vAlign w:val="center"/>
          </w:tcPr>
          <w:p w14:paraId="2A0007CE"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359</w:t>
            </w:r>
          </w:p>
        </w:tc>
        <w:tc>
          <w:tcPr>
            <w:tcW w:w="1995" w:type="dxa"/>
            <w:vAlign w:val="center"/>
          </w:tcPr>
          <w:p w14:paraId="5E383882" w14:textId="2C3425A6"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2</w:t>
            </w:r>
            <w:r w:rsidR="004D1B58" w:rsidRPr="002F733E">
              <w:rPr>
                <w:rFonts w:ascii="Arial Narrow" w:hAnsi="Arial Narrow"/>
                <w:sz w:val="20"/>
                <w:szCs w:val="20"/>
              </w:rPr>
              <w:t>,</w:t>
            </w:r>
            <w:r w:rsidRPr="002F733E">
              <w:rPr>
                <w:rFonts w:ascii="Arial Narrow" w:hAnsi="Arial Narrow"/>
                <w:sz w:val="20"/>
                <w:szCs w:val="20"/>
              </w:rPr>
              <w:t>835 (2</w:t>
            </w:r>
            <w:r w:rsidR="004D1B58" w:rsidRPr="002F733E">
              <w:rPr>
                <w:rFonts w:ascii="Arial Narrow" w:hAnsi="Arial Narrow"/>
                <w:sz w:val="20"/>
                <w:szCs w:val="20"/>
              </w:rPr>
              <w:t>,</w:t>
            </w:r>
            <w:r w:rsidRPr="002F733E">
              <w:rPr>
                <w:rFonts w:ascii="Arial Narrow" w:hAnsi="Arial Narrow"/>
                <w:sz w:val="20"/>
                <w:szCs w:val="20"/>
              </w:rPr>
              <w:t>163)</w:t>
            </w:r>
          </w:p>
        </w:tc>
        <w:tc>
          <w:tcPr>
            <w:tcW w:w="1924" w:type="dxa"/>
            <w:vAlign w:val="center"/>
          </w:tcPr>
          <w:p w14:paraId="2DDCC8CA"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-390</w:t>
            </w:r>
          </w:p>
        </w:tc>
      </w:tr>
      <w:tr w:rsidR="000A24F1" w:rsidRPr="002F733E" w14:paraId="6809F52E" w14:textId="77777777" w:rsidTr="004676A9">
        <w:tc>
          <w:tcPr>
            <w:tcW w:w="2122" w:type="dxa"/>
            <w:vAlign w:val="center"/>
          </w:tcPr>
          <w:p w14:paraId="1A5207C5" w14:textId="77777777" w:rsidR="000A24F1" w:rsidRPr="002F733E" w:rsidRDefault="000A24F1" w:rsidP="00D8312F">
            <w:pPr>
              <w:keepNext/>
              <w:keepLines/>
              <w:jc w:val="left"/>
              <w:rPr>
                <w:rFonts w:ascii="Arial Narrow" w:hAnsi="Arial Narrow"/>
                <w:sz w:val="20"/>
                <w:szCs w:val="20"/>
              </w:rPr>
            </w:pPr>
            <w:r w:rsidRPr="002F733E">
              <w:rPr>
                <w:rFonts w:ascii="Arial Narrow" w:hAnsi="Arial Narrow"/>
                <w:sz w:val="20"/>
                <w:szCs w:val="20"/>
              </w:rPr>
              <w:t>2-years (Week 104)</w:t>
            </w:r>
          </w:p>
        </w:tc>
        <w:tc>
          <w:tcPr>
            <w:tcW w:w="425" w:type="dxa"/>
            <w:vAlign w:val="center"/>
          </w:tcPr>
          <w:p w14:paraId="5800CFF4"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254</w:t>
            </w:r>
          </w:p>
        </w:tc>
        <w:tc>
          <w:tcPr>
            <w:tcW w:w="2126" w:type="dxa"/>
            <w:vAlign w:val="center"/>
          </w:tcPr>
          <w:p w14:paraId="3236B71B" w14:textId="720B20B4"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1</w:t>
            </w:r>
            <w:r w:rsidR="004D1B58" w:rsidRPr="002F733E">
              <w:rPr>
                <w:rFonts w:ascii="Arial Narrow" w:hAnsi="Arial Narrow"/>
                <w:sz w:val="20"/>
                <w:szCs w:val="20"/>
              </w:rPr>
              <w:t>,</w:t>
            </w:r>
            <w:r w:rsidRPr="002F733E">
              <w:rPr>
                <w:rFonts w:ascii="Arial Narrow" w:hAnsi="Arial Narrow"/>
                <w:sz w:val="20"/>
                <w:szCs w:val="20"/>
              </w:rPr>
              <w:t>717 (1</w:t>
            </w:r>
            <w:r w:rsidR="004D1B58" w:rsidRPr="002F733E">
              <w:rPr>
                <w:rFonts w:ascii="Arial Narrow" w:hAnsi="Arial Narrow"/>
                <w:sz w:val="20"/>
                <w:szCs w:val="20"/>
              </w:rPr>
              <w:t>,</w:t>
            </w:r>
            <w:r w:rsidRPr="002F733E">
              <w:rPr>
                <w:rFonts w:ascii="Arial Narrow" w:hAnsi="Arial Narrow"/>
                <w:sz w:val="20"/>
                <w:szCs w:val="20"/>
              </w:rPr>
              <w:t>619)</w:t>
            </w:r>
          </w:p>
        </w:tc>
        <w:tc>
          <w:tcPr>
            <w:tcW w:w="425" w:type="dxa"/>
            <w:vAlign w:val="center"/>
          </w:tcPr>
          <w:p w14:paraId="781B5D1F"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112</w:t>
            </w:r>
          </w:p>
        </w:tc>
        <w:tc>
          <w:tcPr>
            <w:tcW w:w="1995" w:type="dxa"/>
            <w:vAlign w:val="center"/>
          </w:tcPr>
          <w:p w14:paraId="4CD0780E" w14:textId="67950D05"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2</w:t>
            </w:r>
            <w:r w:rsidR="004D1B58" w:rsidRPr="002F733E">
              <w:rPr>
                <w:rFonts w:ascii="Arial Narrow" w:hAnsi="Arial Narrow"/>
                <w:sz w:val="20"/>
                <w:szCs w:val="20"/>
              </w:rPr>
              <w:t>,</w:t>
            </w:r>
            <w:r w:rsidRPr="002F733E">
              <w:rPr>
                <w:rFonts w:ascii="Arial Narrow" w:hAnsi="Arial Narrow"/>
                <w:sz w:val="20"/>
                <w:szCs w:val="20"/>
              </w:rPr>
              <w:t>303 (2</w:t>
            </w:r>
            <w:r w:rsidR="004D1B58" w:rsidRPr="002F733E">
              <w:rPr>
                <w:rFonts w:ascii="Arial Narrow" w:hAnsi="Arial Narrow"/>
                <w:sz w:val="20"/>
                <w:szCs w:val="20"/>
              </w:rPr>
              <w:t>,</w:t>
            </w:r>
            <w:r w:rsidRPr="002F733E">
              <w:rPr>
                <w:rFonts w:ascii="Arial Narrow" w:hAnsi="Arial Narrow"/>
                <w:sz w:val="20"/>
                <w:szCs w:val="20"/>
              </w:rPr>
              <w:t>133)</w:t>
            </w:r>
          </w:p>
        </w:tc>
        <w:tc>
          <w:tcPr>
            <w:tcW w:w="1924" w:type="dxa"/>
            <w:vAlign w:val="center"/>
          </w:tcPr>
          <w:p w14:paraId="749A8C6C"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-586</w:t>
            </w:r>
          </w:p>
        </w:tc>
      </w:tr>
      <w:tr w:rsidR="000A24F1" w:rsidRPr="002F733E" w14:paraId="05448FBF" w14:textId="77777777" w:rsidTr="004676A9">
        <w:tc>
          <w:tcPr>
            <w:tcW w:w="2122" w:type="dxa"/>
            <w:vAlign w:val="center"/>
          </w:tcPr>
          <w:p w14:paraId="610FDFEB" w14:textId="77777777" w:rsidR="000A24F1" w:rsidRPr="002F733E" w:rsidRDefault="000A24F1" w:rsidP="00D8312F">
            <w:pPr>
              <w:keepNext/>
              <w:keepLines/>
              <w:jc w:val="left"/>
              <w:rPr>
                <w:rFonts w:ascii="Arial Narrow" w:hAnsi="Arial Narrow"/>
                <w:sz w:val="20"/>
                <w:szCs w:val="20"/>
              </w:rPr>
            </w:pPr>
            <w:r w:rsidRPr="002F733E">
              <w:rPr>
                <w:rFonts w:ascii="Arial Narrow" w:hAnsi="Arial Narrow"/>
                <w:sz w:val="20"/>
                <w:szCs w:val="20"/>
              </w:rPr>
              <w:t>3-years (Week 156)</w:t>
            </w:r>
          </w:p>
        </w:tc>
        <w:tc>
          <w:tcPr>
            <w:tcW w:w="425" w:type="dxa"/>
            <w:vAlign w:val="center"/>
          </w:tcPr>
          <w:p w14:paraId="390E1E07"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233</w:t>
            </w:r>
          </w:p>
        </w:tc>
        <w:tc>
          <w:tcPr>
            <w:tcW w:w="2126" w:type="dxa"/>
            <w:vAlign w:val="center"/>
          </w:tcPr>
          <w:p w14:paraId="6DA2BC58" w14:textId="2FF288E3"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1</w:t>
            </w:r>
            <w:r w:rsidR="004D1B58" w:rsidRPr="002F733E">
              <w:rPr>
                <w:rFonts w:ascii="Arial Narrow" w:hAnsi="Arial Narrow"/>
                <w:sz w:val="20"/>
                <w:szCs w:val="20"/>
              </w:rPr>
              <w:t>,</w:t>
            </w:r>
            <w:r w:rsidRPr="002F733E">
              <w:rPr>
                <w:rFonts w:ascii="Arial Narrow" w:hAnsi="Arial Narrow"/>
                <w:sz w:val="20"/>
                <w:szCs w:val="20"/>
              </w:rPr>
              <w:t>633 (1</w:t>
            </w:r>
            <w:r w:rsidR="004D1B58" w:rsidRPr="002F733E">
              <w:rPr>
                <w:rFonts w:ascii="Arial Narrow" w:hAnsi="Arial Narrow"/>
                <w:sz w:val="20"/>
                <w:szCs w:val="20"/>
              </w:rPr>
              <w:t>,</w:t>
            </w:r>
            <w:r w:rsidRPr="002F733E">
              <w:rPr>
                <w:rFonts w:ascii="Arial Narrow" w:hAnsi="Arial Narrow"/>
                <w:sz w:val="20"/>
                <w:szCs w:val="20"/>
              </w:rPr>
              <w:t>708)</w:t>
            </w:r>
          </w:p>
        </w:tc>
        <w:tc>
          <w:tcPr>
            <w:tcW w:w="425" w:type="dxa"/>
            <w:vAlign w:val="center"/>
          </w:tcPr>
          <w:p w14:paraId="172078F4"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94</w:t>
            </w:r>
          </w:p>
        </w:tc>
        <w:tc>
          <w:tcPr>
            <w:tcW w:w="1995" w:type="dxa"/>
            <w:vAlign w:val="center"/>
          </w:tcPr>
          <w:p w14:paraId="53CCDB37" w14:textId="5C21701A"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2</w:t>
            </w:r>
            <w:r w:rsidR="004D1B58" w:rsidRPr="002F733E">
              <w:rPr>
                <w:rFonts w:ascii="Arial Narrow" w:hAnsi="Arial Narrow"/>
                <w:sz w:val="20"/>
                <w:szCs w:val="20"/>
              </w:rPr>
              <w:t>,</w:t>
            </w:r>
            <w:r w:rsidRPr="002F733E">
              <w:rPr>
                <w:rFonts w:ascii="Arial Narrow" w:hAnsi="Arial Narrow"/>
                <w:sz w:val="20"/>
                <w:szCs w:val="20"/>
              </w:rPr>
              <w:t>249 (1</w:t>
            </w:r>
            <w:r w:rsidR="004D1B58" w:rsidRPr="002F733E">
              <w:rPr>
                <w:rFonts w:ascii="Arial Narrow" w:hAnsi="Arial Narrow"/>
                <w:sz w:val="20"/>
                <w:szCs w:val="20"/>
              </w:rPr>
              <w:t>,</w:t>
            </w:r>
            <w:r w:rsidRPr="002F733E">
              <w:rPr>
                <w:rFonts w:ascii="Arial Narrow" w:hAnsi="Arial Narrow"/>
                <w:sz w:val="20"/>
                <w:szCs w:val="20"/>
              </w:rPr>
              <w:t>705)</w:t>
            </w:r>
          </w:p>
        </w:tc>
        <w:tc>
          <w:tcPr>
            <w:tcW w:w="1924" w:type="dxa"/>
            <w:vAlign w:val="center"/>
          </w:tcPr>
          <w:p w14:paraId="7502BE1F"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-616</w:t>
            </w:r>
          </w:p>
        </w:tc>
      </w:tr>
      <w:tr w:rsidR="000A24F1" w:rsidRPr="002F733E" w14:paraId="4268C9C6" w14:textId="77777777" w:rsidTr="004676A9">
        <w:tc>
          <w:tcPr>
            <w:tcW w:w="2122" w:type="dxa"/>
            <w:vAlign w:val="center"/>
          </w:tcPr>
          <w:p w14:paraId="324B35D4" w14:textId="77777777" w:rsidR="000A24F1" w:rsidRPr="002F733E" w:rsidRDefault="000A24F1" w:rsidP="00D8312F">
            <w:pPr>
              <w:keepNext/>
              <w:keepLines/>
              <w:jc w:val="left"/>
              <w:rPr>
                <w:rFonts w:ascii="Arial Narrow" w:hAnsi="Arial Narrow"/>
                <w:sz w:val="20"/>
                <w:szCs w:val="20"/>
              </w:rPr>
            </w:pPr>
            <w:r w:rsidRPr="002F733E">
              <w:rPr>
                <w:rFonts w:ascii="Arial Narrow" w:hAnsi="Arial Narrow"/>
                <w:sz w:val="20"/>
                <w:szCs w:val="20"/>
              </w:rPr>
              <w:t>4-years (Week 208)</w:t>
            </w:r>
          </w:p>
        </w:tc>
        <w:tc>
          <w:tcPr>
            <w:tcW w:w="425" w:type="dxa"/>
            <w:vAlign w:val="center"/>
          </w:tcPr>
          <w:p w14:paraId="0A5CDCA3"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208</w:t>
            </w:r>
          </w:p>
        </w:tc>
        <w:tc>
          <w:tcPr>
            <w:tcW w:w="2126" w:type="dxa"/>
            <w:vAlign w:val="center"/>
          </w:tcPr>
          <w:p w14:paraId="27890BCB" w14:textId="067A2ABC"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1</w:t>
            </w:r>
            <w:r w:rsidR="004D1B58" w:rsidRPr="002F733E">
              <w:rPr>
                <w:rFonts w:ascii="Arial Narrow" w:hAnsi="Arial Narrow"/>
                <w:sz w:val="20"/>
                <w:szCs w:val="20"/>
              </w:rPr>
              <w:t>,</w:t>
            </w:r>
            <w:r w:rsidRPr="002F733E">
              <w:rPr>
                <w:rFonts w:ascii="Arial Narrow" w:hAnsi="Arial Narrow"/>
                <w:sz w:val="20"/>
                <w:szCs w:val="20"/>
              </w:rPr>
              <w:t>538 (1</w:t>
            </w:r>
            <w:r w:rsidR="004D1B58" w:rsidRPr="002F733E">
              <w:rPr>
                <w:rFonts w:ascii="Arial Narrow" w:hAnsi="Arial Narrow"/>
                <w:sz w:val="20"/>
                <w:szCs w:val="20"/>
              </w:rPr>
              <w:t>,</w:t>
            </w:r>
            <w:r w:rsidRPr="002F733E">
              <w:rPr>
                <w:rFonts w:ascii="Arial Narrow" w:hAnsi="Arial Narrow"/>
                <w:sz w:val="20"/>
                <w:szCs w:val="20"/>
              </w:rPr>
              <w:t>567)</w:t>
            </w:r>
          </w:p>
        </w:tc>
        <w:tc>
          <w:tcPr>
            <w:tcW w:w="425" w:type="dxa"/>
            <w:vAlign w:val="center"/>
          </w:tcPr>
          <w:p w14:paraId="4F963586"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72</w:t>
            </w:r>
          </w:p>
        </w:tc>
        <w:tc>
          <w:tcPr>
            <w:tcW w:w="1995" w:type="dxa"/>
            <w:vAlign w:val="center"/>
          </w:tcPr>
          <w:p w14:paraId="50903A28" w14:textId="09D675E2"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2</w:t>
            </w:r>
            <w:r w:rsidR="004D1B58" w:rsidRPr="002F733E">
              <w:rPr>
                <w:rFonts w:ascii="Arial Narrow" w:hAnsi="Arial Narrow"/>
                <w:sz w:val="20"/>
                <w:szCs w:val="20"/>
              </w:rPr>
              <w:t>,</w:t>
            </w:r>
            <w:r w:rsidRPr="002F733E">
              <w:rPr>
                <w:rFonts w:ascii="Arial Narrow" w:hAnsi="Arial Narrow"/>
                <w:sz w:val="20"/>
                <w:szCs w:val="20"/>
              </w:rPr>
              <w:t>238 (1</w:t>
            </w:r>
            <w:r w:rsidR="004D1B58" w:rsidRPr="002F733E">
              <w:rPr>
                <w:rFonts w:ascii="Arial Narrow" w:hAnsi="Arial Narrow"/>
                <w:sz w:val="20"/>
                <w:szCs w:val="20"/>
              </w:rPr>
              <w:t>,</w:t>
            </w:r>
            <w:r w:rsidRPr="002F733E">
              <w:rPr>
                <w:rFonts w:ascii="Arial Narrow" w:hAnsi="Arial Narrow"/>
                <w:sz w:val="20"/>
                <w:szCs w:val="20"/>
              </w:rPr>
              <w:t>799)</w:t>
            </w:r>
          </w:p>
        </w:tc>
        <w:tc>
          <w:tcPr>
            <w:tcW w:w="1924" w:type="dxa"/>
            <w:vAlign w:val="center"/>
          </w:tcPr>
          <w:p w14:paraId="481400A0"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-700</w:t>
            </w:r>
          </w:p>
        </w:tc>
      </w:tr>
      <w:tr w:rsidR="000A24F1" w:rsidRPr="002F733E" w14:paraId="501EEC20" w14:textId="77777777" w:rsidTr="004676A9">
        <w:tc>
          <w:tcPr>
            <w:tcW w:w="2122" w:type="dxa"/>
            <w:vAlign w:val="center"/>
          </w:tcPr>
          <w:p w14:paraId="49118DFE" w14:textId="77777777" w:rsidR="000A24F1" w:rsidRPr="002F733E" w:rsidRDefault="000A24F1" w:rsidP="00D8312F">
            <w:pPr>
              <w:keepNext/>
              <w:keepLines/>
              <w:jc w:val="left"/>
              <w:rPr>
                <w:rFonts w:ascii="Arial Narrow" w:hAnsi="Arial Narrow"/>
                <w:b/>
                <w:sz w:val="20"/>
                <w:szCs w:val="20"/>
              </w:rPr>
            </w:pPr>
            <w:r w:rsidRPr="002F733E">
              <w:rPr>
                <w:rFonts w:ascii="Arial Narrow" w:hAnsi="Arial Narrow"/>
                <w:b/>
                <w:sz w:val="20"/>
                <w:szCs w:val="20"/>
              </w:rPr>
              <w:t>SDI score</w:t>
            </w:r>
          </w:p>
        </w:tc>
        <w:tc>
          <w:tcPr>
            <w:tcW w:w="425" w:type="dxa"/>
            <w:vAlign w:val="center"/>
          </w:tcPr>
          <w:p w14:paraId="418113AD"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b/>
                <w:sz w:val="20"/>
                <w:szCs w:val="20"/>
              </w:rPr>
              <w:t>n</w:t>
            </w:r>
          </w:p>
        </w:tc>
        <w:tc>
          <w:tcPr>
            <w:tcW w:w="2126" w:type="dxa"/>
            <w:vAlign w:val="center"/>
          </w:tcPr>
          <w:p w14:paraId="0FDCBBDA"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b/>
                <w:sz w:val="20"/>
                <w:szCs w:val="20"/>
              </w:rPr>
              <w:t>mean change (SD)</w:t>
            </w:r>
          </w:p>
        </w:tc>
        <w:tc>
          <w:tcPr>
            <w:tcW w:w="425" w:type="dxa"/>
            <w:vAlign w:val="center"/>
          </w:tcPr>
          <w:p w14:paraId="221F522B"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b/>
                <w:sz w:val="20"/>
                <w:szCs w:val="20"/>
              </w:rPr>
              <w:t>n</w:t>
            </w:r>
          </w:p>
        </w:tc>
        <w:tc>
          <w:tcPr>
            <w:tcW w:w="1995" w:type="dxa"/>
            <w:vAlign w:val="center"/>
          </w:tcPr>
          <w:p w14:paraId="26A00966"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b/>
                <w:sz w:val="20"/>
                <w:szCs w:val="20"/>
              </w:rPr>
              <w:t>mean change (SD)</w:t>
            </w:r>
          </w:p>
        </w:tc>
        <w:tc>
          <w:tcPr>
            <w:tcW w:w="1924" w:type="dxa"/>
            <w:vAlign w:val="center"/>
          </w:tcPr>
          <w:p w14:paraId="6495565C"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b/>
                <w:sz w:val="20"/>
                <w:szCs w:val="20"/>
              </w:rPr>
              <w:t>Difference (SE), p-value</w:t>
            </w:r>
          </w:p>
        </w:tc>
      </w:tr>
      <w:tr w:rsidR="000A24F1" w:rsidRPr="002F733E" w14:paraId="545D46C0" w14:textId="77777777" w:rsidTr="004676A9">
        <w:tc>
          <w:tcPr>
            <w:tcW w:w="2122" w:type="dxa"/>
            <w:vAlign w:val="center"/>
          </w:tcPr>
          <w:p w14:paraId="4D556642" w14:textId="77777777" w:rsidR="000A24F1" w:rsidRPr="002F733E" w:rsidRDefault="000A24F1" w:rsidP="00D8312F">
            <w:pPr>
              <w:keepNext/>
              <w:keepLines/>
              <w:jc w:val="left"/>
              <w:rPr>
                <w:rFonts w:ascii="Arial Narrow" w:hAnsi="Arial Narrow"/>
                <w:sz w:val="20"/>
                <w:szCs w:val="20"/>
              </w:rPr>
            </w:pPr>
            <w:r w:rsidRPr="002F733E">
              <w:rPr>
                <w:rFonts w:ascii="Arial Narrow" w:hAnsi="Arial Narrow"/>
                <w:sz w:val="20"/>
                <w:szCs w:val="20"/>
              </w:rPr>
              <w:t>1 year (Wk 52)</w:t>
            </w:r>
          </w:p>
        </w:tc>
        <w:tc>
          <w:tcPr>
            <w:tcW w:w="425" w:type="dxa"/>
            <w:vAlign w:val="center"/>
          </w:tcPr>
          <w:p w14:paraId="6040DBA0"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292</w:t>
            </w:r>
          </w:p>
        </w:tc>
        <w:tc>
          <w:tcPr>
            <w:tcW w:w="2126" w:type="dxa"/>
            <w:vAlign w:val="center"/>
          </w:tcPr>
          <w:p w14:paraId="33366750"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0.1 (0.29)</w:t>
            </w:r>
          </w:p>
        </w:tc>
        <w:tc>
          <w:tcPr>
            <w:tcW w:w="425" w:type="dxa"/>
            <w:vAlign w:val="center"/>
          </w:tcPr>
          <w:p w14:paraId="492627E7"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278</w:t>
            </w:r>
          </w:p>
        </w:tc>
        <w:tc>
          <w:tcPr>
            <w:tcW w:w="1995" w:type="dxa"/>
            <w:vAlign w:val="center"/>
          </w:tcPr>
          <w:p w14:paraId="57D59977"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0 (0.21)</w:t>
            </w:r>
          </w:p>
        </w:tc>
        <w:tc>
          <w:tcPr>
            <w:tcW w:w="1924" w:type="dxa"/>
            <w:vAlign w:val="center"/>
          </w:tcPr>
          <w:p w14:paraId="386D4E30" w14:textId="5AFC34FD" w:rsidR="000A24F1" w:rsidRPr="002F733E" w:rsidRDefault="00627180" w:rsidP="00D8312F">
            <w:pPr>
              <w:keepNext/>
              <w:keepLines/>
              <w:jc w:val="center"/>
              <w:rPr>
                <w:rFonts w:ascii="Arial Narrow" w:hAnsi="Arial Narrow"/>
                <w:sz w:val="20"/>
                <w:szCs w:val="20"/>
              </w:rPr>
            </w:pPr>
            <w:r w:rsidRPr="002F733E">
              <w:rPr>
                <w:rFonts w:ascii="Arial Narrow" w:hAnsi="Arial Narrow"/>
                <w:sz w:val="20"/>
                <w:szCs w:val="20"/>
              </w:rPr>
              <w:t>ND</w:t>
            </w:r>
          </w:p>
        </w:tc>
      </w:tr>
      <w:tr w:rsidR="000A24F1" w:rsidRPr="002F733E" w14:paraId="540992DB" w14:textId="77777777" w:rsidTr="004676A9">
        <w:tc>
          <w:tcPr>
            <w:tcW w:w="2122" w:type="dxa"/>
            <w:vAlign w:val="center"/>
          </w:tcPr>
          <w:p w14:paraId="19702040" w14:textId="77777777" w:rsidR="000A24F1" w:rsidRPr="002F733E" w:rsidRDefault="000A24F1" w:rsidP="00D8312F">
            <w:pPr>
              <w:keepNext/>
              <w:keepLines/>
              <w:jc w:val="left"/>
              <w:rPr>
                <w:rFonts w:ascii="Arial Narrow" w:hAnsi="Arial Narrow"/>
                <w:sz w:val="20"/>
                <w:szCs w:val="20"/>
              </w:rPr>
            </w:pPr>
            <w:r w:rsidRPr="002F733E">
              <w:rPr>
                <w:rFonts w:ascii="Arial Narrow" w:hAnsi="Arial Narrow"/>
                <w:sz w:val="20"/>
                <w:szCs w:val="20"/>
              </w:rPr>
              <w:t>2-years (Week 104)</w:t>
            </w:r>
          </w:p>
        </w:tc>
        <w:tc>
          <w:tcPr>
            <w:tcW w:w="425" w:type="dxa"/>
            <w:vAlign w:val="center"/>
          </w:tcPr>
          <w:p w14:paraId="7D91EB52"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221</w:t>
            </w:r>
          </w:p>
        </w:tc>
        <w:tc>
          <w:tcPr>
            <w:tcW w:w="2126" w:type="dxa"/>
            <w:vAlign w:val="center"/>
          </w:tcPr>
          <w:p w14:paraId="61FDB235"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0.2 (0.43)</w:t>
            </w:r>
          </w:p>
        </w:tc>
        <w:tc>
          <w:tcPr>
            <w:tcW w:w="425" w:type="dxa"/>
            <w:vAlign w:val="center"/>
          </w:tcPr>
          <w:p w14:paraId="5CAA7A30"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89</w:t>
            </w:r>
          </w:p>
        </w:tc>
        <w:tc>
          <w:tcPr>
            <w:tcW w:w="1995" w:type="dxa"/>
            <w:vAlign w:val="center"/>
          </w:tcPr>
          <w:p w14:paraId="131E6299"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0.2 (0.44)</w:t>
            </w:r>
          </w:p>
        </w:tc>
        <w:tc>
          <w:tcPr>
            <w:tcW w:w="1924" w:type="dxa"/>
            <w:vAlign w:val="center"/>
          </w:tcPr>
          <w:p w14:paraId="0FB95549" w14:textId="1889B670" w:rsidR="000A24F1" w:rsidRPr="002F733E" w:rsidRDefault="00627180" w:rsidP="00D8312F">
            <w:pPr>
              <w:keepNext/>
              <w:keepLines/>
              <w:jc w:val="center"/>
              <w:rPr>
                <w:rFonts w:ascii="Arial Narrow" w:hAnsi="Arial Narrow"/>
                <w:sz w:val="20"/>
                <w:szCs w:val="20"/>
              </w:rPr>
            </w:pPr>
            <w:r w:rsidRPr="002F733E">
              <w:rPr>
                <w:rFonts w:ascii="Arial Narrow" w:hAnsi="Arial Narrow"/>
                <w:sz w:val="20"/>
                <w:szCs w:val="20"/>
              </w:rPr>
              <w:t>ND</w:t>
            </w:r>
          </w:p>
        </w:tc>
      </w:tr>
      <w:tr w:rsidR="000A24F1" w:rsidRPr="002F733E" w14:paraId="4396BE19" w14:textId="77777777" w:rsidTr="004676A9">
        <w:tc>
          <w:tcPr>
            <w:tcW w:w="2122" w:type="dxa"/>
            <w:vAlign w:val="center"/>
          </w:tcPr>
          <w:p w14:paraId="0E53C463" w14:textId="77777777" w:rsidR="000A24F1" w:rsidRPr="002F733E" w:rsidRDefault="000A24F1" w:rsidP="00D8312F">
            <w:pPr>
              <w:keepNext/>
              <w:keepLines/>
              <w:jc w:val="left"/>
              <w:rPr>
                <w:rFonts w:ascii="Arial Narrow" w:hAnsi="Arial Narrow"/>
                <w:sz w:val="20"/>
                <w:szCs w:val="20"/>
              </w:rPr>
            </w:pPr>
            <w:r w:rsidRPr="002F733E">
              <w:rPr>
                <w:rFonts w:ascii="Arial Narrow" w:hAnsi="Arial Narrow"/>
                <w:sz w:val="20"/>
                <w:szCs w:val="20"/>
              </w:rPr>
              <w:t>3-years (Week 156)</w:t>
            </w:r>
          </w:p>
        </w:tc>
        <w:tc>
          <w:tcPr>
            <w:tcW w:w="425" w:type="dxa"/>
            <w:vAlign w:val="center"/>
          </w:tcPr>
          <w:p w14:paraId="3EA1C1DD"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199</w:t>
            </w:r>
          </w:p>
        </w:tc>
        <w:tc>
          <w:tcPr>
            <w:tcW w:w="2126" w:type="dxa"/>
            <w:vAlign w:val="center"/>
          </w:tcPr>
          <w:p w14:paraId="5E970217"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0.2 (0.50)</w:t>
            </w:r>
          </w:p>
        </w:tc>
        <w:tc>
          <w:tcPr>
            <w:tcW w:w="425" w:type="dxa"/>
            <w:vAlign w:val="center"/>
          </w:tcPr>
          <w:p w14:paraId="62381F25"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63</w:t>
            </w:r>
          </w:p>
        </w:tc>
        <w:tc>
          <w:tcPr>
            <w:tcW w:w="1995" w:type="dxa"/>
            <w:vAlign w:val="center"/>
          </w:tcPr>
          <w:p w14:paraId="1E0FB2C6"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0.2 (0.46)</w:t>
            </w:r>
          </w:p>
        </w:tc>
        <w:tc>
          <w:tcPr>
            <w:tcW w:w="1924" w:type="dxa"/>
            <w:vAlign w:val="center"/>
          </w:tcPr>
          <w:p w14:paraId="5B4A11B9" w14:textId="7628A912" w:rsidR="000A24F1" w:rsidRPr="002F733E" w:rsidRDefault="00627180" w:rsidP="00D8312F">
            <w:pPr>
              <w:keepNext/>
              <w:keepLines/>
              <w:jc w:val="center"/>
              <w:rPr>
                <w:rFonts w:ascii="Arial Narrow" w:hAnsi="Arial Narrow"/>
                <w:sz w:val="20"/>
                <w:szCs w:val="20"/>
              </w:rPr>
            </w:pPr>
            <w:r w:rsidRPr="002F733E">
              <w:rPr>
                <w:rFonts w:ascii="Arial Narrow" w:hAnsi="Arial Narrow"/>
                <w:sz w:val="20"/>
                <w:szCs w:val="20"/>
              </w:rPr>
              <w:t>ND</w:t>
            </w:r>
          </w:p>
        </w:tc>
      </w:tr>
      <w:tr w:rsidR="000A24F1" w:rsidRPr="002F733E" w14:paraId="2B435C27" w14:textId="77777777" w:rsidTr="004676A9">
        <w:tc>
          <w:tcPr>
            <w:tcW w:w="2122" w:type="dxa"/>
            <w:vAlign w:val="center"/>
          </w:tcPr>
          <w:p w14:paraId="0907A166" w14:textId="77777777" w:rsidR="000A24F1" w:rsidRPr="002F733E" w:rsidRDefault="000A24F1" w:rsidP="00D8312F">
            <w:pPr>
              <w:keepNext/>
              <w:keepLines/>
              <w:jc w:val="left"/>
              <w:rPr>
                <w:rFonts w:ascii="Arial Narrow" w:hAnsi="Arial Narrow"/>
                <w:sz w:val="20"/>
                <w:szCs w:val="20"/>
              </w:rPr>
            </w:pPr>
            <w:r w:rsidRPr="002F733E">
              <w:rPr>
                <w:rFonts w:ascii="Arial Narrow" w:hAnsi="Arial Narrow"/>
                <w:sz w:val="20"/>
                <w:szCs w:val="20"/>
              </w:rPr>
              <w:t>4-years (Week 208)</w:t>
            </w:r>
          </w:p>
        </w:tc>
        <w:tc>
          <w:tcPr>
            <w:tcW w:w="425" w:type="dxa"/>
            <w:vAlign w:val="center"/>
          </w:tcPr>
          <w:p w14:paraId="04C77124"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184</w:t>
            </w:r>
          </w:p>
        </w:tc>
        <w:tc>
          <w:tcPr>
            <w:tcW w:w="2126" w:type="dxa"/>
            <w:vAlign w:val="center"/>
          </w:tcPr>
          <w:p w14:paraId="724C368F"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0.3 (0.62)</w:t>
            </w:r>
          </w:p>
        </w:tc>
        <w:tc>
          <w:tcPr>
            <w:tcW w:w="425" w:type="dxa"/>
            <w:vAlign w:val="center"/>
          </w:tcPr>
          <w:p w14:paraId="70D60CE6"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59</w:t>
            </w:r>
          </w:p>
        </w:tc>
        <w:tc>
          <w:tcPr>
            <w:tcW w:w="1995" w:type="dxa"/>
            <w:vAlign w:val="center"/>
          </w:tcPr>
          <w:p w14:paraId="5EB9C49F" w14:textId="77777777" w:rsidR="000A24F1" w:rsidRPr="002F733E" w:rsidRDefault="000A24F1" w:rsidP="00D8312F">
            <w:pPr>
              <w:keepNext/>
              <w:keepLines/>
              <w:jc w:val="center"/>
              <w:rPr>
                <w:rFonts w:ascii="Arial Narrow" w:hAnsi="Arial Narrow"/>
                <w:sz w:val="20"/>
                <w:szCs w:val="20"/>
              </w:rPr>
            </w:pPr>
            <w:r w:rsidRPr="002F733E">
              <w:rPr>
                <w:rFonts w:ascii="Arial Narrow" w:hAnsi="Arial Narrow"/>
                <w:sz w:val="20"/>
                <w:szCs w:val="20"/>
              </w:rPr>
              <w:t>0.3 (0.58)</w:t>
            </w:r>
          </w:p>
        </w:tc>
        <w:tc>
          <w:tcPr>
            <w:tcW w:w="1924" w:type="dxa"/>
            <w:vAlign w:val="center"/>
          </w:tcPr>
          <w:p w14:paraId="17B8E55A" w14:textId="10EB1532" w:rsidR="000A24F1" w:rsidRPr="002F733E" w:rsidRDefault="00627180" w:rsidP="00D8312F">
            <w:pPr>
              <w:keepNext/>
              <w:keepLines/>
              <w:jc w:val="center"/>
              <w:rPr>
                <w:rFonts w:ascii="Arial Narrow" w:hAnsi="Arial Narrow"/>
                <w:sz w:val="20"/>
                <w:szCs w:val="20"/>
              </w:rPr>
            </w:pPr>
            <w:r w:rsidRPr="002F733E">
              <w:rPr>
                <w:rFonts w:ascii="Arial Narrow" w:hAnsi="Arial Narrow"/>
                <w:sz w:val="20"/>
                <w:szCs w:val="20"/>
              </w:rPr>
              <w:t>ND</w:t>
            </w:r>
          </w:p>
        </w:tc>
      </w:tr>
    </w:tbl>
    <w:p w14:paraId="52330F52" w14:textId="77777777" w:rsidR="000A24F1" w:rsidRPr="002F733E" w:rsidRDefault="000A24F1" w:rsidP="00D8312F">
      <w:pPr>
        <w:keepNext/>
        <w:keepLines/>
        <w:rPr>
          <w:rFonts w:ascii="Arial Narrow" w:hAnsi="Arial Narrow"/>
          <w:sz w:val="18"/>
          <w:szCs w:val="18"/>
        </w:rPr>
      </w:pPr>
      <w:r w:rsidRPr="002F733E">
        <w:rPr>
          <w:rFonts w:ascii="Arial Narrow" w:hAnsi="Arial Narrow"/>
          <w:sz w:val="18"/>
          <w:szCs w:val="18"/>
        </w:rPr>
        <w:t>Source: Table 2.5-5, p87 of the resubmission, AZ_TULIP LTE HLR presentation – May 2022.pdf and TULIP LTE – SLEDAI-2K p-value calculation v1.0.xlsx.</w:t>
      </w:r>
    </w:p>
    <w:p w14:paraId="0BDF9DC0" w14:textId="19921CC4" w:rsidR="000A24F1" w:rsidRPr="002F733E" w:rsidRDefault="000A24F1" w:rsidP="000A24F1">
      <w:pPr>
        <w:rPr>
          <w:rFonts w:ascii="Arial Narrow" w:hAnsi="Arial Narrow"/>
          <w:sz w:val="18"/>
          <w:szCs w:val="18"/>
        </w:rPr>
      </w:pPr>
      <w:r w:rsidRPr="002F733E">
        <w:rPr>
          <w:rFonts w:ascii="Arial Narrow" w:hAnsi="Arial Narrow"/>
          <w:sz w:val="18"/>
          <w:szCs w:val="18"/>
        </w:rPr>
        <w:t xml:space="preserve">AUC=area under the curve; </w:t>
      </w:r>
      <w:r w:rsidR="00627180" w:rsidRPr="002F733E">
        <w:rPr>
          <w:rFonts w:ascii="Arial Narrow" w:hAnsi="Arial Narrow"/>
          <w:sz w:val="18"/>
          <w:szCs w:val="18"/>
        </w:rPr>
        <w:t xml:space="preserve">ND=no difference; </w:t>
      </w:r>
      <w:r w:rsidRPr="002F733E">
        <w:rPr>
          <w:rFonts w:ascii="Arial Narrow" w:hAnsi="Arial Narrow"/>
          <w:sz w:val="18"/>
          <w:szCs w:val="18"/>
        </w:rPr>
        <w:t>OCS=oral corticosteroid; SDI=SLICC/ACR (Systemic Lupus International Collaborating Clinics/American College of Rheumatology) Damage Index; SLEDAI-2K=Systemic Lupus Erythematosus Disease Activity Index 2000</w:t>
      </w:r>
    </w:p>
    <w:p w14:paraId="1CB383E0" w14:textId="77777777" w:rsidR="000A24F1" w:rsidRPr="002F733E" w:rsidRDefault="000A24F1" w:rsidP="000A24F1">
      <w:pPr>
        <w:rPr>
          <w:rFonts w:ascii="Arial Narrow" w:hAnsi="Arial Narrow"/>
          <w:sz w:val="18"/>
          <w:szCs w:val="18"/>
        </w:rPr>
      </w:pPr>
      <w:r w:rsidRPr="002F733E">
        <w:rPr>
          <w:rFonts w:ascii="Arial Narrow" w:hAnsi="Arial Narrow"/>
          <w:sz w:val="18"/>
          <w:szCs w:val="18"/>
        </w:rPr>
        <w:t>a</w:t>
      </w:r>
      <w:r w:rsidRPr="002F733E">
        <w:rPr>
          <w:rFonts w:ascii="Arial Narrow" w:hAnsi="Arial Narrow"/>
          <w:sz w:val="18"/>
          <w:szCs w:val="18"/>
        </w:rPr>
        <w:tab/>
        <w:t>Total patients randomised to anifrolumab 300mg at the start of TULIP studies.</w:t>
      </w:r>
    </w:p>
    <w:p w14:paraId="2DD6F9E6" w14:textId="77777777" w:rsidR="000A24F1" w:rsidRPr="002F733E" w:rsidRDefault="000A24F1" w:rsidP="000A24F1">
      <w:pPr>
        <w:rPr>
          <w:rFonts w:ascii="Arial Narrow" w:hAnsi="Arial Narrow"/>
          <w:sz w:val="18"/>
          <w:szCs w:val="18"/>
        </w:rPr>
      </w:pPr>
      <w:r w:rsidRPr="002F733E">
        <w:rPr>
          <w:rFonts w:ascii="Arial Narrow" w:hAnsi="Arial Narrow"/>
          <w:sz w:val="18"/>
          <w:szCs w:val="18"/>
        </w:rPr>
        <w:t>b</w:t>
      </w:r>
      <w:r w:rsidRPr="002F733E">
        <w:rPr>
          <w:rFonts w:ascii="Arial Narrow" w:hAnsi="Arial Narrow"/>
          <w:sz w:val="18"/>
          <w:szCs w:val="18"/>
        </w:rPr>
        <w:tab/>
        <w:t>Total patients randomised to placebo at the start of TULIP studies who continued to receive placebo in TULIP LTE.</w:t>
      </w:r>
    </w:p>
    <w:p w14:paraId="2B3DB802" w14:textId="37DFC627" w:rsidR="000A24F1" w:rsidRPr="002F733E" w:rsidRDefault="000A24F1" w:rsidP="00AF0AB5">
      <w:pPr>
        <w:ind w:left="165" w:hanging="165"/>
        <w:rPr>
          <w:rFonts w:ascii="Arial Narrow" w:hAnsi="Arial Narrow"/>
          <w:sz w:val="18"/>
          <w:szCs w:val="18"/>
        </w:rPr>
      </w:pPr>
      <w:r w:rsidRPr="002F733E">
        <w:rPr>
          <w:rFonts w:ascii="Arial Narrow" w:hAnsi="Arial Narrow"/>
          <w:sz w:val="18"/>
          <w:szCs w:val="18"/>
        </w:rPr>
        <w:t>c</w:t>
      </w:r>
      <w:r w:rsidRPr="002F733E">
        <w:rPr>
          <w:rFonts w:ascii="Arial Narrow" w:hAnsi="Arial Narrow"/>
          <w:sz w:val="18"/>
          <w:szCs w:val="18"/>
        </w:rPr>
        <w:tab/>
        <w:t>Exclude</w:t>
      </w:r>
      <w:r w:rsidR="006D1B66" w:rsidRPr="002F733E">
        <w:rPr>
          <w:rFonts w:ascii="Arial Narrow" w:hAnsi="Arial Narrow"/>
          <w:sz w:val="18"/>
          <w:szCs w:val="18"/>
        </w:rPr>
        <w:t>d</w:t>
      </w:r>
      <w:r w:rsidRPr="002F733E">
        <w:rPr>
          <w:rFonts w:ascii="Arial Narrow" w:hAnsi="Arial Narrow"/>
          <w:sz w:val="18"/>
          <w:szCs w:val="18"/>
        </w:rPr>
        <w:t xml:space="preserve"> patients with baseline OCS dose &gt;40mg/day at baseline. </w:t>
      </w:r>
      <w:r w:rsidR="008619FA" w:rsidRPr="002F733E">
        <w:rPr>
          <w:rFonts w:ascii="Arial Narrow" w:hAnsi="Arial Narrow"/>
          <w:sz w:val="18"/>
          <w:szCs w:val="18"/>
        </w:rPr>
        <w:t xml:space="preserve">The AUC for each single dose </w:t>
      </w:r>
      <w:r w:rsidR="00702473" w:rsidRPr="002F733E">
        <w:rPr>
          <w:rFonts w:ascii="Arial Narrow" w:hAnsi="Arial Narrow"/>
          <w:sz w:val="18"/>
          <w:szCs w:val="18"/>
        </w:rPr>
        <w:t>was</w:t>
      </w:r>
      <w:r w:rsidR="008619FA" w:rsidRPr="002F733E">
        <w:rPr>
          <w:rFonts w:ascii="Arial Narrow" w:hAnsi="Arial Narrow"/>
          <w:sz w:val="18"/>
          <w:szCs w:val="18"/>
        </w:rPr>
        <w:t xml:space="preserve"> derived by the daily dose (mg/day) multiplied with the duration (days). The yearly AUC </w:t>
      </w:r>
      <w:r w:rsidR="00702473" w:rsidRPr="002F733E">
        <w:rPr>
          <w:rFonts w:ascii="Arial Narrow" w:hAnsi="Arial Narrow"/>
          <w:sz w:val="18"/>
          <w:szCs w:val="18"/>
        </w:rPr>
        <w:t>was</w:t>
      </w:r>
      <w:r w:rsidR="008619FA" w:rsidRPr="002F733E">
        <w:rPr>
          <w:rFonts w:ascii="Arial Narrow" w:hAnsi="Arial Narrow"/>
          <w:sz w:val="18"/>
          <w:szCs w:val="18"/>
        </w:rPr>
        <w:t xml:space="preserve"> the sum of the AUCs of the single doses within the respective period.</w:t>
      </w:r>
    </w:p>
    <w:p w14:paraId="2B7106E0" w14:textId="77777777" w:rsidR="000A24F1" w:rsidRPr="002F733E" w:rsidRDefault="000A24F1" w:rsidP="000A24F1">
      <w:pPr>
        <w:pStyle w:val="3-BodyText"/>
        <w:numPr>
          <w:ilvl w:val="0"/>
          <w:numId w:val="0"/>
        </w:numPr>
      </w:pPr>
    </w:p>
    <w:p w14:paraId="2FA397D6" w14:textId="00E59111" w:rsidR="000A24F1" w:rsidRPr="002F733E" w:rsidRDefault="008C4F84" w:rsidP="00EC5836">
      <w:pPr>
        <w:pStyle w:val="3-BodyText"/>
      </w:pPr>
      <w:r w:rsidRPr="002F733E">
        <w:t xml:space="preserve">The results from TULIP LTE demonstrated that patients treated with anifrolumab 300 mg had </w:t>
      </w:r>
      <w:r w:rsidR="00474C95" w:rsidRPr="002F733E">
        <w:t xml:space="preserve">a small but </w:t>
      </w:r>
      <w:r w:rsidRPr="002F733E">
        <w:t xml:space="preserve">significant improvement from baseline in the SLEDAI-2K and reduction in annual OCS use compared to placebo, which was maintained from Week 52 to Week 208. </w:t>
      </w:r>
      <w:r w:rsidR="00AF0AB5" w:rsidRPr="002F733E">
        <w:t xml:space="preserve">The difference between anifrolumab and placebo arms in mean annualised OCS dose for those who remained on treatment </w:t>
      </w:r>
      <w:r w:rsidR="004E18FA" w:rsidRPr="002F733E">
        <w:t xml:space="preserve">until </w:t>
      </w:r>
      <w:r w:rsidR="00AF0AB5" w:rsidRPr="002F733E">
        <w:t xml:space="preserve">Year 4 was </w:t>
      </w:r>
      <w:r w:rsidR="00FF2585" w:rsidRPr="002F733E">
        <w:t>- </w:t>
      </w:r>
      <w:r w:rsidR="00AF0AB5" w:rsidRPr="002F733E">
        <w:t>700</w:t>
      </w:r>
      <w:r w:rsidR="00D15A91" w:rsidRPr="002F733E">
        <w:t xml:space="preserve"> </w:t>
      </w:r>
      <w:r w:rsidR="00AF0AB5" w:rsidRPr="002F733E">
        <w:t>mg</w:t>
      </w:r>
      <w:r w:rsidR="004E18FA" w:rsidRPr="002F733E">
        <w:t xml:space="preserve"> (</w:t>
      </w:r>
      <w:r w:rsidR="00AF0AB5" w:rsidRPr="002F733E">
        <w:t>approximately 1.9</w:t>
      </w:r>
      <w:r w:rsidR="00D15A91" w:rsidRPr="002F733E">
        <w:t xml:space="preserve"> </w:t>
      </w:r>
      <w:r w:rsidR="00AF0AB5" w:rsidRPr="002F733E">
        <w:t>mg per day</w:t>
      </w:r>
      <w:r w:rsidR="004E18FA" w:rsidRPr="002F733E">
        <w:t>)</w:t>
      </w:r>
      <w:r w:rsidR="00AF0AB5" w:rsidRPr="002F733E">
        <w:t xml:space="preserve">. The clinical significance of this difference was not discussed in the resubmission. </w:t>
      </w:r>
      <w:r w:rsidRPr="002F733E">
        <w:t>Additional analys</w:t>
      </w:r>
      <w:r w:rsidR="00D8312F" w:rsidRPr="002F733E">
        <w:t>e</w:t>
      </w:r>
      <w:r w:rsidRPr="002F733E">
        <w:t xml:space="preserve">s showed that a higher proportion of patients in the anifrolumab group achieved </w:t>
      </w:r>
      <w:r w:rsidRPr="002F733E">
        <w:rPr>
          <w:rFonts w:cs="Calibri"/>
        </w:rPr>
        <w:t>≥4 points</w:t>
      </w:r>
      <w:r w:rsidRPr="002F733E">
        <w:t xml:space="preserve"> reduction from baseline in SLEDAI-2K at Week 52 and maintained to Week 208</w:t>
      </w:r>
      <w:r w:rsidR="00AF0AB5" w:rsidRPr="002F733E">
        <w:t xml:space="preserve"> for those who continued treatment</w:t>
      </w:r>
      <w:r w:rsidRPr="002F733E">
        <w:t xml:space="preserve"> (76.1% and 90%, respectively) compared to the placebo group (69.5% and 81.8%, respectively).</w:t>
      </w:r>
    </w:p>
    <w:p w14:paraId="7CCD0D97" w14:textId="0BB833D1" w:rsidR="000A24F1" w:rsidRPr="002F733E" w:rsidRDefault="008C4F84" w:rsidP="00EC5836">
      <w:pPr>
        <w:pStyle w:val="3-BodyText"/>
      </w:pPr>
      <w:r w:rsidRPr="002F733E">
        <w:t>The mean SDI global score and the annualised flare rate (0.1</w:t>
      </w:r>
      <w:r w:rsidR="00FF2585" w:rsidRPr="002F733E">
        <w:t xml:space="preserve"> flares per patient year</w:t>
      </w:r>
      <w:r w:rsidRPr="002F733E">
        <w:t xml:space="preserve"> in the combined anifrolumab group vs 0.2 </w:t>
      </w:r>
      <w:r w:rsidR="00FF2585" w:rsidRPr="002F733E">
        <w:t xml:space="preserve">flares per patient year </w:t>
      </w:r>
      <w:r w:rsidRPr="002F733E">
        <w:t>in the combined placebo group) were similar between groups for the duration of TULIP LTE; all flares were mild to moderate in severity. There were no significant differences between the anifrolumab group and placebo in terms of improvement in quality of life (EQ-5D-5L) at Week 208.</w:t>
      </w:r>
    </w:p>
    <w:p w14:paraId="44B38501" w14:textId="7CB4B534" w:rsidR="009006C2" w:rsidRPr="002F733E" w:rsidRDefault="009006C2" w:rsidP="009006C2">
      <w:pPr>
        <w:pStyle w:val="3-BodyText"/>
        <w:numPr>
          <w:ilvl w:val="0"/>
          <w:numId w:val="0"/>
        </w:numPr>
        <w:rPr>
          <w:b/>
        </w:rPr>
      </w:pPr>
      <w:r w:rsidRPr="002F733E">
        <w:rPr>
          <w:b/>
        </w:rPr>
        <w:t>Meta-analysis</w:t>
      </w:r>
    </w:p>
    <w:p w14:paraId="13A1362B" w14:textId="3D160E6E" w:rsidR="009006C2" w:rsidRPr="002F733E" w:rsidRDefault="009006C2" w:rsidP="00EC5836">
      <w:pPr>
        <w:pStyle w:val="3-BodyText"/>
      </w:pPr>
      <w:r w:rsidRPr="002F733E">
        <w:t xml:space="preserve">The meta-analysis performed on the three anifrolumab trials (TULIP-1, TULIP-2 and MUSE) was unchanged from the previous submission. The results of the meta-analysis showed that anifrolumab improved disease activity in terms of SRI(4) and BICLA response at Weeks 24 and 52. It was also associated with significant reductions in OCS dose and </w:t>
      </w:r>
      <w:r w:rsidR="00C911C5" w:rsidRPr="002F733E">
        <w:t xml:space="preserve">cutaneous manifestation (as measured on the CLASI activity score) </w:t>
      </w:r>
      <w:r w:rsidRPr="002F733E">
        <w:t>at Week 52.</w:t>
      </w:r>
    </w:p>
    <w:p w14:paraId="003C7009" w14:textId="7CD9C1E2" w:rsidR="009006C2" w:rsidRPr="002F733E" w:rsidRDefault="009006C2" w:rsidP="00EC5836">
      <w:pPr>
        <w:pStyle w:val="3-BodyText"/>
      </w:pPr>
      <w:r w:rsidRPr="002F733E">
        <w:t>The resubmission identified nine published meta-analys</w:t>
      </w:r>
      <w:r w:rsidR="00D15A91" w:rsidRPr="002F733E">
        <w:t>e</w:t>
      </w:r>
      <w:r w:rsidRPr="002F733E">
        <w:t>s of TULIP-1, TULIP-2 and/or MUSE. The results in terms of disease activity (SRI(4) and BICLA response), OCS dose and CLASI at Week 52 were generally consistent between the resubmission and the published meta-analys</w:t>
      </w:r>
      <w:r w:rsidR="00D15A91" w:rsidRPr="002F733E">
        <w:t>e</w:t>
      </w:r>
      <w:r w:rsidRPr="002F733E">
        <w:t xml:space="preserve">s. </w:t>
      </w:r>
      <w:r w:rsidR="004415E2" w:rsidRPr="002F733E">
        <w:t>The published meta-analyses found that</w:t>
      </w:r>
      <w:r w:rsidRPr="002F733E">
        <w:t xml:space="preserve"> patients treated with anifrolumab had significantly longer median time to first flare, time spent flare free and greater reduction in annualised flare rate compared to placebo (Furie et al 2021b</w:t>
      </w:r>
      <w:r w:rsidRPr="002F733E">
        <w:rPr>
          <w:rStyle w:val="FootnoteReference"/>
        </w:rPr>
        <w:footnoteReference w:id="9"/>
      </w:r>
      <w:r w:rsidRPr="002F733E">
        <w:t xml:space="preserve"> and Vital et al 2022</w:t>
      </w:r>
      <w:r w:rsidRPr="002F733E">
        <w:rPr>
          <w:rStyle w:val="FootnoteReference"/>
        </w:rPr>
        <w:footnoteReference w:id="10"/>
      </w:r>
      <w:r w:rsidRPr="002F733E">
        <w:t>).</w:t>
      </w:r>
      <w:r w:rsidR="003E6DB6" w:rsidRPr="002F733E">
        <w:t xml:space="preserve"> </w:t>
      </w:r>
      <w:r w:rsidR="003953E4" w:rsidRPr="002F733E">
        <w:t>However, in contrast, t</w:t>
      </w:r>
      <w:r w:rsidR="003E6DB6" w:rsidRPr="002F733E">
        <w:t>he results from the longer term follow up from TULIP LTE suggest no significant difference in annualised flare rates between anifrolumab and placeb</w:t>
      </w:r>
      <w:r w:rsidR="00FC2D97" w:rsidRPr="002F733E">
        <w:t>o</w:t>
      </w:r>
      <w:r w:rsidR="003E6DB6" w:rsidRPr="002F733E">
        <w:t xml:space="preserve"> for those who continued treatment.</w:t>
      </w:r>
    </w:p>
    <w:p w14:paraId="6266861C" w14:textId="14839825" w:rsidR="009006C2" w:rsidRPr="002F733E" w:rsidRDefault="00B415B3" w:rsidP="00EC5836">
      <w:pPr>
        <w:pStyle w:val="3-BodyText"/>
      </w:pPr>
      <w:r w:rsidRPr="002F733E">
        <w:t xml:space="preserve">Given that the management of SLE should aim </w:t>
      </w:r>
      <w:r w:rsidR="00460FDD" w:rsidRPr="002F733E">
        <w:t>for</w:t>
      </w:r>
      <w:r w:rsidRPr="002F733E">
        <w:t xml:space="preserve"> remission of disease symptoms (or low disease activity) to improve long-term patient outcomes, t</w:t>
      </w:r>
      <w:r w:rsidR="009006C2" w:rsidRPr="002F733E">
        <w:t xml:space="preserve">he resubmission presented further </w:t>
      </w:r>
      <w:r w:rsidR="00FF02BB" w:rsidRPr="002F733E">
        <w:t xml:space="preserve">post-hoc </w:t>
      </w:r>
      <w:r w:rsidR="009006C2" w:rsidRPr="002F733E">
        <w:t>analysis of attainment of Low Lupus Disease Activity State (LLDAS, defined as SLEDAI-2K≤4 without major organ activity, no new disease activity, PGA ≤1, prednisone or equivalent ≤7.5 mg/day, and well-tolerated standard immunosuppressant) by Morand et al 2021 (abstract)</w:t>
      </w:r>
      <w:r w:rsidR="009006C2" w:rsidRPr="002F733E">
        <w:rPr>
          <w:rStyle w:val="FootnoteReference"/>
        </w:rPr>
        <w:footnoteReference w:id="11"/>
      </w:r>
      <w:r w:rsidR="009006C2" w:rsidRPr="002F733E">
        <w:t xml:space="preserve">. The results demonstrated LLDAS attainment increased over 52 weeks and was achieved earlier in patients treated with anifrolumab 300 mg compared to placebo (time to first LLDAS, HR </w:t>
      </w:r>
      <w:r w:rsidR="00AE7845" w:rsidRPr="002F733E">
        <w:t xml:space="preserve">= </w:t>
      </w:r>
      <w:r w:rsidR="009006C2" w:rsidRPr="002F733E">
        <w:t>1.76, 95%</w:t>
      </w:r>
      <w:r w:rsidR="00AE7845" w:rsidRPr="002F733E">
        <w:t xml:space="preserve"> </w:t>
      </w:r>
      <w:r w:rsidR="009006C2" w:rsidRPr="002F733E">
        <w:t>CI</w:t>
      </w:r>
      <w:r w:rsidR="00AE7845" w:rsidRPr="002F733E">
        <w:t>:</w:t>
      </w:r>
      <w:r w:rsidR="009006C2" w:rsidRPr="002F733E">
        <w:t xml:space="preserve"> 1.35</w:t>
      </w:r>
      <w:r w:rsidR="00AE7845" w:rsidRPr="002F733E">
        <w:t xml:space="preserve">, </w:t>
      </w:r>
      <w:r w:rsidR="009006C2" w:rsidRPr="002F733E">
        <w:t>2.30, p&lt;0.001). Patients treated with anifrolumab also had significantly more cumulative time (p&lt;0.001) and percentage of time (p&lt;0.001) spent in LLDAS compared to placebo.</w:t>
      </w:r>
      <w:r w:rsidR="004D1B58" w:rsidRPr="002F733E">
        <w:t xml:space="preserve"> </w:t>
      </w:r>
      <w:r w:rsidR="00445581" w:rsidRPr="002F733E">
        <w:t>T</w:t>
      </w:r>
      <w:r w:rsidR="009006C2" w:rsidRPr="002F733E">
        <w:t>here was</w:t>
      </w:r>
      <w:r w:rsidR="00445581" w:rsidRPr="002F733E">
        <w:t xml:space="preserve"> also a</w:t>
      </w:r>
      <w:r w:rsidR="009006C2" w:rsidRPr="002F733E">
        <w:t xml:space="preserve"> significant difference in the proportion of patients in LLDAS at Week 52 between the anifrolumab group compared to placebo (17.5% vs 10.6%, OR</w:t>
      </w:r>
      <w:r w:rsidR="00141962" w:rsidRPr="002F733E">
        <w:t xml:space="preserve"> =</w:t>
      </w:r>
      <w:r w:rsidR="009006C2" w:rsidRPr="002F733E">
        <w:t xml:space="preserve"> 1.8, 95%</w:t>
      </w:r>
      <w:r w:rsidR="00141962" w:rsidRPr="002F733E">
        <w:t xml:space="preserve"> </w:t>
      </w:r>
      <w:r w:rsidR="009006C2" w:rsidRPr="002F733E">
        <w:t>CI</w:t>
      </w:r>
      <w:r w:rsidR="00141962" w:rsidRPr="002F733E">
        <w:t>:</w:t>
      </w:r>
      <w:r w:rsidR="009006C2" w:rsidRPr="002F733E">
        <w:t xml:space="preserve"> 1.2</w:t>
      </w:r>
      <w:r w:rsidR="00141962" w:rsidRPr="002F733E">
        <w:t xml:space="preserve">, </w:t>
      </w:r>
      <w:r w:rsidR="009006C2" w:rsidRPr="002F733E">
        <w:t>2.8, p=0.008). Morand et al 2021 evaluated LLDAS as a potential treat-to-target endpoint for SLE clinical trials, given that attainment of LLDAS is a treatment goal of SLE. Based on EULAR/ACR 2019 guidelines the goal of treatment is remission (SLEDAI-2K=0) or low disease activity states</w:t>
      </w:r>
      <w:r w:rsidR="00AE7845" w:rsidRPr="002F733E">
        <w:t xml:space="preserve"> </w:t>
      </w:r>
      <w:bookmarkStart w:id="28" w:name="_Hlk123807482"/>
      <w:r w:rsidR="00AE7845" w:rsidRPr="002F733E">
        <w:t>based on a SLEDAI score ≤3 on antimalarials, or alternatively SLEDAI ≤4, PGA≤1 with glucocorticoids ≤7.5 mg of prednisone and well tolerated immunosuppressants</w:t>
      </w:r>
      <w:bookmarkEnd w:id="28"/>
      <w:r w:rsidR="00AE7845" w:rsidRPr="002F733E">
        <w:t>.</w:t>
      </w:r>
    </w:p>
    <w:p w14:paraId="1452C351" w14:textId="0D19F1B0" w:rsidR="00B60939" w:rsidRPr="002F733E" w:rsidRDefault="00B60939" w:rsidP="00D86231">
      <w:pPr>
        <w:pStyle w:val="4-SubsectionHeading"/>
      </w:pPr>
      <w:bookmarkStart w:id="29" w:name="_Toc22897642"/>
      <w:bookmarkStart w:id="30" w:name="_Toc124521449"/>
      <w:r w:rsidRPr="002F733E">
        <w:t>Comparative harms</w:t>
      </w:r>
      <w:bookmarkEnd w:id="29"/>
      <w:bookmarkEnd w:id="30"/>
    </w:p>
    <w:p w14:paraId="1AC4ED25" w14:textId="3364E2AC" w:rsidR="009006C2" w:rsidRPr="002F733E" w:rsidRDefault="00DA4341" w:rsidP="004676A9">
      <w:pPr>
        <w:pStyle w:val="3-BodyText"/>
      </w:pPr>
      <w:r w:rsidRPr="002F733E">
        <w:t xml:space="preserve">A summary of the key </w:t>
      </w:r>
      <w:r w:rsidR="00ED0C44" w:rsidRPr="002F733E">
        <w:t>adverse events (</w:t>
      </w:r>
      <w:r w:rsidRPr="002F733E">
        <w:t>AEs</w:t>
      </w:r>
      <w:r w:rsidR="00ED0C44" w:rsidRPr="002F733E">
        <w:t>)</w:t>
      </w:r>
      <w:r w:rsidRPr="002F733E">
        <w:t xml:space="preserve"> across the included trials to Week 52 (TULIP-1, TULIP-2 and MUSE) and Week 216 (MUSE LTE and TULIP LTE) is presented in </w:t>
      </w:r>
      <w:r w:rsidR="005A67D0" w:rsidRPr="002F733E">
        <w:fldChar w:fldCharType="begin" w:fldLock="1"/>
      </w:r>
      <w:r w:rsidR="005A67D0" w:rsidRPr="002F733E">
        <w:instrText xml:space="preserve"> REF _Ref121737496 \h </w:instrText>
      </w:r>
      <w:r w:rsidR="005A67D0" w:rsidRPr="002F733E">
        <w:fldChar w:fldCharType="separate"/>
      </w:r>
      <w:r w:rsidR="001316D2" w:rsidRPr="002F733E">
        <w:t>Table 7</w:t>
      </w:r>
      <w:r w:rsidR="005A67D0" w:rsidRPr="002F733E">
        <w:fldChar w:fldCharType="end"/>
      </w:r>
      <w:r w:rsidRPr="002F733E">
        <w:t>.</w:t>
      </w:r>
    </w:p>
    <w:p w14:paraId="7173140D" w14:textId="2E1B07C0" w:rsidR="00DA4341" w:rsidRPr="002F733E" w:rsidRDefault="005A67D0" w:rsidP="00E04E96">
      <w:pPr>
        <w:pStyle w:val="Caption"/>
        <w:rPr>
          <w:szCs w:val="20"/>
        </w:rPr>
      </w:pPr>
      <w:bookmarkStart w:id="31" w:name="_Ref121737496"/>
      <w:r w:rsidRPr="002F733E">
        <w:t xml:space="preserve">Table </w:t>
      </w:r>
      <w:fldSimple w:instr=" SEQ Table \* ARABIC " w:fldLock="1">
        <w:r w:rsidR="00781A0F" w:rsidRPr="002F733E">
          <w:t>7</w:t>
        </w:r>
      </w:fldSimple>
      <w:bookmarkEnd w:id="31"/>
      <w:r w:rsidRPr="002F733E">
        <w:t>:</w:t>
      </w:r>
      <w:r w:rsidR="00DA4341" w:rsidRPr="002F733E">
        <w:rPr>
          <w:szCs w:val="20"/>
        </w:rPr>
        <w:t xml:space="preserve"> Summary of key adverse events (AEs) across the included trials.</w:t>
      </w:r>
    </w:p>
    <w:tbl>
      <w:tblPr>
        <w:tblStyle w:val="TableGrid"/>
        <w:tblW w:w="5000" w:type="pct"/>
        <w:tblCellMar>
          <w:left w:w="28" w:type="dxa"/>
          <w:right w:w="28" w:type="dxa"/>
        </w:tblCellMar>
        <w:tblLook w:val="04A0" w:firstRow="1" w:lastRow="0" w:firstColumn="1" w:lastColumn="0" w:noHBand="0" w:noVBand="1"/>
      </w:tblPr>
      <w:tblGrid>
        <w:gridCol w:w="3062"/>
        <w:gridCol w:w="1672"/>
        <w:gridCol w:w="1255"/>
        <w:gridCol w:w="1533"/>
        <w:gridCol w:w="1495"/>
      </w:tblGrid>
      <w:tr w:rsidR="00DA4341" w:rsidRPr="002F733E" w14:paraId="2161F137" w14:textId="77777777" w:rsidTr="00E04E96">
        <w:trPr>
          <w:tblHeader/>
        </w:trPr>
        <w:tc>
          <w:tcPr>
            <w:tcW w:w="1698" w:type="pct"/>
            <w:vAlign w:val="center"/>
          </w:tcPr>
          <w:p w14:paraId="66D51BE0" w14:textId="77777777" w:rsidR="00DA4341" w:rsidRPr="002F733E" w:rsidRDefault="00DA4341" w:rsidP="00E04E96">
            <w:pPr>
              <w:keepNext/>
              <w:jc w:val="left"/>
              <w:rPr>
                <w:rFonts w:ascii="Arial Narrow" w:hAnsi="Arial Narrow"/>
                <w:sz w:val="20"/>
                <w:szCs w:val="20"/>
              </w:rPr>
            </w:pPr>
          </w:p>
        </w:tc>
        <w:tc>
          <w:tcPr>
            <w:tcW w:w="927" w:type="pct"/>
            <w:vAlign w:val="center"/>
          </w:tcPr>
          <w:p w14:paraId="189B429C"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Anifrolumab 300 mg</w:t>
            </w:r>
          </w:p>
          <w:p w14:paraId="1757132C"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n/N (%)</w:t>
            </w:r>
          </w:p>
        </w:tc>
        <w:tc>
          <w:tcPr>
            <w:tcW w:w="696" w:type="pct"/>
          </w:tcPr>
          <w:p w14:paraId="028730D1"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Placebo</w:t>
            </w:r>
          </w:p>
          <w:p w14:paraId="17686D63"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n/N (%)</w:t>
            </w:r>
          </w:p>
        </w:tc>
        <w:tc>
          <w:tcPr>
            <w:tcW w:w="850" w:type="pct"/>
            <w:vAlign w:val="center"/>
          </w:tcPr>
          <w:p w14:paraId="1C392FEF"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RR (95%CI)</w:t>
            </w:r>
          </w:p>
        </w:tc>
        <w:tc>
          <w:tcPr>
            <w:tcW w:w="829" w:type="pct"/>
            <w:vAlign w:val="center"/>
          </w:tcPr>
          <w:p w14:paraId="58F09A72"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RD (95%CI)</w:t>
            </w:r>
          </w:p>
        </w:tc>
      </w:tr>
      <w:tr w:rsidR="00DA4341" w:rsidRPr="002F733E" w14:paraId="6410809E" w14:textId="77777777" w:rsidTr="004676A9">
        <w:tc>
          <w:tcPr>
            <w:tcW w:w="5000" w:type="pct"/>
            <w:gridSpan w:val="5"/>
            <w:shd w:val="clear" w:color="auto" w:fill="B8CCE4" w:themeFill="accent1" w:themeFillTint="66"/>
            <w:vAlign w:val="center"/>
          </w:tcPr>
          <w:p w14:paraId="456F90BD" w14:textId="77777777" w:rsidR="00DA4341" w:rsidRPr="002F733E" w:rsidRDefault="00DA4341" w:rsidP="00E04E96">
            <w:pPr>
              <w:keepNext/>
              <w:jc w:val="left"/>
              <w:rPr>
                <w:rFonts w:ascii="Arial Narrow" w:hAnsi="Arial Narrow"/>
                <w:b/>
                <w:sz w:val="20"/>
                <w:szCs w:val="20"/>
              </w:rPr>
            </w:pPr>
            <w:r w:rsidRPr="002F733E">
              <w:rPr>
                <w:rFonts w:ascii="Arial Narrow" w:hAnsi="Arial Narrow"/>
                <w:b/>
                <w:sz w:val="20"/>
                <w:szCs w:val="20"/>
              </w:rPr>
              <w:t>TULIP-1</w:t>
            </w:r>
          </w:p>
        </w:tc>
      </w:tr>
      <w:tr w:rsidR="00DA4341" w:rsidRPr="002F733E" w14:paraId="769238FB" w14:textId="77777777" w:rsidTr="004676A9">
        <w:tc>
          <w:tcPr>
            <w:tcW w:w="1698" w:type="pct"/>
            <w:shd w:val="clear" w:color="auto" w:fill="B8CCE4" w:themeFill="accent1" w:themeFillTint="66"/>
            <w:vAlign w:val="center"/>
          </w:tcPr>
          <w:p w14:paraId="6823250F" w14:textId="77777777" w:rsidR="00DA4341" w:rsidRPr="002F733E" w:rsidRDefault="00DA4341" w:rsidP="00E04E96">
            <w:pPr>
              <w:keepNext/>
              <w:jc w:val="left"/>
              <w:rPr>
                <w:rFonts w:ascii="Arial Narrow" w:hAnsi="Arial Narrow"/>
                <w:sz w:val="20"/>
                <w:szCs w:val="20"/>
              </w:rPr>
            </w:pPr>
            <w:r w:rsidRPr="002F733E">
              <w:rPr>
                <w:rFonts w:ascii="Arial Narrow" w:hAnsi="Arial Narrow"/>
                <w:sz w:val="20"/>
                <w:szCs w:val="20"/>
              </w:rPr>
              <w:t>Any AEs</w:t>
            </w:r>
          </w:p>
        </w:tc>
        <w:tc>
          <w:tcPr>
            <w:tcW w:w="927" w:type="pct"/>
            <w:shd w:val="clear" w:color="auto" w:fill="B8CCE4" w:themeFill="accent1" w:themeFillTint="66"/>
            <w:vAlign w:val="center"/>
          </w:tcPr>
          <w:p w14:paraId="27518D5D"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161/180 (89.4)</w:t>
            </w:r>
          </w:p>
        </w:tc>
        <w:tc>
          <w:tcPr>
            <w:tcW w:w="696" w:type="pct"/>
            <w:shd w:val="clear" w:color="auto" w:fill="B8CCE4" w:themeFill="accent1" w:themeFillTint="66"/>
            <w:vAlign w:val="center"/>
          </w:tcPr>
          <w:p w14:paraId="7EA8E540"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144/184 (78.3)</w:t>
            </w:r>
          </w:p>
        </w:tc>
        <w:tc>
          <w:tcPr>
            <w:tcW w:w="850" w:type="pct"/>
            <w:shd w:val="clear" w:color="auto" w:fill="B8CCE4" w:themeFill="accent1" w:themeFillTint="66"/>
            <w:vAlign w:val="center"/>
          </w:tcPr>
          <w:p w14:paraId="306FB87E"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1.14 (1.04, 1.25)</w:t>
            </w:r>
          </w:p>
        </w:tc>
        <w:tc>
          <w:tcPr>
            <w:tcW w:w="829" w:type="pct"/>
            <w:shd w:val="clear" w:color="auto" w:fill="B8CCE4" w:themeFill="accent1" w:themeFillTint="66"/>
            <w:vAlign w:val="center"/>
          </w:tcPr>
          <w:p w14:paraId="49059782"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0.11 (0.04, 0.19)</w:t>
            </w:r>
          </w:p>
        </w:tc>
      </w:tr>
      <w:tr w:rsidR="00DA4341" w:rsidRPr="002F733E" w14:paraId="4942B3A8" w14:textId="77777777" w:rsidTr="004676A9">
        <w:tc>
          <w:tcPr>
            <w:tcW w:w="1698" w:type="pct"/>
            <w:shd w:val="clear" w:color="auto" w:fill="B8CCE4" w:themeFill="accent1" w:themeFillTint="66"/>
            <w:vAlign w:val="center"/>
          </w:tcPr>
          <w:p w14:paraId="62A0DE75" w14:textId="77777777" w:rsidR="00DA4341" w:rsidRPr="002F733E" w:rsidRDefault="00DA4341" w:rsidP="00E04E96">
            <w:pPr>
              <w:keepNext/>
              <w:jc w:val="left"/>
              <w:rPr>
                <w:rFonts w:ascii="Arial Narrow" w:hAnsi="Arial Narrow"/>
                <w:sz w:val="20"/>
                <w:szCs w:val="20"/>
              </w:rPr>
            </w:pPr>
            <w:r w:rsidRPr="002F733E">
              <w:rPr>
                <w:rFonts w:ascii="Arial Narrow" w:hAnsi="Arial Narrow"/>
                <w:sz w:val="20"/>
                <w:szCs w:val="20"/>
              </w:rPr>
              <w:t>SAE</w:t>
            </w:r>
          </w:p>
        </w:tc>
        <w:tc>
          <w:tcPr>
            <w:tcW w:w="927" w:type="pct"/>
            <w:shd w:val="clear" w:color="auto" w:fill="B8CCE4" w:themeFill="accent1" w:themeFillTint="66"/>
            <w:vAlign w:val="center"/>
          </w:tcPr>
          <w:p w14:paraId="50831049"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25/180 (13.9)</w:t>
            </w:r>
          </w:p>
        </w:tc>
        <w:tc>
          <w:tcPr>
            <w:tcW w:w="696" w:type="pct"/>
            <w:shd w:val="clear" w:color="auto" w:fill="B8CCE4" w:themeFill="accent1" w:themeFillTint="66"/>
            <w:vAlign w:val="center"/>
          </w:tcPr>
          <w:p w14:paraId="4F149BEE"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30/184 (16.3)</w:t>
            </w:r>
          </w:p>
        </w:tc>
        <w:tc>
          <w:tcPr>
            <w:tcW w:w="850" w:type="pct"/>
            <w:shd w:val="clear" w:color="auto" w:fill="B8CCE4" w:themeFill="accent1" w:themeFillTint="66"/>
            <w:vAlign w:val="center"/>
          </w:tcPr>
          <w:p w14:paraId="64AEEA60"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0.85 (0.52, 1.39)</w:t>
            </w:r>
          </w:p>
        </w:tc>
        <w:tc>
          <w:tcPr>
            <w:tcW w:w="829" w:type="pct"/>
            <w:shd w:val="clear" w:color="auto" w:fill="B8CCE4" w:themeFill="accent1" w:themeFillTint="66"/>
            <w:vAlign w:val="center"/>
          </w:tcPr>
          <w:p w14:paraId="25625AD0"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-0.02 (-0.10, 0.05)</w:t>
            </w:r>
          </w:p>
        </w:tc>
      </w:tr>
      <w:tr w:rsidR="00DA4341" w:rsidRPr="002F733E" w14:paraId="375CED5D" w14:textId="77777777" w:rsidTr="004676A9">
        <w:tc>
          <w:tcPr>
            <w:tcW w:w="1698" w:type="pct"/>
            <w:shd w:val="clear" w:color="auto" w:fill="B8CCE4" w:themeFill="accent1" w:themeFillTint="66"/>
            <w:vAlign w:val="center"/>
          </w:tcPr>
          <w:p w14:paraId="1EF3028F" w14:textId="77777777" w:rsidR="00DA4341" w:rsidRPr="002F733E" w:rsidRDefault="00DA4341" w:rsidP="00E04E96">
            <w:pPr>
              <w:keepNext/>
              <w:jc w:val="left"/>
              <w:rPr>
                <w:rFonts w:ascii="Arial Narrow" w:hAnsi="Arial Narrow"/>
                <w:sz w:val="20"/>
                <w:szCs w:val="20"/>
              </w:rPr>
            </w:pPr>
            <w:r w:rsidRPr="002F733E">
              <w:rPr>
                <w:rFonts w:ascii="Arial Narrow" w:hAnsi="Arial Narrow"/>
                <w:sz w:val="20"/>
                <w:szCs w:val="20"/>
              </w:rPr>
              <w:t>Death due to AEs</w:t>
            </w:r>
          </w:p>
        </w:tc>
        <w:tc>
          <w:tcPr>
            <w:tcW w:w="927" w:type="pct"/>
            <w:shd w:val="clear" w:color="auto" w:fill="B8CCE4" w:themeFill="accent1" w:themeFillTint="66"/>
            <w:vAlign w:val="center"/>
          </w:tcPr>
          <w:p w14:paraId="6BB5E936"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1/180 (0.6)</w:t>
            </w:r>
            <w:r w:rsidRPr="002F733E">
              <w:rPr>
                <w:rFonts w:ascii="Arial Narrow" w:hAnsi="Arial Narrow"/>
                <w:sz w:val="20"/>
                <w:szCs w:val="20"/>
                <w:vertAlign w:val="superscript"/>
              </w:rPr>
              <w:t>a</w:t>
            </w:r>
          </w:p>
        </w:tc>
        <w:tc>
          <w:tcPr>
            <w:tcW w:w="696" w:type="pct"/>
            <w:shd w:val="clear" w:color="auto" w:fill="B8CCE4" w:themeFill="accent1" w:themeFillTint="66"/>
            <w:vAlign w:val="center"/>
          </w:tcPr>
          <w:p w14:paraId="3CC09E79"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w:t>
            </w:r>
          </w:p>
        </w:tc>
        <w:tc>
          <w:tcPr>
            <w:tcW w:w="850" w:type="pct"/>
            <w:shd w:val="clear" w:color="auto" w:fill="B8CCE4" w:themeFill="accent1" w:themeFillTint="66"/>
            <w:vAlign w:val="center"/>
          </w:tcPr>
          <w:p w14:paraId="448C6A7D"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3.07 (0.13, 74.78)</w:t>
            </w:r>
          </w:p>
        </w:tc>
        <w:tc>
          <w:tcPr>
            <w:tcW w:w="829" w:type="pct"/>
            <w:shd w:val="clear" w:color="auto" w:fill="B8CCE4" w:themeFill="accent1" w:themeFillTint="66"/>
            <w:vAlign w:val="center"/>
          </w:tcPr>
          <w:p w14:paraId="59DE11C7"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0.01 (-0.01, 0.02)</w:t>
            </w:r>
          </w:p>
        </w:tc>
      </w:tr>
      <w:tr w:rsidR="00DA4341" w:rsidRPr="002F733E" w14:paraId="794D82B3" w14:textId="77777777" w:rsidTr="004676A9">
        <w:tc>
          <w:tcPr>
            <w:tcW w:w="1698" w:type="pct"/>
            <w:shd w:val="clear" w:color="auto" w:fill="B8CCE4" w:themeFill="accent1" w:themeFillTint="66"/>
            <w:vAlign w:val="center"/>
          </w:tcPr>
          <w:p w14:paraId="030ADC1C" w14:textId="77777777" w:rsidR="00DA4341" w:rsidRPr="002F733E" w:rsidRDefault="00DA4341" w:rsidP="00E04E96">
            <w:pPr>
              <w:keepNext/>
              <w:jc w:val="left"/>
              <w:rPr>
                <w:rFonts w:ascii="Arial Narrow" w:hAnsi="Arial Narrow"/>
                <w:sz w:val="20"/>
                <w:szCs w:val="20"/>
              </w:rPr>
            </w:pPr>
            <w:r w:rsidRPr="002F733E">
              <w:rPr>
                <w:rFonts w:ascii="Arial Narrow" w:hAnsi="Arial Narrow"/>
                <w:sz w:val="20"/>
                <w:szCs w:val="20"/>
              </w:rPr>
              <w:t>Discontinuation of study drugs due to AEs</w:t>
            </w:r>
          </w:p>
        </w:tc>
        <w:tc>
          <w:tcPr>
            <w:tcW w:w="927" w:type="pct"/>
            <w:shd w:val="clear" w:color="auto" w:fill="B8CCE4" w:themeFill="accent1" w:themeFillTint="66"/>
            <w:vAlign w:val="center"/>
          </w:tcPr>
          <w:p w14:paraId="52AAD10C"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11/180 (6.1)</w:t>
            </w:r>
          </w:p>
        </w:tc>
        <w:tc>
          <w:tcPr>
            <w:tcW w:w="696" w:type="pct"/>
            <w:shd w:val="clear" w:color="auto" w:fill="B8CCE4" w:themeFill="accent1" w:themeFillTint="66"/>
            <w:vAlign w:val="center"/>
          </w:tcPr>
          <w:p w14:paraId="7E22A003"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5/184 (2.7)</w:t>
            </w:r>
          </w:p>
        </w:tc>
        <w:tc>
          <w:tcPr>
            <w:tcW w:w="850" w:type="pct"/>
            <w:shd w:val="clear" w:color="auto" w:fill="B8CCE4" w:themeFill="accent1" w:themeFillTint="66"/>
            <w:vAlign w:val="center"/>
          </w:tcPr>
          <w:p w14:paraId="11617E17"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2.25 (0.80, 6.34)</w:t>
            </w:r>
          </w:p>
        </w:tc>
        <w:tc>
          <w:tcPr>
            <w:tcW w:w="829" w:type="pct"/>
            <w:shd w:val="clear" w:color="auto" w:fill="B8CCE4" w:themeFill="accent1" w:themeFillTint="66"/>
            <w:vAlign w:val="center"/>
          </w:tcPr>
          <w:p w14:paraId="642EFA84"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0.03 (-0.01, 0.08)</w:t>
            </w:r>
          </w:p>
        </w:tc>
      </w:tr>
      <w:tr w:rsidR="00DA4341" w:rsidRPr="002F733E" w14:paraId="12B17D2E" w14:textId="77777777" w:rsidTr="004676A9">
        <w:tc>
          <w:tcPr>
            <w:tcW w:w="1698" w:type="pct"/>
            <w:shd w:val="clear" w:color="auto" w:fill="B8CCE4" w:themeFill="accent1" w:themeFillTint="66"/>
            <w:vAlign w:val="center"/>
          </w:tcPr>
          <w:p w14:paraId="2D9C0AAF" w14:textId="77777777" w:rsidR="00DA4341" w:rsidRPr="002F733E" w:rsidRDefault="00DA4341" w:rsidP="00E04E96">
            <w:pPr>
              <w:keepNext/>
              <w:jc w:val="left"/>
              <w:rPr>
                <w:rFonts w:ascii="Arial Narrow" w:hAnsi="Arial Narrow"/>
                <w:sz w:val="20"/>
                <w:szCs w:val="20"/>
              </w:rPr>
            </w:pPr>
            <w:r w:rsidRPr="002F733E">
              <w:rPr>
                <w:rFonts w:ascii="Arial Narrow" w:hAnsi="Arial Narrow"/>
                <w:sz w:val="20"/>
                <w:szCs w:val="20"/>
              </w:rPr>
              <w:t>AEs of interest</w:t>
            </w:r>
          </w:p>
        </w:tc>
        <w:tc>
          <w:tcPr>
            <w:tcW w:w="927" w:type="pct"/>
            <w:shd w:val="clear" w:color="auto" w:fill="B8CCE4" w:themeFill="accent1" w:themeFillTint="66"/>
            <w:vAlign w:val="center"/>
          </w:tcPr>
          <w:p w14:paraId="5652A694"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22/180 (12.2)</w:t>
            </w:r>
          </w:p>
        </w:tc>
        <w:tc>
          <w:tcPr>
            <w:tcW w:w="696" w:type="pct"/>
            <w:shd w:val="clear" w:color="auto" w:fill="B8CCE4" w:themeFill="accent1" w:themeFillTint="66"/>
            <w:vAlign w:val="center"/>
          </w:tcPr>
          <w:p w14:paraId="3BCD4EC9"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15/184 (8.2)</w:t>
            </w:r>
          </w:p>
        </w:tc>
        <w:tc>
          <w:tcPr>
            <w:tcW w:w="850" w:type="pct"/>
            <w:shd w:val="clear" w:color="auto" w:fill="B8CCE4" w:themeFill="accent1" w:themeFillTint="66"/>
            <w:vAlign w:val="center"/>
          </w:tcPr>
          <w:p w14:paraId="4E5458C0"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1.50 (0.80, 2.80)</w:t>
            </w:r>
          </w:p>
        </w:tc>
        <w:tc>
          <w:tcPr>
            <w:tcW w:w="829" w:type="pct"/>
            <w:shd w:val="clear" w:color="auto" w:fill="B8CCE4" w:themeFill="accent1" w:themeFillTint="66"/>
            <w:vAlign w:val="center"/>
          </w:tcPr>
          <w:p w14:paraId="14DD8E87"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0.04 (-0.02, 0.10)</w:t>
            </w:r>
          </w:p>
        </w:tc>
      </w:tr>
      <w:tr w:rsidR="00DA4341" w:rsidRPr="002F733E" w14:paraId="71FC7A18" w14:textId="77777777" w:rsidTr="004676A9">
        <w:tc>
          <w:tcPr>
            <w:tcW w:w="1698" w:type="pct"/>
            <w:shd w:val="clear" w:color="auto" w:fill="B8CCE4" w:themeFill="accent1" w:themeFillTint="66"/>
            <w:vAlign w:val="center"/>
          </w:tcPr>
          <w:p w14:paraId="3E1C00AA" w14:textId="77777777" w:rsidR="00DA4341" w:rsidRPr="002F733E" w:rsidRDefault="00DA4341" w:rsidP="00E04E96">
            <w:pPr>
              <w:keepNext/>
              <w:ind w:left="106"/>
              <w:jc w:val="left"/>
              <w:rPr>
                <w:rFonts w:ascii="Arial Narrow" w:hAnsi="Arial Narrow"/>
                <w:sz w:val="20"/>
                <w:szCs w:val="20"/>
              </w:rPr>
            </w:pPr>
            <w:r w:rsidRPr="002F733E">
              <w:rPr>
                <w:rFonts w:ascii="Arial Narrow" w:hAnsi="Arial Narrow"/>
                <w:sz w:val="20"/>
                <w:szCs w:val="20"/>
              </w:rPr>
              <w:t>Non-opportunistic serious infections</w:t>
            </w:r>
          </w:p>
        </w:tc>
        <w:tc>
          <w:tcPr>
            <w:tcW w:w="927" w:type="pct"/>
            <w:shd w:val="clear" w:color="auto" w:fill="B8CCE4" w:themeFill="accent1" w:themeFillTint="66"/>
            <w:vAlign w:val="center"/>
          </w:tcPr>
          <w:p w14:paraId="53524104"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9/180 (5.0)</w:t>
            </w:r>
          </w:p>
        </w:tc>
        <w:tc>
          <w:tcPr>
            <w:tcW w:w="696" w:type="pct"/>
            <w:shd w:val="clear" w:color="auto" w:fill="B8CCE4" w:themeFill="accent1" w:themeFillTint="66"/>
            <w:vAlign w:val="center"/>
          </w:tcPr>
          <w:p w14:paraId="15950654"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8/184 (4.3)</w:t>
            </w:r>
          </w:p>
        </w:tc>
        <w:tc>
          <w:tcPr>
            <w:tcW w:w="850" w:type="pct"/>
            <w:shd w:val="clear" w:color="auto" w:fill="B8CCE4" w:themeFill="accent1" w:themeFillTint="66"/>
            <w:vAlign w:val="center"/>
          </w:tcPr>
          <w:p w14:paraId="1120901F"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1.15 (0.45, 2.91)</w:t>
            </w:r>
          </w:p>
        </w:tc>
        <w:tc>
          <w:tcPr>
            <w:tcW w:w="829" w:type="pct"/>
            <w:shd w:val="clear" w:color="auto" w:fill="B8CCE4" w:themeFill="accent1" w:themeFillTint="66"/>
            <w:vAlign w:val="center"/>
          </w:tcPr>
          <w:p w14:paraId="2945B34E"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0.01 (-0.04, 0.05)</w:t>
            </w:r>
          </w:p>
        </w:tc>
      </w:tr>
      <w:tr w:rsidR="00DA4341" w:rsidRPr="002F733E" w14:paraId="47699502" w14:textId="77777777" w:rsidTr="004676A9">
        <w:tc>
          <w:tcPr>
            <w:tcW w:w="1698" w:type="pct"/>
            <w:shd w:val="clear" w:color="auto" w:fill="B8CCE4" w:themeFill="accent1" w:themeFillTint="66"/>
            <w:vAlign w:val="center"/>
          </w:tcPr>
          <w:p w14:paraId="7DE4E4D9" w14:textId="77777777" w:rsidR="00DA4341" w:rsidRPr="002F733E" w:rsidRDefault="00DA4341" w:rsidP="00E04E96">
            <w:pPr>
              <w:keepNext/>
              <w:ind w:left="106"/>
              <w:jc w:val="left"/>
              <w:rPr>
                <w:rFonts w:ascii="Arial Narrow" w:hAnsi="Arial Narrow"/>
                <w:sz w:val="20"/>
                <w:szCs w:val="20"/>
              </w:rPr>
            </w:pPr>
            <w:r w:rsidRPr="002F733E">
              <w:rPr>
                <w:rFonts w:ascii="Arial Narrow" w:hAnsi="Arial Narrow"/>
                <w:sz w:val="20"/>
                <w:szCs w:val="20"/>
              </w:rPr>
              <w:t>Herpes Zoster</w:t>
            </w:r>
          </w:p>
        </w:tc>
        <w:tc>
          <w:tcPr>
            <w:tcW w:w="927" w:type="pct"/>
            <w:shd w:val="clear" w:color="auto" w:fill="B8CCE4" w:themeFill="accent1" w:themeFillTint="66"/>
            <w:vAlign w:val="center"/>
          </w:tcPr>
          <w:p w14:paraId="512C5C08"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10/180 (5.6)</w:t>
            </w:r>
          </w:p>
        </w:tc>
        <w:tc>
          <w:tcPr>
            <w:tcW w:w="696" w:type="pct"/>
            <w:shd w:val="clear" w:color="auto" w:fill="B8CCE4" w:themeFill="accent1" w:themeFillTint="66"/>
            <w:vAlign w:val="center"/>
          </w:tcPr>
          <w:p w14:paraId="2DD37AD8"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3/184 (1.6)</w:t>
            </w:r>
          </w:p>
        </w:tc>
        <w:tc>
          <w:tcPr>
            <w:tcW w:w="850" w:type="pct"/>
            <w:shd w:val="clear" w:color="auto" w:fill="B8CCE4" w:themeFill="accent1" w:themeFillTint="66"/>
            <w:vAlign w:val="center"/>
          </w:tcPr>
          <w:p w14:paraId="251C8570"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3.41 (0.95, 12.18)</w:t>
            </w:r>
          </w:p>
        </w:tc>
        <w:tc>
          <w:tcPr>
            <w:tcW w:w="829" w:type="pct"/>
            <w:shd w:val="clear" w:color="auto" w:fill="B8CCE4" w:themeFill="accent1" w:themeFillTint="66"/>
            <w:vAlign w:val="center"/>
          </w:tcPr>
          <w:p w14:paraId="5237F2C7"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0.04 (0.00, 0.08)</w:t>
            </w:r>
          </w:p>
        </w:tc>
      </w:tr>
      <w:tr w:rsidR="00DA4341" w:rsidRPr="002F733E" w14:paraId="50910F40" w14:textId="77777777" w:rsidTr="004676A9">
        <w:tc>
          <w:tcPr>
            <w:tcW w:w="1698" w:type="pct"/>
            <w:shd w:val="clear" w:color="auto" w:fill="B8CCE4" w:themeFill="accent1" w:themeFillTint="66"/>
            <w:vAlign w:val="center"/>
          </w:tcPr>
          <w:p w14:paraId="388649F7" w14:textId="77777777" w:rsidR="00DA4341" w:rsidRPr="002F733E" w:rsidRDefault="00DA4341" w:rsidP="00E04E96">
            <w:pPr>
              <w:keepNext/>
              <w:jc w:val="left"/>
              <w:rPr>
                <w:rFonts w:ascii="Arial Narrow" w:hAnsi="Arial Narrow"/>
                <w:sz w:val="20"/>
                <w:szCs w:val="20"/>
              </w:rPr>
            </w:pPr>
            <w:r w:rsidRPr="002F733E">
              <w:rPr>
                <w:rFonts w:ascii="Arial Narrow" w:hAnsi="Arial Narrow"/>
                <w:sz w:val="20"/>
                <w:szCs w:val="20"/>
              </w:rPr>
              <w:t>Infusion-related reaction</w:t>
            </w:r>
          </w:p>
        </w:tc>
        <w:tc>
          <w:tcPr>
            <w:tcW w:w="927" w:type="pct"/>
            <w:shd w:val="clear" w:color="auto" w:fill="B8CCE4" w:themeFill="accent1" w:themeFillTint="66"/>
            <w:vAlign w:val="center"/>
          </w:tcPr>
          <w:p w14:paraId="12D05336"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16/180 (8.9)</w:t>
            </w:r>
          </w:p>
        </w:tc>
        <w:tc>
          <w:tcPr>
            <w:tcW w:w="696" w:type="pct"/>
            <w:shd w:val="clear" w:color="auto" w:fill="B8CCE4" w:themeFill="accent1" w:themeFillTint="66"/>
            <w:vAlign w:val="center"/>
          </w:tcPr>
          <w:p w14:paraId="5D150739"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13/184 (7.1)</w:t>
            </w:r>
          </w:p>
        </w:tc>
        <w:tc>
          <w:tcPr>
            <w:tcW w:w="850" w:type="pct"/>
            <w:shd w:val="clear" w:color="auto" w:fill="B8CCE4" w:themeFill="accent1" w:themeFillTint="66"/>
            <w:vAlign w:val="center"/>
          </w:tcPr>
          <w:p w14:paraId="0AC2EFED"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1.26 (0.62, 2.54)</w:t>
            </w:r>
          </w:p>
        </w:tc>
        <w:tc>
          <w:tcPr>
            <w:tcW w:w="829" w:type="pct"/>
            <w:shd w:val="clear" w:color="auto" w:fill="B8CCE4" w:themeFill="accent1" w:themeFillTint="66"/>
            <w:vAlign w:val="center"/>
          </w:tcPr>
          <w:p w14:paraId="737AFEE2"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0.02 (-0.04, 0.07)</w:t>
            </w:r>
          </w:p>
        </w:tc>
      </w:tr>
      <w:tr w:rsidR="00DA4341" w:rsidRPr="002F733E" w14:paraId="50852895" w14:textId="77777777" w:rsidTr="004676A9">
        <w:tc>
          <w:tcPr>
            <w:tcW w:w="5000" w:type="pct"/>
            <w:gridSpan w:val="5"/>
            <w:shd w:val="clear" w:color="auto" w:fill="B8CCE4" w:themeFill="accent1" w:themeFillTint="66"/>
            <w:vAlign w:val="center"/>
          </w:tcPr>
          <w:p w14:paraId="6802DA7F" w14:textId="77777777" w:rsidR="00DA4341" w:rsidRPr="002F733E" w:rsidRDefault="00DA4341" w:rsidP="00E04E96">
            <w:pPr>
              <w:keepNext/>
              <w:jc w:val="left"/>
              <w:rPr>
                <w:rFonts w:ascii="Arial Narrow" w:hAnsi="Arial Narrow"/>
                <w:b/>
                <w:sz w:val="20"/>
                <w:szCs w:val="20"/>
              </w:rPr>
            </w:pPr>
            <w:r w:rsidRPr="002F733E">
              <w:rPr>
                <w:rFonts w:ascii="Arial Narrow" w:hAnsi="Arial Narrow"/>
                <w:b/>
                <w:sz w:val="20"/>
                <w:szCs w:val="20"/>
              </w:rPr>
              <w:t>TULIP-2</w:t>
            </w:r>
          </w:p>
        </w:tc>
      </w:tr>
      <w:tr w:rsidR="00DA4341" w:rsidRPr="002F733E" w14:paraId="79398635" w14:textId="77777777" w:rsidTr="004676A9">
        <w:tc>
          <w:tcPr>
            <w:tcW w:w="1698" w:type="pct"/>
            <w:shd w:val="clear" w:color="auto" w:fill="B8CCE4" w:themeFill="accent1" w:themeFillTint="66"/>
            <w:vAlign w:val="center"/>
          </w:tcPr>
          <w:p w14:paraId="1F72ABEE" w14:textId="77777777" w:rsidR="00DA4341" w:rsidRPr="002F733E" w:rsidRDefault="00DA4341" w:rsidP="00E04E96">
            <w:pPr>
              <w:keepNext/>
              <w:jc w:val="left"/>
              <w:rPr>
                <w:rFonts w:ascii="Arial Narrow" w:hAnsi="Arial Narrow"/>
                <w:sz w:val="20"/>
                <w:szCs w:val="20"/>
              </w:rPr>
            </w:pPr>
            <w:r w:rsidRPr="002F733E">
              <w:rPr>
                <w:rFonts w:ascii="Arial Narrow" w:hAnsi="Arial Narrow"/>
                <w:sz w:val="20"/>
                <w:szCs w:val="20"/>
              </w:rPr>
              <w:t>Any AEs</w:t>
            </w:r>
          </w:p>
        </w:tc>
        <w:tc>
          <w:tcPr>
            <w:tcW w:w="927" w:type="pct"/>
            <w:shd w:val="clear" w:color="auto" w:fill="B8CCE4" w:themeFill="accent1" w:themeFillTint="66"/>
            <w:vAlign w:val="center"/>
          </w:tcPr>
          <w:p w14:paraId="0D3A8E19"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159/180 (88.3)</w:t>
            </w:r>
          </w:p>
        </w:tc>
        <w:tc>
          <w:tcPr>
            <w:tcW w:w="696" w:type="pct"/>
            <w:shd w:val="clear" w:color="auto" w:fill="B8CCE4" w:themeFill="accent1" w:themeFillTint="66"/>
            <w:vAlign w:val="center"/>
          </w:tcPr>
          <w:p w14:paraId="1A6A173F"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153/182 (84.1)</w:t>
            </w:r>
          </w:p>
        </w:tc>
        <w:tc>
          <w:tcPr>
            <w:tcW w:w="850" w:type="pct"/>
            <w:shd w:val="clear" w:color="auto" w:fill="B8CCE4" w:themeFill="accent1" w:themeFillTint="66"/>
            <w:vAlign w:val="center"/>
          </w:tcPr>
          <w:p w14:paraId="730A8E45"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1.06 (0.98, 1.16)</w:t>
            </w:r>
          </w:p>
        </w:tc>
        <w:tc>
          <w:tcPr>
            <w:tcW w:w="829" w:type="pct"/>
            <w:shd w:val="clear" w:color="auto" w:fill="B8CCE4" w:themeFill="accent1" w:themeFillTint="66"/>
            <w:vAlign w:val="center"/>
          </w:tcPr>
          <w:p w14:paraId="7700EAB8"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0.05 (-0.02, 0.12)</w:t>
            </w:r>
          </w:p>
        </w:tc>
      </w:tr>
      <w:tr w:rsidR="00DA4341" w:rsidRPr="002F733E" w14:paraId="67C5B1FB" w14:textId="77777777" w:rsidTr="004676A9">
        <w:tc>
          <w:tcPr>
            <w:tcW w:w="1698" w:type="pct"/>
            <w:shd w:val="clear" w:color="auto" w:fill="B8CCE4" w:themeFill="accent1" w:themeFillTint="66"/>
            <w:vAlign w:val="center"/>
          </w:tcPr>
          <w:p w14:paraId="2EDE98B7" w14:textId="77777777" w:rsidR="00DA4341" w:rsidRPr="002F733E" w:rsidRDefault="00DA4341" w:rsidP="00E04E96">
            <w:pPr>
              <w:keepNext/>
              <w:jc w:val="left"/>
              <w:rPr>
                <w:rFonts w:ascii="Arial Narrow" w:hAnsi="Arial Narrow"/>
                <w:sz w:val="20"/>
                <w:szCs w:val="20"/>
              </w:rPr>
            </w:pPr>
            <w:r w:rsidRPr="002F733E">
              <w:rPr>
                <w:rFonts w:ascii="Arial Narrow" w:hAnsi="Arial Narrow"/>
                <w:sz w:val="20"/>
                <w:szCs w:val="20"/>
              </w:rPr>
              <w:t>SAE</w:t>
            </w:r>
          </w:p>
        </w:tc>
        <w:tc>
          <w:tcPr>
            <w:tcW w:w="927" w:type="pct"/>
            <w:shd w:val="clear" w:color="auto" w:fill="B8CCE4" w:themeFill="accent1" w:themeFillTint="66"/>
            <w:vAlign w:val="center"/>
          </w:tcPr>
          <w:p w14:paraId="2C9568E4"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15/180 (8.3)</w:t>
            </w:r>
          </w:p>
        </w:tc>
        <w:tc>
          <w:tcPr>
            <w:tcW w:w="696" w:type="pct"/>
            <w:shd w:val="clear" w:color="auto" w:fill="B8CCE4" w:themeFill="accent1" w:themeFillTint="66"/>
            <w:vAlign w:val="center"/>
          </w:tcPr>
          <w:p w14:paraId="7AE5C672"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31/182 (17.0)</w:t>
            </w:r>
          </w:p>
        </w:tc>
        <w:tc>
          <w:tcPr>
            <w:tcW w:w="850" w:type="pct"/>
            <w:shd w:val="clear" w:color="auto" w:fill="B8CCE4" w:themeFill="accent1" w:themeFillTint="66"/>
            <w:vAlign w:val="center"/>
          </w:tcPr>
          <w:p w14:paraId="5BFAF887"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0.49 (0.28, 0.88)</w:t>
            </w:r>
          </w:p>
        </w:tc>
        <w:tc>
          <w:tcPr>
            <w:tcW w:w="829" w:type="pct"/>
            <w:shd w:val="clear" w:color="auto" w:fill="B8CCE4" w:themeFill="accent1" w:themeFillTint="66"/>
            <w:vAlign w:val="center"/>
          </w:tcPr>
          <w:p w14:paraId="461D2949"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-0.09 (-0.15, -0.02)</w:t>
            </w:r>
          </w:p>
        </w:tc>
      </w:tr>
      <w:tr w:rsidR="00DA4341" w:rsidRPr="002F733E" w14:paraId="19849787" w14:textId="77777777" w:rsidTr="004676A9">
        <w:tc>
          <w:tcPr>
            <w:tcW w:w="1698" w:type="pct"/>
            <w:shd w:val="clear" w:color="auto" w:fill="B8CCE4" w:themeFill="accent1" w:themeFillTint="66"/>
            <w:vAlign w:val="center"/>
          </w:tcPr>
          <w:p w14:paraId="2649C992" w14:textId="77777777" w:rsidR="00DA4341" w:rsidRPr="002F733E" w:rsidRDefault="00DA4341" w:rsidP="00E04E96">
            <w:pPr>
              <w:keepNext/>
              <w:jc w:val="left"/>
              <w:rPr>
                <w:rFonts w:ascii="Arial Narrow" w:hAnsi="Arial Narrow"/>
                <w:sz w:val="20"/>
                <w:szCs w:val="20"/>
              </w:rPr>
            </w:pPr>
            <w:r w:rsidRPr="002F733E">
              <w:rPr>
                <w:rFonts w:ascii="Arial Narrow" w:hAnsi="Arial Narrow"/>
                <w:sz w:val="20"/>
                <w:szCs w:val="20"/>
              </w:rPr>
              <w:t>Death due to AEs</w:t>
            </w:r>
          </w:p>
        </w:tc>
        <w:tc>
          <w:tcPr>
            <w:tcW w:w="927" w:type="pct"/>
            <w:shd w:val="clear" w:color="auto" w:fill="B8CCE4" w:themeFill="accent1" w:themeFillTint="66"/>
            <w:vAlign w:val="center"/>
          </w:tcPr>
          <w:p w14:paraId="77C6A247"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1/180 (0.6)</w:t>
            </w:r>
            <w:r w:rsidRPr="002F733E">
              <w:rPr>
                <w:rFonts w:ascii="Arial Narrow" w:hAnsi="Arial Narrow"/>
                <w:sz w:val="20"/>
                <w:szCs w:val="20"/>
                <w:vertAlign w:val="superscript"/>
              </w:rPr>
              <w:t>b</w:t>
            </w:r>
          </w:p>
        </w:tc>
        <w:tc>
          <w:tcPr>
            <w:tcW w:w="696" w:type="pct"/>
            <w:shd w:val="clear" w:color="auto" w:fill="B8CCE4" w:themeFill="accent1" w:themeFillTint="66"/>
            <w:vAlign w:val="center"/>
          </w:tcPr>
          <w:p w14:paraId="1A4C7F7F"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w:t>
            </w:r>
          </w:p>
        </w:tc>
        <w:tc>
          <w:tcPr>
            <w:tcW w:w="850" w:type="pct"/>
            <w:shd w:val="clear" w:color="auto" w:fill="B8CCE4" w:themeFill="accent1" w:themeFillTint="66"/>
            <w:vAlign w:val="center"/>
          </w:tcPr>
          <w:p w14:paraId="03C3EECD"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3.07 (0.13, 74.78)</w:t>
            </w:r>
          </w:p>
        </w:tc>
        <w:tc>
          <w:tcPr>
            <w:tcW w:w="829" w:type="pct"/>
            <w:shd w:val="clear" w:color="auto" w:fill="B8CCE4" w:themeFill="accent1" w:themeFillTint="66"/>
            <w:vAlign w:val="center"/>
          </w:tcPr>
          <w:p w14:paraId="0EACE2C7"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0.01 (-0.01, 0.02)</w:t>
            </w:r>
          </w:p>
        </w:tc>
      </w:tr>
      <w:tr w:rsidR="00DA4341" w:rsidRPr="002F733E" w14:paraId="6294D525" w14:textId="77777777" w:rsidTr="004676A9">
        <w:tc>
          <w:tcPr>
            <w:tcW w:w="1698" w:type="pct"/>
            <w:shd w:val="clear" w:color="auto" w:fill="B8CCE4" w:themeFill="accent1" w:themeFillTint="66"/>
            <w:vAlign w:val="center"/>
          </w:tcPr>
          <w:p w14:paraId="0EB5E878" w14:textId="77777777" w:rsidR="00DA4341" w:rsidRPr="002F733E" w:rsidRDefault="00DA4341" w:rsidP="00E04E96">
            <w:pPr>
              <w:keepNext/>
              <w:jc w:val="left"/>
              <w:rPr>
                <w:rFonts w:ascii="Arial Narrow" w:hAnsi="Arial Narrow"/>
                <w:sz w:val="20"/>
                <w:szCs w:val="20"/>
              </w:rPr>
            </w:pPr>
            <w:r w:rsidRPr="002F733E">
              <w:rPr>
                <w:rFonts w:ascii="Arial Narrow" w:hAnsi="Arial Narrow"/>
                <w:sz w:val="20"/>
                <w:szCs w:val="20"/>
              </w:rPr>
              <w:t>Discontinuation of study drugs due to AEs</w:t>
            </w:r>
          </w:p>
        </w:tc>
        <w:tc>
          <w:tcPr>
            <w:tcW w:w="927" w:type="pct"/>
            <w:shd w:val="clear" w:color="auto" w:fill="B8CCE4" w:themeFill="accent1" w:themeFillTint="66"/>
            <w:vAlign w:val="center"/>
          </w:tcPr>
          <w:p w14:paraId="73A3EF93"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5/180 (2.8)</w:t>
            </w:r>
          </w:p>
        </w:tc>
        <w:tc>
          <w:tcPr>
            <w:tcW w:w="696" w:type="pct"/>
            <w:shd w:val="clear" w:color="auto" w:fill="B8CCE4" w:themeFill="accent1" w:themeFillTint="66"/>
            <w:vAlign w:val="center"/>
          </w:tcPr>
          <w:p w14:paraId="732ACC24"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13/182 (7.1)</w:t>
            </w:r>
          </w:p>
        </w:tc>
        <w:tc>
          <w:tcPr>
            <w:tcW w:w="850" w:type="pct"/>
            <w:shd w:val="clear" w:color="auto" w:fill="B8CCE4" w:themeFill="accent1" w:themeFillTint="66"/>
            <w:vAlign w:val="center"/>
          </w:tcPr>
          <w:p w14:paraId="4BE67717"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0.39 (0.14, 1.08)</w:t>
            </w:r>
          </w:p>
        </w:tc>
        <w:tc>
          <w:tcPr>
            <w:tcW w:w="829" w:type="pct"/>
            <w:shd w:val="clear" w:color="auto" w:fill="B8CCE4" w:themeFill="accent1" w:themeFillTint="66"/>
            <w:vAlign w:val="center"/>
          </w:tcPr>
          <w:p w14:paraId="63738A7D"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-0.04 (-0.09, 0.00)</w:t>
            </w:r>
          </w:p>
        </w:tc>
      </w:tr>
      <w:tr w:rsidR="00DA4341" w:rsidRPr="002F733E" w14:paraId="6945678E" w14:textId="77777777" w:rsidTr="004676A9">
        <w:tc>
          <w:tcPr>
            <w:tcW w:w="1698" w:type="pct"/>
            <w:shd w:val="clear" w:color="auto" w:fill="B8CCE4" w:themeFill="accent1" w:themeFillTint="66"/>
            <w:vAlign w:val="center"/>
          </w:tcPr>
          <w:p w14:paraId="02C1D053" w14:textId="77777777" w:rsidR="00DA4341" w:rsidRPr="002F733E" w:rsidRDefault="00DA4341" w:rsidP="00E04E96">
            <w:pPr>
              <w:keepNext/>
              <w:jc w:val="left"/>
              <w:rPr>
                <w:rFonts w:ascii="Arial Narrow" w:hAnsi="Arial Narrow"/>
                <w:sz w:val="20"/>
                <w:szCs w:val="20"/>
              </w:rPr>
            </w:pPr>
            <w:r w:rsidRPr="002F733E">
              <w:rPr>
                <w:rFonts w:ascii="Arial Narrow" w:hAnsi="Arial Narrow"/>
                <w:sz w:val="20"/>
                <w:szCs w:val="20"/>
              </w:rPr>
              <w:t>AEs of interest</w:t>
            </w:r>
          </w:p>
        </w:tc>
        <w:tc>
          <w:tcPr>
            <w:tcW w:w="927" w:type="pct"/>
            <w:shd w:val="clear" w:color="auto" w:fill="B8CCE4" w:themeFill="accent1" w:themeFillTint="66"/>
            <w:vAlign w:val="center"/>
          </w:tcPr>
          <w:p w14:paraId="6061B87F"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25/180 (13.9)</w:t>
            </w:r>
          </w:p>
        </w:tc>
        <w:tc>
          <w:tcPr>
            <w:tcW w:w="696" w:type="pct"/>
            <w:shd w:val="clear" w:color="auto" w:fill="B8CCE4" w:themeFill="accent1" w:themeFillTint="66"/>
            <w:vAlign w:val="center"/>
          </w:tcPr>
          <w:p w14:paraId="1FEFD0C2"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18/182 (9.9)</w:t>
            </w:r>
          </w:p>
        </w:tc>
        <w:tc>
          <w:tcPr>
            <w:tcW w:w="850" w:type="pct"/>
            <w:shd w:val="clear" w:color="auto" w:fill="B8CCE4" w:themeFill="accent1" w:themeFillTint="66"/>
            <w:vAlign w:val="center"/>
          </w:tcPr>
          <w:p w14:paraId="4E286D2E"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1.42 (0.80, 2.51)</w:t>
            </w:r>
          </w:p>
        </w:tc>
        <w:tc>
          <w:tcPr>
            <w:tcW w:w="829" w:type="pct"/>
            <w:shd w:val="clear" w:color="auto" w:fill="B8CCE4" w:themeFill="accent1" w:themeFillTint="66"/>
            <w:vAlign w:val="center"/>
          </w:tcPr>
          <w:p w14:paraId="7FF15B38"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0.04 (-0.03, 0.11)</w:t>
            </w:r>
          </w:p>
        </w:tc>
      </w:tr>
      <w:tr w:rsidR="00DA4341" w:rsidRPr="002F733E" w14:paraId="54A73B1C" w14:textId="77777777" w:rsidTr="004676A9">
        <w:tc>
          <w:tcPr>
            <w:tcW w:w="1698" w:type="pct"/>
            <w:shd w:val="clear" w:color="auto" w:fill="B8CCE4" w:themeFill="accent1" w:themeFillTint="66"/>
            <w:vAlign w:val="center"/>
          </w:tcPr>
          <w:p w14:paraId="26A2A84D" w14:textId="77777777" w:rsidR="00DA4341" w:rsidRPr="002F733E" w:rsidRDefault="00DA4341" w:rsidP="00E04E96">
            <w:pPr>
              <w:keepNext/>
              <w:ind w:left="106"/>
              <w:jc w:val="left"/>
              <w:rPr>
                <w:rFonts w:ascii="Arial Narrow" w:hAnsi="Arial Narrow"/>
                <w:sz w:val="20"/>
                <w:szCs w:val="20"/>
              </w:rPr>
            </w:pPr>
            <w:r w:rsidRPr="002F733E">
              <w:rPr>
                <w:rFonts w:ascii="Arial Narrow" w:hAnsi="Arial Narrow"/>
                <w:sz w:val="20"/>
                <w:szCs w:val="20"/>
              </w:rPr>
              <w:t>Non-opportunistic infections</w:t>
            </w:r>
          </w:p>
        </w:tc>
        <w:tc>
          <w:tcPr>
            <w:tcW w:w="927" w:type="pct"/>
            <w:shd w:val="clear" w:color="auto" w:fill="B8CCE4" w:themeFill="accent1" w:themeFillTint="66"/>
            <w:vAlign w:val="center"/>
          </w:tcPr>
          <w:p w14:paraId="491F5329"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5/180 (2.8)</w:t>
            </w:r>
          </w:p>
        </w:tc>
        <w:tc>
          <w:tcPr>
            <w:tcW w:w="696" w:type="pct"/>
            <w:shd w:val="clear" w:color="auto" w:fill="B8CCE4" w:themeFill="accent1" w:themeFillTint="66"/>
            <w:vAlign w:val="center"/>
          </w:tcPr>
          <w:p w14:paraId="51C626C8"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10/182 (5.5)</w:t>
            </w:r>
          </w:p>
        </w:tc>
        <w:tc>
          <w:tcPr>
            <w:tcW w:w="850" w:type="pct"/>
            <w:shd w:val="clear" w:color="auto" w:fill="B8CCE4" w:themeFill="accent1" w:themeFillTint="66"/>
            <w:vAlign w:val="center"/>
          </w:tcPr>
          <w:p w14:paraId="39CAAD29"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0.51 (0.18, 1.47)</w:t>
            </w:r>
          </w:p>
        </w:tc>
        <w:tc>
          <w:tcPr>
            <w:tcW w:w="829" w:type="pct"/>
            <w:shd w:val="clear" w:color="auto" w:fill="B8CCE4" w:themeFill="accent1" w:themeFillTint="66"/>
            <w:vAlign w:val="center"/>
          </w:tcPr>
          <w:p w14:paraId="2F61C3F4"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-0.03 (-0.07, 0.0)]</w:t>
            </w:r>
          </w:p>
        </w:tc>
      </w:tr>
      <w:tr w:rsidR="00DA4341" w:rsidRPr="002F733E" w14:paraId="6EA5FA04" w14:textId="77777777" w:rsidTr="004676A9">
        <w:tc>
          <w:tcPr>
            <w:tcW w:w="1698" w:type="pct"/>
            <w:shd w:val="clear" w:color="auto" w:fill="B8CCE4" w:themeFill="accent1" w:themeFillTint="66"/>
            <w:vAlign w:val="center"/>
          </w:tcPr>
          <w:p w14:paraId="2E938859" w14:textId="77777777" w:rsidR="00DA4341" w:rsidRPr="002F733E" w:rsidRDefault="00DA4341" w:rsidP="00E04E96">
            <w:pPr>
              <w:keepNext/>
              <w:ind w:left="106"/>
              <w:jc w:val="left"/>
              <w:rPr>
                <w:rFonts w:ascii="Arial Narrow" w:hAnsi="Arial Narrow"/>
                <w:sz w:val="20"/>
                <w:szCs w:val="20"/>
              </w:rPr>
            </w:pPr>
            <w:r w:rsidRPr="002F733E">
              <w:rPr>
                <w:rFonts w:ascii="Arial Narrow" w:hAnsi="Arial Narrow"/>
                <w:sz w:val="20"/>
                <w:szCs w:val="20"/>
              </w:rPr>
              <w:t>Herpes Zoster</w:t>
            </w:r>
          </w:p>
        </w:tc>
        <w:tc>
          <w:tcPr>
            <w:tcW w:w="927" w:type="pct"/>
            <w:shd w:val="clear" w:color="auto" w:fill="B8CCE4" w:themeFill="accent1" w:themeFillTint="66"/>
            <w:vAlign w:val="center"/>
          </w:tcPr>
          <w:p w14:paraId="6CE29CBD"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13/180 (7.2)</w:t>
            </w:r>
          </w:p>
        </w:tc>
        <w:tc>
          <w:tcPr>
            <w:tcW w:w="696" w:type="pct"/>
            <w:shd w:val="clear" w:color="auto" w:fill="B8CCE4" w:themeFill="accent1" w:themeFillTint="66"/>
            <w:vAlign w:val="center"/>
          </w:tcPr>
          <w:p w14:paraId="4CA3F9C4"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2/182 (1.1)</w:t>
            </w:r>
          </w:p>
        </w:tc>
        <w:tc>
          <w:tcPr>
            <w:tcW w:w="850" w:type="pct"/>
            <w:shd w:val="clear" w:color="auto" w:fill="B8CCE4" w:themeFill="accent1" w:themeFillTint="66"/>
            <w:vAlign w:val="center"/>
          </w:tcPr>
          <w:p w14:paraId="49B1BED3"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6.64 (1.52, 29.03)</w:t>
            </w:r>
          </w:p>
        </w:tc>
        <w:tc>
          <w:tcPr>
            <w:tcW w:w="829" w:type="pct"/>
            <w:shd w:val="clear" w:color="auto" w:fill="B8CCE4" w:themeFill="accent1" w:themeFillTint="66"/>
            <w:vAlign w:val="center"/>
          </w:tcPr>
          <w:p w14:paraId="42F290B3"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0.06 (0.02, 0.10)</w:t>
            </w:r>
          </w:p>
        </w:tc>
      </w:tr>
      <w:tr w:rsidR="00DA4341" w:rsidRPr="002F733E" w14:paraId="5D0AFB43" w14:textId="77777777" w:rsidTr="004676A9">
        <w:tc>
          <w:tcPr>
            <w:tcW w:w="1698" w:type="pct"/>
            <w:shd w:val="clear" w:color="auto" w:fill="B8CCE4" w:themeFill="accent1" w:themeFillTint="66"/>
            <w:vAlign w:val="center"/>
          </w:tcPr>
          <w:p w14:paraId="7075673B" w14:textId="77777777" w:rsidR="00DA4341" w:rsidRPr="002F733E" w:rsidRDefault="00DA4341" w:rsidP="00E04E96">
            <w:pPr>
              <w:keepNext/>
              <w:jc w:val="left"/>
              <w:rPr>
                <w:rFonts w:ascii="Arial Narrow" w:hAnsi="Arial Narrow"/>
                <w:sz w:val="20"/>
                <w:szCs w:val="20"/>
              </w:rPr>
            </w:pPr>
            <w:r w:rsidRPr="002F733E">
              <w:rPr>
                <w:rFonts w:ascii="Arial Narrow" w:hAnsi="Arial Narrow"/>
                <w:sz w:val="20"/>
                <w:szCs w:val="20"/>
              </w:rPr>
              <w:t>Infusion-related reaction</w:t>
            </w:r>
          </w:p>
        </w:tc>
        <w:tc>
          <w:tcPr>
            <w:tcW w:w="927" w:type="pct"/>
            <w:shd w:val="clear" w:color="auto" w:fill="B8CCE4" w:themeFill="accent1" w:themeFillTint="66"/>
            <w:vAlign w:val="center"/>
          </w:tcPr>
          <w:p w14:paraId="63064555"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25/180 (13.9)</w:t>
            </w:r>
          </w:p>
        </w:tc>
        <w:tc>
          <w:tcPr>
            <w:tcW w:w="696" w:type="pct"/>
            <w:shd w:val="clear" w:color="auto" w:fill="B8CCE4" w:themeFill="accent1" w:themeFillTint="66"/>
            <w:vAlign w:val="center"/>
          </w:tcPr>
          <w:p w14:paraId="029EB44F"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14/182 (7.7)</w:t>
            </w:r>
          </w:p>
        </w:tc>
        <w:tc>
          <w:tcPr>
            <w:tcW w:w="850" w:type="pct"/>
            <w:shd w:val="clear" w:color="auto" w:fill="B8CCE4" w:themeFill="accent1" w:themeFillTint="66"/>
            <w:vAlign w:val="center"/>
          </w:tcPr>
          <w:p w14:paraId="1D77F9CB"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1.83 (0.98, 3.40)</w:t>
            </w:r>
          </w:p>
        </w:tc>
        <w:tc>
          <w:tcPr>
            <w:tcW w:w="829" w:type="pct"/>
            <w:shd w:val="clear" w:color="auto" w:fill="B8CCE4" w:themeFill="accent1" w:themeFillTint="66"/>
            <w:vAlign w:val="center"/>
          </w:tcPr>
          <w:p w14:paraId="1EB691FB" w14:textId="77777777" w:rsidR="00DA4341" w:rsidRPr="002F733E" w:rsidRDefault="00DA4341" w:rsidP="00E04E96">
            <w:pPr>
              <w:keepNext/>
              <w:jc w:val="center"/>
              <w:rPr>
                <w:rFonts w:ascii="Arial Narrow" w:hAnsi="Arial Narrow"/>
                <w:b/>
                <w:sz w:val="20"/>
                <w:szCs w:val="20"/>
              </w:rPr>
            </w:pPr>
            <w:r w:rsidRPr="002F733E">
              <w:rPr>
                <w:rFonts w:ascii="Arial Narrow" w:hAnsi="Arial Narrow"/>
                <w:b/>
                <w:sz w:val="20"/>
                <w:szCs w:val="20"/>
              </w:rPr>
              <w:t>0.06 (-0.00, 0.13)</w:t>
            </w:r>
          </w:p>
        </w:tc>
      </w:tr>
      <w:tr w:rsidR="00DA4341" w:rsidRPr="002F733E" w14:paraId="46053F10" w14:textId="77777777" w:rsidTr="004676A9">
        <w:tc>
          <w:tcPr>
            <w:tcW w:w="5000" w:type="pct"/>
            <w:gridSpan w:val="5"/>
            <w:vAlign w:val="center"/>
          </w:tcPr>
          <w:p w14:paraId="09561235" w14:textId="77777777" w:rsidR="00DA4341" w:rsidRPr="002F733E" w:rsidRDefault="00DA4341" w:rsidP="00E04E96">
            <w:pPr>
              <w:keepNext/>
              <w:jc w:val="left"/>
              <w:rPr>
                <w:rFonts w:ascii="Arial Narrow" w:hAnsi="Arial Narrow"/>
                <w:b/>
                <w:sz w:val="20"/>
                <w:szCs w:val="20"/>
              </w:rPr>
            </w:pPr>
            <w:r w:rsidRPr="002F733E">
              <w:rPr>
                <w:rFonts w:ascii="Arial Narrow" w:hAnsi="Arial Narrow"/>
                <w:b/>
                <w:sz w:val="20"/>
                <w:szCs w:val="20"/>
              </w:rPr>
              <w:t>TULIP LTE (Weeks 52-216)</w:t>
            </w:r>
          </w:p>
        </w:tc>
      </w:tr>
      <w:tr w:rsidR="00DA4341" w:rsidRPr="002F733E" w14:paraId="531F2A2E" w14:textId="77777777" w:rsidTr="004676A9">
        <w:tc>
          <w:tcPr>
            <w:tcW w:w="1698" w:type="pct"/>
            <w:vAlign w:val="center"/>
          </w:tcPr>
          <w:p w14:paraId="52513169" w14:textId="77777777" w:rsidR="00DA4341" w:rsidRPr="002F733E" w:rsidRDefault="00DA4341" w:rsidP="00E04E96">
            <w:pPr>
              <w:keepNext/>
              <w:jc w:val="left"/>
              <w:rPr>
                <w:rFonts w:ascii="Arial Narrow" w:hAnsi="Arial Narrow"/>
                <w:sz w:val="20"/>
                <w:szCs w:val="20"/>
              </w:rPr>
            </w:pPr>
            <w:r w:rsidRPr="002F733E">
              <w:rPr>
                <w:rFonts w:ascii="Arial Narrow" w:hAnsi="Arial Narrow"/>
                <w:sz w:val="20"/>
                <w:szCs w:val="20"/>
              </w:rPr>
              <w:t>Any AEs</w:t>
            </w:r>
          </w:p>
        </w:tc>
        <w:tc>
          <w:tcPr>
            <w:tcW w:w="927" w:type="pct"/>
            <w:vAlign w:val="center"/>
          </w:tcPr>
          <w:p w14:paraId="0FE178DE"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226/257 (87.9)</w:t>
            </w:r>
          </w:p>
        </w:tc>
        <w:tc>
          <w:tcPr>
            <w:tcW w:w="696" w:type="pct"/>
            <w:vAlign w:val="center"/>
          </w:tcPr>
          <w:p w14:paraId="57E68974"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94/112 (83.9)</w:t>
            </w:r>
          </w:p>
        </w:tc>
        <w:tc>
          <w:tcPr>
            <w:tcW w:w="850" w:type="pct"/>
            <w:vAlign w:val="center"/>
          </w:tcPr>
          <w:p w14:paraId="423418CF"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1.05 (0.95, 1.15)</w:t>
            </w:r>
          </w:p>
        </w:tc>
        <w:tc>
          <w:tcPr>
            <w:tcW w:w="829" w:type="pct"/>
            <w:vAlign w:val="center"/>
          </w:tcPr>
          <w:p w14:paraId="63A885BA" w14:textId="77777777" w:rsidR="00DA4341" w:rsidRPr="002F733E" w:rsidRDefault="00DA4341" w:rsidP="00E04E96">
            <w:pPr>
              <w:keepNext/>
              <w:jc w:val="center"/>
              <w:rPr>
                <w:rFonts w:ascii="Arial Narrow" w:hAnsi="Arial Narrow"/>
                <w:sz w:val="20"/>
                <w:szCs w:val="20"/>
              </w:rPr>
            </w:pPr>
            <w:r w:rsidRPr="002F733E">
              <w:rPr>
                <w:rFonts w:ascii="Arial Narrow" w:hAnsi="Arial Narrow"/>
                <w:sz w:val="20"/>
                <w:szCs w:val="20"/>
              </w:rPr>
              <w:t>0.04 (-0.04, 0.12)</w:t>
            </w:r>
          </w:p>
        </w:tc>
      </w:tr>
      <w:tr w:rsidR="00DA4341" w:rsidRPr="002F733E" w14:paraId="62CE5815" w14:textId="77777777" w:rsidTr="004676A9">
        <w:tc>
          <w:tcPr>
            <w:tcW w:w="1698" w:type="pct"/>
            <w:vAlign w:val="center"/>
          </w:tcPr>
          <w:p w14:paraId="6DA1F8FB"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SAE</w:t>
            </w:r>
          </w:p>
        </w:tc>
        <w:tc>
          <w:tcPr>
            <w:tcW w:w="927" w:type="pct"/>
            <w:vAlign w:val="center"/>
          </w:tcPr>
          <w:p w14:paraId="79D99FF4"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58/257 (22.6)</w:t>
            </w:r>
          </w:p>
        </w:tc>
        <w:tc>
          <w:tcPr>
            <w:tcW w:w="696" w:type="pct"/>
            <w:vAlign w:val="center"/>
          </w:tcPr>
          <w:p w14:paraId="2CDA4DB3"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28/112 (25.0)</w:t>
            </w:r>
          </w:p>
        </w:tc>
        <w:tc>
          <w:tcPr>
            <w:tcW w:w="850" w:type="pct"/>
            <w:vAlign w:val="center"/>
          </w:tcPr>
          <w:p w14:paraId="4DE3A1D2"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0.90 (0.61, 1.34)</w:t>
            </w:r>
          </w:p>
        </w:tc>
        <w:tc>
          <w:tcPr>
            <w:tcW w:w="829" w:type="pct"/>
            <w:vAlign w:val="center"/>
          </w:tcPr>
          <w:p w14:paraId="30C3CE4E"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-0.02 (-0.12, 0.07)</w:t>
            </w:r>
          </w:p>
        </w:tc>
      </w:tr>
      <w:tr w:rsidR="00DA4341" w:rsidRPr="002F733E" w14:paraId="66C1CBD4" w14:textId="77777777" w:rsidTr="004676A9">
        <w:tc>
          <w:tcPr>
            <w:tcW w:w="1698" w:type="pct"/>
            <w:vAlign w:val="center"/>
          </w:tcPr>
          <w:p w14:paraId="2115FDFD"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Death due to AEs</w:t>
            </w:r>
          </w:p>
        </w:tc>
        <w:tc>
          <w:tcPr>
            <w:tcW w:w="927" w:type="pct"/>
            <w:vAlign w:val="center"/>
          </w:tcPr>
          <w:p w14:paraId="63BD9D03"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3/257 (1.2)</w:t>
            </w:r>
          </w:p>
        </w:tc>
        <w:tc>
          <w:tcPr>
            <w:tcW w:w="696" w:type="pct"/>
            <w:vAlign w:val="center"/>
          </w:tcPr>
          <w:p w14:paraId="7C3D6E94"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1/112 (0.9)</w:t>
            </w:r>
          </w:p>
        </w:tc>
        <w:tc>
          <w:tcPr>
            <w:tcW w:w="850" w:type="pct"/>
            <w:vAlign w:val="center"/>
          </w:tcPr>
          <w:p w14:paraId="5BC81295"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1.31 (0.14, 12.43)</w:t>
            </w:r>
          </w:p>
        </w:tc>
        <w:tc>
          <w:tcPr>
            <w:tcW w:w="829" w:type="pct"/>
            <w:vAlign w:val="center"/>
          </w:tcPr>
          <w:p w14:paraId="257DD0D9"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0.00 (-0.02, 0.02)</w:t>
            </w:r>
          </w:p>
        </w:tc>
      </w:tr>
      <w:tr w:rsidR="00DA4341" w:rsidRPr="002F733E" w14:paraId="455A0F38" w14:textId="77777777" w:rsidTr="004676A9">
        <w:tc>
          <w:tcPr>
            <w:tcW w:w="1698" w:type="pct"/>
            <w:vAlign w:val="center"/>
          </w:tcPr>
          <w:p w14:paraId="33B56A4B"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Discontinuation of study drugs due to AEs</w:t>
            </w:r>
          </w:p>
        </w:tc>
        <w:tc>
          <w:tcPr>
            <w:tcW w:w="927" w:type="pct"/>
            <w:vAlign w:val="center"/>
          </w:tcPr>
          <w:p w14:paraId="51BB96C3"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17/257 (6.6)</w:t>
            </w:r>
          </w:p>
        </w:tc>
        <w:tc>
          <w:tcPr>
            <w:tcW w:w="696" w:type="pct"/>
            <w:vAlign w:val="center"/>
          </w:tcPr>
          <w:p w14:paraId="249396AD"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8/112 (7.1)</w:t>
            </w:r>
          </w:p>
        </w:tc>
        <w:tc>
          <w:tcPr>
            <w:tcW w:w="850" w:type="pct"/>
            <w:vAlign w:val="center"/>
          </w:tcPr>
          <w:p w14:paraId="4D082A89"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0.93 (0.41, 2.08)</w:t>
            </w:r>
          </w:p>
        </w:tc>
        <w:tc>
          <w:tcPr>
            <w:tcW w:w="829" w:type="pct"/>
            <w:vAlign w:val="center"/>
          </w:tcPr>
          <w:p w14:paraId="4D54B2BE"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-0.01 (-0.06, 0.05)</w:t>
            </w:r>
          </w:p>
        </w:tc>
      </w:tr>
      <w:tr w:rsidR="00DA4341" w:rsidRPr="002F733E" w14:paraId="54BD2FAB" w14:textId="77777777" w:rsidTr="004676A9">
        <w:tc>
          <w:tcPr>
            <w:tcW w:w="1698" w:type="pct"/>
            <w:vAlign w:val="center"/>
          </w:tcPr>
          <w:p w14:paraId="2B06BC46"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AEs of interest</w:t>
            </w:r>
          </w:p>
        </w:tc>
        <w:tc>
          <w:tcPr>
            <w:tcW w:w="927" w:type="pct"/>
            <w:vAlign w:val="center"/>
          </w:tcPr>
          <w:p w14:paraId="3C71969B"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75/257 (29.2)</w:t>
            </w:r>
          </w:p>
        </w:tc>
        <w:tc>
          <w:tcPr>
            <w:tcW w:w="696" w:type="pct"/>
            <w:vAlign w:val="center"/>
          </w:tcPr>
          <w:p w14:paraId="6CAB9598"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24/112 (21.4)</w:t>
            </w:r>
          </w:p>
        </w:tc>
        <w:tc>
          <w:tcPr>
            <w:tcW w:w="850" w:type="pct"/>
            <w:vAlign w:val="center"/>
          </w:tcPr>
          <w:p w14:paraId="0D96C788"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1.36 (0.91, 2.04)</w:t>
            </w:r>
          </w:p>
        </w:tc>
        <w:tc>
          <w:tcPr>
            <w:tcW w:w="829" w:type="pct"/>
            <w:vAlign w:val="center"/>
          </w:tcPr>
          <w:p w14:paraId="6C7161AE"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0.08 (-0.02, 0.17)</w:t>
            </w:r>
          </w:p>
        </w:tc>
      </w:tr>
      <w:tr w:rsidR="00DA4341" w:rsidRPr="002F733E" w14:paraId="6DF78F35" w14:textId="77777777" w:rsidTr="004676A9">
        <w:tc>
          <w:tcPr>
            <w:tcW w:w="1698" w:type="pct"/>
            <w:vAlign w:val="center"/>
          </w:tcPr>
          <w:p w14:paraId="78DA9CD7" w14:textId="77777777" w:rsidR="00DA4341" w:rsidRPr="002F733E" w:rsidRDefault="00DA4341" w:rsidP="004676A9">
            <w:pPr>
              <w:ind w:left="106"/>
              <w:jc w:val="left"/>
              <w:rPr>
                <w:rFonts w:ascii="Arial Narrow" w:hAnsi="Arial Narrow"/>
                <w:sz w:val="20"/>
                <w:szCs w:val="20"/>
              </w:rPr>
            </w:pPr>
            <w:r w:rsidRPr="002F733E">
              <w:rPr>
                <w:rFonts w:ascii="Arial Narrow" w:hAnsi="Arial Narrow"/>
                <w:sz w:val="20"/>
                <w:szCs w:val="20"/>
              </w:rPr>
              <w:t>Non-opportunistic infections</w:t>
            </w:r>
          </w:p>
        </w:tc>
        <w:tc>
          <w:tcPr>
            <w:tcW w:w="927" w:type="pct"/>
            <w:vAlign w:val="center"/>
          </w:tcPr>
          <w:p w14:paraId="75BFEF9E"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25/257 (9.7)</w:t>
            </w:r>
          </w:p>
        </w:tc>
        <w:tc>
          <w:tcPr>
            <w:tcW w:w="696" w:type="pct"/>
            <w:vAlign w:val="center"/>
          </w:tcPr>
          <w:p w14:paraId="5F5888FE"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9/112 (8.0)</w:t>
            </w:r>
          </w:p>
        </w:tc>
        <w:tc>
          <w:tcPr>
            <w:tcW w:w="850" w:type="pct"/>
            <w:vAlign w:val="center"/>
          </w:tcPr>
          <w:p w14:paraId="628C5735"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1.21 (0.58, 2.51)</w:t>
            </w:r>
          </w:p>
        </w:tc>
        <w:tc>
          <w:tcPr>
            <w:tcW w:w="829" w:type="pct"/>
            <w:vAlign w:val="center"/>
          </w:tcPr>
          <w:p w14:paraId="3CFA6B6A"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0.02 (-0.05, 0.08)</w:t>
            </w:r>
          </w:p>
        </w:tc>
      </w:tr>
      <w:tr w:rsidR="00DA4341" w:rsidRPr="002F733E" w14:paraId="5554EAEA" w14:textId="77777777" w:rsidTr="004676A9">
        <w:tc>
          <w:tcPr>
            <w:tcW w:w="1698" w:type="pct"/>
            <w:vAlign w:val="center"/>
          </w:tcPr>
          <w:p w14:paraId="4D3DCBF4" w14:textId="77777777" w:rsidR="00DA4341" w:rsidRPr="002F733E" w:rsidRDefault="00DA4341" w:rsidP="004676A9">
            <w:pPr>
              <w:ind w:left="106"/>
              <w:jc w:val="left"/>
              <w:rPr>
                <w:rFonts w:ascii="Arial Narrow" w:hAnsi="Arial Narrow"/>
                <w:sz w:val="20"/>
                <w:szCs w:val="20"/>
              </w:rPr>
            </w:pPr>
            <w:r w:rsidRPr="002F733E">
              <w:rPr>
                <w:rFonts w:ascii="Arial Narrow" w:hAnsi="Arial Narrow"/>
                <w:sz w:val="20"/>
                <w:szCs w:val="20"/>
              </w:rPr>
              <w:t>Herpes Zoster</w:t>
            </w:r>
          </w:p>
        </w:tc>
        <w:tc>
          <w:tcPr>
            <w:tcW w:w="927" w:type="pct"/>
            <w:vAlign w:val="center"/>
          </w:tcPr>
          <w:p w14:paraId="56C63877"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23/257 (8.9)</w:t>
            </w:r>
          </w:p>
        </w:tc>
        <w:tc>
          <w:tcPr>
            <w:tcW w:w="696" w:type="pct"/>
            <w:vAlign w:val="center"/>
          </w:tcPr>
          <w:p w14:paraId="0D710B7E"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7/112 (6.3)</w:t>
            </w:r>
          </w:p>
        </w:tc>
        <w:tc>
          <w:tcPr>
            <w:tcW w:w="850" w:type="pct"/>
            <w:vAlign w:val="center"/>
          </w:tcPr>
          <w:p w14:paraId="44D2A795"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1.43 (0.63, 3.24)</w:t>
            </w:r>
          </w:p>
        </w:tc>
        <w:tc>
          <w:tcPr>
            <w:tcW w:w="829" w:type="pct"/>
            <w:vAlign w:val="center"/>
          </w:tcPr>
          <w:p w14:paraId="6073CB8E"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0.03 (-0.03, 0.08)</w:t>
            </w:r>
          </w:p>
        </w:tc>
      </w:tr>
      <w:tr w:rsidR="00DA4341" w:rsidRPr="002F733E" w14:paraId="3B6F9884" w14:textId="77777777" w:rsidTr="004676A9">
        <w:tc>
          <w:tcPr>
            <w:tcW w:w="1698" w:type="pct"/>
            <w:vAlign w:val="center"/>
          </w:tcPr>
          <w:p w14:paraId="35C4F52A" w14:textId="77777777" w:rsidR="00DA4341" w:rsidRPr="002F733E" w:rsidRDefault="00DA4341" w:rsidP="004676A9">
            <w:pPr>
              <w:ind w:left="106"/>
              <w:jc w:val="left"/>
              <w:rPr>
                <w:rFonts w:ascii="Arial Narrow" w:hAnsi="Arial Narrow"/>
                <w:sz w:val="20"/>
                <w:szCs w:val="20"/>
              </w:rPr>
            </w:pPr>
            <w:r w:rsidRPr="002F733E">
              <w:rPr>
                <w:rFonts w:ascii="Arial Narrow" w:hAnsi="Arial Narrow"/>
                <w:sz w:val="20"/>
                <w:szCs w:val="20"/>
              </w:rPr>
              <w:t>Major acute cardiovascular event</w:t>
            </w:r>
          </w:p>
        </w:tc>
        <w:tc>
          <w:tcPr>
            <w:tcW w:w="927" w:type="pct"/>
            <w:vAlign w:val="center"/>
          </w:tcPr>
          <w:p w14:paraId="5FFE2426"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5/257 (1.9)</w:t>
            </w:r>
          </w:p>
        </w:tc>
        <w:tc>
          <w:tcPr>
            <w:tcW w:w="696" w:type="pct"/>
            <w:vAlign w:val="center"/>
          </w:tcPr>
          <w:p w14:paraId="33BDA21E"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3/112 (2.7)</w:t>
            </w:r>
          </w:p>
        </w:tc>
        <w:tc>
          <w:tcPr>
            <w:tcW w:w="850" w:type="pct"/>
            <w:vAlign w:val="center"/>
          </w:tcPr>
          <w:p w14:paraId="0D012A59"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0.73 (0.18, 2.99)</w:t>
            </w:r>
          </w:p>
        </w:tc>
        <w:tc>
          <w:tcPr>
            <w:tcW w:w="829" w:type="pct"/>
            <w:vAlign w:val="center"/>
          </w:tcPr>
          <w:p w14:paraId="00C25CD2"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-0.01 (-0.04, 0.03)</w:t>
            </w:r>
          </w:p>
        </w:tc>
      </w:tr>
      <w:tr w:rsidR="00DA4341" w:rsidRPr="002F733E" w14:paraId="72CC5376" w14:textId="77777777" w:rsidTr="004676A9">
        <w:tc>
          <w:tcPr>
            <w:tcW w:w="1698" w:type="pct"/>
            <w:vAlign w:val="center"/>
          </w:tcPr>
          <w:p w14:paraId="433ACA95"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Infusion-related reaction</w:t>
            </w:r>
          </w:p>
        </w:tc>
        <w:tc>
          <w:tcPr>
            <w:tcW w:w="927" w:type="pct"/>
            <w:vAlign w:val="center"/>
          </w:tcPr>
          <w:p w14:paraId="417A9823"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17/257 (6.6)</w:t>
            </w:r>
          </w:p>
        </w:tc>
        <w:tc>
          <w:tcPr>
            <w:tcW w:w="696" w:type="pct"/>
            <w:vAlign w:val="center"/>
          </w:tcPr>
          <w:p w14:paraId="172B40AC"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6/112 (5.4)</w:t>
            </w:r>
          </w:p>
        </w:tc>
        <w:tc>
          <w:tcPr>
            <w:tcW w:w="850" w:type="pct"/>
            <w:vAlign w:val="center"/>
          </w:tcPr>
          <w:p w14:paraId="715CC4AC"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1.23 (0.50, 3.05)</w:t>
            </w:r>
          </w:p>
        </w:tc>
        <w:tc>
          <w:tcPr>
            <w:tcW w:w="829" w:type="pct"/>
            <w:vAlign w:val="center"/>
          </w:tcPr>
          <w:p w14:paraId="0EF1F18C"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0.01 (-0.04, 0.06)</w:t>
            </w:r>
          </w:p>
        </w:tc>
      </w:tr>
      <w:tr w:rsidR="00DA4341" w:rsidRPr="002F733E" w14:paraId="67B8D230" w14:textId="77777777" w:rsidTr="004676A9">
        <w:tc>
          <w:tcPr>
            <w:tcW w:w="5000" w:type="pct"/>
            <w:gridSpan w:val="5"/>
            <w:shd w:val="clear" w:color="auto" w:fill="B8CCE4" w:themeFill="accent1" w:themeFillTint="66"/>
            <w:vAlign w:val="center"/>
          </w:tcPr>
          <w:p w14:paraId="23AABA46" w14:textId="77777777" w:rsidR="00DA4341" w:rsidRPr="002F733E" w:rsidRDefault="00DA4341" w:rsidP="004676A9">
            <w:pPr>
              <w:jc w:val="left"/>
              <w:rPr>
                <w:rFonts w:ascii="Arial Narrow" w:hAnsi="Arial Narrow"/>
                <w:b/>
                <w:sz w:val="20"/>
                <w:szCs w:val="20"/>
              </w:rPr>
            </w:pPr>
            <w:r w:rsidRPr="002F733E">
              <w:rPr>
                <w:rFonts w:ascii="Arial Narrow" w:hAnsi="Arial Narrow"/>
                <w:b/>
                <w:sz w:val="20"/>
                <w:szCs w:val="20"/>
              </w:rPr>
              <w:t>MUSE</w:t>
            </w:r>
            <w:r w:rsidRPr="002F733E">
              <w:rPr>
                <w:rFonts w:ascii="Arial Narrow" w:hAnsi="Arial Narrow"/>
                <w:b/>
                <w:sz w:val="20"/>
                <w:szCs w:val="20"/>
                <w:vertAlign w:val="superscript"/>
              </w:rPr>
              <w:t>c</w:t>
            </w:r>
          </w:p>
        </w:tc>
      </w:tr>
      <w:tr w:rsidR="00DA4341" w:rsidRPr="002F733E" w14:paraId="24037CB3" w14:textId="77777777" w:rsidTr="004676A9">
        <w:tc>
          <w:tcPr>
            <w:tcW w:w="1698" w:type="pct"/>
            <w:shd w:val="clear" w:color="auto" w:fill="B8CCE4" w:themeFill="accent1" w:themeFillTint="66"/>
            <w:vAlign w:val="center"/>
          </w:tcPr>
          <w:p w14:paraId="38647592"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Any AEs</w:t>
            </w:r>
          </w:p>
        </w:tc>
        <w:tc>
          <w:tcPr>
            <w:tcW w:w="927" w:type="pct"/>
            <w:shd w:val="clear" w:color="auto" w:fill="B8CCE4" w:themeFill="accent1" w:themeFillTint="66"/>
            <w:vAlign w:val="center"/>
          </w:tcPr>
          <w:p w14:paraId="00FF3EBB"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84/99 (84.8)</w:t>
            </w:r>
          </w:p>
        </w:tc>
        <w:tc>
          <w:tcPr>
            <w:tcW w:w="696" w:type="pct"/>
            <w:shd w:val="clear" w:color="auto" w:fill="B8CCE4" w:themeFill="accent1" w:themeFillTint="66"/>
            <w:vAlign w:val="center"/>
          </w:tcPr>
          <w:p w14:paraId="5B16337F"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78/101 (77.2)</w:t>
            </w:r>
          </w:p>
        </w:tc>
        <w:tc>
          <w:tcPr>
            <w:tcW w:w="850" w:type="pct"/>
            <w:shd w:val="clear" w:color="auto" w:fill="B8CCE4" w:themeFill="accent1" w:themeFillTint="66"/>
            <w:vAlign w:val="center"/>
          </w:tcPr>
          <w:p w14:paraId="7DC26560"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1.10 (0.96, 1.26)</w:t>
            </w:r>
          </w:p>
        </w:tc>
        <w:tc>
          <w:tcPr>
            <w:tcW w:w="829" w:type="pct"/>
            <w:shd w:val="clear" w:color="auto" w:fill="B8CCE4" w:themeFill="accent1" w:themeFillTint="66"/>
            <w:vAlign w:val="center"/>
          </w:tcPr>
          <w:p w14:paraId="25B8222A"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0.08 (-0.03, 0.18)</w:t>
            </w:r>
          </w:p>
        </w:tc>
      </w:tr>
      <w:tr w:rsidR="00DA4341" w:rsidRPr="002F733E" w14:paraId="18D3BCBF" w14:textId="77777777" w:rsidTr="004676A9">
        <w:tc>
          <w:tcPr>
            <w:tcW w:w="1698" w:type="pct"/>
            <w:shd w:val="clear" w:color="auto" w:fill="B8CCE4" w:themeFill="accent1" w:themeFillTint="66"/>
            <w:vAlign w:val="center"/>
          </w:tcPr>
          <w:p w14:paraId="34D3B7E5"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SAE</w:t>
            </w:r>
          </w:p>
        </w:tc>
        <w:tc>
          <w:tcPr>
            <w:tcW w:w="927" w:type="pct"/>
            <w:shd w:val="clear" w:color="auto" w:fill="B8CCE4" w:themeFill="accent1" w:themeFillTint="66"/>
            <w:vAlign w:val="center"/>
          </w:tcPr>
          <w:p w14:paraId="39429001"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16/99 (16.2)</w:t>
            </w:r>
          </w:p>
        </w:tc>
        <w:tc>
          <w:tcPr>
            <w:tcW w:w="696" w:type="pct"/>
            <w:shd w:val="clear" w:color="auto" w:fill="B8CCE4" w:themeFill="accent1" w:themeFillTint="66"/>
            <w:vAlign w:val="center"/>
          </w:tcPr>
          <w:p w14:paraId="499B389A"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19/101 (18.8)</w:t>
            </w:r>
          </w:p>
        </w:tc>
        <w:tc>
          <w:tcPr>
            <w:tcW w:w="850" w:type="pct"/>
            <w:shd w:val="clear" w:color="auto" w:fill="B8CCE4" w:themeFill="accent1" w:themeFillTint="66"/>
            <w:vAlign w:val="center"/>
          </w:tcPr>
          <w:p w14:paraId="62D7354C"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0.86 (0.47, 1.57)</w:t>
            </w:r>
          </w:p>
        </w:tc>
        <w:tc>
          <w:tcPr>
            <w:tcW w:w="829" w:type="pct"/>
            <w:shd w:val="clear" w:color="auto" w:fill="B8CCE4" w:themeFill="accent1" w:themeFillTint="66"/>
            <w:vAlign w:val="center"/>
          </w:tcPr>
          <w:p w14:paraId="75249E24"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-0.03 (-0.13, 0.08)</w:t>
            </w:r>
          </w:p>
        </w:tc>
      </w:tr>
      <w:tr w:rsidR="00DA4341" w:rsidRPr="002F733E" w14:paraId="2CC10738" w14:textId="77777777" w:rsidTr="004676A9">
        <w:tc>
          <w:tcPr>
            <w:tcW w:w="1698" w:type="pct"/>
            <w:shd w:val="clear" w:color="auto" w:fill="B8CCE4" w:themeFill="accent1" w:themeFillTint="66"/>
            <w:vAlign w:val="center"/>
          </w:tcPr>
          <w:p w14:paraId="0DFCB3FF"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Death due to AEs</w:t>
            </w:r>
          </w:p>
        </w:tc>
        <w:tc>
          <w:tcPr>
            <w:tcW w:w="927" w:type="pct"/>
            <w:shd w:val="clear" w:color="auto" w:fill="B8CCE4" w:themeFill="accent1" w:themeFillTint="66"/>
            <w:vAlign w:val="center"/>
          </w:tcPr>
          <w:p w14:paraId="3291F17D"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w:t>
            </w:r>
          </w:p>
        </w:tc>
        <w:tc>
          <w:tcPr>
            <w:tcW w:w="696" w:type="pct"/>
            <w:shd w:val="clear" w:color="auto" w:fill="B8CCE4" w:themeFill="accent1" w:themeFillTint="66"/>
            <w:vAlign w:val="center"/>
          </w:tcPr>
          <w:p w14:paraId="23EA1690"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w:t>
            </w:r>
          </w:p>
        </w:tc>
        <w:tc>
          <w:tcPr>
            <w:tcW w:w="850" w:type="pct"/>
            <w:shd w:val="clear" w:color="auto" w:fill="B8CCE4" w:themeFill="accent1" w:themeFillTint="66"/>
            <w:vAlign w:val="center"/>
          </w:tcPr>
          <w:p w14:paraId="66705718"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29" w:type="pct"/>
            <w:shd w:val="clear" w:color="auto" w:fill="B8CCE4" w:themeFill="accent1" w:themeFillTint="66"/>
            <w:vAlign w:val="center"/>
          </w:tcPr>
          <w:p w14:paraId="7ECA2A2D"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r>
      <w:tr w:rsidR="00DA4341" w:rsidRPr="002F733E" w14:paraId="38DCDDA7" w14:textId="77777777" w:rsidTr="004676A9">
        <w:tc>
          <w:tcPr>
            <w:tcW w:w="1698" w:type="pct"/>
            <w:shd w:val="clear" w:color="auto" w:fill="B8CCE4" w:themeFill="accent1" w:themeFillTint="66"/>
            <w:vAlign w:val="center"/>
          </w:tcPr>
          <w:p w14:paraId="043EC763"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Discontinuation of study drugs due to AEs</w:t>
            </w:r>
          </w:p>
        </w:tc>
        <w:tc>
          <w:tcPr>
            <w:tcW w:w="927" w:type="pct"/>
            <w:shd w:val="clear" w:color="auto" w:fill="B8CCE4" w:themeFill="accent1" w:themeFillTint="66"/>
            <w:vAlign w:val="center"/>
          </w:tcPr>
          <w:p w14:paraId="7773E4D9"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3/99 (3.0)</w:t>
            </w:r>
          </w:p>
        </w:tc>
        <w:tc>
          <w:tcPr>
            <w:tcW w:w="696" w:type="pct"/>
            <w:shd w:val="clear" w:color="auto" w:fill="B8CCE4" w:themeFill="accent1" w:themeFillTint="66"/>
            <w:vAlign w:val="center"/>
          </w:tcPr>
          <w:p w14:paraId="341F4867"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8/101 (7.9)</w:t>
            </w:r>
          </w:p>
        </w:tc>
        <w:tc>
          <w:tcPr>
            <w:tcW w:w="850" w:type="pct"/>
            <w:shd w:val="clear" w:color="auto" w:fill="B8CCE4" w:themeFill="accent1" w:themeFillTint="66"/>
            <w:vAlign w:val="center"/>
          </w:tcPr>
          <w:p w14:paraId="2F295CBA"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0.38 (0.10, 1.40)</w:t>
            </w:r>
          </w:p>
        </w:tc>
        <w:tc>
          <w:tcPr>
            <w:tcW w:w="829" w:type="pct"/>
            <w:shd w:val="clear" w:color="auto" w:fill="B8CCE4" w:themeFill="accent1" w:themeFillTint="66"/>
            <w:vAlign w:val="center"/>
          </w:tcPr>
          <w:p w14:paraId="60D72615"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-0.05 (-0.11, 0.01)</w:t>
            </w:r>
          </w:p>
        </w:tc>
      </w:tr>
      <w:tr w:rsidR="00DA4341" w:rsidRPr="002F733E" w14:paraId="592EBA53" w14:textId="77777777" w:rsidTr="004676A9">
        <w:tc>
          <w:tcPr>
            <w:tcW w:w="1698" w:type="pct"/>
            <w:shd w:val="clear" w:color="auto" w:fill="B8CCE4" w:themeFill="accent1" w:themeFillTint="66"/>
            <w:vAlign w:val="center"/>
          </w:tcPr>
          <w:p w14:paraId="0C302A56"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AEs of interest</w:t>
            </w:r>
          </w:p>
        </w:tc>
        <w:tc>
          <w:tcPr>
            <w:tcW w:w="927" w:type="pct"/>
            <w:shd w:val="clear" w:color="auto" w:fill="B8CCE4" w:themeFill="accent1" w:themeFillTint="66"/>
            <w:vAlign w:val="center"/>
          </w:tcPr>
          <w:p w14:paraId="2ED4D07A"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10/99 (10.1)</w:t>
            </w:r>
          </w:p>
        </w:tc>
        <w:tc>
          <w:tcPr>
            <w:tcW w:w="696" w:type="pct"/>
            <w:shd w:val="clear" w:color="auto" w:fill="B8CCE4" w:themeFill="accent1" w:themeFillTint="66"/>
            <w:vAlign w:val="center"/>
          </w:tcPr>
          <w:p w14:paraId="354EAABE"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12/101 (11.9)</w:t>
            </w:r>
          </w:p>
        </w:tc>
        <w:tc>
          <w:tcPr>
            <w:tcW w:w="850" w:type="pct"/>
            <w:shd w:val="clear" w:color="auto" w:fill="B8CCE4" w:themeFill="accent1" w:themeFillTint="66"/>
            <w:vAlign w:val="center"/>
          </w:tcPr>
          <w:p w14:paraId="25F90D5F"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0.85 (0.39, 1.88)</w:t>
            </w:r>
          </w:p>
        </w:tc>
        <w:tc>
          <w:tcPr>
            <w:tcW w:w="829" w:type="pct"/>
            <w:shd w:val="clear" w:color="auto" w:fill="B8CCE4" w:themeFill="accent1" w:themeFillTint="66"/>
            <w:vAlign w:val="center"/>
          </w:tcPr>
          <w:p w14:paraId="5E82C0E3"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-0.02 (-0.10, 0.07)</w:t>
            </w:r>
          </w:p>
        </w:tc>
      </w:tr>
      <w:tr w:rsidR="00DA4341" w:rsidRPr="002F733E" w14:paraId="7C28A792" w14:textId="77777777" w:rsidTr="004676A9">
        <w:tc>
          <w:tcPr>
            <w:tcW w:w="1698" w:type="pct"/>
            <w:shd w:val="clear" w:color="auto" w:fill="B8CCE4" w:themeFill="accent1" w:themeFillTint="66"/>
            <w:vAlign w:val="center"/>
          </w:tcPr>
          <w:p w14:paraId="70AEF7A3" w14:textId="77777777" w:rsidR="00DA4341" w:rsidRPr="002F733E" w:rsidRDefault="00DA4341" w:rsidP="004676A9">
            <w:pPr>
              <w:ind w:left="106"/>
              <w:jc w:val="left"/>
              <w:rPr>
                <w:rFonts w:ascii="Arial Narrow" w:hAnsi="Arial Narrow"/>
                <w:sz w:val="20"/>
                <w:szCs w:val="20"/>
              </w:rPr>
            </w:pPr>
            <w:r w:rsidRPr="002F733E">
              <w:rPr>
                <w:rFonts w:ascii="Arial Narrow" w:hAnsi="Arial Narrow"/>
                <w:sz w:val="20"/>
                <w:szCs w:val="20"/>
              </w:rPr>
              <w:t>Non-opportunistic infections</w:t>
            </w:r>
          </w:p>
        </w:tc>
        <w:tc>
          <w:tcPr>
            <w:tcW w:w="927" w:type="pct"/>
            <w:shd w:val="clear" w:color="auto" w:fill="B8CCE4" w:themeFill="accent1" w:themeFillTint="66"/>
            <w:vAlign w:val="center"/>
          </w:tcPr>
          <w:p w14:paraId="035F213A"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NR</w:t>
            </w:r>
          </w:p>
        </w:tc>
        <w:tc>
          <w:tcPr>
            <w:tcW w:w="696" w:type="pct"/>
            <w:shd w:val="clear" w:color="auto" w:fill="B8CCE4" w:themeFill="accent1" w:themeFillTint="66"/>
            <w:vAlign w:val="center"/>
          </w:tcPr>
          <w:p w14:paraId="738A6F08"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NR</w:t>
            </w:r>
          </w:p>
        </w:tc>
        <w:tc>
          <w:tcPr>
            <w:tcW w:w="850" w:type="pct"/>
            <w:shd w:val="clear" w:color="auto" w:fill="B8CCE4" w:themeFill="accent1" w:themeFillTint="66"/>
            <w:vAlign w:val="center"/>
          </w:tcPr>
          <w:p w14:paraId="20D27241"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29" w:type="pct"/>
            <w:shd w:val="clear" w:color="auto" w:fill="B8CCE4" w:themeFill="accent1" w:themeFillTint="66"/>
            <w:vAlign w:val="center"/>
          </w:tcPr>
          <w:p w14:paraId="4475F444"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r>
      <w:tr w:rsidR="00DA4341" w:rsidRPr="002F733E" w14:paraId="1BEB0CD4" w14:textId="77777777" w:rsidTr="004676A9">
        <w:tc>
          <w:tcPr>
            <w:tcW w:w="1698" w:type="pct"/>
            <w:shd w:val="clear" w:color="auto" w:fill="B8CCE4" w:themeFill="accent1" w:themeFillTint="66"/>
            <w:vAlign w:val="center"/>
          </w:tcPr>
          <w:p w14:paraId="3EB18832" w14:textId="77777777" w:rsidR="00DA4341" w:rsidRPr="002F733E" w:rsidRDefault="00DA4341" w:rsidP="004676A9">
            <w:pPr>
              <w:ind w:left="106"/>
              <w:jc w:val="left"/>
              <w:rPr>
                <w:rFonts w:ascii="Arial Narrow" w:hAnsi="Arial Narrow"/>
                <w:sz w:val="20"/>
                <w:szCs w:val="20"/>
              </w:rPr>
            </w:pPr>
            <w:r w:rsidRPr="002F733E">
              <w:rPr>
                <w:rFonts w:ascii="Arial Narrow" w:hAnsi="Arial Narrow"/>
                <w:sz w:val="20"/>
                <w:szCs w:val="20"/>
              </w:rPr>
              <w:t>Herpes Zoster</w:t>
            </w:r>
          </w:p>
        </w:tc>
        <w:tc>
          <w:tcPr>
            <w:tcW w:w="927" w:type="pct"/>
            <w:shd w:val="clear" w:color="auto" w:fill="B8CCE4" w:themeFill="accent1" w:themeFillTint="66"/>
            <w:vAlign w:val="center"/>
          </w:tcPr>
          <w:p w14:paraId="3BC2BF41"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5/99 (5.1)</w:t>
            </w:r>
            <w:r w:rsidRPr="002F733E">
              <w:rPr>
                <w:rFonts w:ascii="Arial Narrow" w:hAnsi="Arial Narrow"/>
                <w:sz w:val="20"/>
                <w:szCs w:val="20"/>
                <w:vertAlign w:val="superscript"/>
              </w:rPr>
              <w:t>d</w:t>
            </w:r>
          </w:p>
        </w:tc>
        <w:tc>
          <w:tcPr>
            <w:tcW w:w="696" w:type="pct"/>
            <w:shd w:val="clear" w:color="auto" w:fill="B8CCE4" w:themeFill="accent1" w:themeFillTint="66"/>
            <w:vAlign w:val="center"/>
          </w:tcPr>
          <w:p w14:paraId="392FF954"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2/101 (2.0)</w:t>
            </w:r>
          </w:p>
        </w:tc>
        <w:tc>
          <w:tcPr>
            <w:tcW w:w="850" w:type="pct"/>
            <w:shd w:val="clear" w:color="auto" w:fill="B8CCE4" w:themeFill="accent1" w:themeFillTint="66"/>
            <w:vAlign w:val="center"/>
          </w:tcPr>
          <w:p w14:paraId="007CE7C2"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2.55 (0.51, 12.84)</w:t>
            </w:r>
          </w:p>
        </w:tc>
        <w:tc>
          <w:tcPr>
            <w:tcW w:w="829" w:type="pct"/>
            <w:shd w:val="clear" w:color="auto" w:fill="B8CCE4" w:themeFill="accent1" w:themeFillTint="66"/>
            <w:vAlign w:val="center"/>
          </w:tcPr>
          <w:p w14:paraId="52D3A197"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0.03 (-0.02, 0.08)</w:t>
            </w:r>
          </w:p>
        </w:tc>
      </w:tr>
      <w:tr w:rsidR="00DA4341" w:rsidRPr="002F733E" w14:paraId="1EC2CAA2" w14:textId="77777777" w:rsidTr="004676A9">
        <w:tc>
          <w:tcPr>
            <w:tcW w:w="1698" w:type="pct"/>
            <w:shd w:val="clear" w:color="auto" w:fill="B8CCE4" w:themeFill="accent1" w:themeFillTint="66"/>
            <w:vAlign w:val="center"/>
          </w:tcPr>
          <w:p w14:paraId="2357E055"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Infusion-related reaction</w:t>
            </w:r>
          </w:p>
        </w:tc>
        <w:tc>
          <w:tcPr>
            <w:tcW w:w="927" w:type="pct"/>
            <w:shd w:val="clear" w:color="auto" w:fill="B8CCE4" w:themeFill="accent1" w:themeFillTint="66"/>
            <w:vAlign w:val="center"/>
          </w:tcPr>
          <w:p w14:paraId="7D45E302"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2/99 (2.0)</w:t>
            </w:r>
          </w:p>
        </w:tc>
        <w:tc>
          <w:tcPr>
            <w:tcW w:w="696" w:type="pct"/>
            <w:shd w:val="clear" w:color="auto" w:fill="B8CCE4" w:themeFill="accent1" w:themeFillTint="66"/>
            <w:vAlign w:val="center"/>
          </w:tcPr>
          <w:p w14:paraId="7D22C486"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6/101 (5.9)</w:t>
            </w:r>
          </w:p>
        </w:tc>
        <w:tc>
          <w:tcPr>
            <w:tcW w:w="850" w:type="pct"/>
            <w:shd w:val="clear" w:color="auto" w:fill="B8CCE4" w:themeFill="accent1" w:themeFillTint="66"/>
            <w:vAlign w:val="center"/>
          </w:tcPr>
          <w:p w14:paraId="39DA522C"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0.34 (0.07, 1.64)</w:t>
            </w:r>
          </w:p>
        </w:tc>
        <w:tc>
          <w:tcPr>
            <w:tcW w:w="829" w:type="pct"/>
            <w:shd w:val="clear" w:color="auto" w:fill="B8CCE4" w:themeFill="accent1" w:themeFillTint="66"/>
            <w:vAlign w:val="center"/>
          </w:tcPr>
          <w:p w14:paraId="078F47D1"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-0.04 (-0.09, 0.0)]</w:t>
            </w:r>
          </w:p>
        </w:tc>
      </w:tr>
      <w:tr w:rsidR="00DA4341" w:rsidRPr="002F733E" w14:paraId="25515F2A" w14:textId="77777777" w:rsidTr="004676A9">
        <w:tc>
          <w:tcPr>
            <w:tcW w:w="5000" w:type="pct"/>
            <w:gridSpan w:val="5"/>
            <w:shd w:val="clear" w:color="auto" w:fill="B8CCE4" w:themeFill="accent1" w:themeFillTint="66"/>
            <w:vAlign w:val="center"/>
          </w:tcPr>
          <w:p w14:paraId="31E47B0D" w14:textId="2A360C93" w:rsidR="00DA4341" w:rsidRPr="002F733E" w:rsidRDefault="00DA4341" w:rsidP="004676A9">
            <w:pPr>
              <w:jc w:val="left"/>
              <w:rPr>
                <w:rFonts w:ascii="Arial Narrow" w:hAnsi="Arial Narrow"/>
                <w:b/>
                <w:sz w:val="20"/>
                <w:szCs w:val="20"/>
              </w:rPr>
            </w:pPr>
            <w:r w:rsidRPr="002F733E">
              <w:rPr>
                <w:rFonts w:ascii="Arial Narrow" w:hAnsi="Arial Narrow"/>
                <w:b/>
                <w:sz w:val="20"/>
                <w:szCs w:val="20"/>
              </w:rPr>
              <w:t>MUSE LTE (Weeks 52-216)</w:t>
            </w:r>
          </w:p>
        </w:tc>
      </w:tr>
      <w:tr w:rsidR="00DA4341" w:rsidRPr="002F733E" w14:paraId="3F449EC5" w14:textId="77777777" w:rsidTr="004676A9">
        <w:tc>
          <w:tcPr>
            <w:tcW w:w="1698" w:type="pct"/>
            <w:shd w:val="clear" w:color="auto" w:fill="B8CCE4" w:themeFill="accent1" w:themeFillTint="66"/>
            <w:vAlign w:val="center"/>
          </w:tcPr>
          <w:p w14:paraId="3DBCA600"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≥1 SAE</w:t>
            </w:r>
          </w:p>
        </w:tc>
        <w:tc>
          <w:tcPr>
            <w:tcW w:w="927" w:type="pct"/>
            <w:shd w:val="clear" w:color="auto" w:fill="B8CCE4" w:themeFill="accent1" w:themeFillTint="66"/>
            <w:vAlign w:val="center"/>
          </w:tcPr>
          <w:p w14:paraId="09391C61"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50/218 (22.9)</w:t>
            </w:r>
          </w:p>
        </w:tc>
        <w:tc>
          <w:tcPr>
            <w:tcW w:w="696" w:type="pct"/>
            <w:shd w:val="clear" w:color="auto" w:fill="B8CCE4" w:themeFill="accent1" w:themeFillTint="66"/>
            <w:vAlign w:val="center"/>
          </w:tcPr>
          <w:p w14:paraId="6F026890"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50" w:type="pct"/>
            <w:shd w:val="clear" w:color="auto" w:fill="B8CCE4" w:themeFill="accent1" w:themeFillTint="66"/>
            <w:vAlign w:val="center"/>
          </w:tcPr>
          <w:p w14:paraId="4A724669"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29" w:type="pct"/>
            <w:shd w:val="clear" w:color="auto" w:fill="B8CCE4" w:themeFill="accent1" w:themeFillTint="66"/>
            <w:vAlign w:val="center"/>
          </w:tcPr>
          <w:p w14:paraId="1D040BC7"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r>
      <w:tr w:rsidR="00DA4341" w:rsidRPr="002F733E" w14:paraId="3F23EEF9" w14:textId="77777777" w:rsidTr="004676A9">
        <w:tc>
          <w:tcPr>
            <w:tcW w:w="1698" w:type="pct"/>
            <w:shd w:val="clear" w:color="auto" w:fill="B8CCE4" w:themeFill="accent1" w:themeFillTint="66"/>
            <w:vAlign w:val="center"/>
          </w:tcPr>
          <w:p w14:paraId="468BBE5D"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Death</w:t>
            </w:r>
          </w:p>
        </w:tc>
        <w:tc>
          <w:tcPr>
            <w:tcW w:w="927" w:type="pct"/>
            <w:shd w:val="clear" w:color="auto" w:fill="B8CCE4" w:themeFill="accent1" w:themeFillTint="66"/>
            <w:vAlign w:val="center"/>
          </w:tcPr>
          <w:p w14:paraId="7A12C49B"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1/218 (0.5)</w:t>
            </w:r>
          </w:p>
        </w:tc>
        <w:tc>
          <w:tcPr>
            <w:tcW w:w="696" w:type="pct"/>
            <w:shd w:val="clear" w:color="auto" w:fill="B8CCE4" w:themeFill="accent1" w:themeFillTint="66"/>
            <w:vAlign w:val="center"/>
          </w:tcPr>
          <w:p w14:paraId="3D0D71CF"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50" w:type="pct"/>
            <w:shd w:val="clear" w:color="auto" w:fill="B8CCE4" w:themeFill="accent1" w:themeFillTint="66"/>
            <w:vAlign w:val="center"/>
          </w:tcPr>
          <w:p w14:paraId="47D3E3A5"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29" w:type="pct"/>
            <w:shd w:val="clear" w:color="auto" w:fill="B8CCE4" w:themeFill="accent1" w:themeFillTint="66"/>
            <w:vAlign w:val="center"/>
          </w:tcPr>
          <w:p w14:paraId="26D11BCA"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r>
      <w:tr w:rsidR="00DA4341" w:rsidRPr="002F733E" w14:paraId="06501D5C" w14:textId="77777777" w:rsidTr="004676A9">
        <w:tc>
          <w:tcPr>
            <w:tcW w:w="1698" w:type="pct"/>
            <w:shd w:val="clear" w:color="auto" w:fill="B8CCE4" w:themeFill="accent1" w:themeFillTint="66"/>
            <w:vAlign w:val="center"/>
          </w:tcPr>
          <w:p w14:paraId="60939115"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Discontinuation of study drugs due to AEs</w:t>
            </w:r>
          </w:p>
        </w:tc>
        <w:tc>
          <w:tcPr>
            <w:tcW w:w="927" w:type="pct"/>
            <w:shd w:val="clear" w:color="auto" w:fill="B8CCE4" w:themeFill="accent1" w:themeFillTint="66"/>
            <w:vAlign w:val="center"/>
          </w:tcPr>
          <w:p w14:paraId="1831CF8A"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17/218 (7.8)</w:t>
            </w:r>
          </w:p>
        </w:tc>
        <w:tc>
          <w:tcPr>
            <w:tcW w:w="696" w:type="pct"/>
            <w:shd w:val="clear" w:color="auto" w:fill="B8CCE4" w:themeFill="accent1" w:themeFillTint="66"/>
            <w:vAlign w:val="center"/>
          </w:tcPr>
          <w:p w14:paraId="49F38CBE"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50" w:type="pct"/>
            <w:shd w:val="clear" w:color="auto" w:fill="B8CCE4" w:themeFill="accent1" w:themeFillTint="66"/>
            <w:vAlign w:val="center"/>
          </w:tcPr>
          <w:p w14:paraId="1F6B23ED"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29" w:type="pct"/>
            <w:shd w:val="clear" w:color="auto" w:fill="B8CCE4" w:themeFill="accent1" w:themeFillTint="66"/>
            <w:vAlign w:val="center"/>
          </w:tcPr>
          <w:p w14:paraId="6C4DF8D6"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r>
      <w:tr w:rsidR="00DA4341" w:rsidRPr="002F733E" w14:paraId="113DE9D7" w14:textId="77777777" w:rsidTr="004676A9">
        <w:tc>
          <w:tcPr>
            <w:tcW w:w="1698" w:type="pct"/>
            <w:shd w:val="clear" w:color="auto" w:fill="B8CCE4" w:themeFill="accent1" w:themeFillTint="66"/>
            <w:vAlign w:val="center"/>
          </w:tcPr>
          <w:p w14:paraId="4A831063"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AEs of interest</w:t>
            </w:r>
          </w:p>
        </w:tc>
        <w:tc>
          <w:tcPr>
            <w:tcW w:w="927" w:type="pct"/>
            <w:shd w:val="clear" w:color="auto" w:fill="B8CCE4" w:themeFill="accent1" w:themeFillTint="66"/>
            <w:vAlign w:val="center"/>
          </w:tcPr>
          <w:p w14:paraId="21188820"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24/218 (11.0)</w:t>
            </w:r>
          </w:p>
        </w:tc>
        <w:tc>
          <w:tcPr>
            <w:tcW w:w="696" w:type="pct"/>
            <w:shd w:val="clear" w:color="auto" w:fill="B8CCE4" w:themeFill="accent1" w:themeFillTint="66"/>
            <w:vAlign w:val="center"/>
          </w:tcPr>
          <w:p w14:paraId="452AE527"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50" w:type="pct"/>
            <w:shd w:val="clear" w:color="auto" w:fill="B8CCE4" w:themeFill="accent1" w:themeFillTint="66"/>
            <w:vAlign w:val="center"/>
          </w:tcPr>
          <w:p w14:paraId="19A5E57B"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29" w:type="pct"/>
            <w:shd w:val="clear" w:color="auto" w:fill="B8CCE4" w:themeFill="accent1" w:themeFillTint="66"/>
            <w:vAlign w:val="center"/>
          </w:tcPr>
          <w:p w14:paraId="0C617122"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r>
      <w:tr w:rsidR="00DA4341" w:rsidRPr="002F733E" w14:paraId="5493D802" w14:textId="77777777" w:rsidTr="004676A9">
        <w:tc>
          <w:tcPr>
            <w:tcW w:w="1698" w:type="pct"/>
            <w:shd w:val="clear" w:color="auto" w:fill="B8CCE4" w:themeFill="accent1" w:themeFillTint="66"/>
            <w:vAlign w:val="center"/>
          </w:tcPr>
          <w:p w14:paraId="0F409155" w14:textId="77777777" w:rsidR="00DA4341" w:rsidRPr="002F733E" w:rsidRDefault="00DA4341" w:rsidP="004676A9">
            <w:pPr>
              <w:ind w:left="106"/>
              <w:jc w:val="left"/>
              <w:rPr>
                <w:rFonts w:ascii="Arial Narrow" w:hAnsi="Arial Narrow"/>
                <w:sz w:val="20"/>
                <w:szCs w:val="20"/>
              </w:rPr>
            </w:pPr>
            <w:r w:rsidRPr="002F733E">
              <w:rPr>
                <w:rFonts w:ascii="Arial Narrow" w:hAnsi="Arial Narrow"/>
                <w:sz w:val="20"/>
                <w:szCs w:val="20"/>
              </w:rPr>
              <w:t>Non-opportunistic infections</w:t>
            </w:r>
          </w:p>
        </w:tc>
        <w:tc>
          <w:tcPr>
            <w:tcW w:w="927" w:type="pct"/>
            <w:shd w:val="clear" w:color="auto" w:fill="B8CCE4" w:themeFill="accent1" w:themeFillTint="66"/>
            <w:vAlign w:val="center"/>
          </w:tcPr>
          <w:p w14:paraId="3B143482"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NR</w:t>
            </w:r>
          </w:p>
        </w:tc>
        <w:tc>
          <w:tcPr>
            <w:tcW w:w="696" w:type="pct"/>
            <w:shd w:val="clear" w:color="auto" w:fill="B8CCE4" w:themeFill="accent1" w:themeFillTint="66"/>
            <w:vAlign w:val="center"/>
          </w:tcPr>
          <w:p w14:paraId="112F35C6"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NR</w:t>
            </w:r>
          </w:p>
        </w:tc>
        <w:tc>
          <w:tcPr>
            <w:tcW w:w="850" w:type="pct"/>
            <w:shd w:val="clear" w:color="auto" w:fill="B8CCE4" w:themeFill="accent1" w:themeFillTint="66"/>
            <w:vAlign w:val="center"/>
          </w:tcPr>
          <w:p w14:paraId="5B2E9889"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29" w:type="pct"/>
            <w:shd w:val="clear" w:color="auto" w:fill="B8CCE4" w:themeFill="accent1" w:themeFillTint="66"/>
            <w:vAlign w:val="center"/>
          </w:tcPr>
          <w:p w14:paraId="259EB509"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r>
      <w:tr w:rsidR="00DA4341" w:rsidRPr="002F733E" w14:paraId="7BC3250E" w14:textId="77777777" w:rsidTr="004676A9">
        <w:tc>
          <w:tcPr>
            <w:tcW w:w="1698" w:type="pct"/>
            <w:shd w:val="clear" w:color="auto" w:fill="B8CCE4" w:themeFill="accent1" w:themeFillTint="66"/>
            <w:vAlign w:val="center"/>
          </w:tcPr>
          <w:p w14:paraId="46D2B857" w14:textId="77777777" w:rsidR="00DA4341" w:rsidRPr="002F733E" w:rsidRDefault="00DA4341" w:rsidP="004676A9">
            <w:pPr>
              <w:ind w:left="106"/>
              <w:jc w:val="left"/>
              <w:rPr>
                <w:rFonts w:ascii="Arial Narrow" w:hAnsi="Arial Narrow"/>
                <w:sz w:val="20"/>
                <w:szCs w:val="20"/>
              </w:rPr>
            </w:pPr>
            <w:r w:rsidRPr="002F733E">
              <w:rPr>
                <w:rFonts w:ascii="Arial Narrow" w:hAnsi="Arial Narrow"/>
                <w:sz w:val="20"/>
                <w:szCs w:val="20"/>
              </w:rPr>
              <w:t>Herpes Zoster</w:t>
            </w:r>
          </w:p>
        </w:tc>
        <w:tc>
          <w:tcPr>
            <w:tcW w:w="927" w:type="pct"/>
            <w:shd w:val="clear" w:color="auto" w:fill="B8CCE4" w:themeFill="accent1" w:themeFillTint="66"/>
            <w:vAlign w:val="center"/>
          </w:tcPr>
          <w:p w14:paraId="1CF6C5DD"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11/218 (5.0)</w:t>
            </w:r>
          </w:p>
        </w:tc>
        <w:tc>
          <w:tcPr>
            <w:tcW w:w="696" w:type="pct"/>
            <w:shd w:val="clear" w:color="auto" w:fill="B8CCE4" w:themeFill="accent1" w:themeFillTint="66"/>
            <w:vAlign w:val="center"/>
          </w:tcPr>
          <w:p w14:paraId="4211641C"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50" w:type="pct"/>
            <w:shd w:val="clear" w:color="auto" w:fill="B8CCE4" w:themeFill="accent1" w:themeFillTint="66"/>
            <w:vAlign w:val="center"/>
          </w:tcPr>
          <w:p w14:paraId="303A622F"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29" w:type="pct"/>
            <w:shd w:val="clear" w:color="auto" w:fill="B8CCE4" w:themeFill="accent1" w:themeFillTint="66"/>
            <w:vAlign w:val="center"/>
          </w:tcPr>
          <w:p w14:paraId="4AD58103"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r>
      <w:tr w:rsidR="00DA4341" w:rsidRPr="002F733E" w14:paraId="0AF58DF8" w14:textId="77777777" w:rsidTr="004676A9">
        <w:tc>
          <w:tcPr>
            <w:tcW w:w="1698" w:type="pct"/>
            <w:shd w:val="clear" w:color="auto" w:fill="B8CCE4" w:themeFill="accent1" w:themeFillTint="66"/>
            <w:vAlign w:val="center"/>
          </w:tcPr>
          <w:p w14:paraId="0871898B" w14:textId="77777777" w:rsidR="00DA4341" w:rsidRPr="002F733E" w:rsidRDefault="00DA4341" w:rsidP="004676A9">
            <w:pPr>
              <w:jc w:val="left"/>
              <w:rPr>
                <w:rFonts w:ascii="Arial Narrow" w:hAnsi="Arial Narrow"/>
                <w:sz w:val="20"/>
                <w:szCs w:val="20"/>
              </w:rPr>
            </w:pPr>
            <w:r w:rsidRPr="002F733E">
              <w:rPr>
                <w:rFonts w:ascii="Arial Narrow" w:hAnsi="Arial Narrow"/>
                <w:sz w:val="20"/>
                <w:szCs w:val="20"/>
              </w:rPr>
              <w:t>Infusion-related reaction</w:t>
            </w:r>
          </w:p>
        </w:tc>
        <w:tc>
          <w:tcPr>
            <w:tcW w:w="927" w:type="pct"/>
            <w:shd w:val="clear" w:color="auto" w:fill="B8CCE4" w:themeFill="accent1" w:themeFillTint="66"/>
            <w:vAlign w:val="center"/>
          </w:tcPr>
          <w:p w14:paraId="06B64BED"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4/218 (1.8)</w:t>
            </w:r>
          </w:p>
        </w:tc>
        <w:tc>
          <w:tcPr>
            <w:tcW w:w="696" w:type="pct"/>
            <w:shd w:val="clear" w:color="auto" w:fill="B8CCE4" w:themeFill="accent1" w:themeFillTint="66"/>
            <w:vAlign w:val="center"/>
          </w:tcPr>
          <w:p w14:paraId="1A8B7FF1"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50" w:type="pct"/>
            <w:shd w:val="clear" w:color="auto" w:fill="B8CCE4" w:themeFill="accent1" w:themeFillTint="66"/>
            <w:vAlign w:val="center"/>
          </w:tcPr>
          <w:p w14:paraId="74B806E8"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c>
          <w:tcPr>
            <w:tcW w:w="829" w:type="pct"/>
            <w:shd w:val="clear" w:color="auto" w:fill="B8CCE4" w:themeFill="accent1" w:themeFillTint="66"/>
            <w:vAlign w:val="center"/>
          </w:tcPr>
          <w:p w14:paraId="52EDE1A0" w14:textId="77777777" w:rsidR="00DA4341" w:rsidRPr="002F733E" w:rsidRDefault="00DA4341" w:rsidP="004676A9">
            <w:pPr>
              <w:jc w:val="center"/>
              <w:rPr>
                <w:rFonts w:ascii="Arial Narrow" w:hAnsi="Arial Narrow"/>
                <w:sz w:val="20"/>
                <w:szCs w:val="20"/>
              </w:rPr>
            </w:pPr>
            <w:r w:rsidRPr="002F733E">
              <w:rPr>
                <w:rFonts w:ascii="Arial Narrow" w:hAnsi="Arial Narrow"/>
                <w:sz w:val="20"/>
                <w:szCs w:val="20"/>
              </w:rPr>
              <w:t>-</w:t>
            </w:r>
          </w:p>
        </w:tc>
      </w:tr>
    </w:tbl>
    <w:p w14:paraId="09542A94" w14:textId="77777777" w:rsidR="00DA4341" w:rsidRPr="002F733E" w:rsidRDefault="00DA4341" w:rsidP="00DA4341">
      <w:pPr>
        <w:pStyle w:val="TableFigureFooter"/>
        <w:spacing w:after="0"/>
        <w:rPr>
          <w:iCs/>
        </w:rPr>
      </w:pPr>
      <w:r w:rsidRPr="002F733E">
        <w:rPr>
          <w:iCs/>
          <w:shd w:val="clear" w:color="auto" w:fill="B8CCE4" w:themeFill="accent1" w:themeFillTint="66"/>
        </w:rPr>
        <w:t>Blue</w:t>
      </w:r>
      <w:r w:rsidRPr="002F733E">
        <w:rPr>
          <w:iCs/>
        </w:rPr>
        <w:t xml:space="preserve"> shading represents information previously considered by the PBAC.</w:t>
      </w:r>
    </w:p>
    <w:p w14:paraId="7CF22E2D" w14:textId="77777777" w:rsidR="00DA4341" w:rsidRPr="002F733E" w:rsidRDefault="00DA4341" w:rsidP="00DA4341">
      <w:pPr>
        <w:pStyle w:val="TableFigureFooter"/>
        <w:spacing w:after="0"/>
      </w:pPr>
      <w:r w:rsidRPr="002F733E">
        <w:rPr>
          <w:b/>
          <w:bCs/>
          <w:szCs w:val="18"/>
        </w:rPr>
        <w:t>Bold</w:t>
      </w:r>
      <w:r w:rsidRPr="002F733E">
        <w:rPr>
          <w:szCs w:val="18"/>
        </w:rPr>
        <w:t xml:space="preserve"> text designates statistical significance.</w:t>
      </w:r>
      <w:r w:rsidRPr="002F733E">
        <w:rPr>
          <w:i/>
          <w:iCs/>
        </w:rPr>
        <w:t xml:space="preserve"> </w:t>
      </w:r>
      <w:r w:rsidRPr="002F733E">
        <w:t xml:space="preserve">Italics indicate results estimated during the evaluation </w:t>
      </w:r>
      <w:r w:rsidRPr="002F733E">
        <w:rPr>
          <w:szCs w:val="18"/>
        </w:rPr>
        <w:t>using Review Manager (version 5.4.1).</w:t>
      </w:r>
    </w:p>
    <w:p w14:paraId="71E28050" w14:textId="77777777" w:rsidR="00DA4341" w:rsidRPr="002F733E" w:rsidRDefault="00DA4341" w:rsidP="00DA4341">
      <w:pPr>
        <w:rPr>
          <w:rFonts w:ascii="Arial Narrow" w:hAnsi="Arial Narrow"/>
          <w:sz w:val="18"/>
          <w:szCs w:val="18"/>
        </w:rPr>
      </w:pPr>
      <w:r w:rsidRPr="002F733E">
        <w:rPr>
          <w:rFonts w:ascii="Arial Narrow" w:hAnsi="Arial Narrow"/>
          <w:sz w:val="18"/>
          <w:szCs w:val="18"/>
        </w:rPr>
        <w:t>Source: Tables 2.5-14 to 2.5-16, pp98-102 of the resubmission.</w:t>
      </w:r>
    </w:p>
    <w:p w14:paraId="19616298" w14:textId="77777777" w:rsidR="00DA4341" w:rsidRPr="002F733E" w:rsidRDefault="00DA4341" w:rsidP="00DA4341">
      <w:pPr>
        <w:rPr>
          <w:rFonts w:ascii="Arial Narrow" w:hAnsi="Arial Narrow"/>
          <w:sz w:val="18"/>
          <w:szCs w:val="18"/>
        </w:rPr>
      </w:pPr>
      <w:r w:rsidRPr="002F733E">
        <w:rPr>
          <w:rFonts w:ascii="Arial Narrow" w:hAnsi="Arial Narrow"/>
          <w:sz w:val="18"/>
          <w:szCs w:val="18"/>
        </w:rPr>
        <w:t>AE=adverse event; SAE=serious AE; RR=relative risk; RD=risk difference; NR=not reported; CI=confidence interval.</w:t>
      </w:r>
    </w:p>
    <w:p w14:paraId="4810197D" w14:textId="77777777" w:rsidR="00DA4341" w:rsidRPr="002F733E" w:rsidRDefault="00DA4341" w:rsidP="00DA4341">
      <w:pPr>
        <w:rPr>
          <w:rFonts w:ascii="Arial Narrow" w:hAnsi="Arial Narrow"/>
          <w:sz w:val="18"/>
          <w:szCs w:val="18"/>
        </w:rPr>
      </w:pPr>
      <w:r w:rsidRPr="002F733E">
        <w:rPr>
          <w:rFonts w:ascii="Arial Narrow" w:hAnsi="Arial Narrow"/>
          <w:sz w:val="18"/>
          <w:szCs w:val="18"/>
        </w:rPr>
        <w:t>a</w:t>
      </w:r>
      <w:r w:rsidRPr="002F733E">
        <w:rPr>
          <w:rFonts w:ascii="Arial Narrow" w:hAnsi="Arial Narrow"/>
          <w:sz w:val="18"/>
          <w:szCs w:val="18"/>
        </w:rPr>
        <w:tab/>
        <w:t>Death due to pneumonia; patient received two doses of anifrolumab 300 mg.</w:t>
      </w:r>
    </w:p>
    <w:p w14:paraId="2CAEBA10" w14:textId="77777777" w:rsidR="00DA4341" w:rsidRPr="002F733E" w:rsidRDefault="00DA4341" w:rsidP="00DA4341">
      <w:pPr>
        <w:rPr>
          <w:rFonts w:ascii="Arial Narrow" w:hAnsi="Arial Narrow"/>
          <w:sz w:val="18"/>
          <w:szCs w:val="18"/>
        </w:rPr>
      </w:pPr>
      <w:r w:rsidRPr="002F733E">
        <w:rPr>
          <w:rFonts w:ascii="Arial Narrow" w:hAnsi="Arial Narrow"/>
          <w:sz w:val="18"/>
          <w:szCs w:val="18"/>
        </w:rPr>
        <w:t>b</w:t>
      </w:r>
      <w:r w:rsidRPr="002F733E">
        <w:rPr>
          <w:rFonts w:ascii="Arial Narrow" w:hAnsi="Arial Narrow"/>
          <w:sz w:val="18"/>
          <w:szCs w:val="18"/>
        </w:rPr>
        <w:tab/>
        <w:t>Death due to pneumonia.</w:t>
      </w:r>
    </w:p>
    <w:p w14:paraId="4624AFA2" w14:textId="15664BDF" w:rsidR="00DA4341" w:rsidRPr="002F733E" w:rsidRDefault="00DA4341" w:rsidP="00DA4341">
      <w:pPr>
        <w:ind w:left="170" w:hanging="170"/>
        <w:rPr>
          <w:rFonts w:ascii="Arial Narrow" w:hAnsi="Arial Narrow"/>
          <w:sz w:val="18"/>
          <w:szCs w:val="18"/>
        </w:rPr>
      </w:pPr>
      <w:r w:rsidRPr="002F733E">
        <w:rPr>
          <w:rFonts w:ascii="Arial Narrow" w:hAnsi="Arial Narrow"/>
          <w:sz w:val="18"/>
          <w:szCs w:val="18"/>
        </w:rPr>
        <w:t>c</w:t>
      </w:r>
      <w:r w:rsidRPr="002F733E">
        <w:rPr>
          <w:rFonts w:ascii="Arial Narrow" w:hAnsi="Arial Narrow"/>
          <w:sz w:val="18"/>
          <w:szCs w:val="18"/>
        </w:rPr>
        <w:tab/>
        <w:t>The safety population consisted of patients who received at least 1 dose of study drug. One patient randomized to the placebo group mistakenly received a single dose of anifrolumab 1000 mg and was included in anifrolumab 1000 mg group for the safety analyses.</w:t>
      </w:r>
    </w:p>
    <w:p w14:paraId="0872C00F" w14:textId="77777777" w:rsidR="00DA4341" w:rsidRPr="002F733E" w:rsidRDefault="00DA4341" w:rsidP="00DA4341">
      <w:pPr>
        <w:ind w:left="170" w:hanging="170"/>
        <w:rPr>
          <w:rFonts w:ascii="Arial Narrow" w:hAnsi="Arial Narrow"/>
          <w:sz w:val="18"/>
          <w:szCs w:val="18"/>
        </w:rPr>
      </w:pPr>
      <w:r w:rsidRPr="002F733E">
        <w:rPr>
          <w:rFonts w:ascii="Arial Narrow" w:hAnsi="Arial Narrow"/>
          <w:sz w:val="18"/>
          <w:szCs w:val="18"/>
        </w:rPr>
        <w:t>d</w:t>
      </w:r>
      <w:r w:rsidRPr="002F733E">
        <w:rPr>
          <w:rFonts w:ascii="Arial Narrow" w:hAnsi="Arial Narrow"/>
          <w:sz w:val="18"/>
          <w:szCs w:val="18"/>
        </w:rPr>
        <w:tab/>
        <w:t>One patient also had transverse myelitis with a quantitatively positive test result for varicella-zoster virus in the cerebrospinal fluid.</w:t>
      </w:r>
    </w:p>
    <w:p w14:paraId="52250664" w14:textId="77777777" w:rsidR="00DA4341" w:rsidRPr="002F733E" w:rsidRDefault="00DA4341" w:rsidP="00DA4341">
      <w:pPr>
        <w:pStyle w:val="3-BodyText"/>
        <w:numPr>
          <w:ilvl w:val="0"/>
          <w:numId w:val="0"/>
        </w:numPr>
      </w:pPr>
    </w:p>
    <w:p w14:paraId="0A990669" w14:textId="4A97898A" w:rsidR="00DA4341" w:rsidRPr="002F733E" w:rsidRDefault="00DA4341" w:rsidP="00DA4341">
      <w:pPr>
        <w:pStyle w:val="3-BodyText"/>
      </w:pPr>
      <w:r w:rsidRPr="002F733E">
        <w:t xml:space="preserve">The long-term safety data </w:t>
      </w:r>
      <w:r w:rsidR="00141962" w:rsidRPr="002F733E">
        <w:t>from TULIP LTE and MUSE LTE (from 52 weeks to approximately 4 years)</w:t>
      </w:r>
      <w:r w:rsidRPr="002F733E">
        <w:t xml:space="preserve"> was consistent with the included trials to 52 weeks, with no new safety signals. Long term safety data from TULIP LTE also demonstrated no significant difference between groups in the incidence of AEs, serious AEs, discontinuations due to AEs and AEs of special interest during the LTE treatment and follow-up to Week 216. However, the rates of serious AEs and non-opportunistic infections decreased over time and were lower during TULIP LTE than in the first year of treatment in the TULIP trials. In patients treated with anifrolumab there was also a reduction in the rates of herpes zoster over time during TULIP LTE. There were 3 deaths (1 due to COVID-19 and 2 to pneumonia) in the anifrolumab group and 1 death (from major acute cardiovascular event</w:t>
      </w:r>
      <w:r w:rsidR="00FC2D97" w:rsidRPr="002F733E">
        <w:t>)</w:t>
      </w:r>
      <w:r w:rsidRPr="002F733E">
        <w:t xml:space="preserve"> in the placebo group during TULIP LTE.</w:t>
      </w:r>
    </w:p>
    <w:p w14:paraId="04908C7F" w14:textId="415B9B7D" w:rsidR="007F1017" w:rsidRPr="002F733E" w:rsidRDefault="007F1017" w:rsidP="00D86231">
      <w:pPr>
        <w:pStyle w:val="4-SubsectionHeading"/>
      </w:pPr>
      <w:bookmarkStart w:id="32" w:name="_Toc22897643"/>
      <w:bookmarkStart w:id="33" w:name="_Toc124521450"/>
      <w:r w:rsidRPr="002F733E">
        <w:t>Benefits/harms</w:t>
      </w:r>
      <w:bookmarkEnd w:id="32"/>
      <w:bookmarkEnd w:id="33"/>
    </w:p>
    <w:p w14:paraId="2882567F" w14:textId="53B39ACF" w:rsidR="00DA0726" w:rsidRPr="002F733E" w:rsidRDefault="00DA0726" w:rsidP="00DA0726">
      <w:pPr>
        <w:pStyle w:val="3-BodyText"/>
      </w:pPr>
      <w:r w:rsidRPr="002F733E">
        <w:t>The comparative benefits and harms for anifrolumab versus placebo (i.e. SOC</w:t>
      </w:r>
      <w:r w:rsidR="003E6DB6" w:rsidRPr="002F733E">
        <w:t xml:space="preserve"> alone</w:t>
      </w:r>
      <w:r w:rsidRPr="002F733E">
        <w:t>) in patients with SLE can be drawn from</w:t>
      </w:r>
      <w:r w:rsidRPr="002F733E">
        <w:rPr>
          <w:rFonts w:cstheme="minorHAnsi"/>
        </w:rPr>
        <w:t xml:space="preserve"> </w:t>
      </w:r>
      <w:r w:rsidR="00E737F6" w:rsidRPr="002F733E">
        <w:rPr>
          <w:rFonts w:cstheme="minorHAnsi"/>
        </w:rPr>
        <w:fldChar w:fldCharType="begin" w:fldLock="1"/>
      </w:r>
      <w:r w:rsidR="00E737F6" w:rsidRPr="002F733E">
        <w:rPr>
          <w:rFonts w:cstheme="minorHAnsi"/>
        </w:rPr>
        <w:instrText xml:space="preserve"> REF _Ref121737361 \h </w:instrText>
      </w:r>
      <w:r w:rsidR="00E737F6" w:rsidRPr="002F733E">
        <w:rPr>
          <w:rFonts w:cstheme="minorHAnsi"/>
        </w:rPr>
      </w:r>
      <w:r w:rsidR="00E737F6" w:rsidRPr="002F733E">
        <w:rPr>
          <w:rFonts w:cstheme="minorHAnsi"/>
        </w:rPr>
        <w:fldChar w:fldCharType="separate"/>
      </w:r>
      <w:r w:rsidR="001316D2" w:rsidRPr="002F733E">
        <w:t>Table 5</w:t>
      </w:r>
      <w:r w:rsidR="00E737F6" w:rsidRPr="002F733E">
        <w:rPr>
          <w:rFonts w:cstheme="minorHAnsi"/>
        </w:rPr>
        <w:fldChar w:fldCharType="end"/>
      </w:r>
      <w:r w:rsidR="00E737F6" w:rsidRPr="002F733E">
        <w:rPr>
          <w:rFonts w:cstheme="minorHAnsi"/>
        </w:rPr>
        <w:t xml:space="preserve">, </w:t>
      </w:r>
      <w:r w:rsidR="00E737F6" w:rsidRPr="002F733E">
        <w:rPr>
          <w:rFonts w:cstheme="minorHAnsi"/>
        </w:rPr>
        <w:fldChar w:fldCharType="begin" w:fldLock="1"/>
      </w:r>
      <w:r w:rsidR="00E737F6" w:rsidRPr="002F733E">
        <w:rPr>
          <w:rFonts w:cstheme="minorHAnsi"/>
        </w:rPr>
        <w:instrText xml:space="preserve"> REF _Ref121737457 \h </w:instrText>
      </w:r>
      <w:r w:rsidR="00E737F6" w:rsidRPr="002F733E">
        <w:rPr>
          <w:rFonts w:cstheme="minorHAnsi"/>
        </w:rPr>
      </w:r>
      <w:r w:rsidR="00E737F6" w:rsidRPr="002F733E">
        <w:rPr>
          <w:rFonts w:cstheme="minorHAnsi"/>
        </w:rPr>
        <w:fldChar w:fldCharType="separate"/>
      </w:r>
      <w:r w:rsidR="001316D2" w:rsidRPr="002F733E">
        <w:t>Table 6</w:t>
      </w:r>
      <w:r w:rsidR="00E737F6" w:rsidRPr="002F733E">
        <w:rPr>
          <w:rFonts w:cstheme="minorHAnsi"/>
        </w:rPr>
        <w:fldChar w:fldCharType="end"/>
      </w:r>
      <w:r w:rsidR="00E737F6" w:rsidRPr="002F733E">
        <w:rPr>
          <w:rFonts w:cstheme="minorHAnsi"/>
        </w:rPr>
        <w:t xml:space="preserve"> and </w:t>
      </w:r>
      <w:r w:rsidR="00E737F6" w:rsidRPr="002F733E">
        <w:rPr>
          <w:rFonts w:cstheme="minorHAnsi"/>
        </w:rPr>
        <w:fldChar w:fldCharType="begin" w:fldLock="1"/>
      </w:r>
      <w:r w:rsidR="00E737F6" w:rsidRPr="002F733E">
        <w:rPr>
          <w:rFonts w:cstheme="minorHAnsi"/>
        </w:rPr>
        <w:instrText xml:space="preserve"> REF _Ref121737496 \h </w:instrText>
      </w:r>
      <w:r w:rsidR="00E737F6" w:rsidRPr="002F733E">
        <w:rPr>
          <w:rFonts w:cstheme="minorHAnsi"/>
        </w:rPr>
      </w:r>
      <w:r w:rsidR="00E737F6" w:rsidRPr="002F733E">
        <w:rPr>
          <w:rFonts w:cstheme="minorHAnsi"/>
        </w:rPr>
        <w:fldChar w:fldCharType="separate"/>
      </w:r>
      <w:r w:rsidR="001316D2" w:rsidRPr="002F733E">
        <w:t>Table 7</w:t>
      </w:r>
      <w:r w:rsidR="00E737F6" w:rsidRPr="002F733E">
        <w:rPr>
          <w:rFonts w:cstheme="minorHAnsi"/>
        </w:rPr>
        <w:fldChar w:fldCharType="end"/>
      </w:r>
      <w:r w:rsidRPr="002F733E">
        <w:rPr>
          <w:rFonts w:cstheme="minorHAnsi"/>
        </w:rPr>
        <w:t xml:space="preserve"> above</w:t>
      </w:r>
      <w:r w:rsidRPr="002F733E">
        <w:t>. On the basis of direct evidence presented in the submission, for every 100 patients treated with anifrolumab in comparison with placebo (SOC</w:t>
      </w:r>
      <w:r w:rsidR="003E6DB6" w:rsidRPr="002F733E">
        <w:t xml:space="preserve"> alone</w:t>
      </w:r>
      <w:r w:rsidRPr="002F733E">
        <w:t>):</w:t>
      </w:r>
    </w:p>
    <w:p w14:paraId="2B3D2017" w14:textId="0B2CAD15" w:rsidR="00DA0726" w:rsidRPr="002F733E" w:rsidRDefault="00DA0726" w:rsidP="00DC7889">
      <w:pPr>
        <w:pStyle w:val="3-BodyText"/>
        <w:numPr>
          <w:ilvl w:val="0"/>
          <w:numId w:val="13"/>
        </w:numPr>
      </w:pPr>
      <w:r w:rsidRPr="002F733E">
        <w:t xml:space="preserve">Approximately 4 fewer patients to </w:t>
      </w:r>
      <w:r w:rsidR="00C1731B" w:rsidRPr="002F733E">
        <w:t xml:space="preserve">26 </w:t>
      </w:r>
      <w:r w:rsidRPr="002F733E">
        <w:t>additional patients will achieve SRI(4) response at Week 52 depending on the trial and analysis used.</w:t>
      </w:r>
    </w:p>
    <w:p w14:paraId="6304DB4C" w14:textId="18E899DD" w:rsidR="00DA0726" w:rsidRPr="002F733E" w:rsidRDefault="00DA0726" w:rsidP="00DC7889">
      <w:pPr>
        <w:pStyle w:val="3-BodyText"/>
        <w:numPr>
          <w:ilvl w:val="0"/>
          <w:numId w:val="13"/>
        </w:numPr>
      </w:pPr>
      <w:r w:rsidRPr="002F733E">
        <w:t>Approximately 10</w:t>
      </w:r>
      <w:r w:rsidR="00141962" w:rsidRPr="002F733E">
        <w:t xml:space="preserve"> to </w:t>
      </w:r>
      <w:r w:rsidRPr="002F733E">
        <w:t xml:space="preserve">28 </w:t>
      </w:r>
      <w:r w:rsidR="00141962" w:rsidRPr="002F733E">
        <w:t xml:space="preserve">additional </w:t>
      </w:r>
      <w:r w:rsidRPr="002F733E">
        <w:t>patients will achieve BICLA response at Week 52 depending on the trial and analysis used.</w:t>
      </w:r>
    </w:p>
    <w:p w14:paraId="730DA50A" w14:textId="2AD31292" w:rsidR="00DA0726" w:rsidRPr="002F733E" w:rsidRDefault="00DA0726" w:rsidP="00DC7889">
      <w:pPr>
        <w:pStyle w:val="3-BodyText"/>
        <w:numPr>
          <w:ilvl w:val="0"/>
          <w:numId w:val="13"/>
        </w:numPr>
      </w:pPr>
      <w:r w:rsidRPr="002F733E">
        <w:t>An approximate -0.9 and -1.5 change from baseline in mean SLEDAI-2K score at Week 52 and Week 216, respectively.</w:t>
      </w:r>
    </w:p>
    <w:p w14:paraId="4C5DD900" w14:textId="38F69B28" w:rsidR="00DA0726" w:rsidRPr="002F733E" w:rsidRDefault="00DA0726" w:rsidP="00DC7889">
      <w:pPr>
        <w:pStyle w:val="3-BodyText"/>
        <w:numPr>
          <w:ilvl w:val="0"/>
          <w:numId w:val="13"/>
        </w:numPr>
      </w:pPr>
      <w:r w:rsidRPr="002F733E">
        <w:t xml:space="preserve">Approximately 5 to 11 </w:t>
      </w:r>
      <w:r w:rsidR="00141962" w:rsidRPr="002F733E">
        <w:t xml:space="preserve">additional </w:t>
      </w:r>
      <w:r w:rsidRPr="002F733E">
        <w:t xml:space="preserve">patients will experience any AEs at Week 52, and 4 </w:t>
      </w:r>
      <w:r w:rsidR="00141962" w:rsidRPr="002F733E">
        <w:t xml:space="preserve">additional </w:t>
      </w:r>
      <w:r w:rsidRPr="002F733E">
        <w:t>patients</w:t>
      </w:r>
      <w:r w:rsidR="00141962" w:rsidRPr="002F733E">
        <w:t xml:space="preserve"> will experience any AEs</w:t>
      </w:r>
      <w:r w:rsidRPr="002F733E">
        <w:t xml:space="preserve"> between Weeks 52-216.</w:t>
      </w:r>
    </w:p>
    <w:p w14:paraId="475AA3D3" w14:textId="574B4C25" w:rsidR="00DA0726" w:rsidRPr="002F733E" w:rsidRDefault="00DA0726" w:rsidP="00DC7889">
      <w:pPr>
        <w:pStyle w:val="3-BodyText"/>
        <w:numPr>
          <w:ilvl w:val="0"/>
          <w:numId w:val="13"/>
        </w:numPr>
      </w:pPr>
      <w:r w:rsidRPr="002F733E">
        <w:t xml:space="preserve">Approximately 2 to 9 fewer patients will experience SAEs at Week 52, and 2 fewer patients </w:t>
      </w:r>
      <w:r w:rsidR="00141962" w:rsidRPr="002F733E">
        <w:t xml:space="preserve">will experience SAEs </w:t>
      </w:r>
      <w:r w:rsidRPr="002F733E">
        <w:t>between Weeks 52-216.</w:t>
      </w:r>
    </w:p>
    <w:p w14:paraId="7B4BB2C9" w14:textId="29CAB370" w:rsidR="00DA0726" w:rsidRPr="002F733E" w:rsidRDefault="00DA0726" w:rsidP="00DC7889">
      <w:pPr>
        <w:pStyle w:val="3-BodyText"/>
        <w:numPr>
          <w:ilvl w:val="0"/>
          <w:numId w:val="13"/>
        </w:numPr>
      </w:pPr>
      <w:r w:rsidRPr="002F733E">
        <w:t xml:space="preserve">Approximately 3 to 6 </w:t>
      </w:r>
      <w:r w:rsidR="00141962" w:rsidRPr="002F733E">
        <w:t xml:space="preserve">additional </w:t>
      </w:r>
      <w:r w:rsidRPr="002F733E">
        <w:t>patients will experience herpes zoster</w:t>
      </w:r>
      <w:r w:rsidR="00141962" w:rsidRPr="002F733E">
        <w:t xml:space="preserve"> at Week 52</w:t>
      </w:r>
      <w:r w:rsidRPr="002F733E">
        <w:t xml:space="preserve">, and 3 </w:t>
      </w:r>
      <w:r w:rsidR="00141962" w:rsidRPr="002F733E">
        <w:t>additional</w:t>
      </w:r>
      <w:r w:rsidRPr="002F733E">
        <w:t xml:space="preserve"> patients </w:t>
      </w:r>
      <w:r w:rsidR="00141962" w:rsidRPr="002F733E">
        <w:t xml:space="preserve">will experience herpes zoster </w:t>
      </w:r>
      <w:r w:rsidRPr="002F733E">
        <w:t>between Weeks 52-216.</w:t>
      </w:r>
    </w:p>
    <w:p w14:paraId="2216C0C2" w14:textId="042F84CF" w:rsidR="00DA0726" w:rsidRPr="002F733E" w:rsidRDefault="00DA0726" w:rsidP="00DA0726">
      <w:pPr>
        <w:pStyle w:val="3-BodyText"/>
        <w:numPr>
          <w:ilvl w:val="0"/>
          <w:numId w:val="0"/>
        </w:numPr>
        <w:ind w:left="680"/>
      </w:pPr>
      <w:r w:rsidRPr="002F733E">
        <w:t xml:space="preserve">The above statements are based on the total trial populations, whereas the </w:t>
      </w:r>
      <w:r w:rsidR="00141962" w:rsidRPr="002F733E">
        <w:t>re</w:t>
      </w:r>
      <w:r w:rsidRPr="002F733E">
        <w:t>submission has targeted a patient group that the PBAC previously considered to have the greatest clinical need and were most likely to respond.</w:t>
      </w:r>
    </w:p>
    <w:p w14:paraId="7A1772B6" w14:textId="23BB3145" w:rsidR="00B60939" w:rsidRPr="002F733E" w:rsidRDefault="00B60939" w:rsidP="00E9094A">
      <w:pPr>
        <w:pStyle w:val="4-SubsectionHeading"/>
      </w:pPr>
      <w:bookmarkStart w:id="34" w:name="_Toc22897644"/>
      <w:bookmarkStart w:id="35" w:name="_Toc124521451"/>
      <w:r w:rsidRPr="002F733E">
        <w:t>Clinical claim</w:t>
      </w:r>
      <w:bookmarkEnd w:id="34"/>
      <w:bookmarkEnd w:id="35"/>
    </w:p>
    <w:p w14:paraId="54C7C311" w14:textId="5D37B8FC" w:rsidR="001973D8" w:rsidRPr="002F733E" w:rsidRDefault="001973D8" w:rsidP="00E9094A">
      <w:pPr>
        <w:pStyle w:val="3-BodyText"/>
      </w:pPr>
      <w:r w:rsidRPr="002F733E">
        <w:t xml:space="preserve">In patients with severe SLE (SLEDAI-2K ≥10) and on SOC (triple therapy), the resubmission maintained that anifrolumab added to SOC </w:t>
      </w:r>
      <w:r w:rsidR="00120DA9" w:rsidRPr="002F733E">
        <w:t>w</w:t>
      </w:r>
      <w:r w:rsidRPr="002F733E">
        <w:t>as superior in terms of effectiveness and non-inferior in terms of safety compared to SOC alone.</w:t>
      </w:r>
      <w:r w:rsidR="006A0431" w:rsidRPr="002F733E">
        <w:t xml:space="preserve"> The PSCR updated the safety claim to inferior compared to SOC alone.</w:t>
      </w:r>
    </w:p>
    <w:p w14:paraId="44CBCF44" w14:textId="2B056302" w:rsidR="001973D8" w:rsidRPr="002F733E" w:rsidRDefault="001973D8" w:rsidP="00E9094A">
      <w:pPr>
        <w:pStyle w:val="3-BodyText"/>
      </w:pPr>
      <w:r w:rsidRPr="002F733E">
        <w:t>At the July 2022 meeting, the PBAC considered the claim of superiority to SOC alone in terms of effectiveness was supported based on the small improvement in disease activity observed for some patients (paragraph 6.31, anifrolumab PS</w:t>
      </w:r>
      <w:r w:rsidR="00D75FD7" w:rsidRPr="002F733E">
        <w:t xml:space="preserve">D, </w:t>
      </w:r>
      <w:r w:rsidRPr="002F733E">
        <w:t xml:space="preserve">July 2022 PBAC meeting). </w:t>
      </w:r>
      <w:r w:rsidR="006A0431" w:rsidRPr="002F733E">
        <w:t>T</w:t>
      </w:r>
      <w:r w:rsidRPr="002F733E">
        <w:t xml:space="preserve">he PBAC </w:t>
      </w:r>
      <w:r w:rsidR="0078765F" w:rsidRPr="002F733E">
        <w:t xml:space="preserve">previously </w:t>
      </w:r>
      <w:r w:rsidRPr="002F733E">
        <w:t>considered that a claim of inferior but manageable safety was reasonable (paragraph 7.</w:t>
      </w:r>
      <w:r w:rsidR="00860D8E" w:rsidRPr="002F733E">
        <w:t>7</w:t>
      </w:r>
      <w:r w:rsidRPr="002F733E">
        <w:t>, anifrolumab PSD</w:t>
      </w:r>
      <w:r w:rsidR="00D75FD7" w:rsidRPr="002F733E">
        <w:t>,</w:t>
      </w:r>
      <w:r w:rsidRPr="002F733E">
        <w:t xml:space="preserve"> July 2022 PBAC meeting).</w:t>
      </w:r>
    </w:p>
    <w:p w14:paraId="35CBDCBC" w14:textId="11E02801" w:rsidR="001973D8" w:rsidRPr="002F733E" w:rsidRDefault="001973D8" w:rsidP="009F553A">
      <w:pPr>
        <w:pStyle w:val="3-BodyText"/>
      </w:pPr>
      <w:r w:rsidRPr="002F733E">
        <w:t xml:space="preserve">While it was noted that anifrolumab has a clinical benefit over SOC, the PBAC had previously considered the magnitude of the benefit to the requested PBS population </w:t>
      </w:r>
      <w:r w:rsidR="00C1731B" w:rsidRPr="002F733E">
        <w:t xml:space="preserve">was </w:t>
      </w:r>
      <w:r w:rsidRPr="002F733E">
        <w:t xml:space="preserve">uncertain (paragraphs 6.31 and 7.5, anifrolumab </w:t>
      </w:r>
      <w:r w:rsidR="00860D8E" w:rsidRPr="002F733E">
        <w:t>PSD</w:t>
      </w:r>
      <w:r w:rsidR="00D75FD7" w:rsidRPr="002F733E">
        <w:t>,</w:t>
      </w:r>
      <w:r w:rsidR="00860D8E" w:rsidRPr="002F733E">
        <w:t xml:space="preserve"> </w:t>
      </w:r>
      <w:r w:rsidRPr="002F733E">
        <w:t>July 2022 PBAC meeting)</w:t>
      </w:r>
      <w:r w:rsidR="00860D8E" w:rsidRPr="002F733E">
        <w:t>.</w:t>
      </w:r>
      <w:r w:rsidRPr="002F733E">
        <w:t xml:space="preserve"> </w:t>
      </w:r>
      <w:r w:rsidR="00860D8E" w:rsidRPr="002F733E">
        <w:t>The</w:t>
      </w:r>
      <w:r w:rsidR="006A0431" w:rsidRPr="002F733E">
        <w:t xml:space="preserve"> ESC noted that the</w:t>
      </w:r>
      <w:r w:rsidR="00860D8E" w:rsidRPr="002F733E">
        <w:t xml:space="preserve"> resubmission presented additional clinical data up to 4 years (TULIP</w:t>
      </w:r>
      <w:r w:rsidR="00C775AE" w:rsidRPr="002F733E">
        <w:t xml:space="preserve"> </w:t>
      </w:r>
      <w:r w:rsidR="00860D8E" w:rsidRPr="002F733E">
        <w:t xml:space="preserve">LTE), but the clinical benefit for anifrolumab in the requested PBS population remained uncertain. </w:t>
      </w:r>
      <w:r w:rsidR="006A0431" w:rsidRPr="002F733E">
        <w:t xml:space="preserve">The ESC considered that although the </w:t>
      </w:r>
      <w:r w:rsidR="00860D8E" w:rsidRPr="002F733E">
        <w:t>sustained benefit</w:t>
      </w:r>
      <w:r w:rsidRPr="002F733E">
        <w:t xml:space="preserve"> </w:t>
      </w:r>
      <w:r w:rsidR="00FC2D97" w:rsidRPr="002F733E">
        <w:t>of</w:t>
      </w:r>
      <w:r w:rsidR="00860D8E" w:rsidRPr="002F733E">
        <w:t xml:space="preserve"> continued anifrolumab treatment for reductions </w:t>
      </w:r>
      <w:r w:rsidR="00FC2D97" w:rsidRPr="002F733E">
        <w:t xml:space="preserve">in </w:t>
      </w:r>
      <w:r w:rsidRPr="002F733E">
        <w:t xml:space="preserve">SLEDAI-2K </w:t>
      </w:r>
      <w:r w:rsidR="00860D8E" w:rsidRPr="002F733E">
        <w:t xml:space="preserve">and </w:t>
      </w:r>
      <w:r w:rsidRPr="002F733E">
        <w:t>reduction in OCS dose</w:t>
      </w:r>
      <w:r w:rsidR="00860D8E" w:rsidRPr="002F733E">
        <w:t xml:space="preserve"> to</w:t>
      </w:r>
      <w:r w:rsidRPr="002F733E">
        <w:t xml:space="preserve"> Week 216</w:t>
      </w:r>
      <w:r w:rsidR="006A0431" w:rsidRPr="002F733E">
        <w:t xml:space="preserve"> in TULIP-LTE demonstrated some persistence of effect</w:t>
      </w:r>
      <w:r w:rsidR="00D15A91" w:rsidRPr="002F733E">
        <w:t xml:space="preserve">, </w:t>
      </w:r>
      <w:r w:rsidR="006A0431" w:rsidRPr="002F733E">
        <w:t>the lack of</w:t>
      </w:r>
      <w:r w:rsidR="00860D8E" w:rsidRPr="002F733E">
        <w:t xml:space="preserve"> measured benefits in mean change from baseline in SDI, flare rates or quality of life versus SOC alone despite the longer follow up</w:t>
      </w:r>
      <w:r w:rsidR="006A0431" w:rsidRPr="002F733E">
        <w:t xml:space="preserve"> were</w:t>
      </w:r>
      <w:r w:rsidR="009A3505" w:rsidRPr="002F733E">
        <w:t xml:space="preserve"> indicative of the uncertainty associated with determining </w:t>
      </w:r>
      <w:r w:rsidR="00C1731B" w:rsidRPr="002F733E">
        <w:t>clinical efficacy</w:t>
      </w:r>
      <w:r w:rsidR="009A3505" w:rsidRPr="002F733E">
        <w:t>.</w:t>
      </w:r>
    </w:p>
    <w:p w14:paraId="219098EC" w14:textId="57E3C81A" w:rsidR="00477A57" w:rsidRPr="00DD325E" w:rsidRDefault="003B485E" w:rsidP="00DD325E">
      <w:pPr>
        <w:widowControl w:val="0"/>
        <w:numPr>
          <w:ilvl w:val="1"/>
          <w:numId w:val="1"/>
        </w:numPr>
        <w:spacing w:after="120"/>
        <w:rPr>
          <w:rFonts w:asciiTheme="minorHAnsi" w:hAnsiTheme="minorHAnsi"/>
          <w:snapToGrid w:val="0"/>
        </w:rPr>
      </w:pPr>
      <w:bookmarkStart w:id="36" w:name="_Hlk76376200"/>
      <w:r w:rsidRPr="002F733E">
        <w:t>Consistent with its July 2022 consideration, the PBAC considered the claim of superiority to SOC alone in terms of effectiveness was supported based on improvement in disease activity for some patients</w:t>
      </w:r>
      <w:r w:rsidR="00DD325E">
        <w:t>;</w:t>
      </w:r>
      <w:r w:rsidR="000F6AA6" w:rsidRPr="002F733E">
        <w:t xml:space="preserve"> however</w:t>
      </w:r>
      <w:r w:rsidR="00DD325E">
        <w:t>,</w:t>
      </w:r>
      <w:r w:rsidR="000F6AA6" w:rsidRPr="002F733E">
        <w:t xml:space="preserve"> the magnitude of benefit was modest and uncertain</w:t>
      </w:r>
      <w:r w:rsidR="009348A8" w:rsidRPr="002F733E">
        <w:t xml:space="preserve">.  </w:t>
      </w:r>
      <w:r w:rsidRPr="002F733E">
        <w:t>The PBAC considered the claim of inferior safety to SOC alone was reasonable.</w:t>
      </w:r>
      <w:bookmarkEnd w:id="36"/>
    </w:p>
    <w:p w14:paraId="74A1172E" w14:textId="25346D05" w:rsidR="00B60939" w:rsidRPr="002F733E" w:rsidRDefault="00B60939" w:rsidP="00E9094A">
      <w:pPr>
        <w:pStyle w:val="4-SubsectionHeading"/>
      </w:pPr>
      <w:bookmarkStart w:id="37" w:name="_Toc22897645"/>
      <w:bookmarkStart w:id="38" w:name="_Toc124521452"/>
      <w:r w:rsidRPr="002F733E">
        <w:t>Economic analysis</w:t>
      </w:r>
      <w:bookmarkEnd w:id="37"/>
      <w:bookmarkEnd w:id="38"/>
      <w:r w:rsidR="00491B3A" w:rsidRPr="002F733E">
        <w:t xml:space="preserve"> </w:t>
      </w:r>
    </w:p>
    <w:p w14:paraId="64306F1C" w14:textId="3EAE14D5" w:rsidR="00C775AE" w:rsidRPr="002F733E" w:rsidRDefault="00C775AE" w:rsidP="00C775AE">
      <w:pPr>
        <w:numPr>
          <w:ilvl w:val="1"/>
          <w:numId w:val="1"/>
        </w:numPr>
        <w:spacing w:after="120"/>
        <w:rPr>
          <w:rFonts w:asciiTheme="minorHAnsi" w:hAnsiTheme="minorHAnsi"/>
          <w:b/>
          <w:bCs/>
          <w:snapToGrid w:val="0"/>
          <w:color w:val="0066FF"/>
        </w:rPr>
      </w:pPr>
      <w:bookmarkStart w:id="39" w:name="_Toc22897646"/>
      <w:r w:rsidRPr="002F733E">
        <w:t>The resubmission presented an updated stepped economic evaluation starting with a trial-based cost per responder analysis informed by TULIP 1 and 2 and then implement</w:t>
      </w:r>
      <w:r w:rsidR="00F4413F" w:rsidRPr="002F733E">
        <w:t>ed</w:t>
      </w:r>
      <w:r w:rsidRPr="002F733E">
        <w:t xml:space="preserve"> a modelled cost-utility analysis using evidence from TULIP LTE, the Australian cohort of the Asia-Pacific Lupus Collaboration (APLC), the Australian Lupus Registry and Biobank (ALRB), and the John Hopkins Lupus cohort (JHLC). The type of economic evaluation was a patient level microsimulation with a 30-year time horizon.</w:t>
      </w:r>
    </w:p>
    <w:p w14:paraId="31237EA2" w14:textId="6CA071D6" w:rsidR="00C775AE" w:rsidRPr="002F733E" w:rsidRDefault="00C775AE" w:rsidP="00C775AE">
      <w:pPr>
        <w:pStyle w:val="3-BodyText"/>
        <w:rPr>
          <w:b/>
          <w:bCs/>
        </w:rPr>
      </w:pPr>
      <w:r w:rsidRPr="002F733E">
        <w:t>The PBAC had previously expressed concern about the model and considered the ICER ($</w:t>
      </w:r>
      <w:r w:rsidR="00FD622C">
        <w:t>5</w:t>
      </w:r>
      <w:r w:rsidR="00B03C0F">
        <w:t>5,000</w:t>
      </w:r>
      <w:r w:rsidR="00612BA3">
        <w:t> </w:t>
      </w:r>
      <w:r w:rsidR="00B03C0F">
        <w:t>to</w:t>
      </w:r>
      <w:r w:rsidR="00612BA3">
        <w:t> </w:t>
      </w:r>
      <w:r w:rsidR="00612BA3">
        <w:rPr>
          <w:sz w:val="22"/>
          <w:szCs w:val="22"/>
        </w:rPr>
        <w:t>&lt; </w:t>
      </w:r>
      <w:r w:rsidR="00B03C0F">
        <w:t>$75,000</w:t>
      </w:r>
      <w:r w:rsidRPr="002F733E">
        <w:t xml:space="preserve"> per additional QALY gained) </w:t>
      </w:r>
      <w:r w:rsidR="00F4413F" w:rsidRPr="002F733E">
        <w:t xml:space="preserve">was </w:t>
      </w:r>
      <w:r w:rsidRPr="002F733E">
        <w:t>highly uncertain and favourable to anifrolumab (paragraph 7.11, anifrolumab PSD, July 2022 PBAC meeting).</w:t>
      </w:r>
    </w:p>
    <w:p w14:paraId="39BDD130" w14:textId="77777777" w:rsidR="00C775AE" w:rsidRPr="002F733E" w:rsidRDefault="00C775AE" w:rsidP="00C775AE">
      <w:pPr>
        <w:pStyle w:val="3-BodyText"/>
      </w:pPr>
      <w:r w:rsidRPr="002F733E">
        <w:t>The PBAC’s key concerns of the July 2022 economic evaluation (paragraphs 7.9, 7.10 anifrolumab PSD, July 2022 PBAC meeting) and how the resubmission addressed them are provided below:</w:t>
      </w:r>
    </w:p>
    <w:p w14:paraId="420EEB17" w14:textId="4B16111D" w:rsidR="00C775AE" w:rsidRPr="002F733E" w:rsidRDefault="00C775AE" w:rsidP="00DC7889">
      <w:pPr>
        <w:pStyle w:val="ListParagraph"/>
        <w:numPr>
          <w:ilvl w:val="0"/>
          <w:numId w:val="17"/>
        </w:numPr>
        <w:ind w:left="993"/>
        <w:rPr>
          <w:lang w:eastAsia="en-US"/>
        </w:rPr>
      </w:pPr>
      <w:r w:rsidRPr="002F733E">
        <w:rPr>
          <w:b/>
          <w:bCs/>
        </w:rPr>
        <w:t>Trial follow-up was short (52 weeks) relative to the model time horizon (30 years).</w:t>
      </w:r>
      <w:r w:rsidR="009F553A" w:rsidRPr="002F733E">
        <w:rPr>
          <w:b/>
          <w:bCs/>
        </w:rPr>
        <w:t xml:space="preserve"> </w:t>
      </w:r>
      <w:r w:rsidR="00033335" w:rsidRPr="002F733E">
        <w:t xml:space="preserve">The </w:t>
      </w:r>
      <w:r w:rsidRPr="002F733E">
        <w:t xml:space="preserve">resubmission included </w:t>
      </w:r>
      <w:r w:rsidRPr="002F733E">
        <w:rPr>
          <w:lang w:eastAsia="en-US"/>
        </w:rPr>
        <w:t>additional data from the TULIP LTE (with up to 4 years of follow up). This was still short compared to the 30-year time horizon of the model. Inclusion of the TULIP LTE data increased the ICER from $</w:t>
      </w:r>
      <w:r w:rsidR="00FD622C">
        <w:rPr>
          <w:lang w:eastAsia="en-US"/>
        </w:rPr>
        <w:t>5</w:t>
      </w:r>
      <w:r w:rsidR="00193CB4">
        <w:rPr>
          <w:lang w:eastAsia="en-US"/>
        </w:rPr>
        <w:t>5,000</w:t>
      </w:r>
      <w:r w:rsidR="00612BA3">
        <w:rPr>
          <w:lang w:eastAsia="en-US"/>
        </w:rPr>
        <w:t> </w:t>
      </w:r>
      <w:r w:rsidR="00193CB4">
        <w:rPr>
          <w:lang w:eastAsia="en-US"/>
        </w:rPr>
        <w:t>to</w:t>
      </w:r>
      <w:r w:rsidR="00612BA3">
        <w:rPr>
          <w:lang w:eastAsia="en-US"/>
        </w:rPr>
        <w:t> </w:t>
      </w:r>
      <w:r w:rsidR="00193CB4">
        <w:rPr>
          <w:lang w:eastAsia="en-US"/>
        </w:rPr>
        <w:t>&lt;</w:t>
      </w:r>
      <w:r w:rsidR="00612BA3">
        <w:rPr>
          <w:lang w:eastAsia="en-US"/>
        </w:rPr>
        <w:t> </w:t>
      </w:r>
      <w:r w:rsidR="00193CB4">
        <w:rPr>
          <w:lang w:eastAsia="en-US"/>
        </w:rPr>
        <w:t>$75,000</w:t>
      </w:r>
      <w:r w:rsidRPr="002F733E">
        <w:rPr>
          <w:lang w:eastAsia="en-US"/>
        </w:rPr>
        <w:t xml:space="preserve"> per QALY gained in the July 2022 submission to $</w:t>
      </w:r>
      <w:r w:rsidR="00193CB4">
        <w:rPr>
          <w:lang w:eastAsia="en-US"/>
        </w:rPr>
        <w:t>95,000</w:t>
      </w:r>
      <w:r w:rsidR="00612BA3">
        <w:rPr>
          <w:lang w:eastAsia="en-US"/>
        </w:rPr>
        <w:t> </w:t>
      </w:r>
      <w:r w:rsidR="00193CB4">
        <w:rPr>
          <w:lang w:eastAsia="en-US"/>
        </w:rPr>
        <w:t>to</w:t>
      </w:r>
      <w:r w:rsidR="00612BA3">
        <w:rPr>
          <w:lang w:eastAsia="en-US"/>
        </w:rPr>
        <w:t> </w:t>
      </w:r>
      <w:r w:rsidR="00193CB4">
        <w:rPr>
          <w:lang w:eastAsia="en-US"/>
        </w:rPr>
        <w:t>&lt;</w:t>
      </w:r>
      <w:r w:rsidR="00612BA3">
        <w:rPr>
          <w:lang w:eastAsia="en-US"/>
        </w:rPr>
        <w:t> </w:t>
      </w:r>
      <w:r w:rsidR="00193CB4">
        <w:rPr>
          <w:lang w:eastAsia="en-US"/>
        </w:rPr>
        <w:t>$115,000</w:t>
      </w:r>
      <w:r w:rsidRPr="002F733E">
        <w:rPr>
          <w:lang w:eastAsia="en-US"/>
        </w:rPr>
        <w:t xml:space="preserve"> per QALY gained.</w:t>
      </w:r>
    </w:p>
    <w:p w14:paraId="515DA43A" w14:textId="376212CF" w:rsidR="00C775AE" w:rsidRPr="002F733E" w:rsidRDefault="00C775AE" w:rsidP="00DC7889">
      <w:pPr>
        <w:pStyle w:val="ListParagraph"/>
        <w:numPr>
          <w:ilvl w:val="0"/>
          <w:numId w:val="17"/>
        </w:numPr>
        <w:ind w:left="993"/>
        <w:rPr>
          <w:lang w:eastAsia="en-US"/>
        </w:rPr>
      </w:pPr>
      <w:r w:rsidRPr="002F733E">
        <w:rPr>
          <w:b/>
          <w:bCs/>
          <w:lang w:eastAsia="en-US"/>
        </w:rPr>
        <w:t xml:space="preserve">Lack of </w:t>
      </w:r>
      <w:r w:rsidRPr="002F733E">
        <w:rPr>
          <w:b/>
          <w:bCs/>
        </w:rPr>
        <w:t>direct</w:t>
      </w:r>
      <w:r w:rsidRPr="002F733E">
        <w:rPr>
          <w:b/>
          <w:bCs/>
          <w:lang w:eastAsia="en-US"/>
        </w:rPr>
        <w:t xml:space="preserve"> evidence on longer term clinical outcomes. </w:t>
      </w:r>
      <w:r w:rsidRPr="002F733E">
        <w:rPr>
          <w:lang w:eastAsia="en-US"/>
        </w:rPr>
        <w:t xml:space="preserve">The PBAC considered there was a lack of direct evidence on organ damage and mortality and limited clinical evidence of </w:t>
      </w:r>
      <w:r w:rsidR="00A032F8" w:rsidRPr="002F733E">
        <w:rPr>
          <w:lang w:eastAsia="en-US"/>
        </w:rPr>
        <w:t xml:space="preserve">the </w:t>
      </w:r>
      <w:r w:rsidRPr="002F733E">
        <w:rPr>
          <w:lang w:eastAsia="en-US"/>
        </w:rPr>
        <w:t>relationship between SLEDAI-2K and the long-term outcomes to which it contributed. The resubmission removed the effect of SLEDAI-2K on hospitalisation rates but maintained its effect on all other long term outcomes including organ damage. The resubmission also highlighted literature linking SLEDAI-2K to long term outcomes</w:t>
      </w:r>
      <w:r w:rsidR="0045450E" w:rsidRPr="002F733E">
        <w:rPr>
          <w:lang w:eastAsia="en-US"/>
        </w:rPr>
        <w:t>;</w:t>
      </w:r>
      <w:r w:rsidRPr="002F733E">
        <w:rPr>
          <w:lang w:eastAsia="en-US"/>
        </w:rPr>
        <w:t xml:space="preserve"> however</w:t>
      </w:r>
      <w:r w:rsidR="0045450E" w:rsidRPr="002F733E">
        <w:rPr>
          <w:lang w:eastAsia="en-US"/>
        </w:rPr>
        <w:t>,</w:t>
      </w:r>
      <w:r w:rsidRPr="002F733E">
        <w:rPr>
          <w:lang w:eastAsia="en-US"/>
        </w:rPr>
        <w:t xml:space="preserve"> it remained unclear whether SLEDAI-2K had been a sole contributor of these outcomes. </w:t>
      </w:r>
    </w:p>
    <w:p w14:paraId="10721ADE" w14:textId="59D91427" w:rsidR="00C775AE" w:rsidRPr="002F733E" w:rsidRDefault="00C775AE" w:rsidP="00DC7889">
      <w:pPr>
        <w:pStyle w:val="ListParagraph"/>
        <w:numPr>
          <w:ilvl w:val="0"/>
          <w:numId w:val="17"/>
        </w:numPr>
        <w:ind w:left="993"/>
        <w:rPr>
          <w:b/>
          <w:bCs/>
          <w:lang w:eastAsia="en-US"/>
        </w:rPr>
      </w:pPr>
      <w:r w:rsidRPr="002F733E">
        <w:rPr>
          <w:b/>
          <w:bCs/>
          <w:lang w:eastAsia="en-US"/>
        </w:rPr>
        <w:t>Multicollinearity of regressors, appropriateness of model fit and the extrapolation of the regression coefficients across the time horizon and the high chance of double counting.</w:t>
      </w:r>
      <w:r w:rsidRPr="002F733E">
        <w:rPr>
          <w:lang w:eastAsia="en-US"/>
        </w:rPr>
        <w:t xml:space="preserve"> Not addressed in the resubmission. Similar regressions were used to estimate transition probabilities, utilities and resource use in the model. Some of the changes to the regressions resulted in very different outcomes compared to those presented in the July 2022 submission, e.g., average utility in the absence of organ damage was &lt;0.3 when previously this was &gt;0.8; however, these </w:t>
      </w:r>
      <w:r w:rsidR="0045450E" w:rsidRPr="002F733E">
        <w:rPr>
          <w:lang w:eastAsia="en-US"/>
        </w:rPr>
        <w:t xml:space="preserve">changes </w:t>
      </w:r>
      <w:r w:rsidRPr="002F733E">
        <w:rPr>
          <w:lang w:eastAsia="en-US"/>
        </w:rPr>
        <w:t>were not adequately discussed in the resubmission.</w:t>
      </w:r>
      <w:r w:rsidR="00722DDD" w:rsidRPr="002F733E">
        <w:rPr>
          <w:lang w:eastAsia="en-US"/>
        </w:rPr>
        <w:t xml:space="preserve"> The PSCR stated that there was no multicollinearity in the economic model as it did not rely on matrix algebra operations for which multicollinearity impedes stable estimations</w:t>
      </w:r>
      <w:r w:rsidR="00D30176" w:rsidRPr="002F733E">
        <w:rPr>
          <w:lang w:eastAsia="en-US"/>
        </w:rPr>
        <w:t xml:space="preserve"> and as the statistical models in the economic analysis did not demonstrate convergence issues (which would indicate multicollinearity).</w:t>
      </w:r>
      <w:r w:rsidR="0067115F" w:rsidRPr="002F733E">
        <w:rPr>
          <w:lang w:eastAsia="en-US"/>
        </w:rPr>
        <w:t xml:space="preserve"> The ESC considered that appropriateness of model fit was not properly addressed in the resubmission, with models displaying considerable lack of fit being used in predictions. The ESC also considered that reverse causality, induced by using likelihood of flares to predict SLEDAI-2K scores and vice versa, was a more specific description of the continuing problems with the regression models used.</w:t>
      </w:r>
    </w:p>
    <w:p w14:paraId="047D694E" w14:textId="664E5CC6" w:rsidR="00C775AE" w:rsidRPr="002F733E" w:rsidRDefault="00C775AE" w:rsidP="00DC7889">
      <w:pPr>
        <w:pStyle w:val="ListParagraph"/>
        <w:numPr>
          <w:ilvl w:val="0"/>
          <w:numId w:val="17"/>
        </w:numPr>
        <w:ind w:left="993"/>
        <w:rPr>
          <w:rFonts w:eastAsia="Calibri"/>
        </w:rPr>
      </w:pPr>
      <w:r w:rsidRPr="002F733E">
        <w:rPr>
          <w:b/>
          <w:bCs/>
          <w:lang w:eastAsia="en-US"/>
        </w:rPr>
        <w:t>Plausibility</w:t>
      </w:r>
      <w:r w:rsidRPr="002F733E">
        <w:rPr>
          <w:rFonts w:eastAsia="Calibri"/>
          <w:b/>
          <w:bCs/>
        </w:rPr>
        <w:t xml:space="preserve"> </w:t>
      </w:r>
      <w:r w:rsidRPr="002F733E">
        <w:rPr>
          <w:b/>
          <w:bCs/>
          <w:lang w:eastAsia="en-US"/>
        </w:rPr>
        <w:t>of</w:t>
      </w:r>
      <w:r w:rsidRPr="002F733E">
        <w:rPr>
          <w:rFonts w:eastAsia="Calibri"/>
          <w:b/>
          <w:bCs/>
        </w:rPr>
        <w:t xml:space="preserve"> </w:t>
      </w:r>
      <w:r w:rsidRPr="002F733E">
        <w:rPr>
          <w:b/>
          <w:bCs/>
          <w:lang w:eastAsia="en-US"/>
        </w:rPr>
        <w:t>the</w:t>
      </w:r>
      <w:r w:rsidRPr="002F733E">
        <w:rPr>
          <w:rFonts w:eastAsia="Calibri"/>
          <w:b/>
          <w:bCs/>
        </w:rPr>
        <w:t xml:space="preserve"> model’s results: Survival. </w:t>
      </w:r>
      <w:r w:rsidRPr="002F733E">
        <w:rPr>
          <w:rFonts w:eastAsia="Calibri"/>
        </w:rPr>
        <w:t xml:space="preserve">The PBAC </w:t>
      </w:r>
      <w:r w:rsidR="00C0694F" w:rsidRPr="002F733E">
        <w:rPr>
          <w:rFonts w:eastAsia="Calibri"/>
        </w:rPr>
        <w:t xml:space="preserve">previously </w:t>
      </w:r>
      <w:r w:rsidRPr="002F733E">
        <w:rPr>
          <w:rFonts w:eastAsia="Calibri"/>
        </w:rPr>
        <w:t>noted there was a 10% difference in survival between the arms at Year 30 despite fewer than 10% of patients still being on treatment at Year 15. ESC considered that it was also not clinically plausible for incremental survival in the anifrolumab arm to be increasing toward the end of the modelled time horizon (para</w:t>
      </w:r>
      <w:r w:rsidR="006C7CFD" w:rsidRPr="002F733E">
        <w:rPr>
          <w:rFonts w:eastAsia="Calibri"/>
        </w:rPr>
        <w:t>graph</w:t>
      </w:r>
      <w:r w:rsidRPr="002F733E">
        <w:rPr>
          <w:rFonts w:eastAsia="Calibri"/>
        </w:rPr>
        <w:t xml:space="preserve"> 6.46, anifrolumab PSD, July 2022 PBAC meeting). </w:t>
      </w:r>
      <w:r w:rsidR="00A032F8" w:rsidRPr="002F733E">
        <w:rPr>
          <w:rFonts w:eastAsia="Calibri"/>
        </w:rPr>
        <w:t>This was p</w:t>
      </w:r>
      <w:r w:rsidR="00A94606" w:rsidRPr="002F733E">
        <w:rPr>
          <w:rFonts w:eastAsia="Calibri"/>
        </w:rPr>
        <w:t xml:space="preserve">artially </w:t>
      </w:r>
      <w:r w:rsidRPr="002F733E">
        <w:rPr>
          <w:rFonts w:eastAsia="Calibri"/>
        </w:rPr>
        <w:t>addressed in the resubmission. There remained a 7% difference in survival at Year 30, with 10% patients on anifrolumab at Year 15. Furthermore, incremental survival in the anifrolumab arm continued to increase towards the end of the time horizon (though it mostly stabilised from Year 20). Incremental survival was no longer a key driver of the model results.</w:t>
      </w:r>
    </w:p>
    <w:p w14:paraId="5A3D80B8" w14:textId="455765B4" w:rsidR="00C775AE" w:rsidRPr="002F733E" w:rsidRDefault="00C775AE" w:rsidP="00DC7889">
      <w:pPr>
        <w:pStyle w:val="ListParagraph"/>
        <w:numPr>
          <w:ilvl w:val="0"/>
          <w:numId w:val="17"/>
        </w:numPr>
        <w:ind w:left="993"/>
        <w:rPr>
          <w:rFonts w:eastAsia="Calibri"/>
          <w:b/>
          <w:bCs/>
        </w:rPr>
      </w:pPr>
      <w:r w:rsidRPr="002F733E">
        <w:rPr>
          <w:rFonts w:eastAsia="Calibri"/>
          <w:b/>
          <w:bCs/>
        </w:rPr>
        <w:t xml:space="preserve">Longer </w:t>
      </w:r>
      <w:r w:rsidRPr="002F733E">
        <w:rPr>
          <w:b/>
          <w:bCs/>
          <w:lang w:eastAsia="en-US"/>
        </w:rPr>
        <w:t>term</w:t>
      </w:r>
      <w:r w:rsidRPr="002F733E">
        <w:rPr>
          <w:rFonts w:eastAsia="Calibri"/>
          <w:b/>
          <w:bCs/>
        </w:rPr>
        <w:t xml:space="preserve"> benefit for non-responders. </w:t>
      </w:r>
      <w:r w:rsidRPr="002F733E">
        <w:t>The PBAC considered that some outputs of the economic model did not appear to be clinically plausible</w:t>
      </w:r>
      <w:r w:rsidRPr="002F733E">
        <w:rPr>
          <w:rFonts w:eastAsia="Calibri"/>
        </w:rPr>
        <w:t xml:space="preserve"> including long term benefits for non-responders, and </w:t>
      </w:r>
      <w:r w:rsidR="00656DB8" w:rsidRPr="002F733E">
        <w:rPr>
          <w:rFonts w:eastAsia="Calibri"/>
        </w:rPr>
        <w:t xml:space="preserve">that </w:t>
      </w:r>
      <w:r w:rsidRPr="002F733E">
        <w:rPr>
          <w:rFonts w:eastAsia="Calibri"/>
        </w:rPr>
        <w:t xml:space="preserve">some linear regressions </w:t>
      </w:r>
      <w:r w:rsidR="006C7CFD" w:rsidRPr="002F733E">
        <w:rPr>
          <w:rFonts w:eastAsia="Calibri"/>
        </w:rPr>
        <w:t xml:space="preserve">inappropriately </w:t>
      </w:r>
      <w:r w:rsidRPr="002F733E">
        <w:rPr>
          <w:rFonts w:eastAsia="Calibri"/>
        </w:rPr>
        <w:t>f</w:t>
      </w:r>
      <w:r w:rsidR="006C7CFD" w:rsidRPr="002F733E">
        <w:rPr>
          <w:rFonts w:eastAsia="Calibri"/>
        </w:rPr>
        <w:t>e</w:t>
      </w:r>
      <w:r w:rsidRPr="002F733E">
        <w:rPr>
          <w:rFonts w:eastAsia="Calibri"/>
        </w:rPr>
        <w:t xml:space="preserve">ll below 0. The resubmission addressed this by </w:t>
      </w:r>
      <w:r w:rsidR="00656DB8" w:rsidRPr="002F733E">
        <w:rPr>
          <w:rFonts w:eastAsia="Calibri"/>
        </w:rPr>
        <w:t xml:space="preserve">restricting </w:t>
      </w:r>
      <w:r w:rsidRPr="002F733E">
        <w:rPr>
          <w:rFonts w:eastAsia="Calibri"/>
        </w:rPr>
        <w:t xml:space="preserve">linear regressions </w:t>
      </w:r>
      <w:r w:rsidR="00656DB8" w:rsidRPr="002F733E">
        <w:rPr>
          <w:rFonts w:eastAsia="Calibri"/>
        </w:rPr>
        <w:t>from</w:t>
      </w:r>
      <w:r w:rsidRPr="002F733E">
        <w:rPr>
          <w:rFonts w:eastAsia="Calibri"/>
        </w:rPr>
        <w:t xml:space="preserve"> fall</w:t>
      </w:r>
      <w:r w:rsidR="00656DB8" w:rsidRPr="002F733E">
        <w:rPr>
          <w:rFonts w:eastAsia="Calibri"/>
        </w:rPr>
        <w:t>ing</w:t>
      </w:r>
      <w:r w:rsidRPr="002F733E">
        <w:rPr>
          <w:rFonts w:eastAsia="Calibri"/>
        </w:rPr>
        <w:t xml:space="preserve"> below 0 and remov</w:t>
      </w:r>
      <w:r w:rsidR="00656DB8" w:rsidRPr="002F733E">
        <w:rPr>
          <w:rFonts w:eastAsia="Calibri"/>
        </w:rPr>
        <w:t>ing</w:t>
      </w:r>
      <w:r w:rsidRPr="002F733E">
        <w:rPr>
          <w:rFonts w:eastAsia="Calibri"/>
        </w:rPr>
        <w:t xml:space="preserve"> long-term benefits for non-responders. Limiting the linear regressions increased the July 2022 submission ICER by 1.4%</w:t>
      </w:r>
      <w:r w:rsidR="00160576" w:rsidRPr="002F733E">
        <w:rPr>
          <w:rFonts w:eastAsia="Calibri"/>
        </w:rPr>
        <w:t>; however</w:t>
      </w:r>
      <w:r w:rsidRPr="002F733E">
        <w:rPr>
          <w:rFonts w:eastAsia="Calibri"/>
        </w:rPr>
        <w:t xml:space="preserve">, removing the long-term benefit for non-responders in the flare rates increased the ICER </w:t>
      </w:r>
      <w:r w:rsidR="00C0694F" w:rsidRPr="002F733E">
        <w:rPr>
          <w:rFonts w:eastAsia="Calibri"/>
        </w:rPr>
        <w:t>from $</w:t>
      </w:r>
      <w:r w:rsidR="00193CB4">
        <w:rPr>
          <w:rFonts w:eastAsia="Calibri"/>
        </w:rPr>
        <w:t>55,000</w:t>
      </w:r>
      <w:r w:rsidR="00612BA3">
        <w:rPr>
          <w:rFonts w:eastAsia="Calibri"/>
        </w:rPr>
        <w:t> </w:t>
      </w:r>
      <w:r w:rsidR="00193CB4">
        <w:rPr>
          <w:rFonts w:eastAsia="Calibri"/>
        </w:rPr>
        <w:t>to</w:t>
      </w:r>
      <w:r w:rsidR="00612BA3">
        <w:rPr>
          <w:rFonts w:eastAsia="Calibri"/>
        </w:rPr>
        <w:t> </w:t>
      </w:r>
      <w:r w:rsidR="00193CB4">
        <w:rPr>
          <w:rFonts w:eastAsia="Calibri"/>
        </w:rPr>
        <w:t>&lt;</w:t>
      </w:r>
      <w:r w:rsidR="00612BA3">
        <w:rPr>
          <w:rFonts w:eastAsia="Calibri"/>
        </w:rPr>
        <w:t> </w:t>
      </w:r>
      <w:r w:rsidR="00193CB4">
        <w:rPr>
          <w:rFonts w:eastAsia="Calibri"/>
        </w:rPr>
        <w:t>$75,000</w:t>
      </w:r>
      <w:r w:rsidR="00C0694F" w:rsidRPr="002F733E">
        <w:rPr>
          <w:rFonts w:eastAsia="Calibri"/>
        </w:rPr>
        <w:t xml:space="preserve"> </w:t>
      </w:r>
      <w:r w:rsidR="004B6DCC" w:rsidRPr="002F733E">
        <w:rPr>
          <w:rFonts w:eastAsia="Calibri"/>
        </w:rPr>
        <w:t xml:space="preserve">in the July 2022 submission </w:t>
      </w:r>
      <w:r w:rsidRPr="002F733E">
        <w:rPr>
          <w:rFonts w:eastAsia="Calibri"/>
        </w:rPr>
        <w:t>to $</w:t>
      </w:r>
      <w:r w:rsidR="00193CB4">
        <w:rPr>
          <w:rFonts w:eastAsia="Calibri"/>
        </w:rPr>
        <w:t>115,000</w:t>
      </w:r>
      <w:r w:rsidR="00612BA3">
        <w:rPr>
          <w:rFonts w:eastAsia="Calibri"/>
        </w:rPr>
        <w:t> </w:t>
      </w:r>
      <w:r w:rsidR="00193CB4">
        <w:rPr>
          <w:rFonts w:eastAsia="Calibri"/>
        </w:rPr>
        <w:t>to</w:t>
      </w:r>
      <w:r w:rsidR="00612BA3">
        <w:rPr>
          <w:rFonts w:eastAsia="Calibri"/>
        </w:rPr>
        <w:t> </w:t>
      </w:r>
      <w:r w:rsidR="00193CB4">
        <w:rPr>
          <w:rFonts w:eastAsia="Calibri"/>
        </w:rPr>
        <w:t>&lt;</w:t>
      </w:r>
      <w:r w:rsidR="00612BA3">
        <w:rPr>
          <w:rFonts w:eastAsia="Calibri"/>
        </w:rPr>
        <w:t> </w:t>
      </w:r>
      <w:r w:rsidR="00193CB4">
        <w:rPr>
          <w:rFonts w:eastAsia="Calibri"/>
        </w:rPr>
        <w:t>$135,000</w:t>
      </w:r>
      <w:r w:rsidRPr="002F733E">
        <w:rPr>
          <w:rFonts w:eastAsia="Calibri"/>
        </w:rPr>
        <w:t xml:space="preserve"> per QALY gained</w:t>
      </w:r>
      <w:r w:rsidRPr="002F733E">
        <w:rPr>
          <w:lang w:eastAsia="en-US"/>
        </w:rPr>
        <w:t>.</w:t>
      </w:r>
    </w:p>
    <w:p w14:paraId="047FF335" w14:textId="5697D8E3" w:rsidR="00C775AE" w:rsidRPr="002F733E" w:rsidRDefault="00C775AE" w:rsidP="00DC7889">
      <w:pPr>
        <w:pStyle w:val="ListParagraph"/>
        <w:numPr>
          <w:ilvl w:val="0"/>
          <w:numId w:val="17"/>
        </w:numPr>
        <w:ind w:left="993"/>
        <w:rPr>
          <w:lang w:eastAsia="en-US"/>
        </w:rPr>
      </w:pPr>
      <w:r w:rsidRPr="002F733E">
        <w:rPr>
          <w:b/>
          <w:bCs/>
          <w:lang w:eastAsia="en-US"/>
        </w:rPr>
        <w:t xml:space="preserve">Modelled </w:t>
      </w:r>
      <w:r w:rsidRPr="002F733E">
        <w:rPr>
          <w:rFonts w:eastAsia="Calibri"/>
          <w:b/>
          <w:bCs/>
        </w:rPr>
        <w:t>SLEDAI</w:t>
      </w:r>
      <w:r w:rsidRPr="002F733E">
        <w:rPr>
          <w:b/>
          <w:bCs/>
          <w:lang w:eastAsia="en-US"/>
        </w:rPr>
        <w:t>-2K.</w:t>
      </w:r>
      <w:r w:rsidRPr="002F733E">
        <w:rPr>
          <w:lang w:eastAsia="en-US"/>
        </w:rPr>
        <w:t xml:space="preserve"> The PBAC </w:t>
      </w:r>
      <w:r w:rsidR="00C0694F" w:rsidRPr="002F733E">
        <w:rPr>
          <w:lang w:eastAsia="en-US"/>
        </w:rPr>
        <w:t xml:space="preserve">was </w:t>
      </w:r>
      <w:r w:rsidRPr="002F733E">
        <w:rPr>
          <w:lang w:eastAsia="en-US"/>
        </w:rPr>
        <w:t>concerned that compared with data from the ALRB, the model appeared to overestimate the adjusted mean SLEDAI-2K for patients receiving only SOC. The resubmission appropriately stated that Figure 6 of the July 2022 PSD did not adequately adjust for mortality</w:t>
      </w:r>
      <w:r w:rsidR="00656DB8" w:rsidRPr="002F733E">
        <w:rPr>
          <w:lang w:eastAsia="en-US"/>
        </w:rPr>
        <w:t>,</w:t>
      </w:r>
      <w:r w:rsidRPr="002F733E">
        <w:rPr>
          <w:lang w:eastAsia="en-US"/>
        </w:rPr>
        <w:t xml:space="preserve"> resulting in inflated SLEDAI-2K scores. The resubmission instead compared: i) modelled SLEDAI-2K to TULIP LTE data and ii) modelled adjusted mean SLEDAI-2K to APLC Australian cohort, which appeared closer to the modelled estimates for the SOC arm. However, ALRB data were still included in the model and </w:t>
      </w:r>
      <w:r w:rsidR="00656DB8" w:rsidRPr="002F733E">
        <w:rPr>
          <w:lang w:eastAsia="en-US"/>
        </w:rPr>
        <w:t xml:space="preserve">the </w:t>
      </w:r>
      <w:r w:rsidRPr="002F733E">
        <w:rPr>
          <w:lang w:eastAsia="en-US"/>
        </w:rPr>
        <w:t>modelled SOC arm consistently exceeded SLEDAI-2K reported from the ALRB.</w:t>
      </w:r>
    </w:p>
    <w:p w14:paraId="3BA1DBFF" w14:textId="63BBE7A0" w:rsidR="00C775AE" w:rsidRPr="002F733E" w:rsidRDefault="00C775AE" w:rsidP="00DC7889">
      <w:pPr>
        <w:pStyle w:val="ListParagraph"/>
        <w:numPr>
          <w:ilvl w:val="0"/>
          <w:numId w:val="17"/>
        </w:numPr>
        <w:ind w:left="993"/>
        <w:rPr>
          <w:lang w:eastAsia="en-US"/>
        </w:rPr>
      </w:pPr>
      <w:r w:rsidRPr="002F733E">
        <w:rPr>
          <w:b/>
          <w:bCs/>
          <w:lang w:eastAsia="en-US"/>
        </w:rPr>
        <w:t>Large impact of flares on ICER.</w:t>
      </w:r>
      <w:r w:rsidRPr="002F733E">
        <w:rPr>
          <w:lang w:eastAsia="en-US"/>
        </w:rPr>
        <w:t xml:space="preserve"> The PBAC noted that small changes in flare duration had very large impacts on the ICER, which may not </w:t>
      </w:r>
      <w:r w:rsidR="00656DB8" w:rsidRPr="002F733E">
        <w:rPr>
          <w:lang w:eastAsia="en-US"/>
        </w:rPr>
        <w:t xml:space="preserve">have </w:t>
      </w:r>
      <w:r w:rsidRPr="002F733E">
        <w:rPr>
          <w:lang w:eastAsia="en-US"/>
        </w:rPr>
        <w:t>be</w:t>
      </w:r>
      <w:r w:rsidR="00656DB8" w:rsidRPr="002F733E">
        <w:rPr>
          <w:lang w:eastAsia="en-US"/>
        </w:rPr>
        <w:t>en</w:t>
      </w:r>
      <w:r w:rsidRPr="002F733E">
        <w:rPr>
          <w:lang w:eastAsia="en-US"/>
        </w:rPr>
        <w:t xml:space="preserve"> plausible. Further, the PBAC considered that flare duration (3.9 months) was likely overestimated in the model. Flare duration was amended to be based on APLC data, increasing flare duration to 5.3 months for non-severe flares and</w:t>
      </w:r>
      <w:r w:rsidR="00A032F8" w:rsidRPr="002F733E">
        <w:rPr>
          <w:lang w:eastAsia="en-US"/>
        </w:rPr>
        <w:t xml:space="preserve"> reducing it</w:t>
      </w:r>
      <w:r w:rsidRPr="002F733E">
        <w:rPr>
          <w:lang w:eastAsia="en-US"/>
        </w:rPr>
        <w:t xml:space="preserve"> </w:t>
      </w:r>
      <w:r w:rsidR="00656DB8" w:rsidRPr="002F733E">
        <w:rPr>
          <w:lang w:eastAsia="en-US"/>
        </w:rPr>
        <w:t xml:space="preserve">to </w:t>
      </w:r>
      <w:r w:rsidRPr="002F733E">
        <w:rPr>
          <w:lang w:eastAsia="en-US"/>
        </w:rPr>
        <w:t xml:space="preserve">2.5 months for severe flares. The </w:t>
      </w:r>
      <w:r w:rsidR="00A032F8" w:rsidRPr="002F733E">
        <w:rPr>
          <w:lang w:eastAsia="en-US"/>
        </w:rPr>
        <w:t xml:space="preserve">resubmission </w:t>
      </w:r>
      <w:r w:rsidRPr="002F733E">
        <w:rPr>
          <w:lang w:eastAsia="en-US"/>
        </w:rPr>
        <w:t>also updated the change in SLEDAI-2K resulting from flares to reflect the APLC data (</w:t>
      </w:r>
      <w:r w:rsidR="005B46EF" w:rsidRPr="002F733E">
        <w:rPr>
          <w:lang w:eastAsia="en-US"/>
        </w:rPr>
        <w:t xml:space="preserve">non-severe </w:t>
      </w:r>
      <w:r w:rsidR="00A032F8" w:rsidRPr="002F733E">
        <w:rPr>
          <w:lang w:eastAsia="en-US"/>
        </w:rPr>
        <w:t xml:space="preserve">flares resulted in an </w:t>
      </w:r>
      <w:r w:rsidRPr="002F733E">
        <w:rPr>
          <w:lang w:eastAsia="en-US"/>
        </w:rPr>
        <w:t xml:space="preserve">increase </w:t>
      </w:r>
      <w:r w:rsidR="005B46EF" w:rsidRPr="002F733E">
        <w:rPr>
          <w:lang w:eastAsia="en-US"/>
        </w:rPr>
        <w:t xml:space="preserve">to the SLEDAI-2K score </w:t>
      </w:r>
      <w:r w:rsidRPr="002F733E">
        <w:rPr>
          <w:lang w:eastAsia="en-US"/>
        </w:rPr>
        <w:t>of 4.3</w:t>
      </w:r>
      <w:r w:rsidR="005B46EF" w:rsidRPr="002F733E">
        <w:rPr>
          <w:lang w:eastAsia="en-US"/>
        </w:rPr>
        <w:t xml:space="preserve"> points</w:t>
      </w:r>
      <w:r w:rsidRPr="002F733E">
        <w:rPr>
          <w:lang w:eastAsia="en-US"/>
        </w:rPr>
        <w:t xml:space="preserve"> </w:t>
      </w:r>
      <w:r w:rsidR="00656DB8" w:rsidRPr="002F733E">
        <w:rPr>
          <w:lang w:eastAsia="en-US"/>
        </w:rPr>
        <w:t xml:space="preserve">as compared to an increase of 3 </w:t>
      </w:r>
      <w:r w:rsidR="005B46EF" w:rsidRPr="002F733E">
        <w:rPr>
          <w:lang w:eastAsia="en-US"/>
        </w:rPr>
        <w:t xml:space="preserve">points </w:t>
      </w:r>
      <w:r w:rsidR="00656DB8" w:rsidRPr="002F733E">
        <w:rPr>
          <w:lang w:eastAsia="en-US"/>
        </w:rPr>
        <w:t>in July 2022 and an increase of</w:t>
      </w:r>
      <w:r w:rsidRPr="002F733E">
        <w:rPr>
          <w:lang w:eastAsia="en-US"/>
        </w:rPr>
        <w:t xml:space="preserve"> 9.7 for severe</w:t>
      </w:r>
      <w:r w:rsidR="005B46EF" w:rsidRPr="002F733E">
        <w:rPr>
          <w:lang w:eastAsia="en-US"/>
        </w:rPr>
        <w:t xml:space="preserve"> flares</w:t>
      </w:r>
      <w:r w:rsidR="00656DB8" w:rsidRPr="002F733E">
        <w:rPr>
          <w:lang w:eastAsia="en-US"/>
        </w:rPr>
        <w:t xml:space="preserve"> as compared to an increase of</w:t>
      </w:r>
      <w:r w:rsidRPr="002F733E">
        <w:rPr>
          <w:lang w:eastAsia="en-US"/>
        </w:rPr>
        <w:t xml:space="preserve"> 7 </w:t>
      </w:r>
      <w:r w:rsidR="00656DB8" w:rsidRPr="002F733E">
        <w:rPr>
          <w:lang w:eastAsia="en-US"/>
        </w:rPr>
        <w:t>in July 2022</w:t>
      </w:r>
      <w:r w:rsidRPr="002F733E">
        <w:rPr>
          <w:lang w:eastAsia="en-US"/>
        </w:rPr>
        <w:t>). The inclusion of the APLC data reduced the July 2022 base case from $</w:t>
      </w:r>
      <w:r w:rsidR="00193CB4">
        <w:rPr>
          <w:lang w:eastAsia="en-US"/>
        </w:rPr>
        <w:t>55,000</w:t>
      </w:r>
      <w:r w:rsidR="00612BA3">
        <w:rPr>
          <w:lang w:eastAsia="en-US"/>
        </w:rPr>
        <w:t> </w:t>
      </w:r>
      <w:r w:rsidR="00193CB4">
        <w:rPr>
          <w:lang w:eastAsia="en-US"/>
        </w:rPr>
        <w:t>to</w:t>
      </w:r>
      <w:r w:rsidR="00612BA3">
        <w:rPr>
          <w:lang w:eastAsia="en-US"/>
        </w:rPr>
        <w:t> </w:t>
      </w:r>
      <w:r w:rsidR="00193CB4">
        <w:rPr>
          <w:lang w:eastAsia="en-US"/>
        </w:rPr>
        <w:t>&lt;</w:t>
      </w:r>
      <w:r w:rsidR="00612BA3">
        <w:rPr>
          <w:lang w:eastAsia="en-US"/>
        </w:rPr>
        <w:t> </w:t>
      </w:r>
      <w:r w:rsidR="00193CB4">
        <w:rPr>
          <w:lang w:eastAsia="en-US"/>
        </w:rPr>
        <w:t>$75,000</w:t>
      </w:r>
      <w:r w:rsidRPr="002F733E">
        <w:rPr>
          <w:lang w:eastAsia="en-US"/>
        </w:rPr>
        <w:t xml:space="preserve"> to $</w:t>
      </w:r>
      <w:r w:rsidR="0010033D">
        <w:rPr>
          <w:lang w:eastAsia="en-US"/>
        </w:rPr>
        <w:t>5,000</w:t>
      </w:r>
      <w:r w:rsidR="00612BA3">
        <w:rPr>
          <w:lang w:eastAsia="en-US"/>
        </w:rPr>
        <w:t> </w:t>
      </w:r>
      <w:r w:rsidR="0010033D">
        <w:rPr>
          <w:lang w:eastAsia="en-US"/>
        </w:rPr>
        <w:t>to</w:t>
      </w:r>
      <w:r w:rsidR="00612BA3">
        <w:rPr>
          <w:lang w:eastAsia="en-US"/>
        </w:rPr>
        <w:t> </w:t>
      </w:r>
      <w:r w:rsidR="0010033D">
        <w:rPr>
          <w:lang w:eastAsia="en-US"/>
        </w:rPr>
        <w:t>&lt;</w:t>
      </w:r>
      <w:r w:rsidR="00612BA3">
        <w:rPr>
          <w:lang w:eastAsia="en-US"/>
        </w:rPr>
        <w:t> </w:t>
      </w:r>
      <w:r w:rsidR="0010033D">
        <w:rPr>
          <w:lang w:eastAsia="en-US"/>
        </w:rPr>
        <w:t>$15,000</w:t>
      </w:r>
      <w:r w:rsidRPr="002F733E">
        <w:rPr>
          <w:lang w:eastAsia="en-US"/>
        </w:rPr>
        <w:t xml:space="preserve"> per QALY gained. The ICER remained very sensitive to changes in flare duration.</w:t>
      </w:r>
    </w:p>
    <w:p w14:paraId="4B8191C3" w14:textId="1B8D8AA1" w:rsidR="00C775AE" w:rsidRPr="002F733E" w:rsidRDefault="00C775AE" w:rsidP="00DC7889">
      <w:pPr>
        <w:pStyle w:val="ListParagraph"/>
        <w:numPr>
          <w:ilvl w:val="0"/>
          <w:numId w:val="17"/>
        </w:numPr>
        <w:ind w:left="993"/>
        <w:rPr>
          <w:lang w:eastAsia="en-US"/>
        </w:rPr>
      </w:pPr>
      <w:r w:rsidRPr="002F733E">
        <w:rPr>
          <w:b/>
          <w:bCs/>
          <w:lang w:eastAsia="en-US"/>
        </w:rPr>
        <w:t>Price reduction required.</w:t>
      </w:r>
      <w:r w:rsidRPr="002F733E">
        <w:rPr>
          <w:lang w:eastAsia="en-US"/>
        </w:rPr>
        <w:t xml:space="preserve"> The PBAC considered a price reduction would be required to achieve acceptable cost effectiveness. The resubmission reduced the effective DPMQ of anifrolumab to $</w:t>
      </w:r>
      <w:r w:rsidR="00EB6544" w:rsidRPr="0090762C">
        <w:rPr>
          <w:color w:val="000000"/>
          <w:w w:val="15"/>
          <w:shd w:val="solid" w:color="000000" w:fill="000000"/>
          <w:fitText w:val="-20" w:id="-1236572920"/>
          <w:lang w:eastAsia="en-US"/>
          <w14:textFill>
            <w14:solidFill>
              <w14:srgbClr w14:val="000000">
                <w14:alpha w14:val="100000"/>
              </w14:srgbClr>
            </w14:solidFill>
          </w14:textFill>
        </w:rPr>
        <w:t xml:space="preserve">|  </w:t>
      </w:r>
      <w:r w:rsidR="00EB6544" w:rsidRPr="0090762C">
        <w:rPr>
          <w:color w:val="000000"/>
          <w:spacing w:val="-69"/>
          <w:w w:val="15"/>
          <w:shd w:val="solid" w:color="000000" w:fill="000000"/>
          <w:fitText w:val="-20" w:id="-1236572920"/>
          <w:lang w:eastAsia="en-US"/>
          <w14:textFill>
            <w14:solidFill>
              <w14:srgbClr w14:val="000000">
                <w14:alpha w14:val="100000"/>
              </w14:srgbClr>
            </w14:solidFill>
          </w14:textFill>
        </w:rPr>
        <w:t>|</w:t>
      </w:r>
      <w:r w:rsidRPr="002F733E">
        <w:rPr>
          <w:lang w:eastAsia="en-US"/>
        </w:rPr>
        <w:t>, from $</w:t>
      </w:r>
      <w:r w:rsidR="00EB6544" w:rsidRPr="0090762C">
        <w:rPr>
          <w:color w:val="000000"/>
          <w:w w:val="15"/>
          <w:shd w:val="solid" w:color="000000" w:fill="000000"/>
          <w:fitText w:val="-20" w:id="-1236572919"/>
          <w:lang w:eastAsia="en-US"/>
          <w14:textFill>
            <w14:solidFill>
              <w14:srgbClr w14:val="000000">
                <w14:alpha w14:val="100000"/>
              </w14:srgbClr>
            </w14:solidFill>
          </w14:textFill>
        </w:rPr>
        <w:t xml:space="preserve">|  </w:t>
      </w:r>
      <w:r w:rsidR="00EB6544" w:rsidRPr="0090762C">
        <w:rPr>
          <w:color w:val="000000"/>
          <w:spacing w:val="-69"/>
          <w:w w:val="15"/>
          <w:shd w:val="solid" w:color="000000" w:fill="000000"/>
          <w:fitText w:val="-20" w:id="-1236572919"/>
          <w:lang w:eastAsia="en-US"/>
          <w14:textFill>
            <w14:solidFill>
              <w14:srgbClr w14:val="000000">
                <w14:alpha w14:val="100000"/>
              </w14:srgbClr>
            </w14:solidFill>
          </w14:textFill>
        </w:rPr>
        <w:t>|</w:t>
      </w:r>
      <w:r w:rsidRPr="002F733E">
        <w:rPr>
          <w:lang w:eastAsia="en-US"/>
        </w:rPr>
        <w:t xml:space="preserve"> in the July 2022 submission and $</w:t>
      </w:r>
      <w:r w:rsidR="00EB6544" w:rsidRPr="0090762C">
        <w:rPr>
          <w:color w:val="000000"/>
          <w:w w:val="15"/>
          <w:shd w:val="solid" w:color="000000" w:fill="000000"/>
          <w:fitText w:val="-20" w:id="-1236572918"/>
          <w:lang w:eastAsia="en-US"/>
          <w14:textFill>
            <w14:solidFill>
              <w14:srgbClr w14:val="000000">
                <w14:alpha w14:val="100000"/>
              </w14:srgbClr>
            </w14:solidFill>
          </w14:textFill>
        </w:rPr>
        <w:t xml:space="preserve">|  </w:t>
      </w:r>
      <w:r w:rsidR="00EB6544" w:rsidRPr="0090762C">
        <w:rPr>
          <w:color w:val="000000"/>
          <w:spacing w:val="-69"/>
          <w:w w:val="15"/>
          <w:shd w:val="solid" w:color="000000" w:fill="000000"/>
          <w:fitText w:val="-20" w:id="-1236572918"/>
          <w:lang w:eastAsia="en-US"/>
          <w14:textFill>
            <w14:solidFill>
              <w14:srgbClr w14:val="000000">
                <w14:alpha w14:val="100000"/>
              </w14:srgbClr>
            </w14:solidFill>
          </w14:textFill>
        </w:rPr>
        <w:t>|</w:t>
      </w:r>
      <w:r w:rsidRPr="002F733E">
        <w:rPr>
          <w:lang w:eastAsia="en-US"/>
        </w:rPr>
        <w:t xml:space="preserve"> in the pre-PBAC response. The July 2022 base case ICER $</w:t>
      </w:r>
      <w:r w:rsidR="00193CB4">
        <w:rPr>
          <w:lang w:eastAsia="en-US"/>
        </w:rPr>
        <w:t>55,000</w:t>
      </w:r>
      <w:r w:rsidR="00612BA3">
        <w:rPr>
          <w:lang w:eastAsia="en-US"/>
        </w:rPr>
        <w:t> </w:t>
      </w:r>
      <w:r w:rsidR="00193CB4">
        <w:rPr>
          <w:lang w:eastAsia="en-US"/>
        </w:rPr>
        <w:t>to</w:t>
      </w:r>
      <w:r w:rsidR="00612BA3">
        <w:rPr>
          <w:lang w:eastAsia="en-US"/>
        </w:rPr>
        <w:t> </w:t>
      </w:r>
      <w:r w:rsidR="00193CB4">
        <w:rPr>
          <w:lang w:eastAsia="en-US"/>
        </w:rPr>
        <w:t>&lt;</w:t>
      </w:r>
      <w:r w:rsidR="00612BA3">
        <w:rPr>
          <w:lang w:eastAsia="en-US"/>
        </w:rPr>
        <w:t> </w:t>
      </w:r>
      <w:r w:rsidR="00193CB4">
        <w:rPr>
          <w:lang w:eastAsia="en-US"/>
        </w:rPr>
        <w:t>$75,000</w:t>
      </w:r>
      <w:r w:rsidRPr="002F733E">
        <w:rPr>
          <w:lang w:eastAsia="en-US"/>
        </w:rPr>
        <w:t xml:space="preserve"> per QALY (based on anifrolumab price of $</w:t>
      </w:r>
      <w:r w:rsidR="00EB6544" w:rsidRPr="0090762C">
        <w:rPr>
          <w:color w:val="000000"/>
          <w:w w:val="15"/>
          <w:shd w:val="solid" w:color="000000" w:fill="000000"/>
          <w:fitText w:val="-20" w:id="-1236572917"/>
          <w:lang w:eastAsia="en-US"/>
          <w14:textFill>
            <w14:solidFill>
              <w14:srgbClr w14:val="000000">
                <w14:alpha w14:val="100000"/>
              </w14:srgbClr>
            </w14:solidFill>
          </w14:textFill>
        </w:rPr>
        <w:t xml:space="preserve">|  </w:t>
      </w:r>
      <w:r w:rsidR="00EB6544" w:rsidRPr="0090762C">
        <w:rPr>
          <w:color w:val="000000"/>
          <w:spacing w:val="-69"/>
          <w:w w:val="15"/>
          <w:shd w:val="solid" w:color="000000" w:fill="000000"/>
          <w:fitText w:val="-20" w:id="-1236572917"/>
          <w:lang w:eastAsia="en-US"/>
          <w14:textFill>
            <w14:solidFill>
              <w14:srgbClr w14:val="000000">
                <w14:alpha w14:val="100000"/>
              </w14:srgbClr>
            </w14:solidFill>
          </w14:textFill>
        </w:rPr>
        <w:t>|</w:t>
      </w:r>
      <w:r w:rsidRPr="002F733E">
        <w:rPr>
          <w:lang w:eastAsia="en-US"/>
        </w:rPr>
        <w:t>) decreased to $</w:t>
      </w:r>
      <w:r w:rsidR="00193CB4">
        <w:rPr>
          <w:lang w:eastAsia="en-US"/>
        </w:rPr>
        <w:t>35,000</w:t>
      </w:r>
      <w:r w:rsidR="00612BA3">
        <w:rPr>
          <w:lang w:eastAsia="en-US"/>
        </w:rPr>
        <w:t> </w:t>
      </w:r>
      <w:r w:rsidR="00193CB4">
        <w:rPr>
          <w:lang w:eastAsia="en-US"/>
        </w:rPr>
        <w:t>to</w:t>
      </w:r>
      <w:r w:rsidR="00612BA3">
        <w:rPr>
          <w:lang w:eastAsia="en-US"/>
        </w:rPr>
        <w:t> </w:t>
      </w:r>
      <w:r w:rsidR="00193CB4">
        <w:rPr>
          <w:lang w:eastAsia="en-US"/>
        </w:rPr>
        <w:t>&lt;</w:t>
      </w:r>
      <w:r w:rsidR="00612BA3">
        <w:rPr>
          <w:lang w:eastAsia="en-US"/>
        </w:rPr>
        <w:t> </w:t>
      </w:r>
      <w:r w:rsidR="00193CB4">
        <w:rPr>
          <w:lang w:eastAsia="en-US"/>
        </w:rPr>
        <w:t>$45,000</w:t>
      </w:r>
      <w:r w:rsidRPr="002F733E">
        <w:rPr>
          <w:lang w:eastAsia="en-US"/>
        </w:rPr>
        <w:t xml:space="preserve"> per QALY gained with the effective DPMQ of $</w:t>
      </w:r>
      <w:r w:rsidR="00EB6544" w:rsidRPr="0090762C">
        <w:rPr>
          <w:color w:val="000000"/>
          <w:w w:val="15"/>
          <w:shd w:val="solid" w:color="000000" w:fill="000000"/>
          <w:fitText w:val="-20" w:id="-1236572916"/>
          <w:lang w:eastAsia="en-US"/>
          <w14:textFill>
            <w14:solidFill>
              <w14:srgbClr w14:val="000000">
                <w14:alpha w14:val="100000"/>
              </w14:srgbClr>
            </w14:solidFill>
          </w14:textFill>
        </w:rPr>
        <w:t xml:space="preserve">|  </w:t>
      </w:r>
      <w:r w:rsidR="00EB6544" w:rsidRPr="0090762C">
        <w:rPr>
          <w:color w:val="000000"/>
          <w:spacing w:val="-69"/>
          <w:w w:val="15"/>
          <w:shd w:val="solid" w:color="000000" w:fill="000000"/>
          <w:fitText w:val="-20" w:id="-1236572916"/>
          <w:lang w:eastAsia="en-US"/>
          <w14:textFill>
            <w14:solidFill>
              <w14:srgbClr w14:val="000000">
                <w14:alpha w14:val="100000"/>
              </w14:srgbClr>
            </w14:solidFill>
          </w14:textFill>
        </w:rPr>
        <w:t>|</w:t>
      </w:r>
      <w:r w:rsidRPr="002F733E">
        <w:rPr>
          <w:lang w:eastAsia="en-US"/>
        </w:rPr>
        <w:t>.</w:t>
      </w:r>
    </w:p>
    <w:p w14:paraId="134C5D13" w14:textId="42413E27" w:rsidR="00C775AE" w:rsidRPr="002F733E" w:rsidRDefault="00C775AE" w:rsidP="00C775AE">
      <w:pPr>
        <w:pStyle w:val="3-BodyText"/>
      </w:pPr>
      <w:r w:rsidRPr="002F733E">
        <w:t xml:space="preserve">A summary of the key components of the economic evaluation is presented in </w:t>
      </w:r>
      <w:r w:rsidRPr="002F733E">
        <w:fldChar w:fldCharType="begin" w:fldLock="1"/>
      </w:r>
      <w:r w:rsidRPr="002F733E">
        <w:instrText xml:space="preserve"> REF _Ref121698161 \h </w:instrText>
      </w:r>
      <w:r w:rsidR="00A1789B" w:rsidRPr="002F733E">
        <w:instrText xml:space="preserve"> \* MERGEFORMAT </w:instrText>
      </w:r>
      <w:r w:rsidRPr="002F733E">
        <w:fldChar w:fldCharType="separate"/>
      </w:r>
      <w:r w:rsidR="001316D2" w:rsidRPr="002F733E">
        <w:t>Table 8</w:t>
      </w:r>
      <w:r w:rsidRPr="002F733E">
        <w:fldChar w:fldCharType="end"/>
      </w:r>
      <w:r w:rsidRPr="002F733E">
        <w:t>. The structure of the model was unchanged from the July 2022 submission.</w:t>
      </w:r>
    </w:p>
    <w:p w14:paraId="739B5EE4" w14:textId="41F1AF5F" w:rsidR="00C775AE" w:rsidRPr="002F733E" w:rsidRDefault="00C775AE" w:rsidP="00C775AE">
      <w:pPr>
        <w:pStyle w:val="TableFigureHeading"/>
        <w:rPr>
          <w:rStyle w:val="CommentReference"/>
          <w:b/>
          <w:szCs w:val="24"/>
        </w:rPr>
      </w:pPr>
      <w:bookmarkStart w:id="40" w:name="_Ref121698161"/>
      <w:bookmarkStart w:id="41" w:name="_Hlk124513677"/>
      <w:r w:rsidRPr="002F733E">
        <w:t xml:space="preserve">Table </w:t>
      </w:r>
      <w:fldSimple w:instr=" SEQ Table \* ARABIC " w:fldLock="1">
        <w:r w:rsidR="00781A0F" w:rsidRPr="002F733E">
          <w:t>8</w:t>
        </w:r>
      </w:fldSimple>
      <w:bookmarkEnd w:id="40"/>
      <w:r w:rsidRPr="002F733E">
        <w:t>:</w:t>
      </w:r>
      <w:r w:rsidRPr="002F733E">
        <w:rPr>
          <w:rStyle w:val="CommentReference"/>
          <w:b/>
          <w:szCs w:val="24"/>
        </w:rPr>
        <w:t xml:space="preserve"> 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67"/>
        <w:gridCol w:w="2571"/>
        <w:gridCol w:w="5479"/>
      </w:tblGrid>
      <w:tr w:rsidR="00C775AE" w:rsidRPr="002F733E" w14:paraId="2E304BA5" w14:textId="77777777" w:rsidTr="00C775AE">
        <w:trPr>
          <w:tblHeader/>
        </w:trPr>
        <w:tc>
          <w:tcPr>
            <w:tcW w:w="536" w:type="pct"/>
            <w:vAlign w:val="center"/>
          </w:tcPr>
          <w:bookmarkEnd w:id="41"/>
          <w:p w14:paraId="2A944B7D" w14:textId="77777777" w:rsidR="00C775AE" w:rsidRPr="002F733E" w:rsidRDefault="00C775AE" w:rsidP="00C775AE">
            <w:pPr>
              <w:pStyle w:val="In-tableHeading"/>
              <w:keepNext w:val="0"/>
              <w:widowControl w:val="0"/>
              <w:jc w:val="center"/>
              <w:rPr>
                <w:lang w:val="en-AU"/>
              </w:rPr>
            </w:pPr>
            <w:r w:rsidRPr="002F733E">
              <w:rPr>
                <w:lang w:val="en-AU"/>
              </w:rPr>
              <w:t>Component</w:t>
            </w:r>
          </w:p>
        </w:tc>
        <w:tc>
          <w:tcPr>
            <w:tcW w:w="1426" w:type="pct"/>
            <w:shd w:val="clear" w:color="auto" w:fill="C6D9F1" w:themeFill="text2" w:themeFillTint="33"/>
          </w:tcPr>
          <w:p w14:paraId="1620BB3A" w14:textId="77777777" w:rsidR="00C775AE" w:rsidRPr="002F733E" w:rsidRDefault="00C775AE" w:rsidP="00C775AE">
            <w:pPr>
              <w:pStyle w:val="In-tableHeading"/>
              <w:keepNext w:val="0"/>
              <w:widowControl w:val="0"/>
              <w:jc w:val="center"/>
              <w:rPr>
                <w:lang w:val="en-AU"/>
              </w:rPr>
            </w:pPr>
            <w:r w:rsidRPr="002F733E">
              <w:rPr>
                <w:lang w:val="en-AU"/>
              </w:rPr>
              <w:t>July 2022 submission</w:t>
            </w:r>
          </w:p>
        </w:tc>
        <w:tc>
          <w:tcPr>
            <w:tcW w:w="3038" w:type="pct"/>
          </w:tcPr>
          <w:p w14:paraId="00BB581F" w14:textId="77777777" w:rsidR="00C775AE" w:rsidRPr="002F733E" w:rsidRDefault="00C775AE" w:rsidP="00C775AE">
            <w:pPr>
              <w:pStyle w:val="In-tableHeading"/>
              <w:keepNext w:val="0"/>
              <w:widowControl w:val="0"/>
              <w:jc w:val="center"/>
              <w:rPr>
                <w:lang w:val="en-AU"/>
              </w:rPr>
            </w:pPr>
            <w:r w:rsidRPr="002F733E">
              <w:rPr>
                <w:lang w:val="en-AU"/>
              </w:rPr>
              <w:t>Resubmission Justification/comments</w:t>
            </w:r>
          </w:p>
        </w:tc>
      </w:tr>
      <w:tr w:rsidR="00C775AE" w:rsidRPr="002F733E" w14:paraId="50E18D16" w14:textId="77777777" w:rsidTr="00C775AE">
        <w:tc>
          <w:tcPr>
            <w:tcW w:w="536" w:type="pct"/>
            <w:vAlign w:val="center"/>
          </w:tcPr>
          <w:p w14:paraId="0DD2BD21" w14:textId="77777777" w:rsidR="00C775AE" w:rsidRPr="002F733E" w:rsidRDefault="00C775AE" w:rsidP="00C775AE">
            <w:pPr>
              <w:pStyle w:val="TableText0"/>
              <w:keepNext w:val="0"/>
              <w:widowControl w:val="0"/>
            </w:pPr>
            <w:r w:rsidRPr="002F733E">
              <w:t>Type of analysis</w:t>
            </w:r>
          </w:p>
        </w:tc>
        <w:tc>
          <w:tcPr>
            <w:tcW w:w="1426" w:type="pct"/>
            <w:shd w:val="clear" w:color="auto" w:fill="C6D9F1" w:themeFill="text2" w:themeFillTint="33"/>
            <w:vAlign w:val="center"/>
          </w:tcPr>
          <w:p w14:paraId="68AE6534" w14:textId="77777777" w:rsidR="00C775AE" w:rsidRPr="002F733E" w:rsidRDefault="00C775AE" w:rsidP="00C775AE">
            <w:pPr>
              <w:pStyle w:val="TableText0"/>
              <w:keepNext w:val="0"/>
              <w:widowControl w:val="0"/>
            </w:pPr>
            <w:r w:rsidRPr="002F733E">
              <w:t>Cost-utility</w:t>
            </w:r>
          </w:p>
        </w:tc>
        <w:tc>
          <w:tcPr>
            <w:tcW w:w="3038" w:type="pct"/>
            <w:shd w:val="clear" w:color="auto" w:fill="C6D9F1" w:themeFill="text2" w:themeFillTint="33"/>
            <w:vAlign w:val="center"/>
          </w:tcPr>
          <w:p w14:paraId="056D65A8" w14:textId="77777777" w:rsidR="00C775AE" w:rsidRPr="002F733E" w:rsidRDefault="00C775AE" w:rsidP="00C775AE">
            <w:pPr>
              <w:pStyle w:val="TableText0"/>
              <w:keepNext w:val="0"/>
              <w:widowControl w:val="0"/>
            </w:pPr>
            <w:r w:rsidRPr="002F733E">
              <w:t>Unchanged. Appropriate.</w:t>
            </w:r>
          </w:p>
        </w:tc>
      </w:tr>
      <w:tr w:rsidR="00C775AE" w:rsidRPr="002F733E" w14:paraId="043B84CE" w14:textId="77777777" w:rsidTr="00C775AE">
        <w:tc>
          <w:tcPr>
            <w:tcW w:w="536" w:type="pct"/>
            <w:vAlign w:val="center"/>
          </w:tcPr>
          <w:p w14:paraId="77EE6187" w14:textId="77777777" w:rsidR="00C775AE" w:rsidRPr="002F733E" w:rsidRDefault="00C775AE" w:rsidP="00C775AE">
            <w:pPr>
              <w:pStyle w:val="TableText0"/>
              <w:keepNext w:val="0"/>
              <w:widowControl w:val="0"/>
            </w:pPr>
            <w:r w:rsidRPr="002F733E">
              <w:t>Outcomes</w:t>
            </w:r>
          </w:p>
        </w:tc>
        <w:tc>
          <w:tcPr>
            <w:tcW w:w="1426" w:type="pct"/>
            <w:shd w:val="clear" w:color="auto" w:fill="C6D9F1" w:themeFill="text2" w:themeFillTint="33"/>
            <w:vAlign w:val="center"/>
          </w:tcPr>
          <w:p w14:paraId="0F205E66" w14:textId="77777777" w:rsidR="00C775AE" w:rsidRPr="002F733E" w:rsidRDefault="00C775AE" w:rsidP="00C775AE">
            <w:pPr>
              <w:pStyle w:val="TableText0"/>
              <w:keepNext w:val="0"/>
              <w:widowControl w:val="0"/>
            </w:pPr>
            <w:r w:rsidRPr="002F733E">
              <w:t>Quality adjusted life years (QALYs)</w:t>
            </w:r>
          </w:p>
        </w:tc>
        <w:tc>
          <w:tcPr>
            <w:tcW w:w="3038" w:type="pct"/>
            <w:shd w:val="clear" w:color="auto" w:fill="C6D9F1" w:themeFill="text2" w:themeFillTint="33"/>
            <w:vAlign w:val="center"/>
          </w:tcPr>
          <w:p w14:paraId="67D22753" w14:textId="1A75A3E0" w:rsidR="00C775AE" w:rsidRPr="002F733E" w:rsidRDefault="00C775AE" w:rsidP="00C775AE">
            <w:pPr>
              <w:pStyle w:val="TableText0"/>
              <w:keepNext w:val="0"/>
              <w:widowControl w:val="0"/>
            </w:pPr>
            <w:r w:rsidRPr="002F733E">
              <w:t>Unchanged. While QALY</w:t>
            </w:r>
            <w:r w:rsidR="00656DB8" w:rsidRPr="002F733E">
              <w:t>s</w:t>
            </w:r>
            <w:r w:rsidRPr="002F733E">
              <w:t xml:space="preserve"> </w:t>
            </w:r>
            <w:r w:rsidR="00656DB8" w:rsidRPr="002F733E">
              <w:t>were</w:t>
            </w:r>
            <w:r w:rsidRPr="002F733E">
              <w:t xml:space="preserve"> a reasonable outcome, organ damage, adverse events avoided or reduction in OCS use would also have been informative.</w:t>
            </w:r>
          </w:p>
        </w:tc>
      </w:tr>
      <w:tr w:rsidR="00C775AE" w:rsidRPr="002F733E" w14:paraId="664286EC" w14:textId="77777777" w:rsidTr="00C775AE">
        <w:tc>
          <w:tcPr>
            <w:tcW w:w="536" w:type="pct"/>
            <w:vAlign w:val="center"/>
          </w:tcPr>
          <w:p w14:paraId="7A628AA7" w14:textId="77777777" w:rsidR="00C775AE" w:rsidRPr="002F733E" w:rsidRDefault="00C775AE" w:rsidP="00C775AE">
            <w:pPr>
              <w:pStyle w:val="TableText0"/>
              <w:keepNext w:val="0"/>
              <w:widowControl w:val="0"/>
            </w:pPr>
            <w:r w:rsidRPr="002F733E">
              <w:t>Time horizon</w:t>
            </w:r>
          </w:p>
        </w:tc>
        <w:tc>
          <w:tcPr>
            <w:tcW w:w="1426" w:type="pct"/>
            <w:shd w:val="clear" w:color="auto" w:fill="C6D9F1" w:themeFill="text2" w:themeFillTint="33"/>
            <w:vAlign w:val="center"/>
          </w:tcPr>
          <w:p w14:paraId="316E353C" w14:textId="77777777" w:rsidR="00C775AE" w:rsidRPr="002F733E" w:rsidRDefault="00C775AE" w:rsidP="00C775AE">
            <w:pPr>
              <w:pStyle w:val="TableText0"/>
              <w:keepNext w:val="0"/>
              <w:widowControl w:val="0"/>
            </w:pPr>
            <w:r w:rsidRPr="002F733E">
              <w:t>30 years in the model base case vs. 52 weeks in the TULIP trials.</w:t>
            </w:r>
          </w:p>
        </w:tc>
        <w:tc>
          <w:tcPr>
            <w:tcW w:w="3038" w:type="pct"/>
            <w:vAlign w:val="center"/>
          </w:tcPr>
          <w:p w14:paraId="6BFD0F58" w14:textId="70C4D12C" w:rsidR="00C775AE" w:rsidRPr="002F733E" w:rsidRDefault="00A94606" w:rsidP="00C775AE">
            <w:pPr>
              <w:pStyle w:val="TableText0"/>
              <w:keepNext w:val="0"/>
              <w:widowControl w:val="0"/>
            </w:pPr>
            <w:r w:rsidRPr="002F733E">
              <w:t>A</w:t>
            </w:r>
            <w:r w:rsidR="00C775AE" w:rsidRPr="002F733E">
              <w:t xml:space="preserve">dded data from TULIP LTE (total 4 years of follow up). </w:t>
            </w:r>
            <w:r w:rsidR="006C7CFD" w:rsidRPr="002F733E">
              <w:t xml:space="preserve">Remained </w:t>
            </w:r>
            <w:r w:rsidR="00C775AE" w:rsidRPr="002F733E">
              <w:t>short relative to the 30-year time horizon of the model.</w:t>
            </w:r>
          </w:p>
        </w:tc>
      </w:tr>
      <w:tr w:rsidR="00C775AE" w:rsidRPr="002F733E" w14:paraId="4B9DAFEA" w14:textId="77777777" w:rsidTr="00C775AE">
        <w:tc>
          <w:tcPr>
            <w:tcW w:w="536" w:type="pct"/>
            <w:vAlign w:val="center"/>
          </w:tcPr>
          <w:p w14:paraId="213EF190" w14:textId="77777777" w:rsidR="00C775AE" w:rsidRPr="002F733E" w:rsidRDefault="00C775AE" w:rsidP="00C775AE">
            <w:pPr>
              <w:pStyle w:val="TableText0"/>
              <w:keepNext w:val="0"/>
              <w:widowControl w:val="0"/>
            </w:pPr>
            <w:r w:rsidRPr="002F733E">
              <w:t>Methods used to generate results</w:t>
            </w:r>
          </w:p>
        </w:tc>
        <w:tc>
          <w:tcPr>
            <w:tcW w:w="1426" w:type="pct"/>
            <w:shd w:val="clear" w:color="auto" w:fill="C6D9F1" w:themeFill="text2" w:themeFillTint="33"/>
            <w:vAlign w:val="center"/>
          </w:tcPr>
          <w:p w14:paraId="06C5F563" w14:textId="77777777" w:rsidR="00C775AE" w:rsidRPr="002F733E" w:rsidRDefault="00C775AE" w:rsidP="00C775AE">
            <w:pPr>
              <w:pStyle w:val="TableText0"/>
              <w:keepNext w:val="0"/>
              <w:widowControl w:val="0"/>
            </w:pPr>
            <w:r w:rsidRPr="002F733E">
              <w:t>Individual patient microsimulation.</w:t>
            </w:r>
          </w:p>
        </w:tc>
        <w:tc>
          <w:tcPr>
            <w:tcW w:w="3038" w:type="pct"/>
            <w:shd w:val="clear" w:color="auto" w:fill="C6D9F1" w:themeFill="text2" w:themeFillTint="33"/>
            <w:vAlign w:val="center"/>
          </w:tcPr>
          <w:p w14:paraId="736382CC" w14:textId="1A58E587" w:rsidR="00C775AE" w:rsidRPr="002F733E" w:rsidRDefault="00C775AE" w:rsidP="00C775AE">
            <w:pPr>
              <w:pStyle w:val="TableText0"/>
              <w:keepNext w:val="0"/>
              <w:widowControl w:val="0"/>
            </w:pPr>
            <w:r w:rsidRPr="002F733E">
              <w:t xml:space="preserve">Unchanged. </w:t>
            </w:r>
            <w:r w:rsidR="00656DB8" w:rsidRPr="002F733E">
              <w:t>T</w:t>
            </w:r>
            <w:r w:rsidRPr="002F733E">
              <w:t>he approach may not be reasonable due to how it was implemented, including</w:t>
            </w:r>
            <w:r w:rsidR="00656DB8" w:rsidRPr="002F733E">
              <w:t xml:space="preserve"> that</w:t>
            </w:r>
            <w:r w:rsidRPr="002F733E">
              <w:t>: summary level data w</w:t>
            </w:r>
            <w:r w:rsidR="00656DB8" w:rsidRPr="002F733E">
              <w:t>ere</w:t>
            </w:r>
            <w:r w:rsidRPr="002F733E">
              <w:t xml:space="preserve"> used to model each patient (rather than individual patient data based on the trials, in particular, SOC patients were modelled as an average of responders and non-responders), many model inputs were treated independently, and parameter uncertainty was not captured for many inputs since most treatment effect inputs were modelled using uniform distributions assuming a constant value.</w:t>
            </w:r>
          </w:p>
        </w:tc>
      </w:tr>
      <w:tr w:rsidR="00C775AE" w:rsidRPr="002F733E" w14:paraId="30FB5C53" w14:textId="77777777" w:rsidTr="00C775AE">
        <w:tc>
          <w:tcPr>
            <w:tcW w:w="536" w:type="pct"/>
            <w:vAlign w:val="center"/>
          </w:tcPr>
          <w:p w14:paraId="7B727BBF" w14:textId="77777777" w:rsidR="00C775AE" w:rsidRPr="002F733E" w:rsidRDefault="00C775AE" w:rsidP="00C775AE">
            <w:pPr>
              <w:pStyle w:val="TableText0"/>
              <w:keepNext w:val="0"/>
              <w:widowControl w:val="0"/>
            </w:pPr>
            <w:r w:rsidRPr="002F733E">
              <w:t>Health states</w:t>
            </w:r>
          </w:p>
        </w:tc>
        <w:tc>
          <w:tcPr>
            <w:tcW w:w="1426" w:type="pct"/>
            <w:shd w:val="clear" w:color="auto" w:fill="C6D9F1" w:themeFill="text2" w:themeFillTint="33"/>
            <w:vAlign w:val="center"/>
          </w:tcPr>
          <w:p w14:paraId="7202431F" w14:textId="77777777" w:rsidR="00C775AE" w:rsidRPr="002F733E" w:rsidRDefault="00C775AE" w:rsidP="00DC7889">
            <w:pPr>
              <w:pStyle w:val="TableText0"/>
              <w:keepNext w:val="0"/>
              <w:widowControl w:val="0"/>
              <w:numPr>
                <w:ilvl w:val="0"/>
                <w:numId w:val="16"/>
              </w:numPr>
              <w:ind w:left="136" w:hanging="141"/>
            </w:pPr>
            <w:r w:rsidRPr="002F733E">
              <w:t>Anifrolumab arm: alive on treatment, alive off treatment, dead.</w:t>
            </w:r>
          </w:p>
          <w:p w14:paraId="5BD5FC76" w14:textId="77777777" w:rsidR="00C775AE" w:rsidRPr="002F733E" w:rsidRDefault="00C775AE" w:rsidP="00DC7889">
            <w:pPr>
              <w:pStyle w:val="TableText0"/>
              <w:keepNext w:val="0"/>
              <w:widowControl w:val="0"/>
              <w:numPr>
                <w:ilvl w:val="0"/>
                <w:numId w:val="16"/>
              </w:numPr>
              <w:ind w:left="136" w:hanging="141"/>
            </w:pPr>
            <w:r w:rsidRPr="002F733E">
              <w:t>SOC arm: alive, dead.</w:t>
            </w:r>
          </w:p>
          <w:p w14:paraId="3B4332FA" w14:textId="77777777" w:rsidR="00C775AE" w:rsidRPr="002F733E" w:rsidRDefault="00C775AE" w:rsidP="00C775AE">
            <w:pPr>
              <w:pStyle w:val="TableText0"/>
              <w:keepNext w:val="0"/>
              <w:widowControl w:val="0"/>
            </w:pPr>
            <w:r w:rsidRPr="002F733E">
              <w:t>Each cycle patients could also experience events such as flares, organ damage, OCS use, and change in SLEDAI-2K. Some events were associated with ongoing costs and disutilities, effectively making these a different health state.</w:t>
            </w:r>
          </w:p>
        </w:tc>
        <w:tc>
          <w:tcPr>
            <w:tcW w:w="3038" w:type="pct"/>
            <w:shd w:val="clear" w:color="auto" w:fill="C6D9F1" w:themeFill="text2" w:themeFillTint="33"/>
            <w:vAlign w:val="center"/>
          </w:tcPr>
          <w:p w14:paraId="1C07812E" w14:textId="77777777" w:rsidR="00C775AE" w:rsidRPr="002F733E" w:rsidRDefault="00C775AE" w:rsidP="00C775AE">
            <w:pPr>
              <w:pStyle w:val="TableText0"/>
              <w:keepNext w:val="0"/>
              <w:widowControl w:val="0"/>
            </w:pPr>
            <w:r w:rsidRPr="002F733E">
              <w:t xml:space="preserve">Unchanged. Health states and events were reasonable, but allocation, particularly to events appeared circular (see Transition Probabilities below). </w:t>
            </w:r>
          </w:p>
          <w:p w14:paraId="66F38BD0" w14:textId="77777777" w:rsidR="00C775AE" w:rsidRPr="002F733E" w:rsidRDefault="00C775AE" w:rsidP="00C775AE">
            <w:pPr>
              <w:pStyle w:val="TableText0"/>
              <w:keepNext w:val="0"/>
              <w:widowControl w:val="0"/>
            </w:pPr>
          </w:p>
          <w:p w14:paraId="28479D0E" w14:textId="77777777" w:rsidR="00C775AE" w:rsidRPr="002F733E" w:rsidRDefault="00C775AE" w:rsidP="00C775AE">
            <w:pPr>
              <w:pStyle w:val="TableText0"/>
              <w:keepNext w:val="0"/>
              <w:widowControl w:val="0"/>
            </w:pPr>
            <w:r w:rsidRPr="002F733E">
              <w:t xml:space="preserve">Response in the economic model was equivalent to a 4-point reduction in SLEDAI-2K by Week 24 and anifrolumab non-responders discontinued treatment beyond this point. </w:t>
            </w:r>
          </w:p>
          <w:p w14:paraId="5E60EA8A" w14:textId="77777777" w:rsidR="00C775AE" w:rsidRPr="002F733E" w:rsidRDefault="00C775AE" w:rsidP="00C775AE">
            <w:pPr>
              <w:pStyle w:val="TableText0"/>
              <w:keepNext w:val="0"/>
              <w:widowControl w:val="0"/>
            </w:pPr>
          </w:p>
          <w:p w14:paraId="4712A2C6" w14:textId="77777777" w:rsidR="00C775AE" w:rsidRPr="002F733E" w:rsidRDefault="00C775AE" w:rsidP="00C775AE">
            <w:pPr>
              <w:pStyle w:val="TableText0"/>
              <w:keepNext w:val="0"/>
              <w:widowControl w:val="0"/>
            </w:pPr>
            <w:r w:rsidRPr="002F733E">
              <w:t>Patients who discontinued anifrolumab treatment after Week 24 (for any given reason) were referred to as non-responders in the model.</w:t>
            </w:r>
          </w:p>
        </w:tc>
      </w:tr>
      <w:tr w:rsidR="00C775AE" w:rsidRPr="002F733E" w14:paraId="634F0E8E" w14:textId="77777777" w:rsidTr="00C775AE">
        <w:tc>
          <w:tcPr>
            <w:tcW w:w="536" w:type="pct"/>
            <w:vAlign w:val="center"/>
          </w:tcPr>
          <w:p w14:paraId="3611A030" w14:textId="77777777" w:rsidR="00C775AE" w:rsidRPr="002F733E" w:rsidRDefault="00C775AE" w:rsidP="00C775AE">
            <w:pPr>
              <w:pStyle w:val="TableText0"/>
              <w:keepNext w:val="0"/>
              <w:widowControl w:val="0"/>
            </w:pPr>
            <w:r w:rsidRPr="002F733E">
              <w:t>Cycle length</w:t>
            </w:r>
          </w:p>
        </w:tc>
        <w:tc>
          <w:tcPr>
            <w:tcW w:w="1426" w:type="pct"/>
            <w:shd w:val="clear" w:color="auto" w:fill="C6D9F1" w:themeFill="text2" w:themeFillTint="33"/>
            <w:vAlign w:val="center"/>
          </w:tcPr>
          <w:p w14:paraId="5D3B2894" w14:textId="77777777" w:rsidR="00C775AE" w:rsidRPr="002F733E" w:rsidRDefault="00C775AE" w:rsidP="00C775AE">
            <w:pPr>
              <w:pStyle w:val="TableText0"/>
              <w:keepNext w:val="0"/>
              <w:widowControl w:val="0"/>
            </w:pPr>
            <w:r w:rsidRPr="002F733E">
              <w:t>6 months.</w:t>
            </w:r>
          </w:p>
        </w:tc>
        <w:tc>
          <w:tcPr>
            <w:tcW w:w="3038" w:type="pct"/>
            <w:shd w:val="clear" w:color="auto" w:fill="C6D9F1" w:themeFill="text2" w:themeFillTint="33"/>
            <w:vAlign w:val="center"/>
          </w:tcPr>
          <w:p w14:paraId="4190991F" w14:textId="77777777" w:rsidR="00C775AE" w:rsidRPr="002F733E" w:rsidRDefault="00C775AE" w:rsidP="00C775AE">
            <w:pPr>
              <w:pStyle w:val="TableText0"/>
              <w:keepNext w:val="0"/>
              <w:widowControl w:val="0"/>
            </w:pPr>
            <w:r w:rsidRPr="002F733E">
              <w:t xml:space="preserve">Unchanged. Appropriate. </w:t>
            </w:r>
            <w:r w:rsidRPr="002F733E">
              <w:rPr>
                <w:shd w:val="clear" w:color="auto" w:fill="C6D9F1" w:themeFill="text2" w:themeFillTint="33"/>
              </w:rPr>
              <w:t>However, it was unclear if some transition probabilities were adjusted correctly for cycle length- the model referred to “annual rates” and “during current year” regressions which were implemented per 6 monthly cycles</w:t>
            </w:r>
            <w:r w:rsidRPr="002F733E">
              <w:t>.</w:t>
            </w:r>
          </w:p>
        </w:tc>
      </w:tr>
      <w:tr w:rsidR="00C775AE" w:rsidRPr="002F733E" w14:paraId="64BB1DCC" w14:textId="77777777" w:rsidTr="00C775AE">
        <w:tc>
          <w:tcPr>
            <w:tcW w:w="536" w:type="pct"/>
            <w:vAlign w:val="center"/>
          </w:tcPr>
          <w:p w14:paraId="6AEE44AF" w14:textId="77777777" w:rsidR="00C775AE" w:rsidRPr="002F733E" w:rsidRDefault="00C775AE" w:rsidP="00C775AE">
            <w:pPr>
              <w:pStyle w:val="TableText0"/>
              <w:keepNext w:val="0"/>
              <w:widowControl w:val="0"/>
            </w:pPr>
            <w:r w:rsidRPr="002F733E">
              <w:t>Transition probabilities</w:t>
            </w:r>
          </w:p>
        </w:tc>
        <w:tc>
          <w:tcPr>
            <w:tcW w:w="1426" w:type="pct"/>
            <w:shd w:val="clear" w:color="auto" w:fill="C6D9F1" w:themeFill="text2" w:themeFillTint="33"/>
            <w:vAlign w:val="center"/>
          </w:tcPr>
          <w:p w14:paraId="51CDEB61" w14:textId="77777777" w:rsidR="00C775AE" w:rsidRPr="002F733E" w:rsidRDefault="00C775AE" w:rsidP="00DC7889">
            <w:pPr>
              <w:pStyle w:val="TableText0"/>
              <w:keepNext w:val="0"/>
              <w:widowControl w:val="0"/>
              <w:numPr>
                <w:ilvl w:val="0"/>
                <w:numId w:val="16"/>
              </w:numPr>
              <w:ind w:left="136" w:hanging="141"/>
            </w:pPr>
            <w:r w:rsidRPr="002F733E">
              <w:t>Treatment discontinuation rates from the TULIP trials and MUSE LTE.</w:t>
            </w:r>
          </w:p>
          <w:p w14:paraId="63CBC12D" w14:textId="77777777" w:rsidR="00C775AE" w:rsidRPr="002F733E" w:rsidRDefault="00C775AE" w:rsidP="00DC7889">
            <w:pPr>
              <w:pStyle w:val="TableText0"/>
              <w:keepNext w:val="0"/>
              <w:widowControl w:val="0"/>
              <w:numPr>
                <w:ilvl w:val="0"/>
                <w:numId w:val="16"/>
              </w:numPr>
              <w:ind w:left="136" w:hanging="141"/>
            </w:pPr>
            <w:r w:rsidRPr="002F733E">
              <w:t>Mortality rates derived from survival model based on JHLC adjusted by standardised mortality ratios for SLE patients.</w:t>
            </w:r>
          </w:p>
          <w:p w14:paraId="1ABECC7E" w14:textId="77777777" w:rsidR="00C775AE" w:rsidRPr="002F733E" w:rsidRDefault="00C775AE" w:rsidP="00DC7889">
            <w:pPr>
              <w:pStyle w:val="TableText0"/>
              <w:keepNext w:val="0"/>
              <w:widowControl w:val="0"/>
              <w:numPr>
                <w:ilvl w:val="0"/>
                <w:numId w:val="16"/>
              </w:numPr>
              <w:ind w:left="136" w:hanging="141"/>
            </w:pPr>
            <w:r w:rsidRPr="002F733E">
              <w:t>Cycle dependent event regression models based on evidence from the TULIP-1 and 2 trials and JHLC.</w:t>
            </w:r>
          </w:p>
        </w:tc>
        <w:tc>
          <w:tcPr>
            <w:tcW w:w="3038" w:type="pct"/>
          </w:tcPr>
          <w:p w14:paraId="24B7BBE4" w14:textId="77777777" w:rsidR="00C775AE" w:rsidRPr="002F733E" w:rsidRDefault="00C775AE" w:rsidP="00DC7889">
            <w:pPr>
              <w:pStyle w:val="TableText0"/>
              <w:keepNext w:val="0"/>
              <w:widowControl w:val="0"/>
              <w:numPr>
                <w:ilvl w:val="0"/>
                <w:numId w:val="16"/>
              </w:numPr>
              <w:ind w:left="136" w:hanging="141"/>
            </w:pPr>
            <w:r w:rsidRPr="002F733E">
              <w:t>TULIP LTE data was used instead of MUSE LTE data for discontinuations from Cycle 3.</w:t>
            </w:r>
          </w:p>
          <w:p w14:paraId="37AFE38F" w14:textId="77777777" w:rsidR="00C775AE" w:rsidRPr="002F733E" w:rsidRDefault="00C775AE" w:rsidP="00DC7889">
            <w:pPr>
              <w:pStyle w:val="TableText0"/>
              <w:keepNext w:val="0"/>
              <w:widowControl w:val="0"/>
              <w:numPr>
                <w:ilvl w:val="0"/>
                <w:numId w:val="16"/>
              </w:numPr>
              <w:shd w:val="clear" w:color="auto" w:fill="C6D9F1" w:themeFill="text2" w:themeFillTint="33"/>
              <w:ind w:left="136" w:hanging="141"/>
            </w:pPr>
            <w:r w:rsidRPr="002F733E">
              <w:t>Mortality rates were unchanged.</w:t>
            </w:r>
          </w:p>
          <w:p w14:paraId="71B9B498" w14:textId="77777777" w:rsidR="00C775AE" w:rsidRPr="002F733E" w:rsidRDefault="00C775AE" w:rsidP="00DC7889">
            <w:pPr>
              <w:pStyle w:val="TableText0"/>
              <w:keepNext w:val="0"/>
              <w:widowControl w:val="0"/>
              <w:numPr>
                <w:ilvl w:val="0"/>
                <w:numId w:val="16"/>
              </w:numPr>
              <w:ind w:left="136" w:hanging="141"/>
            </w:pPr>
            <w:r w:rsidRPr="002F733E">
              <w:rPr>
                <w:shd w:val="clear" w:color="auto" w:fill="C6D9F1" w:themeFill="text2" w:themeFillTint="33"/>
              </w:rPr>
              <w:t>Cycle dependent event regression models based on evidence from the TULIP trials</w:t>
            </w:r>
            <w:r w:rsidRPr="002F733E">
              <w:t xml:space="preserve"> (including TULIP LTE) </w:t>
            </w:r>
            <w:r w:rsidRPr="002F733E">
              <w:rPr>
                <w:shd w:val="clear" w:color="auto" w:fill="C6D9F1" w:themeFill="text2" w:themeFillTint="33"/>
              </w:rPr>
              <w:t>and JHLC</w:t>
            </w:r>
            <w:r w:rsidRPr="002F733E">
              <w:t>.</w:t>
            </w:r>
          </w:p>
          <w:p w14:paraId="7C522EA4" w14:textId="77777777" w:rsidR="00C775AE" w:rsidRPr="002F733E" w:rsidRDefault="00C775AE" w:rsidP="00C775AE">
            <w:pPr>
              <w:pStyle w:val="TableText0"/>
              <w:keepNext w:val="0"/>
              <w:widowControl w:val="0"/>
            </w:pPr>
            <w:r w:rsidRPr="002F733E">
              <w:t xml:space="preserve">QALYs, SLEDAI-2K and OCS use were restricted to not fall below 0. </w:t>
            </w:r>
          </w:p>
          <w:p w14:paraId="77D43A7E" w14:textId="77777777" w:rsidR="00C775AE" w:rsidRPr="002F733E" w:rsidRDefault="00C775AE" w:rsidP="00C775AE">
            <w:pPr>
              <w:pStyle w:val="TableText0"/>
              <w:keepNext w:val="0"/>
              <w:widowControl w:val="0"/>
            </w:pPr>
          </w:p>
          <w:p w14:paraId="23D4E9CA" w14:textId="77777777" w:rsidR="00C775AE" w:rsidRPr="002F733E" w:rsidRDefault="00C775AE" w:rsidP="00C775AE">
            <w:pPr>
              <w:pStyle w:val="TableText0"/>
              <w:keepNext w:val="0"/>
              <w:widowControl w:val="0"/>
            </w:pPr>
            <w:r w:rsidRPr="002F733E">
              <w:t>Mortality and event probabilities were dependent on patient characteristics and other events, resulting in circular estimates: e.g., SLEDAI-2K was an input for risk of flares and flares were an input for change in SLEDAI-2K and both were inputs for steroid use.</w:t>
            </w:r>
          </w:p>
          <w:p w14:paraId="3A19A128" w14:textId="77777777" w:rsidR="00C775AE" w:rsidRPr="002F733E" w:rsidRDefault="00C775AE" w:rsidP="00C775AE">
            <w:pPr>
              <w:pStyle w:val="TableText0"/>
              <w:keepNext w:val="0"/>
              <w:widowControl w:val="0"/>
            </w:pPr>
          </w:p>
          <w:p w14:paraId="04484CE8" w14:textId="4E43D62E" w:rsidR="00C775AE" w:rsidRPr="002F733E" w:rsidRDefault="00C775AE" w:rsidP="00C775AE">
            <w:pPr>
              <w:pStyle w:val="TableText0"/>
              <w:keepNext w:val="0"/>
              <w:widowControl w:val="0"/>
            </w:pPr>
            <w:r w:rsidRPr="002F733E">
              <w:t xml:space="preserve">Choice of regression may also not adequately capture events. For example, change in SLEDAI-2K was modelled as linear regression, resulting in SLEDAI-2K estimates that could be non-integer and assumed change in SLEDAI-2K </w:t>
            </w:r>
            <w:r w:rsidR="00656DB8" w:rsidRPr="002F733E">
              <w:t>wa</w:t>
            </w:r>
            <w:r w:rsidRPr="002F733E">
              <w:t xml:space="preserve">s constant across the scale (e.g. a reduction from score 6 to 2 </w:t>
            </w:r>
            <w:r w:rsidR="00656DB8" w:rsidRPr="002F733E">
              <w:t>wa</w:t>
            </w:r>
            <w:r w:rsidRPr="002F733E">
              <w:t xml:space="preserve">s the same as </w:t>
            </w:r>
            <w:r w:rsidR="00656DB8" w:rsidRPr="002F733E">
              <w:t xml:space="preserve">a </w:t>
            </w:r>
            <w:r w:rsidRPr="002F733E">
              <w:t>reduction from 13 to 9).</w:t>
            </w:r>
          </w:p>
        </w:tc>
      </w:tr>
      <w:tr w:rsidR="00C775AE" w:rsidRPr="002F733E" w14:paraId="23761966" w14:textId="77777777" w:rsidTr="00C775AE">
        <w:tc>
          <w:tcPr>
            <w:tcW w:w="536" w:type="pct"/>
            <w:vAlign w:val="center"/>
          </w:tcPr>
          <w:p w14:paraId="7972F9D1" w14:textId="77777777" w:rsidR="00C775AE" w:rsidRPr="002F733E" w:rsidRDefault="00C775AE" w:rsidP="00C775AE">
            <w:pPr>
              <w:pStyle w:val="TableText0"/>
              <w:keepNext w:val="0"/>
              <w:widowControl w:val="0"/>
            </w:pPr>
            <w:r w:rsidRPr="002F733E">
              <w:t>Software package</w:t>
            </w:r>
          </w:p>
        </w:tc>
        <w:tc>
          <w:tcPr>
            <w:tcW w:w="1426" w:type="pct"/>
            <w:shd w:val="clear" w:color="auto" w:fill="C6D9F1" w:themeFill="text2" w:themeFillTint="33"/>
            <w:vAlign w:val="center"/>
          </w:tcPr>
          <w:p w14:paraId="4AE6B78B" w14:textId="77777777" w:rsidR="00C775AE" w:rsidRPr="002F733E" w:rsidRDefault="00C775AE" w:rsidP="00C775AE">
            <w:pPr>
              <w:pStyle w:val="TableText0"/>
              <w:keepNext w:val="0"/>
              <w:widowControl w:val="0"/>
            </w:pPr>
            <w:r w:rsidRPr="002F733E">
              <w:t>Excel 2010 with @RISK.</w:t>
            </w:r>
          </w:p>
        </w:tc>
        <w:tc>
          <w:tcPr>
            <w:tcW w:w="3038" w:type="pct"/>
            <w:shd w:val="clear" w:color="auto" w:fill="C6D9F1" w:themeFill="text2" w:themeFillTint="33"/>
            <w:vAlign w:val="center"/>
          </w:tcPr>
          <w:p w14:paraId="101C29A3" w14:textId="77777777" w:rsidR="00C775AE" w:rsidRPr="002F733E" w:rsidRDefault="00C775AE" w:rsidP="00C775AE">
            <w:pPr>
              <w:pStyle w:val="TableText0"/>
              <w:keepNext w:val="0"/>
              <w:widowControl w:val="0"/>
            </w:pPr>
            <w:r w:rsidRPr="002F733E">
              <w:t>Unchanged. Appropriate, though @RISK was not utilised as expected: the distributions of the regression models were not included in the simulations.</w:t>
            </w:r>
          </w:p>
        </w:tc>
      </w:tr>
    </w:tbl>
    <w:p w14:paraId="04B926F7" w14:textId="77777777" w:rsidR="00C775AE" w:rsidRPr="002F733E" w:rsidDel="001C34B7" w:rsidRDefault="00C775AE" w:rsidP="00C775AE">
      <w:pPr>
        <w:pStyle w:val="TableFigureFooter"/>
        <w:rPr>
          <w:iCs/>
        </w:rPr>
      </w:pPr>
      <w:r w:rsidRPr="002F733E" w:rsidDel="001C34B7">
        <w:rPr>
          <w:iCs/>
          <w:szCs w:val="18"/>
          <w:shd w:val="clear" w:color="auto" w:fill="C6D9F1" w:themeFill="text2" w:themeFillTint="33"/>
        </w:rPr>
        <w:t>Blue</w:t>
      </w:r>
      <w:r w:rsidRPr="002F733E" w:rsidDel="001C34B7">
        <w:rPr>
          <w:iCs/>
          <w:szCs w:val="18"/>
        </w:rPr>
        <w:t xml:space="preserve"> shading represents information previously considered by the PBAC.</w:t>
      </w:r>
    </w:p>
    <w:p w14:paraId="4E187B17" w14:textId="77777777" w:rsidR="00C775AE" w:rsidRPr="002F733E" w:rsidRDefault="00C775AE" w:rsidP="00C775AE">
      <w:pPr>
        <w:pStyle w:val="TableFigureFooter"/>
      </w:pPr>
      <w:r w:rsidRPr="002F733E">
        <w:t xml:space="preserve">Source: </w:t>
      </w:r>
      <w:r w:rsidRPr="002F733E">
        <w:rPr>
          <w:shd w:val="clear" w:color="auto" w:fill="C6D9F1" w:themeFill="text2" w:themeFillTint="33"/>
        </w:rPr>
        <w:t>Table 3.1-1, pp107-108 of the July 2022 submission</w:t>
      </w:r>
      <w:r w:rsidRPr="002F733E">
        <w:t>, Table 3.1-1, pp146 of the resubmission</w:t>
      </w:r>
    </w:p>
    <w:p w14:paraId="1C370563" w14:textId="77777777" w:rsidR="00C775AE" w:rsidRPr="002F733E" w:rsidRDefault="00C775AE" w:rsidP="00C775AE">
      <w:pPr>
        <w:pStyle w:val="TableFigureFooter"/>
      </w:pPr>
      <w:r w:rsidRPr="002F733E">
        <w:t>ICER = incremental cost-effectiveness ratio, JHLC=John Hopkins Lupus cohort, OCS = oral corticosteroids, QALYs = quality adjusted life years, SLEDAI-2K= Systemic Lupus Erythematosus Disease Activity Index 2000, SOC = standard of care</w:t>
      </w:r>
    </w:p>
    <w:p w14:paraId="38526246" w14:textId="18F00617" w:rsidR="00474E23" w:rsidRPr="002F733E" w:rsidRDefault="00C775AE" w:rsidP="00C775AE">
      <w:pPr>
        <w:numPr>
          <w:ilvl w:val="1"/>
          <w:numId w:val="1"/>
        </w:numPr>
        <w:spacing w:after="120"/>
        <w:rPr>
          <w:rFonts w:asciiTheme="minorHAnsi" w:hAnsiTheme="minorHAnsi"/>
          <w:snapToGrid w:val="0"/>
        </w:rPr>
      </w:pPr>
      <w:r w:rsidRPr="002F733E">
        <w:rPr>
          <w:rFonts w:asciiTheme="minorHAnsi" w:hAnsiTheme="minorHAnsi"/>
          <w:snapToGrid w:val="0"/>
        </w:rPr>
        <w:t xml:space="preserve">The model mechanics were unchanged from the July 2022 submission. At the beginning of the simulations, a set of baseline patient characteristics were sampled for each patient, including response to treatment based on pooled TULIP-1 and TULIP-2 data for the SLEDAI-2K </w:t>
      </w:r>
      <w:r w:rsidRPr="002F733E">
        <w:rPr>
          <w:rFonts w:asciiTheme="minorHAnsi" w:hAnsiTheme="minorHAnsi" w:cstheme="minorHAnsi"/>
          <w:snapToGrid w:val="0"/>
        </w:rPr>
        <w:t xml:space="preserve">≥10 subgroup. </w:t>
      </w:r>
      <w:r w:rsidR="00474E23" w:rsidRPr="002F733E">
        <w:rPr>
          <w:rFonts w:asciiTheme="minorHAnsi" w:hAnsiTheme="minorHAnsi" w:cstheme="minorHAnsi"/>
          <w:snapToGrid w:val="0"/>
        </w:rPr>
        <w:t xml:space="preserve">The ESC noted that </w:t>
      </w:r>
      <w:r w:rsidR="00325998" w:rsidRPr="002F733E">
        <w:rPr>
          <w:rFonts w:asciiTheme="minorHAnsi" w:hAnsiTheme="minorHAnsi" w:cstheme="minorHAnsi"/>
          <w:snapToGrid w:val="0"/>
        </w:rPr>
        <w:t xml:space="preserve">although </w:t>
      </w:r>
      <w:r w:rsidR="00474E23" w:rsidRPr="002F733E">
        <w:rPr>
          <w:rFonts w:asciiTheme="minorHAnsi" w:hAnsiTheme="minorHAnsi" w:cstheme="minorHAnsi"/>
          <w:snapToGrid w:val="0"/>
        </w:rPr>
        <w:t>the TULIP</w:t>
      </w:r>
      <w:r w:rsidR="00325998" w:rsidRPr="002F733E">
        <w:rPr>
          <w:rFonts w:asciiTheme="minorHAnsi" w:hAnsiTheme="minorHAnsi" w:cstheme="minorHAnsi"/>
          <w:snapToGrid w:val="0"/>
        </w:rPr>
        <w:t>-1 and -2</w:t>
      </w:r>
      <w:r w:rsidR="00474E23" w:rsidRPr="002F733E">
        <w:rPr>
          <w:rFonts w:asciiTheme="minorHAnsi" w:hAnsiTheme="minorHAnsi" w:cstheme="minorHAnsi"/>
          <w:snapToGrid w:val="0"/>
        </w:rPr>
        <w:t xml:space="preserve"> </w:t>
      </w:r>
      <w:r w:rsidR="00325998" w:rsidRPr="002F733E">
        <w:rPr>
          <w:rFonts w:asciiTheme="minorHAnsi" w:hAnsiTheme="minorHAnsi" w:cstheme="minorHAnsi"/>
          <w:snapToGrid w:val="0"/>
        </w:rPr>
        <w:t>SLEDAI-2K ≥10 subgroup population was</w:t>
      </w:r>
      <w:r w:rsidR="00474E23" w:rsidRPr="002F733E">
        <w:rPr>
          <w:rFonts w:asciiTheme="minorHAnsi" w:hAnsiTheme="minorHAnsi" w:cstheme="minorHAnsi"/>
          <w:snapToGrid w:val="0"/>
        </w:rPr>
        <w:t xml:space="preserve"> not representative of the requested population, as the proposed PBS restriction also requires patients to be on triple therapy and an OCS dose ≥ 7.5 mg/day</w:t>
      </w:r>
      <w:r w:rsidR="00325998" w:rsidRPr="002F733E">
        <w:rPr>
          <w:rFonts w:asciiTheme="minorHAnsi" w:hAnsiTheme="minorHAnsi" w:cstheme="minorHAnsi"/>
          <w:snapToGrid w:val="0"/>
        </w:rPr>
        <w:t>, the ESC recalled that the PBAC had previously considered that, based on subgroup analyses presented, there were no concerns regarding potentially lower efficacy in the proposed PBS population (paragraph 7.8, anifrolumab PSD, July 2022 PBAC meeting)</w:t>
      </w:r>
      <w:r w:rsidR="00474E23" w:rsidRPr="002F733E">
        <w:rPr>
          <w:rFonts w:asciiTheme="minorHAnsi" w:hAnsiTheme="minorHAnsi" w:cstheme="minorHAnsi"/>
          <w:snapToGrid w:val="0"/>
        </w:rPr>
        <w:t xml:space="preserve">. </w:t>
      </w:r>
      <w:r w:rsidR="00325998" w:rsidRPr="002F733E">
        <w:rPr>
          <w:rFonts w:asciiTheme="minorHAnsi" w:hAnsiTheme="minorHAnsi" w:cstheme="minorHAnsi"/>
          <w:snapToGrid w:val="0"/>
        </w:rPr>
        <w:t xml:space="preserve">The ESC did note however, that </w:t>
      </w:r>
      <w:r w:rsidR="00474E23" w:rsidRPr="002F733E">
        <w:rPr>
          <w:rFonts w:asciiTheme="minorHAnsi" w:hAnsiTheme="minorHAnsi" w:cstheme="minorHAnsi"/>
          <w:snapToGrid w:val="0"/>
        </w:rPr>
        <w:t>compared to ALRB data, patients with a SLEDAI-2K ≥ 10 in the TULIP trials were older (mean age of 40 years compared to 34.5 years in the ALRB data) and with less baseline organ damage (38.6% compared to 61.3% in the ALRB data).</w:t>
      </w:r>
    </w:p>
    <w:p w14:paraId="0E29F244" w14:textId="69BDFAFB" w:rsidR="00C775AE" w:rsidRPr="002F733E" w:rsidRDefault="00C775AE" w:rsidP="00C775AE">
      <w:pPr>
        <w:numPr>
          <w:ilvl w:val="1"/>
          <w:numId w:val="1"/>
        </w:numPr>
        <w:spacing w:after="120"/>
        <w:rPr>
          <w:rFonts w:asciiTheme="minorHAnsi" w:hAnsiTheme="minorHAnsi"/>
          <w:snapToGrid w:val="0"/>
        </w:rPr>
      </w:pPr>
      <w:r w:rsidRPr="002F733E">
        <w:rPr>
          <w:rFonts w:asciiTheme="minorHAnsi" w:hAnsiTheme="minorHAnsi" w:cstheme="minorHAnsi"/>
          <w:snapToGrid w:val="0"/>
        </w:rPr>
        <w:t xml:space="preserve">Patients who did not respond to treatment at Week 24 discontinued from anifrolumab at the end of the first cycle. </w:t>
      </w:r>
      <w:r w:rsidRPr="002F733E">
        <w:rPr>
          <w:rFonts w:asciiTheme="minorHAnsi" w:hAnsiTheme="minorHAnsi"/>
          <w:snapToGrid w:val="0"/>
        </w:rPr>
        <w:t>Events each cycle were based on predictive models of disease progression, with each element informed by disease history. Predictive models for c</w:t>
      </w:r>
      <w:r w:rsidRPr="002F733E">
        <w:rPr>
          <w:rFonts w:asciiTheme="minorHAnsi" w:hAnsiTheme="minorHAnsi" w:cstheme="minorHAnsi"/>
          <w:snapToGrid w:val="0"/>
        </w:rPr>
        <w:t>linical outcomes (flares, change in SLEDAI-2K and OCS dose) were based on pooled TULIP-1 and -2 data and TULIP LTE, with flare duration and impact on SLEDAI-2K for SOC based on the APLC Australian data. Predictive models for longer-term outcomes (mortality and organ damage) were based on</w:t>
      </w:r>
      <w:r w:rsidR="00460FDD" w:rsidRPr="002F733E">
        <w:rPr>
          <w:rFonts w:asciiTheme="minorHAnsi" w:hAnsiTheme="minorHAnsi" w:cstheme="minorHAnsi"/>
          <w:snapToGrid w:val="0"/>
        </w:rPr>
        <w:t xml:space="preserve"> data from the John Hopkins Lupus Cohort (JH</w:t>
      </w:r>
      <w:r w:rsidRPr="002F733E">
        <w:rPr>
          <w:rFonts w:asciiTheme="minorHAnsi" w:hAnsiTheme="minorHAnsi" w:cstheme="minorHAnsi"/>
          <w:snapToGrid w:val="0"/>
        </w:rPr>
        <w:t>LC</w:t>
      </w:r>
      <w:r w:rsidR="00460FDD" w:rsidRPr="002F733E">
        <w:rPr>
          <w:rFonts w:asciiTheme="minorHAnsi" w:hAnsiTheme="minorHAnsi" w:cstheme="minorHAnsi"/>
          <w:snapToGrid w:val="0"/>
        </w:rPr>
        <w:t>)</w:t>
      </w:r>
      <w:r w:rsidRPr="002F733E">
        <w:rPr>
          <w:rFonts w:asciiTheme="minorHAnsi" w:hAnsiTheme="minorHAnsi" w:cstheme="minorHAnsi"/>
          <w:snapToGrid w:val="0"/>
        </w:rPr>
        <w:t xml:space="preserve"> registry and organ damage frequency was based on data from the ALRB, these were unchanged from the July 2022 submission.</w:t>
      </w:r>
      <w:r w:rsidR="00DF78AE" w:rsidRPr="002F733E">
        <w:rPr>
          <w:rFonts w:asciiTheme="minorHAnsi" w:hAnsiTheme="minorHAnsi" w:cstheme="minorHAnsi"/>
          <w:snapToGrid w:val="0"/>
        </w:rPr>
        <w:t xml:space="preserve"> </w:t>
      </w:r>
      <w:r w:rsidR="00DF78AE" w:rsidRPr="002F733E">
        <w:t>Direct data from JHLC</w:t>
      </w:r>
      <w:r w:rsidR="00460FDD" w:rsidRPr="002F733E">
        <w:t xml:space="preserve"> registry</w:t>
      </w:r>
      <w:r w:rsidR="00DF78AE" w:rsidRPr="002F733E">
        <w:t xml:space="preserve"> was not used to inform organ damage or mortality. Instead, previously estimated regressions for organ damage by system and overall mortality based on the JHLC were taken from NICE TA397</w:t>
      </w:r>
      <w:r w:rsidR="00DF78AE" w:rsidRPr="002F733E">
        <w:rPr>
          <w:rStyle w:val="FootnoteReference"/>
        </w:rPr>
        <w:footnoteReference w:id="12"/>
      </w:r>
      <w:r w:rsidR="00DF78AE" w:rsidRPr="002F733E">
        <w:t>, though the details of the regressions and covariates chosen were not detailed.</w:t>
      </w:r>
      <w:r w:rsidR="00722DDD" w:rsidRPr="002F733E">
        <w:t xml:space="preserve"> </w:t>
      </w:r>
    </w:p>
    <w:p w14:paraId="10751B07" w14:textId="0EAD2A5E" w:rsidR="007073D7" w:rsidRPr="002F733E" w:rsidRDefault="00C775AE" w:rsidP="00C775AE">
      <w:pPr>
        <w:pStyle w:val="3-BodyText"/>
      </w:pPr>
      <w:r w:rsidRPr="002F733E">
        <w:t>Many of the regression models continued to result in circular estimations</w:t>
      </w:r>
      <w:r w:rsidR="00D30176" w:rsidRPr="002F733E">
        <w:t>/reverse causality</w:t>
      </w:r>
      <w:r w:rsidRPr="002F733E">
        <w:t xml:space="preserve"> and had the potential for double counting, particularly flares and SLEDAI-2K scores (i.e. SLEDAI-2K affected the likelihood of flares and flares affected the change in SLEDAI-2K, so each had acted as both </w:t>
      </w:r>
      <w:r w:rsidR="0067115F" w:rsidRPr="002F733E">
        <w:t>predictor and outcome</w:t>
      </w:r>
      <w:r w:rsidRPr="002F733E">
        <w:t xml:space="preserve">). </w:t>
      </w:r>
      <w:r w:rsidR="00D30176" w:rsidRPr="002F733E">
        <w:t>The PSCR stated that the</w:t>
      </w:r>
      <w:r w:rsidR="00237361" w:rsidRPr="002F733E">
        <w:t xml:space="preserve"> relationship between disease activity and model outcomes was reasonable and that the inclusion of both SLEDAI-2K scores and flares was justified because high disease activity can be episodic in the form of flares or patients can experience persistently active disease. The PSCR stated that SLEDAI-2K is a significant predictor of flare rates in the TULIP tr</w:t>
      </w:r>
      <w:r w:rsidR="00075D2A" w:rsidRPr="002F733E">
        <w:t>i</w:t>
      </w:r>
      <w:r w:rsidR="00237361" w:rsidRPr="002F733E">
        <w:t xml:space="preserve">als and the </w:t>
      </w:r>
      <w:r w:rsidR="00075D2A" w:rsidRPr="002F733E">
        <w:t>published literature and, thus, the model reflects the best available evidence that flare rates do increase with SLEDAI-2K.</w:t>
      </w:r>
      <w:r w:rsidR="00D30176" w:rsidRPr="002F733E">
        <w:t xml:space="preserve"> </w:t>
      </w:r>
      <w:r w:rsidR="002F3345" w:rsidRPr="002F733E">
        <w:t xml:space="preserve">The ESC remained concerned that </w:t>
      </w:r>
      <w:r w:rsidR="0067115F" w:rsidRPr="002F733E">
        <w:t>r</w:t>
      </w:r>
      <w:r w:rsidR="002F3345" w:rsidRPr="002F733E">
        <w:t xml:space="preserve">everse causality </w:t>
      </w:r>
      <w:r w:rsidR="0067115F" w:rsidRPr="002F733E">
        <w:t>was present</w:t>
      </w:r>
      <w:r w:rsidR="002F3345" w:rsidRPr="002F733E">
        <w:t xml:space="preserve"> as a result of using the </w:t>
      </w:r>
      <w:r w:rsidR="0067115F" w:rsidRPr="002F733E">
        <w:t>likelihood of flares and SLEDAI-2K scores to predict one another</w:t>
      </w:r>
      <w:r w:rsidR="001B648B" w:rsidRPr="002F733E">
        <w:t>, as well as other outcomes, and that regre</w:t>
      </w:r>
      <w:r w:rsidR="002F3345" w:rsidRPr="002F733E">
        <w:t>ssion analyses potentially double counted the treatment effect, adding additional uncertainty to the modelled outcomes.</w:t>
      </w:r>
    </w:p>
    <w:p w14:paraId="7A3FCF26" w14:textId="4685A76F" w:rsidR="00C775AE" w:rsidRPr="002F733E" w:rsidRDefault="00C775AE" w:rsidP="00C775AE">
      <w:pPr>
        <w:pStyle w:val="3-BodyText"/>
      </w:pPr>
      <w:r w:rsidRPr="002F733E">
        <w:t>The resubmission identified literature relating to SLEDAI-2K and long-term outcomes, but direct evidence from TULIP LTE did not demonstrate a difference in mortality or organ damage across the two treatment arms by end of the 4 year follow up, despite identifying a modest difference in SLEDAI-2K. SLEDAI-2K scores were used to estimate flares, OCS use, organ damage, and mortality, which remained unchanged from the July 2022 submission. In the consideration of belimumab for SLE, the PBAC noted while it was clinically plausible to expect a benefit in organ damage with belimumab (and consequently reduction in mortality), the magnitude of the effect was uncertain. The PBAC noted reasons for the uncertainty included the lack of statistically significant differences for most measures of organ damage progression in the clinical trials (but acknowledged the short duration of the studies and that the studies were not powered for this outcome) and uncertain reliability, applicability and external validity of estimates derived from secondary data sources (paragraphs 7.5 and 7.7, Belimumab PSD, July 2020 PBAC meeting).</w:t>
      </w:r>
    </w:p>
    <w:p w14:paraId="7CFAEAB3" w14:textId="77777777" w:rsidR="00C775AE" w:rsidRPr="002F733E" w:rsidRDefault="00C775AE" w:rsidP="00C775AE">
      <w:pPr>
        <w:pStyle w:val="3-BodyText"/>
      </w:pPr>
      <w:r w:rsidRPr="002F733E">
        <w:t>The resubmission provided more justifications for the choice of regression models, but the covariates were often not well justified, and much of the underlying data and methodology could not be verified.</w:t>
      </w:r>
    </w:p>
    <w:p w14:paraId="410AC5A5" w14:textId="35E47630" w:rsidR="00C775AE" w:rsidRPr="002F733E" w:rsidRDefault="00C775AE" w:rsidP="00C775AE">
      <w:pPr>
        <w:pStyle w:val="3-BodyText"/>
      </w:pPr>
      <w:r w:rsidRPr="002F733E">
        <w:t xml:space="preserve">Operational errors and spurious regression outcomes identified in the July 2022 submission were corrected in this resubmission, including restricting linear regressions </w:t>
      </w:r>
      <w:r w:rsidR="007C5A6C" w:rsidRPr="002F733E">
        <w:t>from</w:t>
      </w:r>
      <w:r w:rsidRPr="002F733E">
        <w:t xml:space="preserve"> fall</w:t>
      </w:r>
      <w:r w:rsidR="007C5A6C" w:rsidRPr="002F733E">
        <w:t>ing</w:t>
      </w:r>
      <w:r w:rsidRPr="002F733E">
        <w:t xml:space="preserve"> below 0, correcting OCS cost calculation</w:t>
      </w:r>
      <w:r w:rsidR="007C5A6C" w:rsidRPr="002F733E">
        <w:t>s</w:t>
      </w:r>
      <w:r w:rsidRPr="002F733E">
        <w:t xml:space="preserve"> to use cycle length rather than year, and removing the long-term reduction in flares for anifrolumab non-responders. However, the </w:t>
      </w:r>
      <w:r w:rsidR="00A17709" w:rsidRPr="002F733E">
        <w:t xml:space="preserve">ESC noted that the </w:t>
      </w:r>
      <w:r w:rsidRPr="002F733E">
        <w:t xml:space="preserve">resubmission again did not appear to have checked the regressions for consistency or clinical plausibility. For example, OCS dose was predicted to be higher in the anifrolumab arm than the SOC arm from Year 4, which was inconsistent with the modelled reduction in SLEDAI-2K and flare, and contradicted the TULIP LTE data which demonstrated a reduction in OCS for anifrolumab patients versus SOC. Utility regressions also resulted in low quality of life in the absence of organ damage (average utility &lt;0.3) and patients could have </w:t>
      </w:r>
      <w:r w:rsidR="00ED0AA3" w:rsidRPr="002F733E">
        <w:t xml:space="preserve">a </w:t>
      </w:r>
      <w:r w:rsidRPr="002F733E">
        <w:t xml:space="preserve">utility of 0 many times in their simulated life (see </w:t>
      </w:r>
      <w:r w:rsidR="0090762C">
        <w:fldChar w:fldCharType="begin" w:fldLock="1"/>
      </w:r>
      <w:r w:rsidR="0090762C">
        <w:instrText xml:space="preserve"> REF _Ref121668937  \* MERGEFORMAT </w:instrText>
      </w:r>
      <w:r w:rsidR="0090762C">
        <w:fldChar w:fldCharType="separate"/>
      </w:r>
      <w:r w:rsidR="001316D2" w:rsidRPr="002F733E">
        <w:t>Figure 3</w:t>
      </w:r>
      <w:r w:rsidR="0090762C">
        <w:fldChar w:fldCharType="end"/>
      </w:r>
      <w:r w:rsidRPr="002F733E">
        <w:t>). In comparison, utility in the TULIP LTE was ~0.7 at Year 4 compared to ~0.4 predicted by the model.</w:t>
      </w:r>
    </w:p>
    <w:p w14:paraId="554D2514" w14:textId="644B2F58" w:rsidR="00C775AE" w:rsidRPr="002F733E" w:rsidRDefault="00C775AE" w:rsidP="00C775AE">
      <w:pPr>
        <w:pStyle w:val="3-BodyText"/>
      </w:pPr>
      <w:r w:rsidRPr="002F733E">
        <w:t xml:space="preserve">Duration of flares </w:t>
      </w:r>
      <w:r w:rsidR="003B63F9" w:rsidRPr="002F733E">
        <w:t>and impact of flares on SLEDAI-2K scores were</w:t>
      </w:r>
      <w:r w:rsidRPr="002F733E">
        <w:t xml:space="preserve"> updated in the resubmission based on Australian patient data collected from the APLC.</w:t>
      </w:r>
      <w:r w:rsidR="003B63F9" w:rsidRPr="002F733E">
        <w:t xml:space="preserve"> Details are provided in the following table. T</w:t>
      </w:r>
      <w:r w:rsidRPr="002F733E">
        <w:t>he duration of flares in the APLC data remained highly uncertain</w:t>
      </w:r>
      <w:r w:rsidR="007C5A6C" w:rsidRPr="002F733E">
        <w:t xml:space="preserve"> (they ranged from </w:t>
      </w:r>
      <w:r w:rsidRPr="002F733E">
        <w:t>1 month to 1 year</w:t>
      </w:r>
      <w:r w:rsidR="007C5A6C" w:rsidRPr="002F733E">
        <w:t>)</w:t>
      </w:r>
      <w:r w:rsidRPr="002F733E">
        <w:t>. It was noted that a flare was not considered resolved in the APLC data unless the SLEDAI-2K had decreased by at least 4 points</w:t>
      </w:r>
      <w:r w:rsidR="003B63F9" w:rsidRPr="002F733E">
        <w:t xml:space="preserve">, </w:t>
      </w:r>
      <w:r w:rsidR="007926E0" w:rsidRPr="002F733E">
        <w:t xml:space="preserve">though the resubmission stated that flare resolution may depend upon </w:t>
      </w:r>
      <w:r w:rsidR="00460FDD" w:rsidRPr="002F733E">
        <w:t xml:space="preserve">the </w:t>
      </w:r>
      <w:r w:rsidR="007926E0" w:rsidRPr="002F733E">
        <w:t xml:space="preserve">organ system involved and that “the literature around an </w:t>
      </w:r>
      <w:r w:rsidR="00460FDD" w:rsidRPr="002F733E">
        <w:t>‘</w:t>
      </w:r>
      <w:r w:rsidR="007926E0" w:rsidRPr="002F733E">
        <w:t>end</w:t>
      </w:r>
      <w:r w:rsidR="00460FDD" w:rsidRPr="002F733E">
        <w:t>’</w:t>
      </w:r>
      <w:r w:rsidR="007926E0" w:rsidRPr="002F733E">
        <w:t xml:space="preserve"> of a flare is not clear”</w:t>
      </w:r>
      <w:r w:rsidRPr="002F733E">
        <w:t>. For patients with mild to moderate flares</w:t>
      </w:r>
      <w:r w:rsidR="007926E0" w:rsidRPr="002F733E">
        <w:t xml:space="preserve"> on the APLC</w:t>
      </w:r>
      <w:r w:rsidRPr="002F733E">
        <w:t xml:space="preserve"> (defined as an increase in SLEDAI-2K of 3-6 points) their SLEDAI-2K score needed to return to almost pre-flare or better to be considered resolved. This may explain why non-severe flares took considerably longer than severe flares (SLEDAI-2K increase of at least 7) to resolve.</w:t>
      </w:r>
    </w:p>
    <w:p w14:paraId="67DBDF46" w14:textId="73BCC879" w:rsidR="003B63F9" w:rsidRPr="002F733E" w:rsidRDefault="003B63F9" w:rsidP="003B63F9">
      <w:pPr>
        <w:pStyle w:val="TableFigureHeading"/>
        <w:rPr>
          <w:rStyle w:val="CommentReference"/>
          <w:b/>
          <w:szCs w:val="24"/>
        </w:rPr>
      </w:pPr>
      <w:bookmarkStart w:id="42" w:name="_Ref124772176"/>
      <w:r w:rsidRPr="002F733E">
        <w:t xml:space="preserve">Table </w:t>
      </w:r>
      <w:fldSimple w:instr=" SEQ Table \* ARABIC " w:fldLock="1">
        <w:r w:rsidR="00781A0F" w:rsidRPr="002F733E">
          <w:t>9</w:t>
        </w:r>
      </w:fldSimple>
      <w:bookmarkEnd w:id="42"/>
      <w:r w:rsidRPr="002F733E">
        <w:t>:</w:t>
      </w:r>
      <w:r w:rsidRPr="002F733E">
        <w:rPr>
          <w:rStyle w:val="CommentReference"/>
          <w:b/>
          <w:szCs w:val="24"/>
        </w:rPr>
        <w:t xml:space="preserve"> </w:t>
      </w:r>
      <w:r w:rsidR="001316D2" w:rsidRPr="002F733E">
        <w:rPr>
          <w:rStyle w:val="CommentReference"/>
          <w:b/>
          <w:szCs w:val="24"/>
        </w:rPr>
        <w:t>Flare duration and impact upon SLEDAI-2K</w:t>
      </w:r>
    </w:p>
    <w:tbl>
      <w:tblPr>
        <w:tblStyle w:val="TableGrid"/>
        <w:tblW w:w="5106" w:type="pct"/>
        <w:tblCellMar>
          <w:left w:w="28" w:type="dxa"/>
          <w:right w:w="28" w:type="dxa"/>
        </w:tblCellMar>
        <w:tblLook w:val="04A0" w:firstRow="1" w:lastRow="0" w:firstColumn="1" w:lastColumn="0" w:noHBand="0" w:noVBand="1"/>
      </w:tblPr>
      <w:tblGrid>
        <w:gridCol w:w="1146"/>
        <w:gridCol w:w="1022"/>
        <w:gridCol w:w="1079"/>
        <w:gridCol w:w="1022"/>
        <w:gridCol w:w="1118"/>
        <w:gridCol w:w="3821"/>
      </w:tblGrid>
      <w:tr w:rsidR="00C34149" w:rsidRPr="002F733E" w14:paraId="341343C3" w14:textId="77777777" w:rsidTr="002350C7">
        <w:tc>
          <w:tcPr>
            <w:tcW w:w="622" w:type="pct"/>
            <w:vMerge w:val="restart"/>
            <w:shd w:val="clear" w:color="auto" w:fill="auto"/>
            <w:vAlign w:val="center"/>
          </w:tcPr>
          <w:p w14:paraId="046C343C" w14:textId="77777777" w:rsidR="00D146B5" w:rsidRPr="002F733E" w:rsidRDefault="00D146B5" w:rsidP="00D146B5">
            <w:pPr>
              <w:pStyle w:val="In-tableHeading"/>
              <w:rPr>
                <w:lang w:val="en-AU"/>
              </w:rPr>
            </w:pPr>
          </w:p>
        </w:tc>
        <w:tc>
          <w:tcPr>
            <w:tcW w:w="1141" w:type="pct"/>
            <w:gridSpan w:val="2"/>
            <w:vAlign w:val="center"/>
          </w:tcPr>
          <w:p w14:paraId="50751D2A" w14:textId="6ABA4487" w:rsidR="00D146B5" w:rsidRPr="002F733E" w:rsidRDefault="00D146B5" w:rsidP="003B63F9">
            <w:pPr>
              <w:pStyle w:val="In-tableHeading"/>
              <w:jc w:val="center"/>
              <w:rPr>
                <w:lang w:val="en-AU"/>
              </w:rPr>
            </w:pPr>
            <w:r w:rsidRPr="002F733E">
              <w:rPr>
                <w:lang w:val="en-AU"/>
              </w:rPr>
              <w:t>Non-severe</w:t>
            </w:r>
          </w:p>
        </w:tc>
        <w:tc>
          <w:tcPr>
            <w:tcW w:w="1162" w:type="pct"/>
            <w:gridSpan w:val="2"/>
            <w:vAlign w:val="center"/>
          </w:tcPr>
          <w:p w14:paraId="0CF1317E" w14:textId="1451D722" w:rsidR="00D146B5" w:rsidRPr="002F733E" w:rsidRDefault="00D146B5" w:rsidP="003B63F9">
            <w:pPr>
              <w:pStyle w:val="In-tableHeading"/>
              <w:jc w:val="center"/>
              <w:rPr>
                <w:lang w:val="en-AU"/>
              </w:rPr>
            </w:pPr>
            <w:r w:rsidRPr="002F733E">
              <w:rPr>
                <w:lang w:val="en-AU"/>
              </w:rPr>
              <w:t>Severe</w:t>
            </w:r>
          </w:p>
        </w:tc>
        <w:tc>
          <w:tcPr>
            <w:tcW w:w="2074" w:type="pct"/>
            <w:vMerge w:val="restart"/>
            <w:vAlign w:val="center"/>
          </w:tcPr>
          <w:p w14:paraId="5981058E" w14:textId="4411094F" w:rsidR="00D146B5" w:rsidRPr="002F733E" w:rsidRDefault="00D146B5" w:rsidP="00D146B5">
            <w:pPr>
              <w:pStyle w:val="In-tableHeading"/>
              <w:rPr>
                <w:lang w:val="en-AU"/>
              </w:rPr>
            </w:pPr>
            <w:r w:rsidRPr="002F733E">
              <w:rPr>
                <w:lang w:val="en-AU"/>
              </w:rPr>
              <w:t>Source</w:t>
            </w:r>
          </w:p>
        </w:tc>
      </w:tr>
      <w:tr w:rsidR="007F31A7" w:rsidRPr="002F733E" w14:paraId="3B547F90" w14:textId="77777777" w:rsidTr="002350C7">
        <w:tc>
          <w:tcPr>
            <w:tcW w:w="622" w:type="pct"/>
            <w:vMerge/>
            <w:shd w:val="clear" w:color="auto" w:fill="auto"/>
            <w:vAlign w:val="center"/>
          </w:tcPr>
          <w:p w14:paraId="6EAD2942" w14:textId="77777777" w:rsidR="00D146B5" w:rsidRPr="002F733E" w:rsidRDefault="00D146B5" w:rsidP="00D146B5">
            <w:pPr>
              <w:pStyle w:val="In-tableHeading"/>
              <w:rPr>
                <w:lang w:val="en-AU"/>
              </w:rPr>
            </w:pPr>
          </w:p>
        </w:tc>
        <w:tc>
          <w:tcPr>
            <w:tcW w:w="555" w:type="pct"/>
            <w:vAlign w:val="center"/>
          </w:tcPr>
          <w:p w14:paraId="0414AC7C" w14:textId="4561FE65" w:rsidR="00D146B5" w:rsidRPr="002F733E" w:rsidRDefault="00D146B5" w:rsidP="003B63F9">
            <w:pPr>
              <w:pStyle w:val="In-tableHeading"/>
              <w:jc w:val="center"/>
              <w:rPr>
                <w:lang w:val="en-AU"/>
              </w:rPr>
            </w:pPr>
            <w:r w:rsidRPr="002F733E">
              <w:rPr>
                <w:lang w:val="en-AU"/>
              </w:rPr>
              <w:t>Anifrolumab</w:t>
            </w:r>
          </w:p>
        </w:tc>
        <w:tc>
          <w:tcPr>
            <w:tcW w:w="586" w:type="pct"/>
            <w:vAlign w:val="center"/>
          </w:tcPr>
          <w:p w14:paraId="2829CCEB" w14:textId="23C54F63" w:rsidR="00D146B5" w:rsidRPr="002F733E" w:rsidRDefault="00D146B5" w:rsidP="003B63F9">
            <w:pPr>
              <w:pStyle w:val="In-tableHeading"/>
              <w:jc w:val="center"/>
              <w:rPr>
                <w:lang w:val="en-AU"/>
              </w:rPr>
            </w:pPr>
            <w:r w:rsidRPr="002F733E">
              <w:rPr>
                <w:lang w:val="en-AU"/>
              </w:rPr>
              <w:t>SOC</w:t>
            </w:r>
            <w:r w:rsidRPr="002F733E">
              <w:rPr>
                <w:vertAlign w:val="superscript"/>
                <w:lang w:val="en-AU"/>
              </w:rPr>
              <w:t>a</w:t>
            </w:r>
          </w:p>
        </w:tc>
        <w:tc>
          <w:tcPr>
            <w:tcW w:w="555" w:type="pct"/>
            <w:vAlign w:val="center"/>
          </w:tcPr>
          <w:p w14:paraId="66A70BDD" w14:textId="6BD39C36" w:rsidR="00D146B5" w:rsidRPr="002F733E" w:rsidRDefault="00D146B5" w:rsidP="003B63F9">
            <w:pPr>
              <w:pStyle w:val="In-tableHeading"/>
              <w:jc w:val="center"/>
              <w:rPr>
                <w:lang w:val="en-AU"/>
              </w:rPr>
            </w:pPr>
            <w:r w:rsidRPr="002F733E">
              <w:rPr>
                <w:lang w:val="en-AU"/>
              </w:rPr>
              <w:t>Anifrolumab</w:t>
            </w:r>
          </w:p>
        </w:tc>
        <w:tc>
          <w:tcPr>
            <w:tcW w:w="607" w:type="pct"/>
            <w:vAlign w:val="center"/>
          </w:tcPr>
          <w:p w14:paraId="317F1BD7" w14:textId="32582929" w:rsidR="00D146B5" w:rsidRPr="002F733E" w:rsidRDefault="00D146B5" w:rsidP="003B63F9">
            <w:pPr>
              <w:pStyle w:val="In-tableHeading"/>
              <w:jc w:val="center"/>
              <w:rPr>
                <w:lang w:val="en-AU"/>
              </w:rPr>
            </w:pPr>
            <w:r w:rsidRPr="002F733E">
              <w:rPr>
                <w:lang w:val="en-AU"/>
              </w:rPr>
              <w:t>SOC</w:t>
            </w:r>
            <w:r w:rsidRPr="002F733E">
              <w:rPr>
                <w:vertAlign w:val="superscript"/>
                <w:lang w:val="en-AU"/>
              </w:rPr>
              <w:t>a</w:t>
            </w:r>
          </w:p>
        </w:tc>
        <w:tc>
          <w:tcPr>
            <w:tcW w:w="2074" w:type="pct"/>
            <w:vMerge/>
            <w:vAlign w:val="center"/>
          </w:tcPr>
          <w:p w14:paraId="4DCDDE93" w14:textId="77777777" w:rsidR="00D146B5" w:rsidRPr="002F733E" w:rsidRDefault="00D146B5" w:rsidP="00D146B5">
            <w:pPr>
              <w:pStyle w:val="In-tableHeading"/>
              <w:rPr>
                <w:lang w:val="en-AU"/>
              </w:rPr>
            </w:pPr>
          </w:p>
        </w:tc>
      </w:tr>
      <w:tr w:rsidR="00C34149" w:rsidRPr="002F733E" w14:paraId="77142057" w14:textId="77777777" w:rsidTr="002350C7">
        <w:tc>
          <w:tcPr>
            <w:tcW w:w="5000" w:type="pct"/>
            <w:gridSpan w:val="6"/>
            <w:vAlign w:val="center"/>
          </w:tcPr>
          <w:p w14:paraId="58FEEF36" w14:textId="46FA7368" w:rsidR="008E0B16" w:rsidRPr="002F733E" w:rsidRDefault="008E0B16" w:rsidP="00D146B5">
            <w:pPr>
              <w:pStyle w:val="TableText0"/>
              <w:rPr>
                <w:b/>
                <w:bCs w:val="0"/>
              </w:rPr>
            </w:pPr>
            <w:r w:rsidRPr="002F733E">
              <w:rPr>
                <w:b/>
                <w:bCs w:val="0"/>
              </w:rPr>
              <w:t>Effect on SLEDAI-2K per flare</w:t>
            </w:r>
            <w:r w:rsidRPr="002F733E">
              <w:rPr>
                <w:b/>
                <w:bCs w:val="0"/>
                <w:vertAlign w:val="superscript"/>
              </w:rPr>
              <w:t>b</w:t>
            </w:r>
          </w:p>
        </w:tc>
      </w:tr>
      <w:tr w:rsidR="00C34149" w:rsidRPr="002F733E" w14:paraId="05E0BE60" w14:textId="77777777" w:rsidTr="002350C7">
        <w:tc>
          <w:tcPr>
            <w:tcW w:w="622" w:type="pct"/>
            <w:shd w:val="clear" w:color="auto" w:fill="C6D9F1" w:themeFill="text2" w:themeFillTint="33"/>
            <w:vAlign w:val="center"/>
          </w:tcPr>
          <w:p w14:paraId="1331C786" w14:textId="77777777" w:rsidR="00D146B5" w:rsidRPr="002F733E" w:rsidRDefault="00D146B5" w:rsidP="00915922">
            <w:pPr>
              <w:pStyle w:val="TableText0"/>
            </w:pPr>
            <w:r w:rsidRPr="002F733E">
              <w:t>July 2022</w:t>
            </w:r>
          </w:p>
        </w:tc>
        <w:tc>
          <w:tcPr>
            <w:tcW w:w="1141" w:type="pct"/>
            <w:gridSpan w:val="2"/>
            <w:shd w:val="clear" w:color="auto" w:fill="C6D9F1" w:themeFill="text2" w:themeFillTint="33"/>
            <w:vAlign w:val="center"/>
          </w:tcPr>
          <w:p w14:paraId="77C02609" w14:textId="77777777" w:rsidR="00D146B5" w:rsidRPr="002F733E" w:rsidRDefault="00D146B5" w:rsidP="00915922">
            <w:pPr>
              <w:pStyle w:val="TableText0"/>
              <w:jc w:val="center"/>
            </w:pPr>
            <w:r w:rsidRPr="002F733E">
              <w:t>+3</w:t>
            </w:r>
          </w:p>
        </w:tc>
        <w:tc>
          <w:tcPr>
            <w:tcW w:w="1162" w:type="pct"/>
            <w:gridSpan w:val="2"/>
            <w:shd w:val="clear" w:color="auto" w:fill="C6D9F1" w:themeFill="text2" w:themeFillTint="33"/>
            <w:vAlign w:val="center"/>
          </w:tcPr>
          <w:p w14:paraId="2180169D" w14:textId="77777777" w:rsidR="00D146B5" w:rsidRPr="002F733E" w:rsidRDefault="00D146B5" w:rsidP="00915922">
            <w:pPr>
              <w:pStyle w:val="TableText0"/>
              <w:jc w:val="center"/>
            </w:pPr>
            <w:r w:rsidRPr="002F733E">
              <w:t>+7</w:t>
            </w:r>
          </w:p>
        </w:tc>
        <w:tc>
          <w:tcPr>
            <w:tcW w:w="2074" w:type="pct"/>
            <w:shd w:val="clear" w:color="auto" w:fill="C6D9F1" w:themeFill="text2" w:themeFillTint="33"/>
            <w:vAlign w:val="center"/>
          </w:tcPr>
          <w:p w14:paraId="49F05BE0" w14:textId="77777777" w:rsidR="00D146B5" w:rsidRPr="002F733E" w:rsidRDefault="00D146B5" w:rsidP="00915922">
            <w:pPr>
              <w:pStyle w:val="TableText0"/>
            </w:pPr>
            <w:r w:rsidRPr="002F733E">
              <w:t>Minimum definition</w:t>
            </w:r>
          </w:p>
        </w:tc>
      </w:tr>
      <w:tr w:rsidR="004D4387" w:rsidRPr="002F733E" w14:paraId="1D0C0986" w14:textId="77777777" w:rsidTr="002350C7">
        <w:tc>
          <w:tcPr>
            <w:tcW w:w="622" w:type="pct"/>
            <w:vAlign w:val="center"/>
          </w:tcPr>
          <w:p w14:paraId="3077C260" w14:textId="799C2032" w:rsidR="008E0B16" w:rsidRPr="002F733E" w:rsidRDefault="008E0B16" w:rsidP="00D146B5">
            <w:pPr>
              <w:pStyle w:val="TableText0"/>
            </w:pPr>
            <w:r w:rsidRPr="002F733E">
              <w:t>Resubmission</w:t>
            </w:r>
          </w:p>
        </w:tc>
        <w:tc>
          <w:tcPr>
            <w:tcW w:w="1141" w:type="pct"/>
            <w:gridSpan w:val="2"/>
            <w:vAlign w:val="center"/>
          </w:tcPr>
          <w:p w14:paraId="35393C06" w14:textId="6513658F" w:rsidR="008E0B16" w:rsidRPr="002F733E" w:rsidRDefault="008E0B16" w:rsidP="003B63F9">
            <w:pPr>
              <w:pStyle w:val="TableText0"/>
              <w:jc w:val="center"/>
            </w:pPr>
            <w:r w:rsidRPr="002F733E">
              <w:t>+4.3</w:t>
            </w:r>
            <w:r w:rsidRPr="002F733E">
              <w:rPr>
                <w:vertAlign w:val="superscript"/>
              </w:rPr>
              <w:t>c</w:t>
            </w:r>
            <w:r w:rsidR="002350C7">
              <w:rPr>
                <w:vertAlign w:val="superscript"/>
              </w:rPr>
              <w:t xml:space="preserve"> </w:t>
            </w:r>
            <w:r w:rsidR="002350C7" w:rsidRPr="002350C7">
              <w:t>*</w:t>
            </w:r>
          </w:p>
        </w:tc>
        <w:tc>
          <w:tcPr>
            <w:tcW w:w="1162" w:type="pct"/>
            <w:gridSpan w:val="2"/>
            <w:vAlign w:val="center"/>
          </w:tcPr>
          <w:p w14:paraId="481BF53F" w14:textId="2C87F62A" w:rsidR="008E0B16" w:rsidRPr="002F733E" w:rsidRDefault="008E0B16" w:rsidP="003B63F9">
            <w:pPr>
              <w:pStyle w:val="TableText0"/>
              <w:jc w:val="center"/>
            </w:pPr>
            <w:r w:rsidRPr="002F733E">
              <w:t>+9.7</w:t>
            </w:r>
            <w:r w:rsidRPr="002F733E">
              <w:rPr>
                <w:vertAlign w:val="superscript"/>
              </w:rPr>
              <w:t>d</w:t>
            </w:r>
            <w:r w:rsidR="002350C7">
              <w:rPr>
                <w:vertAlign w:val="superscript"/>
              </w:rPr>
              <w:t xml:space="preserve"> </w:t>
            </w:r>
            <w:r w:rsidR="002350C7" w:rsidRPr="002350C7">
              <w:t>*</w:t>
            </w:r>
          </w:p>
        </w:tc>
        <w:tc>
          <w:tcPr>
            <w:tcW w:w="2074" w:type="pct"/>
            <w:vAlign w:val="center"/>
          </w:tcPr>
          <w:p w14:paraId="78D6E33D" w14:textId="2C9199A4" w:rsidR="008E0B16" w:rsidRPr="002F733E" w:rsidRDefault="008E0B16" w:rsidP="00D146B5">
            <w:pPr>
              <w:pStyle w:val="TableText0"/>
            </w:pPr>
            <w:r w:rsidRPr="002F733E">
              <w:t>Mean APLC-AU</w:t>
            </w:r>
            <w:r w:rsidR="002350C7" w:rsidRPr="002350C7">
              <w:t>*</w:t>
            </w:r>
          </w:p>
        </w:tc>
      </w:tr>
      <w:tr w:rsidR="00C34149" w:rsidRPr="002F733E" w14:paraId="2B6FC8DC" w14:textId="77777777" w:rsidTr="002350C7">
        <w:tc>
          <w:tcPr>
            <w:tcW w:w="5000" w:type="pct"/>
            <w:gridSpan w:val="6"/>
            <w:vAlign w:val="center"/>
          </w:tcPr>
          <w:p w14:paraId="7491F026" w14:textId="7EEEF41E" w:rsidR="008E0B16" w:rsidRPr="002F733E" w:rsidRDefault="008E0B16" w:rsidP="00D146B5">
            <w:pPr>
              <w:pStyle w:val="TableText0"/>
              <w:rPr>
                <w:b/>
                <w:bCs w:val="0"/>
              </w:rPr>
            </w:pPr>
            <w:r w:rsidRPr="002F733E">
              <w:rPr>
                <w:b/>
                <w:bCs w:val="0"/>
              </w:rPr>
              <w:t>Flare duration</w:t>
            </w:r>
          </w:p>
        </w:tc>
      </w:tr>
      <w:tr w:rsidR="002350C7" w:rsidRPr="002F733E" w14:paraId="5F83F4AA" w14:textId="77777777" w:rsidTr="002350C7">
        <w:tc>
          <w:tcPr>
            <w:tcW w:w="622" w:type="pct"/>
            <w:shd w:val="clear" w:color="auto" w:fill="C6D9F1" w:themeFill="text2" w:themeFillTint="33"/>
            <w:vAlign w:val="center"/>
          </w:tcPr>
          <w:p w14:paraId="5AAAC86A" w14:textId="75C40A10" w:rsidR="00D146B5" w:rsidRPr="002F733E" w:rsidRDefault="00D146B5" w:rsidP="00915922">
            <w:pPr>
              <w:pStyle w:val="TableText0"/>
            </w:pPr>
            <w:r w:rsidRPr="002F733E">
              <w:t>July 2022</w:t>
            </w:r>
          </w:p>
        </w:tc>
        <w:tc>
          <w:tcPr>
            <w:tcW w:w="555" w:type="pct"/>
            <w:shd w:val="clear" w:color="auto" w:fill="C6D9F1" w:themeFill="text2" w:themeFillTint="33"/>
            <w:vAlign w:val="center"/>
          </w:tcPr>
          <w:p w14:paraId="64D76A0A" w14:textId="77777777" w:rsidR="00D146B5" w:rsidRPr="002F733E" w:rsidRDefault="00D146B5" w:rsidP="00915922">
            <w:pPr>
              <w:pStyle w:val="TableText0"/>
              <w:jc w:val="center"/>
            </w:pPr>
            <w:r w:rsidRPr="002F733E">
              <w:t>2.2 months</w:t>
            </w:r>
            <w:r w:rsidRPr="002F733E">
              <w:rPr>
                <w:vertAlign w:val="superscript"/>
              </w:rPr>
              <w:t>h</w:t>
            </w:r>
          </w:p>
        </w:tc>
        <w:tc>
          <w:tcPr>
            <w:tcW w:w="586" w:type="pct"/>
            <w:shd w:val="clear" w:color="auto" w:fill="C6D9F1" w:themeFill="text2" w:themeFillTint="33"/>
            <w:vAlign w:val="center"/>
          </w:tcPr>
          <w:p w14:paraId="370BF22D" w14:textId="77777777" w:rsidR="00D146B5" w:rsidRPr="002F733E" w:rsidRDefault="00D146B5" w:rsidP="00915922">
            <w:pPr>
              <w:pStyle w:val="TableText0"/>
              <w:jc w:val="center"/>
            </w:pPr>
            <w:r w:rsidRPr="002F733E">
              <w:t>3.9 months</w:t>
            </w:r>
          </w:p>
        </w:tc>
        <w:tc>
          <w:tcPr>
            <w:tcW w:w="555" w:type="pct"/>
            <w:shd w:val="clear" w:color="auto" w:fill="C6D9F1" w:themeFill="text2" w:themeFillTint="33"/>
            <w:vAlign w:val="center"/>
          </w:tcPr>
          <w:p w14:paraId="60567B71" w14:textId="77777777" w:rsidR="00D146B5" w:rsidRPr="002F733E" w:rsidRDefault="00D146B5" w:rsidP="00915922">
            <w:pPr>
              <w:pStyle w:val="TableText0"/>
              <w:jc w:val="center"/>
            </w:pPr>
            <w:r w:rsidRPr="002F733E">
              <w:t>2.2 months</w:t>
            </w:r>
            <w:r w:rsidRPr="002F733E">
              <w:rPr>
                <w:vertAlign w:val="superscript"/>
              </w:rPr>
              <w:t>h</w:t>
            </w:r>
          </w:p>
        </w:tc>
        <w:tc>
          <w:tcPr>
            <w:tcW w:w="607" w:type="pct"/>
            <w:shd w:val="clear" w:color="auto" w:fill="C6D9F1" w:themeFill="text2" w:themeFillTint="33"/>
            <w:vAlign w:val="center"/>
          </w:tcPr>
          <w:p w14:paraId="70CA88BF" w14:textId="77777777" w:rsidR="00D146B5" w:rsidRPr="002F733E" w:rsidRDefault="00D146B5" w:rsidP="00915922">
            <w:pPr>
              <w:pStyle w:val="TableText0"/>
              <w:jc w:val="center"/>
            </w:pPr>
            <w:r w:rsidRPr="002F733E">
              <w:t>3.9 months</w:t>
            </w:r>
          </w:p>
        </w:tc>
        <w:tc>
          <w:tcPr>
            <w:tcW w:w="2074" w:type="pct"/>
            <w:shd w:val="clear" w:color="auto" w:fill="C6D9F1" w:themeFill="text2" w:themeFillTint="33"/>
            <w:vAlign w:val="center"/>
          </w:tcPr>
          <w:p w14:paraId="324F145D" w14:textId="7CC30204" w:rsidR="00D146B5" w:rsidRPr="002F733E" w:rsidRDefault="00D146B5" w:rsidP="00F5117C">
            <w:pPr>
              <w:pStyle w:val="TableText0"/>
            </w:pPr>
            <w:r w:rsidRPr="002F733E">
              <w:t>Nikpour 2009</w:t>
            </w:r>
            <w:r w:rsidR="00F5117C" w:rsidRPr="002F733E">
              <w:t xml:space="preserve">, </w:t>
            </w:r>
            <w:r w:rsidRPr="002F733E">
              <w:t>Anifrolumab HR Morand 2021</w:t>
            </w:r>
          </w:p>
        </w:tc>
      </w:tr>
      <w:tr w:rsidR="004D4387" w:rsidRPr="002F733E" w14:paraId="664E6A06" w14:textId="77777777" w:rsidTr="002350C7">
        <w:tc>
          <w:tcPr>
            <w:tcW w:w="622" w:type="pct"/>
            <w:vAlign w:val="center"/>
          </w:tcPr>
          <w:p w14:paraId="3125955E" w14:textId="37984F9A" w:rsidR="00FB2F78" w:rsidRPr="002F733E" w:rsidRDefault="00FB2F78" w:rsidP="00D146B5">
            <w:pPr>
              <w:pStyle w:val="TableText0"/>
            </w:pPr>
            <w:r w:rsidRPr="002F733E">
              <w:t>Resubmission</w:t>
            </w:r>
            <w:r w:rsidR="008E0B16" w:rsidRPr="002F733E">
              <w:rPr>
                <w:vertAlign w:val="superscript"/>
              </w:rPr>
              <w:t>e</w:t>
            </w:r>
          </w:p>
        </w:tc>
        <w:tc>
          <w:tcPr>
            <w:tcW w:w="555" w:type="pct"/>
            <w:vAlign w:val="center"/>
          </w:tcPr>
          <w:p w14:paraId="09E012B7" w14:textId="449D411D" w:rsidR="00FB2F78" w:rsidRPr="002F733E" w:rsidRDefault="00FB2F78" w:rsidP="003B63F9">
            <w:pPr>
              <w:pStyle w:val="TableText0"/>
              <w:jc w:val="center"/>
            </w:pPr>
            <w:r w:rsidRPr="002F733E">
              <w:t>3.0 months</w:t>
            </w:r>
            <w:r w:rsidR="008E0B16" w:rsidRPr="002F733E">
              <w:rPr>
                <w:vertAlign w:val="superscript"/>
              </w:rPr>
              <w:t>h</w:t>
            </w:r>
            <w:r w:rsidR="002350C7" w:rsidRPr="002350C7">
              <w:t>*</w:t>
            </w:r>
          </w:p>
        </w:tc>
        <w:tc>
          <w:tcPr>
            <w:tcW w:w="586" w:type="pct"/>
            <w:vAlign w:val="center"/>
          </w:tcPr>
          <w:p w14:paraId="743AA89B" w14:textId="6EACB16A" w:rsidR="00FB2F78" w:rsidRPr="002F733E" w:rsidRDefault="00FB2F78" w:rsidP="003B63F9">
            <w:pPr>
              <w:pStyle w:val="TableText0"/>
              <w:jc w:val="center"/>
            </w:pPr>
            <w:r w:rsidRPr="002F733E">
              <w:t>5.3 months</w:t>
            </w:r>
            <w:r w:rsidR="008E0B16" w:rsidRPr="002F733E">
              <w:rPr>
                <w:vertAlign w:val="superscript"/>
              </w:rPr>
              <w:t>f</w:t>
            </w:r>
            <w:r w:rsidR="002350C7" w:rsidRPr="002350C7">
              <w:t>*</w:t>
            </w:r>
          </w:p>
        </w:tc>
        <w:tc>
          <w:tcPr>
            <w:tcW w:w="555" w:type="pct"/>
            <w:vAlign w:val="center"/>
          </w:tcPr>
          <w:p w14:paraId="09633002" w14:textId="56ECF783" w:rsidR="00FB2F78" w:rsidRPr="002F733E" w:rsidRDefault="00FB2F78" w:rsidP="003B63F9">
            <w:pPr>
              <w:pStyle w:val="TableText0"/>
              <w:jc w:val="center"/>
            </w:pPr>
            <w:r w:rsidRPr="002F733E">
              <w:t>1.4 months</w:t>
            </w:r>
            <w:r w:rsidR="008E0B16" w:rsidRPr="002F733E">
              <w:rPr>
                <w:vertAlign w:val="superscript"/>
              </w:rPr>
              <w:t>h</w:t>
            </w:r>
            <w:r w:rsidR="002350C7" w:rsidRPr="002350C7">
              <w:t>*</w:t>
            </w:r>
          </w:p>
        </w:tc>
        <w:tc>
          <w:tcPr>
            <w:tcW w:w="607" w:type="pct"/>
            <w:vAlign w:val="center"/>
          </w:tcPr>
          <w:p w14:paraId="3D356D35" w14:textId="0F554A99" w:rsidR="00FB2F78" w:rsidRPr="002F733E" w:rsidRDefault="00FB2F78" w:rsidP="003B63F9">
            <w:pPr>
              <w:pStyle w:val="TableText0"/>
              <w:jc w:val="center"/>
            </w:pPr>
            <w:r w:rsidRPr="002F733E">
              <w:t>2.5 months</w:t>
            </w:r>
            <w:r w:rsidR="008E0B16" w:rsidRPr="002F733E">
              <w:rPr>
                <w:vertAlign w:val="superscript"/>
              </w:rPr>
              <w:t>g</w:t>
            </w:r>
            <w:r w:rsidR="002350C7" w:rsidRPr="002350C7">
              <w:t>*</w:t>
            </w:r>
          </w:p>
        </w:tc>
        <w:tc>
          <w:tcPr>
            <w:tcW w:w="2074" w:type="pct"/>
            <w:vAlign w:val="center"/>
          </w:tcPr>
          <w:p w14:paraId="089C7FFF" w14:textId="268FF746" w:rsidR="00FB2F78" w:rsidRPr="002F733E" w:rsidRDefault="00FB2F78" w:rsidP="00D146B5">
            <w:pPr>
              <w:pStyle w:val="TableText0"/>
            </w:pPr>
            <w:r w:rsidRPr="002F733E">
              <w:t>Median APLC-AU</w:t>
            </w:r>
            <w:r w:rsidR="00F5117C" w:rsidRPr="002F733E">
              <w:t xml:space="preserve">, </w:t>
            </w:r>
            <w:r w:rsidRPr="002F733E">
              <w:t>Anifrolumab HR Morand 2021</w:t>
            </w:r>
            <w:r w:rsidR="002350C7" w:rsidRPr="002350C7">
              <w:t>*</w:t>
            </w:r>
          </w:p>
        </w:tc>
      </w:tr>
      <w:tr w:rsidR="00C34149" w:rsidRPr="002F733E" w14:paraId="0DF2A74B" w14:textId="77777777" w:rsidTr="002350C7">
        <w:tc>
          <w:tcPr>
            <w:tcW w:w="5000" w:type="pct"/>
            <w:gridSpan w:val="6"/>
            <w:vAlign w:val="center"/>
          </w:tcPr>
          <w:p w14:paraId="186F8101" w14:textId="34EA07F0" w:rsidR="008E0B16" w:rsidRPr="002F733E" w:rsidRDefault="008E0B16" w:rsidP="00D146B5">
            <w:pPr>
              <w:pStyle w:val="TableText0"/>
              <w:rPr>
                <w:b/>
                <w:bCs w:val="0"/>
              </w:rPr>
            </w:pPr>
            <w:r w:rsidRPr="002F733E">
              <w:rPr>
                <w:b/>
                <w:bCs w:val="0"/>
              </w:rPr>
              <w:t>Effect on SLEDAI-2K per flare per cycle</w:t>
            </w:r>
            <w:r w:rsidR="00356D69" w:rsidRPr="002F733E">
              <w:rPr>
                <w:b/>
                <w:bCs w:val="0"/>
              </w:rPr>
              <w:t xml:space="preserve"> from Cycle 3</w:t>
            </w:r>
            <w:r w:rsidR="00356D69" w:rsidRPr="002F733E">
              <w:rPr>
                <w:b/>
                <w:bCs w:val="0"/>
                <w:vertAlign w:val="superscript"/>
              </w:rPr>
              <w:t>i</w:t>
            </w:r>
            <w:r w:rsidRPr="002F733E">
              <w:rPr>
                <w:b/>
                <w:bCs w:val="0"/>
              </w:rPr>
              <w:t xml:space="preserve"> = effect on SLEDAI-2K per flare x flare duration / 6 months</w:t>
            </w:r>
          </w:p>
        </w:tc>
      </w:tr>
      <w:tr w:rsidR="002350C7" w:rsidRPr="002F733E" w14:paraId="49D0D098" w14:textId="77777777" w:rsidTr="002350C7">
        <w:tc>
          <w:tcPr>
            <w:tcW w:w="622" w:type="pct"/>
            <w:shd w:val="clear" w:color="auto" w:fill="C6D9F1" w:themeFill="text2" w:themeFillTint="33"/>
            <w:vAlign w:val="center"/>
          </w:tcPr>
          <w:p w14:paraId="09551EC4" w14:textId="77777777" w:rsidR="00915922" w:rsidRPr="002F733E" w:rsidRDefault="00915922" w:rsidP="00915922">
            <w:pPr>
              <w:pStyle w:val="TableText0"/>
            </w:pPr>
            <w:r w:rsidRPr="002F733E">
              <w:t>July 2022</w:t>
            </w:r>
          </w:p>
        </w:tc>
        <w:tc>
          <w:tcPr>
            <w:tcW w:w="555" w:type="pct"/>
            <w:shd w:val="clear" w:color="auto" w:fill="C6D9F1" w:themeFill="text2" w:themeFillTint="33"/>
            <w:vAlign w:val="center"/>
          </w:tcPr>
          <w:p w14:paraId="2189FF93" w14:textId="77777777" w:rsidR="00915922" w:rsidRPr="002F733E" w:rsidRDefault="00915922" w:rsidP="00915922">
            <w:pPr>
              <w:pStyle w:val="TableText0"/>
              <w:jc w:val="center"/>
            </w:pPr>
            <w:r w:rsidRPr="002F733E">
              <w:t>+1.11</w:t>
            </w:r>
          </w:p>
        </w:tc>
        <w:tc>
          <w:tcPr>
            <w:tcW w:w="586" w:type="pct"/>
            <w:shd w:val="clear" w:color="auto" w:fill="C6D9F1" w:themeFill="text2" w:themeFillTint="33"/>
            <w:vAlign w:val="center"/>
          </w:tcPr>
          <w:p w14:paraId="461E70FC" w14:textId="77777777" w:rsidR="00915922" w:rsidRPr="002F733E" w:rsidRDefault="00915922" w:rsidP="00915922">
            <w:pPr>
              <w:pStyle w:val="TableText0"/>
              <w:jc w:val="center"/>
            </w:pPr>
            <w:r w:rsidRPr="002F733E">
              <w:t>+1.95</w:t>
            </w:r>
          </w:p>
        </w:tc>
        <w:tc>
          <w:tcPr>
            <w:tcW w:w="555" w:type="pct"/>
            <w:shd w:val="clear" w:color="auto" w:fill="C6D9F1" w:themeFill="text2" w:themeFillTint="33"/>
            <w:vAlign w:val="center"/>
          </w:tcPr>
          <w:p w14:paraId="18E1516F" w14:textId="77777777" w:rsidR="00915922" w:rsidRPr="002F733E" w:rsidRDefault="00915922" w:rsidP="00915922">
            <w:pPr>
              <w:pStyle w:val="TableText0"/>
              <w:jc w:val="center"/>
            </w:pPr>
            <w:r w:rsidRPr="002F733E">
              <w:t>+2.59</w:t>
            </w:r>
          </w:p>
        </w:tc>
        <w:tc>
          <w:tcPr>
            <w:tcW w:w="607" w:type="pct"/>
            <w:shd w:val="clear" w:color="auto" w:fill="C6D9F1" w:themeFill="text2" w:themeFillTint="33"/>
            <w:vAlign w:val="center"/>
          </w:tcPr>
          <w:p w14:paraId="16FDD9A8" w14:textId="77777777" w:rsidR="00915922" w:rsidRPr="002F733E" w:rsidRDefault="00915922" w:rsidP="00915922">
            <w:pPr>
              <w:pStyle w:val="TableText0"/>
              <w:jc w:val="center"/>
            </w:pPr>
            <w:r w:rsidRPr="002F733E">
              <w:t>+4.55</w:t>
            </w:r>
          </w:p>
        </w:tc>
        <w:tc>
          <w:tcPr>
            <w:tcW w:w="2074" w:type="pct"/>
            <w:shd w:val="clear" w:color="auto" w:fill="C6D9F1" w:themeFill="text2" w:themeFillTint="33"/>
            <w:vAlign w:val="center"/>
          </w:tcPr>
          <w:p w14:paraId="2393BCB4" w14:textId="77777777" w:rsidR="00915922" w:rsidRPr="002F733E" w:rsidRDefault="00915922" w:rsidP="00915922">
            <w:pPr>
              <w:pStyle w:val="TableText0"/>
            </w:pPr>
            <w:r w:rsidRPr="002F733E">
              <w:t>As modelled</w:t>
            </w:r>
          </w:p>
        </w:tc>
      </w:tr>
      <w:tr w:rsidR="004D4387" w:rsidRPr="002F733E" w14:paraId="690F9F05" w14:textId="77777777" w:rsidTr="002350C7">
        <w:tc>
          <w:tcPr>
            <w:tcW w:w="622" w:type="pct"/>
            <w:vAlign w:val="center"/>
          </w:tcPr>
          <w:p w14:paraId="37AC9750" w14:textId="3D59A648" w:rsidR="008E0B16" w:rsidRPr="002F733E" w:rsidRDefault="008E0B16" w:rsidP="00D146B5">
            <w:pPr>
              <w:pStyle w:val="TableText0"/>
            </w:pPr>
            <w:r w:rsidRPr="002F733E">
              <w:t>Resubmission</w:t>
            </w:r>
          </w:p>
        </w:tc>
        <w:tc>
          <w:tcPr>
            <w:tcW w:w="555" w:type="pct"/>
            <w:vAlign w:val="center"/>
          </w:tcPr>
          <w:p w14:paraId="7335B293" w14:textId="55189E93" w:rsidR="008E0B16" w:rsidRPr="002F733E" w:rsidRDefault="008E0B16" w:rsidP="003B63F9">
            <w:pPr>
              <w:pStyle w:val="TableText0"/>
              <w:jc w:val="center"/>
            </w:pPr>
            <w:r w:rsidRPr="002F733E">
              <w:t>+2.16</w:t>
            </w:r>
          </w:p>
        </w:tc>
        <w:tc>
          <w:tcPr>
            <w:tcW w:w="586" w:type="pct"/>
            <w:vAlign w:val="center"/>
          </w:tcPr>
          <w:p w14:paraId="6E109B6C" w14:textId="1079E473" w:rsidR="008E0B16" w:rsidRPr="002F733E" w:rsidRDefault="008E0B16" w:rsidP="003B63F9">
            <w:pPr>
              <w:pStyle w:val="TableText0"/>
              <w:jc w:val="center"/>
            </w:pPr>
            <w:r w:rsidRPr="002F733E">
              <w:t>+3.80</w:t>
            </w:r>
          </w:p>
        </w:tc>
        <w:tc>
          <w:tcPr>
            <w:tcW w:w="555" w:type="pct"/>
            <w:vAlign w:val="center"/>
          </w:tcPr>
          <w:p w14:paraId="0E277F57" w14:textId="729F4E35" w:rsidR="008E0B16" w:rsidRPr="002F733E" w:rsidRDefault="008E0B16" w:rsidP="003B63F9">
            <w:pPr>
              <w:pStyle w:val="TableText0"/>
              <w:jc w:val="center"/>
            </w:pPr>
            <w:r w:rsidRPr="002F733E">
              <w:t>+2.33</w:t>
            </w:r>
          </w:p>
        </w:tc>
        <w:tc>
          <w:tcPr>
            <w:tcW w:w="607" w:type="pct"/>
            <w:vAlign w:val="center"/>
          </w:tcPr>
          <w:p w14:paraId="1C4CDEE3" w14:textId="251FCD8F" w:rsidR="008E0B16" w:rsidRPr="002F733E" w:rsidRDefault="008E0B16" w:rsidP="003B63F9">
            <w:pPr>
              <w:pStyle w:val="TableText0"/>
              <w:jc w:val="center"/>
            </w:pPr>
            <w:r w:rsidRPr="002F733E">
              <w:t>+4.09</w:t>
            </w:r>
          </w:p>
        </w:tc>
        <w:tc>
          <w:tcPr>
            <w:tcW w:w="2074" w:type="pct"/>
            <w:vAlign w:val="center"/>
          </w:tcPr>
          <w:p w14:paraId="1878208A" w14:textId="60768677" w:rsidR="008E0B16" w:rsidRPr="002F733E" w:rsidRDefault="00D146B5" w:rsidP="00D146B5">
            <w:pPr>
              <w:pStyle w:val="TableText0"/>
            </w:pPr>
            <w:r w:rsidRPr="002F733E">
              <w:t>As modelled</w:t>
            </w:r>
          </w:p>
        </w:tc>
      </w:tr>
    </w:tbl>
    <w:p w14:paraId="512650A5" w14:textId="77777777" w:rsidR="003B63F9" w:rsidRPr="002F733E" w:rsidDel="001C34B7" w:rsidRDefault="003B63F9" w:rsidP="003B63F9">
      <w:pPr>
        <w:pStyle w:val="TableFigureFooter"/>
        <w:rPr>
          <w:iCs/>
        </w:rPr>
      </w:pPr>
      <w:r w:rsidRPr="002F733E" w:rsidDel="001C34B7">
        <w:rPr>
          <w:iCs/>
          <w:szCs w:val="18"/>
          <w:shd w:val="clear" w:color="auto" w:fill="C6D9F1" w:themeFill="text2" w:themeFillTint="33"/>
        </w:rPr>
        <w:t>Blue</w:t>
      </w:r>
      <w:r w:rsidRPr="002F733E" w:rsidDel="001C34B7">
        <w:rPr>
          <w:iCs/>
          <w:szCs w:val="18"/>
        </w:rPr>
        <w:t xml:space="preserve"> shading represents information previously considered by the PBAC.</w:t>
      </w:r>
    </w:p>
    <w:p w14:paraId="402D57CC" w14:textId="13704A4D" w:rsidR="002E0C32" w:rsidRPr="002F733E" w:rsidRDefault="002E0C32" w:rsidP="003B63F9">
      <w:pPr>
        <w:pStyle w:val="TableFigureFooter"/>
      </w:pPr>
      <w:r w:rsidRPr="002F733E">
        <w:t xml:space="preserve">Source: compiled during the evaluation </w:t>
      </w:r>
    </w:p>
    <w:p w14:paraId="55DF2A3D" w14:textId="2E7C3EE8" w:rsidR="00897505" w:rsidRPr="002F733E" w:rsidRDefault="003D1024" w:rsidP="003B63F9">
      <w:pPr>
        <w:pStyle w:val="TableFigureFooter"/>
      </w:pPr>
      <w:r w:rsidRPr="002F733E">
        <w:t xml:space="preserve">APLC-AU= Asia Pacific Lupus Collaboration- Australian subgroup, </w:t>
      </w:r>
      <w:r w:rsidR="00897505" w:rsidRPr="002F733E">
        <w:t>SOC=standard of care, HR=hazard ratio</w:t>
      </w:r>
    </w:p>
    <w:p w14:paraId="2F901F62" w14:textId="26A3074E" w:rsidR="00897505" w:rsidRPr="002F733E" w:rsidRDefault="00897505" w:rsidP="003B63F9">
      <w:pPr>
        <w:pStyle w:val="TableFigureFooter"/>
      </w:pPr>
      <w:r w:rsidRPr="002F733E">
        <w:t>a</w:t>
      </w:r>
      <w:r w:rsidRPr="002F733E">
        <w:tab/>
        <w:t>including patients who discontinued anifrolumab</w:t>
      </w:r>
    </w:p>
    <w:p w14:paraId="1C5C0C8A" w14:textId="51DC6A1E" w:rsidR="00FB2F78" w:rsidRPr="002F733E" w:rsidRDefault="008E0B16" w:rsidP="002E0C32">
      <w:pPr>
        <w:pStyle w:val="TableFigureFooter"/>
      </w:pPr>
      <w:r w:rsidRPr="002F733E">
        <w:t>b</w:t>
      </w:r>
      <w:r w:rsidRPr="002F733E">
        <w:tab/>
      </w:r>
      <w:r w:rsidR="00FB2F78" w:rsidRPr="002F733E">
        <w:t>Mild/moderate flare definition SLEDAI-2K increase 3-6 points, severe flare definition SLEDAI-2K increase at least 7 points</w:t>
      </w:r>
    </w:p>
    <w:p w14:paraId="4D6668ED" w14:textId="443C0BA4" w:rsidR="00FB2F78" w:rsidRPr="002F733E" w:rsidRDefault="008E0B16" w:rsidP="002E0C32">
      <w:pPr>
        <w:pStyle w:val="TableFigureFooter"/>
      </w:pPr>
      <w:r w:rsidRPr="002F733E">
        <w:t>c</w:t>
      </w:r>
      <w:r w:rsidRPr="002F733E">
        <w:tab/>
      </w:r>
      <w:r w:rsidR="00FB2F78" w:rsidRPr="002F733E">
        <w:t>Standard deviation 0.9</w:t>
      </w:r>
    </w:p>
    <w:p w14:paraId="6D286573" w14:textId="05D8B6A8" w:rsidR="00FB2F78" w:rsidRPr="002F733E" w:rsidRDefault="008E0B16" w:rsidP="002E0C32">
      <w:pPr>
        <w:pStyle w:val="TableFigureFooter"/>
      </w:pPr>
      <w:r w:rsidRPr="002F733E">
        <w:t>d</w:t>
      </w:r>
      <w:r w:rsidRPr="002F733E">
        <w:tab/>
      </w:r>
      <w:r w:rsidR="00FB2F78" w:rsidRPr="002F733E">
        <w:t>Standard deviation 3.0</w:t>
      </w:r>
    </w:p>
    <w:p w14:paraId="413B8537" w14:textId="022CE542" w:rsidR="002E0C32" w:rsidRPr="002F733E" w:rsidRDefault="008E0B16" w:rsidP="002E0C32">
      <w:pPr>
        <w:pStyle w:val="TableFigureFooter"/>
      </w:pPr>
      <w:r w:rsidRPr="002F733E">
        <w:t>e</w:t>
      </w:r>
      <w:r w:rsidRPr="002F733E">
        <w:tab/>
      </w:r>
      <w:r w:rsidR="002E0C32" w:rsidRPr="002F733E">
        <w:t xml:space="preserve">Flare resolved </w:t>
      </w:r>
      <w:r w:rsidR="007B1F59" w:rsidRPr="002F733E">
        <w:t>if SLEDAI-2K reduced by at least 4 points</w:t>
      </w:r>
    </w:p>
    <w:p w14:paraId="78D5A34F" w14:textId="51D4F4AC" w:rsidR="002E0C32" w:rsidRPr="002F733E" w:rsidRDefault="008E0B16" w:rsidP="002E0C32">
      <w:pPr>
        <w:pStyle w:val="TableFigureFooter"/>
      </w:pPr>
      <w:r w:rsidRPr="002F733E">
        <w:t>f</w:t>
      </w:r>
      <w:r w:rsidRPr="002F733E">
        <w:tab/>
      </w:r>
      <w:r w:rsidR="002E0C32" w:rsidRPr="002F733E">
        <w:t>IQR 2.8 to 11.5 months</w:t>
      </w:r>
    </w:p>
    <w:p w14:paraId="4C7CB8FC" w14:textId="49A833B6" w:rsidR="002E0C32" w:rsidRPr="002F733E" w:rsidRDefault="008E0B16" w:rsidP="002E0C32">
      <w:pPr>
        <w:pStyle w:val="TableFigureFooter"/>
      </w:pPr>
      <w:r w:rsidRPr="002F733E">
        <w:t>g</w:t>
      </w:r>
      <w:r w:rsidRPr="002F733E">
        <w:tab/>
      </w:r>
      <w:r w:rsidR="002E0C32" w:rsidRPr="002F733E">
        <w:t>IQR 1.1 to 5.3 months</w:t>
      </w:r>
    </w:p>
    <w:p w14:paraId="1BC170D1" w14:textId="5540DFDC" w:rsidR="002E0C32" w:rsidRPr="002F733E" w:rsidRDefault="008E0B16" w:rsidP="002E0C32">
      <w:pPr>
        <w:pStyle w:val="TableFigureFooter"/>
      </w:pPr>
      <w:r w:rsidRPr="002F733E">
        <w:t>h</w:t>
      </w:r>
      <w:r w:rsidRPr="002F733E">
        <w:tab/>
      </w:r>
      <w:r w:rsidR="002E0C32" w:rsidRPr="002F733E">
        <w:t>SOC/1.76 based on HR 1.76 (95%CI 1.35, 2.30) from Morand et al. 2021</w:t>
      </w:r>
    </w:p>
    <w:p w14:paraId="34D8D12A" w14:textId="3AF95EDC" w:rsidR="00356D69" w:rsidRDefault="003D1024" w:rsidP="002E0C32">
      <w:pPr>
        <w:pStyle w:val="TableFigureFooter"/>
      </w:pPr>
      <w:r w:rsidRPr="002F733E">
        <w:t>i</w:t>
      </w:r>
      <w:r w:rsidR="00356D69" w:rsidRPr="002F733E">
        <w:tab/>
        <w:t>Cycles 1 and 2 used regression coefficients to estimate flare impact upon SLEDAI-2K</w:t>
      </w:r>
    </w:p>
    <w:p w14:paraId="0BB8E076" w14:textId="1F577D1D" w:rsidR="002350C7" w:rsidRPr="002350C7" w:rsidRDefault="002350C7" w:rsidP="002E0C32">
      <w:pPr>
        <w:pStyle w:val="TableFigureFooter"/>
        <w:rPr>
          <w:i/>
          <w:iCs/>
        </w:rPr>
      </w:pPr>
      <w:r w:rsidRPr="002350C7">
        <w:rPr>
          <w:i/>
          <w:iCs/>
        </w:rPr>
        <w:t>* Note that the results presented in Table 9 are derived from ad-hoc/ post-hoc analyses conducted by the applicant to input into the economic model specifically for the purposes of informing the PBAC consideration. These analyses were not part of the pre-specified statistical plan for the APLC. Interpretation of the results and their application should therefore be limited to seeking to understand the basis for the PBAC outcome and should not be used for any other purpose.</w:t>
      </w:r>
    </w:p>
    <w:p w14:paraId="374B4892" w14:textId="640A050A" w:rsidR="00BF7AF9" w:rsidRPr="002F733E" w:rsidRDefault="00C775AE" w:rsidP="00C775AE">
      <w:pPr>
        <w:pStyle w:val="3-BodyText"/>
      </w:pPr>
      <w:r w:rsidRPr="002F733E">
        <w:t xml:space="preserve">Flare duration was used to estimate </w:t>
      </w:r>
      <w:r w:rsidR="00ED0AA3" w:rsidRPr="002F733E">
        <w:t xml:space="preserve">the </w:t>
      </w:r>
      <w:r w:rsidRPr="002F733E">
        <w:t>change in SLEDAI-2K from Cycle 3 (after Year 1). The increase in SLEDAI-2K</w:t>
      </w:r>
      <w:r w:rsidR="00D146B5" w:rsidRPr="002F733E">
        <w:t xml:space="preserve"> as a result of</w:t>
      </w:r>
      <w:r w:rsidRPr="002F733E">
        <w:t xml:space="preserve"> flares was also updated </w:t>
      </w:r>
      <w:r w:rsidR="00F5117C" w:rsidRPr="002F733E">
        <w:t xml:space="preserve">for the resubmission </w:t>
      </w:r>
      <w:r w:rsidR="00022F73" w:rsidRPr="002F733E">
        <w:t xml:space="preserve">based on </w:t>
      </w:r>
      <w:r w:rsidRPr="002F733E">
        <w:t>APLC data</w:t>
      </w:r>
      <w:r w:rsidR="00D146B5" w:rsidRPr="002F733E">
        <w:t xml:space="preserve"> (see </w:t>
      </w:r>
      <w:r w:rsidR="00D146B5" w:rsidRPr="002F733E">
        <w:fldChar w:fldCharType="begin" w:fldLock="1"/>
      </w:r>
      <w:r w:rsidR="00D146B5" w:rsidRPr="002F733E">
        <w:instrText xml:space="preserve"> REF _Ref124772176 \h </w:instrText>
      </w:r>
      <w:r w:rsidR="00A1789B" w:rsidRPr="002F733E">
        <w:instrText xml:space="preserve"> \* MERGEFORMAT </w:instrText>
      </w:r>
      <w:r w:rsidR="00D146B5" w:rsidRPr="002F733E">
        <w:fldChar w:fldCharType="separate"/>
      </w:r>
      <w:r w:rsidR="00D146B5" w:rsidRPr="002F733E">
        <w:t>Table 9</w:t>
      </w:r>
      <w:r w:rsidR="00D146B5" w:rsidRPr="002F733E">
        <w:fldChar w:fldCharType="end"/>
      </w:r>
      <w:r w:rsidR="00D146B5" w:rsidRPr="002F733E">
        <w:t>)</w:t>
      </w:r>
      <w:r w:rsidR="00BF7AF9" w:rsidRPr="002F733E">
        <w:t>. The effect of no</w:t>
      </w:r>
      <w:r w:rsidR="00897505" w:rsidRPr="002F733E">
        <w:t>n-</w:t>
      </w:r>
      <w:r w:rsidR="00BF7AF9" w:rsidRPr="002F733E">
        <w:t xml:space="preserve">severe flares on SLEDAI-2K score per cycle was greatly increased compared to the July 2022 submission, primarily a result of the longer </w:t>
      </w:r>
      <w:r w:rsidR="00F5117C" w:rsidRPr="002F733E">
        <w:t>flare</w:t>
      </w:r>
      <w:r w:rsidR="00BF7AF9" w:rsidRPr="002F733E">
        <w:t xml:space="preserve"> duration</w:t>
      </w:r>
      <w:r w:rsidR="00897505" w:rsidRPr="002F733E">
        <w:t xml:space="preserve">. Each non-severe flare had </w:t>
      </w:r>
      <w:r w:rsidR="00F5117C" w:rsidRPr="002F733E">
        <w:t xml:space="preserve">a </w:t>
      </w:r>
      <w:r w:rsidR="00897505" w:rsidRPr="002F733E">
        <w:t xml:space="preserve">similar effect on the SLEDAI-2K score </w:t>
      </w:r>
      <w:r w:rsidR="00F5117C" w:rsidRPr="002F733E">
        <w:t xml:space="preserve">as a severe flare </w:t>
      </w:r>
      <w:r w:rsidR="00897505" w:rsidRPr="002F733E">
        <w:t>per model cycle, which may not be clinically plausible.</w:t>
      </w:r>
      <w:r w:rsidRPr="002F733E">
        <w:t xml:space="preserve"> </w:t>
      </w:r>
      <w:r w:rsidR="00BF7AF9" w:rsidRPr="002F733E">
        <w:t xml:space="preserve"> </w:t>
      </w:r>
    </w:p>
    <w:p w14:paraId="0B945DD0" w14:textId="39D26A59" w:rsidR="00C775AE" w:rsidRPr="002F733E" w:rsidRDefault="00BF7AF9" w:rsidP="00C775AE">
      <w:pPr>
        <w:pStyle w:val="3-BodyText"/>
      </w:pPr>
      <w:r w:rsidRPr="002F733E">
        <w:t>T</w:t>
      </w:r>
      <w:r w:rsidR="00C775AE" w:rsidRPr="002F733E">
        <w:t>he duration of flares did not directly affect OCS use, resource use or utility,</w:t>
      </w:r>
      <w:r w:rsidRPr="002F733E">
        <w:t xml:space="preserve"> which did not </w:t>
      </w:r>
      <w:r w:rsidR="00F5117C" w:rsidRPr="002F733E">
        <w:t>appear</w:t>
      </w:r>
      <w:r w:rsidRPr="002F733E">
        <w:t xml:space="preserve"> appropriate. It may </w:t>
      </w:r>
      <w:r w:rsidR="00F5117C" w:rsidRPr="002F733E">
        <w:t xml:space="preserve">also </w:t>
      </w:r>
      <w:r w:rsidRPr="002F733E">
        <w:t>not be reasonable to assume the same hazard ratio</w:t>
      </w:r>
      <w:r w:rsidR="00F5117C" w:rsidRPr="002F733E">
        <w:t xml:space="preserve"> for anifrolumab versus SOC in reduction of flare duration for </w:t>
      </w:r>
      <w:r w:rsidRPr="002F733E">
        <w:t xml:space="preserve">both </w:t>
      </w:r>
      <w:r w:rsidR="00C775AE" w:rsidRPr="002F733E">
        <w:t>non-severe and severe flares.</w:t>
      </w:r>
    </w:p>
    <w:p w14:paraId="55DFBD77" w14:textId="5449F171" w:rsidR="00C775AE" w:rsidRPr="002F733E" w:rsidRDefault="00C775AE" w:rsidP="00C775AE">
      <w:pPr>
        <w:pStyle w:val="3-BodyText"/>
      </w:pPr>
      <w:r w:rsidRPr="002F733E">
        <w:t xml:space="preserve">The </w:t>
      </w:r>
      <w:r w:rsidR="00A17709" w:rsidRPr="002F733E">
        <w:t xml:space="preserve">ESC noted that the </w:t>
      </w:r>
      <w:r w:rsidRPr="002F733E">
        <w:t>changes to flare duration and impact of flares on SLEDAI-2K were key drivers in the model and greatly favoured anifrolumab. If duration and effect on SLEDAI-2K were returned to the July 2022 submission inputs (all other changes kept), the ICER increased to $</w:t>
      </w:r>
      <w:r w:rsidR="00193CB4">
        <w:t>115,000</w:t>
      </w:r>
      <w:r w:rsidR="00612BA3">
        <w:t> </w:t>
      </w:r>
      <w:r w:rsidR="00193CB4">
        <w:t>to</w:t>
      </w:r>
      <w:r w:rsidR="00612BA3">
        <w:t> </w:t>
      </w:r>
      <w:r w:rsidR="00193CB4">
        <w:t>&lt;</w:t>
      </w:r>
      <w:r w:rsidR="00612BA3">
        <w:t> </w:t>
      </w:r>
      <w:r w:rsidR="00193CB4">
        <w:t>$135,000</w:t>
      </w:r>
      <w:r w:rsidRPr="002F733E">
        <w:t xml:space="preserve"> per QALY gained, compared to $</w:t>
      </w:r>
      <w:r w:rsidR="00193CB4">
        <w:t>75,000</w:t>
      </w:r>
      <w:r w:rsidR="00612BA3">
        <w:t> </w:t>
      </w:r>
      <w:r w:rsidR="00193CB4">
        <w:t>to</w:t>
      </w:r>
      <w:r w:rsidR="00612BA3">
        <w:t> </w:t>
      </w:r>
      <w:r w:rsidR="00193CB4">
        <w:t>&lt;</w:t>
      </w:r>
      <w:r w:rsidR="00612BA3">
        <w:t> </w:t>
      </w:r>
      <w:r w:rsidR="00193CB4">
        <w:t>$95,000</w:t>
      </w:r>
      <w:r w:rsidRPr="002F733E">
        <w:t xml:space="preserve"> in the base case.</w:t>
      </w:r>
      <w:r w:rsidR="00075D2A" w:rsidRPr="002F733E">
        <w:t xml:space="preserve"> The PSCR stated that anifrolumab resulted in a significant decrease in flare rates and a significantly faster return to low disease activity and</w:t>
      </w:r>
      <w:r w:rsidR="00A17709" w:rsidRPr="002F733E">
        <w:t>,</w:t>
      </w:r>
      <w:r w:rsidR="00075D2A" w:rsidRPr="002F733E">
        <w:t xml:space="preserve"> that as the</w:t>
      </w:r>
      <w:r w:rsidR="00BC4ADB" w:rsidRPr="002F733E">
        <w:t>s</w:t>
      </w:r>
      <w:r w:rsidR="00075D2A" w:rsidRPr="002F733E">
        <w:t xml:space="preserve">e </w:t>
      </w:r>
      <w:r w:rsidR="00BC4ADB" w:rsidRPr="002F733E">
        <w:t>we</w:t>
      </w:r>
      <w:r w:rsidR="00075D2A" w:rsidRPr="002F733E">
        <w:t>re the main treatment effects modelled in the economic analysis, then it was reasonable that the ICER w</w:t>
      </w:r>
      <w:r w:rsidR="00A17709" w:rsidRPr="002F733E">
        <w:t xml:space="preserve">as </w:t>
      </w:r>
      <w:r w:rsidR="00075D2A" w:rsidRPr="002F733E">
        <w:t>sensitive to changes in the</w:t>
      </w:r>
      <w:r w:rsidR="00A17709" w:rsidRPr="002F733E">
        <w:t>se outcomes</w:t>
      </w:r>
      <w:r w:rsidR="00075D2A" w:rsidRPr="002F733E">
        <w:t>.</w:t>
      </w:r>
    </w:p>
    <w:p w14:paraId="03747452" w14:textId="1508E027" w:rsidR="00C775AE" w:rsidRPr="002F733E" w:rsidRDefault="00C775AE" w:rsidP="00C775AE">
      <w:pPr>
        <w:pStyle w:val="3-BodyText"/>
      </w:pPr>
      <w:r w:rsidRPr="002F733E">
        <w:t xml:space="preserve">Organ damage incidence was unchanged from the July 2022 submission but was a key driver of the incremental costs in the resubmission. The model used parametric survival distributions to estimate organ damage each cycle, based on data from the JHLC, the coefficients and distribution of organ damage types based on ALRB. </w:t>
      </w:r>
      <w:r w:rsidR="00D82498" w:rsidRPr="002F733E">
        <w:t xml:space="preserve">The PSCR stated that </w:t>
      </w:r>
      <w:r w:rsidR="002F3345" w:rsidRPr="002F733E">
        <w:t xml:space="preserve">as </w:t>
      </w:r>
      <w:r w:rsidR="00D82498" w:rsidRPr="002F733E">
        <w:t>the 4 years of follow-up in TULIP LTE was insufficient to capture organ damage rates JHLC data</w:t>
      </w:r>
      <w:r w:rsidR="002F3345" w:rsidRPr="002F733E">
        <w:t>, which</w:t>
      </w:r>
      <w:r w:rsidR="00D82498" w:rsidRPr="002F733E">
        <w:t xml:space="preserve"> followed patients for over 20 years</w:t>
      </w:r>
      <w:r w:rsidR="002F3345" w:rsidRPr="002F733E">
        <w:t>, was used</w:t>
      </w:r>
      <w:r w:rsidR="00D82498" w:rsidRPr="002F733E">
        <w:t xml:space="preserve">. </w:t>
      </w:r>
      <w:r w:rsidR="002F3345" w:rsidRPr="002F733E">
        <w:t>The ESC noted that s</w:t>
      </w:r>
      <w:r w:rsidRPr="002F733E">
        <w:t xml:space="preserve">everal concerns with the organ damage modelling remained unaddressed by the resubmission: </w:t>
      </w:r>
    </w:p>
    <w:p w14:paraId="259F2B75" w14:textId="58EDA5D0" w:rsidR="00C775AE" w:rsidRPr="002F733E" w:rsidRDefault="00C775AE" w:rsidP="00C775AE">
      <w:pPr>
        <w:pStyle w:val="ListParagraph"/>
        <w:ind w:left="1134"/>
      </w:pPr>
      <w:r w:rsidRPr="002F733E">
        <w:t>The time horizon of the JHLC data</w:t>
      </w:r>
      <w:r w:rsidR="00897505" w:rsidRPr="002F733E">
        <w:t xml:space="preserve"> in NICE TA397</w:t>
      </w:r>
      <w:r w:rsidRPr="002F733E">
        <w:t xml:space="preserve"> was not described, and therefore it was unclear if organ damage estimates had been adjusted to 6-month cycles. The JHLC demographics also differed from the Australian population, e.g., regressions of the JHLC population were</w:t>
      </w:r>
      <w:r w:rsidR="004C5F71" w:rsidRPr="002F733E">
        <w:t xml:space="preserve"> derived from a population that was</w:t>
      </w:r>
      <w:r w:rsidRPr="002F733E">
        <w:t xml:space="preserve"> majority Caucasian </w:t>
      </w:r>
      <w:r w:rsidR="004C5F71" w:rsidRPr="002F733E">
        <w:t xml:space="preserve">with </w:t>
      </w:r>
      <w:r w:rsidRPr="002F733E">
        <w:t>approximately 40% of Black African Ancestry</w:t>
      </w:r>
      <w:r w:rsidRPr="002F733E" w:rsidDel="00191350">
        <w:t xml:space="preserve"> </w:t>
      </w:r>
      <w:r w:rsidRPr="002F733E">
        <w:t>(Hill et al. 2021</w:t>
      </w:r>
      <w:r w:rsidRPr="002F733E">
        <w:rPr>
          <w:vertAlign w:val="superscript"/>
        </w:rPr>
        <w:footnoteReference w:id="13"/>
      </w:r>
      <w:r w:rsidRPr="002F733E">
        <w:t>)</w:t>
      </w:r>
      <w:r w:rsidR="00897505" w:rsidRPr="002F733E">
        <w:t>, compared to majority Asian</w:t>
      </w:r>
      <w:r w:rsidR="004C5F71" w:rsidRPr="002F733E">
        <w:t xml:space="preserve"> (44%) </w:t>
      </w:r>
      <w:r w:rsidR="00897505" w:rsidRPr="002F733E">
        <w:t>in the APLC</w:t>
      </w:r>
      <w:r w:rsidR="004C5F71" w:rsidRPr="002F733E">
        <w:t xml:space="preserve"> Australian</w:t>
      </w:r>
      <w:r w:rsidR="00897505" w:rsidRPr="002F733E">
        <w:t xml:space="preserve"> HDAS subgroup</w:t>
      </w:r>
      <w:r w:rsidR="004C5F71" w:rsidRPr="002F733E">
        <w:t>, with 38.7% Caucasian</w:t>
      </w:r>
      <w:r w:rsidRPr="002F733E">
        <w:t>.</w:t>
      </w:r>
      <w:r w:rsidR="00075D2A" w:rsidRPr="002F733E">
        <w:t xml:space="preserve"> </w:t>
      </w:r>
    </w:p>
    <w:p w14:paraId="6652EDC9" w14:textId="0627ED4F" w:rsidR="00C775AE" w:rsidRPr="002F733E" w:rsidRDefault="00C775AE" w:rsidP="00C775AE">
      <w:pPr>
        <w:pStyle w:val="ListParagraph"/>
        <w:ind w:left="1134"/>
      </w:pPr>
      <w:r w:rsidRPr="002F733E">
        <w:t>Organ damage regression models were not dependent on existing organ damage within a particular system and very few were dependent upon damage in other systems or prior SDI score. In particular, patient history of specific organ damage was not modelled at baseline</w:t>
      </w:r>
      <w:r w:rsidR="008A372F" w:rsidRPr="002F733E">
        <w:t xml:space="preserve"> which </w:t>
      </w:r>
      <w:r w:rsidRPr="002F733E">
        <w:t xml:space="preserve">did not seem clinically reasonable. </w:t>
      </w:r>
      <w:r w:rsidR="00075D2A" w:rsidRPr="002F733E">
        <w:t xml:space="preserve">The PSCR stated that the JHLC </w:t>
      </w:r>
      <w:r w:rsidR="008A372F" w:rsidRPr="002F733E">
        <w:t xml:space="preserve">data </w:t>
      </w:r>
      <w:r w:rsidR="00075D2A" w:rsidRPr="002F733E">
        <w:t>showed cumulative disease activity was predictive of damage in most of the organ systems evaluated in the SDI.</w:t>
      </w:r>
    </w:p>
    <w:p w14:paraId="16792066" w14:textId="77777777" w:rsidR="00C775AE" w:rsidRPr="002F733E" w:rsidRDefault="00C775AE" w:rsidP="00C775AE">
      <w:pPr>
        <w:pStyle w:val="ListParagraph"/>
        <w:ind w:left="1134"/>
      </w:pPr>
      <w:r w:rsidRPr="002F733E">
        <w:t>OCS use and SLEDAI-2K were included in several of the regressions, therefore any uncertainty in these estimates would be exaggerated in the organ damage estimates.</w:t>
      </w:r>
    </w:p>
    <w:p w14:paraId="3FDC9D81" w14:textId="65FCE7D3" w:rsidR="00C775AE" w:rsidRPr="002F733E" w:rsidRDefault="00C775AE" w:rsidP="00C775AE">
      <w:pPr>
        <w:pStyle w:val="3-BodyText"/>
      </w:pPr>
      <w:r w:rsidRPr="002F733E">
        <w:t xml:space="preserve">As noted in </w:t>
      </w:r>
      <w:r w:rsidR="008A372F" w:rsidRPr="002F733E">
        <w:t xml:space="preserve">the </w:t>
      </w:r>
      <w:r w:rsidRPr="002F733E">
        <w:t>Comparative effectiveness</w:t>
      </w:r>
      <w:r w:rsidR="008A372F" w:rsidRPr="002F733E">
        <w:t xml:space="preserve"> section</w:t>
      </w:r>
      <w:r w:rsidRPr="002F733E">
        <w:t>, no difference in SDI score was identified between the anifrolumab and placebo arms of the TULIP LTE after a maximum of 4 years of follow up.</w:t>
      </w:r>
    </w:p>
    <w:p w14:paraId="64A73C3B" w14:textId="2EAEDE77" w:rsidR="00C775AE" w:rsidRPr="002F733E" w:rsidRDefault="00C775AE" w:rsidP="00C775AE">
      <w:pPr>
        <w:pStyle w:val="3-BodyText"/>
      </w:pPr>
      <w:r w:rsidRPr="002F733E">
        <w:rPr>
          <w:rFonts w:cstheme="minorHAnsi"/>
        </w:rPr>
        <w:fldChar w:fldCharType="begin" w:fldLock="1"/>
      </w:r>
      <w:r w:rsidRPr="002F733E">
        <w:rPr>
          <w:rFonts w:cstheme="minorHAnsi"/>
        </w:rPr>
        <w:instrText xml:space="preserve"> REF _Ref121668498  \* MERGEFORMAT </w:instrText>
      </w:r>
      <w:r w:rsidRPr="002F733E">
        <w:rPr>
          <w:rFonts w:cstheme="minorHAnsi"/>
        </w:rPr>
        <w:fldChar w:fldCharType="separate"/>
      </w:r>
      <w:r w:rsidR="001316D2" w:rsidRPr="002F733E">
        <w:t>Figure 1</w:t>
      </w:r>
      <w:r w:rsidRPr="002F733E">
        <w:rPr>
          <w:rFonts w:cstheme="minorHAnsi"/>
        </w:rPr>
        <w:fldChar w:fldCharType="end"/>
      </w:r>
      <w:r w:rsidRPr="002F733E">
        <w:rPr>
          <w:rFonts w:cstheme="minorHAnsi"/>
        </w:rPr>
        <w:t xml:space="preserve"> presents</w:t>
      </w:r>
      <w:r w:rsidRPr="002F733E">
        <w:t xml:space="preserve"> the modelled survival in the base case. The anifrolumab arm resulted in greater survival compared to SOC, and this survival benefit appeared to increase over the time horizon (at Year 5 survival was similar between the arms, compared to a 7% difference at Year 30). Unlike the 2022 submission, the ICER was not sensitive to mortality assumptions in the resubmission.</w:t>
      </w:r>
    </w:p>
    <w:p w14:paraId="7EBE9CE4" w14:textId="551563A9" w:rsidR="00C775AE" w:rsidRPr="002F733E" w:rsidRDefault="00C775AE" w:rsidP="00C775AE">
      <w:pPr>
        <w:pStyle w:val="Caption"/>
      </w:pPr>
      <w:bookmarkStart w:id="43" w:name="_Ref121668498"/>
      <w:r w:rsidRPr="002F733E">
        <w:t xml:space="preserve">Figure </w:t>
      </w:r>
      <w:fldSimple w:instr=" SEQ Figure \* ARABIC " w:fldLock="1">
        <w:r w:rsidR="001316D2" w:rsidRPr="002F733E">
          <w:t>1</w:t>
        </w:r>
      </w:fldSimple>
      <w:bookmarkEnd w:id="43"/>
      <w:r w:rsidRPr="002F733E">
        <w:t>: Modelled survival over 30 years</w:t>
      </w:r>
    </w:p>
    <w:tbl>
      <w:tblPr>
        <w:tblStyle w:val="TableGrid"/>
        <w:tblW w:w="0" w:type="auto"/>
        <w:tblLook w:val="04A0" w:firstRow="1" w:lastRow="0" w:firstColumn="1" w:lastColumn="0" w:noHBand="0" w:noVBand="1"/>
      </w:tblPr>
      <w:tblGrid>
        <w:gridCol w:w="4448"/>
        <w:gridCol w:w="4569"/>
      </w:tblGrid>
      <w:tr w:rsidR="00C775AE" w:rsidRPr="002F733E" w14:paraId="1A42939D" w14:textId="77777777" w:rsidTr="00C775AE">
        <w:tc>
          <w:tcPr>
            <w:tcW w:w="4448" w:type="dxa"/>
            <w:shd w:val="clear" w:color="auto" w:fill="C6D9F1" w:themeFill="text2" w:themeFillTint="33"/>
          </w:tcPr>
          <w:p w14:paraId="7195C186" w14:textId="77777777" w:rsidR="00C775AE" w:rsidRPr="002F733E" w:rsidRDefault="00C775AE" w:rsidP="00C775AE">
            <w:pPr>
              <w:pStyle w:val="In-tableHeading"/>
              <w:jc w:val="center"/>
              <w:rPr>
                <w:lang w:val="en-AU"/>
              </w:rPr>
            </w:pPr>
            <w:r w:rsidRPr="002F733E">
              <w:rPr>
                <w:lang w:val="en-AU"/>
              </w:rPr>
              <w:t>July 2022 submission</w:t>
            </w:r>
          </w:p>
        </w:tc>
        <w:tc>
          <w:tcPr>
            <w:tcW w:w="4569" w:type="dxa"/>
          </w:tcPr>
          <w:p w14:paraId="192E24B3" w14:textId="77777777" w:rsidR="00C775AE" w:rsidRPr="002F733E" w:rsidRDefault="00C775AE" w:rsidP="00C775AE">
            <w:pPr>
              <w:pStyle w:val="In-tableHeading"/>
              <w:jc w:val="center"/>
              <w:rPr>
                <w:lang w:val="en-AU"/>
              </w:rPr>
            </w:pPr>
            <w:r w:rsidRPr="002F733E">
              <w:rPr>
                <w:lang w:val="en-AU"/>
              </w:rPr>
              <w:t>Resubmission</w:t>
            </w:r>
          </w:p>
        </w:tc>
      </w:tr>
      <w:tr w:rsidR="00C775AE" w:rsidRPr="002F733E" w14:paraId="17153578" w14:textId="77777777" w:rsidTr="00C775AE">
        <w:tc>
          <w:tcPr>
            <w:tcW w:w="4448" w:type="dxa"/>
            <w:shd w:val="clear" w:color="auto" w:fill="C6D9F1" w:themeFill="text2" w:themeFillTint="33"/>
          </w:tcPr>
          <w:p w14:paraId="0725A470" w14:textId="77777777" w:rsidR="00C775AE" w:rsidRPr="002F733E" w:rsidRDefault="00C775AE" w:rsidP="00C775AE">
            <w:pPr>
              <w:pStyle w:val="TableFigureFooter"/>
            </w:pPr>
            <w:r w:rsidRPr="002F733E">
              <w:rPr>
                <w:noProof/>
              </w:rPr>
              <w:drawing>
                <wp:inline distT="0" distB="0" distL="0" distR="0" wp14:anchorId="17B33CE0" wp14:editId="032A1B99">
                  <wp:extent cx="2784143" cy="1722787"/>
                  <wp:effectExtent l="0" t="0" r="0" b="0"/>
                  <wp:docPr id="65" name="Picture 65" descr="Figure 1: Modelled survival over 3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descr="Figure 1: Modelled survival over 30 year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799532" cy="1732309"/>
                          </a:xfrm>
                          <a:prstGeom prst="rect">
                            <a:avLst/>
                          </a:prstGeom>
                          <a:noFill/>
                        </pic:spPr>
                      </pic:pic>
                    </a:graphicData>
                  </a:graphic>
                </wp:inline>
              </w:drawing>
            </w:r>
          </w:p>
        </w:tc>
        <w:tc>
          <w:tcPr>
            <w:tcW w:w="4569" w:type="dxa"/>
          </w:tcPr>
          <w:p w14:paraId="4A220B38" w14:textId="77777777" w:rsidR="00C775AE" w:rsidRPr="002F733E" w:rsidRDefault="00C775AE" w:rsidP="00C775AE">
            <w:pPr>
              <w:pStyle w:val="TableFigureFooter"/>
            </w:pPr>
            <w:r w:rsidRPr="002F733E">
              <w:rPr>
                <w:noProof/>
              </w:rPr>
              <w:drawing>
                <wp:inline distT="0" distB="0" distL="0" distR="0" wp14:anchorId="0BDDEF96" wp14:editId="7A06E88C">
                  <wp:extent cx="2864191" cy="1719978"/>
                  <wp:effectExtent l="0" t="0" r="0" b="0"/>
                  <wp:docPr id="66" name="Picture 66" descr="Figure 1: Modelled survival over 30 ye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descr="Figure 1: Modelled survival over 30 year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81925" cy="1730627"/>
                          </a:xfrm>
                          <a:prstGeom prst="rect">
                            <a:avLst/>
                          </a:prstGeom>
                          <a:noFill/>
                        </pic:spPr>
                      </pic:pic>
                    </a:graphicData>
                  </a:graphic>
                </wp:inline>
              </w:drawing>
            </w:r>
          </w:p>
        </w:tc>
      </w:tr>
    </w:tbl>
    <w:p w14:paraId="23B0F312" w14:textId="77777777" w:rsidR="00C775AE" w:rsidRPr="002F733E" w:rsidRDefault="00C775AE" w:rsidP="00C775AE">
      <w:pPr>
        <w:pStyle w:val="TableFigureFooter"/>
      </w:pPr>
      <w:r w:rsidRPr="002F733E">
        <w:rPr>
          <w:rStyle w:val="CommentReference"/>
          <w:b w:val="0"/>
          <w:bCs/>
          <w:sz w:val="16"/>
          <w:shd w:val="clear" w:color="auto" w:fill="B8CCE4" w:themeFill="accent1" w:themeFillTint="66"/>
        </w:rPr>
        <w:t xml:space="preserve">Blue </w:t>
      </w:r>
      <w:r w:rsidRPr="002F733E">
        <w:rPr>
          <w:rStyle w:val="CommentReference"/>
          <w:b w:val="0"/>
          <w:bCs/>
          <w:sz w:val="16"/>
        </w:rPr>
        <w:t>shading indicates data previously seen by the PBAC</w:t>
      </w:r>
    </w:p>
    <w:p w14:paraId="5669AF09" w14:textId="3219C376" w:rsidR="00C775AE" w:rsidRPr="002F733E" w:rsidRDefault="00C775AE" w:rsidP="00C775AE">
      <w:pPr>
        <w:pStyle w:val="TableFigureFooter"/>
      </w:pPr>
      <w:r w:rsidRPr="002F733E">
        <w:t>Source: Figure 3.7-8 of the July 2022 submission, Figure 3.7-8 of the resubmission</w:t>
      </w:r>
    </w:p>
    <w:p w14:paraId="216C5B97" w14:textId="706F3340" w:rsidR="0034439E" w:rsidRPr="002F733E" w:rsidRDefault="0034439E" w:rsidP="00C775AE">
      <w:pPr>
        <w:pStyle w:val="TableFigureFooter"/>
      </w:pPr>
      <w:r w:rsidRPr="002F733E">
        <w:t>SOC=standard of care</w:t>
      </w:r>
    </w:p>
    <w:p w14:paraId="2F6CE0A2" w14:textId="40E8EEEF" w:rsidR="00C775AE" w:rsidRPr="002F733E" w:rsidRDefault="00C775AE" w:rsidP="00C775AE">
      <w:pPr>
        <w:pStyle w:val="3-BodyText"/>
        <w:rPr>
          <w:iCs/>
        </w:rPr>
      </w:pPr>
      <w:r w:rsidRPr="002F733E">
        <w:t>Anifrolumab treatment discontinuation was estimated as 44.6% and 7.6% in Cycles 1 and 2 respectively, based on pooled TULIP 1 and 2 SLEDAI-2K</w:t>
      </w:r>
      <w:r w:rsidR="00E1507E" w:rsidRPr="002F733E">
        <w:t xml:space="preserve"> </w:t>
      </w:r>
      <w:r w:rsidRPr="002F733E">
        <w:rPr>
          <w:rFonts w:cstheme="minorHAnsi"/>
        </w:rPr>
        <w:t>≥</w:t>
      </w:r>
      <w:r w:rsidRPr="002F733E">
        <w:t xml:space="preserve"> 10 subgroup</w:t>
      </w:r>
      <w:r w:rsidR="00E1507E" w:rsidRPr="002F733E">
        <w:t xml:space="preserve"> results</w:t>
      </w:r>
      <w:r w:rsidRPr="002F733E">
        <w:t xml:space="preserve"> at Weeks 24 </w:t>
      </w:r>
      <w:r w:rsidR="00E1507E" w:rsidRPr="002F733E">
        <w:t xml:space="preserve">and </w:t>
      </w:r>
      <w:r w:rsidRPr="002F733E">
        <w:t>52</w:t>
      </w:r>
      <w:r w:rsidR="004C5F71" w:rsidRPr="002F733E">
        <w:t xml:space="preserve"> unchanged from the July 2022 submission</w:t>
      </w:r>
      <w:r w:rsidRPr="002F733E">
        <w:t>, and 6% from Cycle 3 onwards based on TULIP LTE (</w:t>
      </w:r>
      <w:r w:rsidR="00E1507E" w:rsidRPr="002F733E">
        <w:t xml:space="preserve">as compared </w:t>
      </w:r>
      <w:r w:rsidR="0050660E" w:rsidRPr="002F733E">
        <w:t>t</w:t>
      </w:r>
      <w:r w:rsidR="00E1507E" w:rsidRPr="002F733E">
        <w:t xml:space="preserve">o </w:t>
      </w:r>
      <w:r w:rsidRPr="002F733E">
        <w:t xml:space="preserve">7.2% from MUSE LTE in July 2022 submission). No discontinuation was assumed for SOC therapy (aside from adjustment of OCS use over time). </w:t>
      </w:r>
      <w:r w:rsidRPr="002F733E">
        <w:rPr>
          <w:iCs/>
        </w:rPr>
        <w:t xml:space="preserve">As shown in </w:t>
      </w:r>
      <w:r w:rsidRPr="002F733E">
        <w:rPr>
          <w:rFonts w:cstheme="minorHAnsi"/>
          <w:iCs/>
        </w:rPr>
        <w:fldChar w:fldCharType="begin" w:fldLock="1"/>
      </w:r>
      <w:r w:rsidRPr="002F733E">
        <w:rPr>
          <w:iCs/>
        </w:rPr>
        <w:instrText xml:space="preserve"> REF _Ref121668623  \* MERGEFORMAT </w:instrText>
      </w:r>
      <w:r w:rsidRPr="002F733E">
        <w:rPr>
          <w:rFonts w:cstheme="minorHAnsi"/>
          <w:iCs/>
        </w:rPr>
        <w:fldChar w:fldCharType="separate"/>
      </w:r>
      <w:r w:rsidR="001316D2" w:rsidRPr="002F733E">
        <w:rPr>
          <w:iCs/>
        </w:rPr>
        <w:t>Figure 2</w:t>
      </w:r>
      <w:r w:rsidRPr="002F733E">
        <w:rPr>
          <w:rFonts w:cstheme="minorHAnsi"/>
          <w:iCs/>
        </w:rPr>
        <w:fldChar w:fldCharType="end"/>
      </w:r>
      <w:r w:rsidRPr="002F733E">
        <w:rPr>
          <w:iCs/>
        </w:rPr>
        <w:t xml:space="preserve">, the constant discontinuation of anifrolumab resulted in 10% </w:t>
      </w:r>
      <w:r w:rsidR="0050660E" w:rsidRPr="002F733E">
        <w:rPr>
          <w:iCs/>
        </w:rPr>
        <w:t xml:space="preserve">of </w:t>
      </w:r>
      <w:r w:rsidRPr="002F733E">
        <w:rPr>
          <w:iCs/>
        </w:rPr>
        <w:t xml:space="preserve">patients still on treatment at Year 15, </w:t>
      </w:r>
      <w:r w:rsidR="00E1507E" w:rsidRPr="002F733E">
        <w:rPr>
          <w:iCs/>
        </w:rPr>
        <w:t>al</w:t>
      </w:r>
      <w:r w:rsidRPr="002F733E">
        <w:rPr>
          <w:iCs/>
        </w:rPr>
        <w:t>though benefits persisted to Year 30.</w:t>
      </w:r>
    </w:p>
    <w:p w14:paraId="7EF2840F" w14:textId="468476D6" w:rsidR="00C775AE" w:rsidRPr="002F733E" w:rsidRDefault="00C775AE" w:rsidP="00C775AE">
      <w:pPr>
        <w:pStyle w:val="TableFigureHeading"/>
      </w:pPr>
      <w:bookmarkStart w:id="44" w:name="_Ref121668623"/>
      <w:bookmarkStart w:id="45" w:name="_Toc97732046"/>
      <w:r w:rsidRPr="002F733E">
        <w:t xml:space="preserve">Figure </w:t>
      </w:r>
      <w:fldSimple w:instr=" SEQ Figure \* ARABIC " w:fldLock="1">
        <w:r w:rsidR="001316D2" w:rsidRPr="002F733E">
          <w:t>2</w:t>
        </w:r>
      </w:fldSimple>
      <w:bookmarkEnd w:id="44"/>
      <w:r w:rsidRPr="002F733E">
        <w:t>:</w:t>
      </w:r>
      <w:r w:rsidRPr="002F733E">
        <w:rPr>
          <w:rStyle w:val="CommentReference"/>
          <w:b/>
          <w:szCs w:val="24"/>
        </w:rPr>
        <w:t xml:space="preserve"> </w:t>
      </w:r>
      <w:r w:rsidRPr="002F733E">
        <w:t>Modelled proportion of patients on treatment</w:t>
      </w:r>
      <w:bookmarkEnd w:id="45"/>
    </w:p>
    <w:tbl>
      <w:tblPr>
        <w:tblStyle w:val="TableGrid"/>
        <w:tblW w:w="0" w:type="auto"/>
        <w:tblLook w:val="04A0" w:firstRow="1" w:lastRow="0" w:firstColumn="1" w:lastColumn="0" w:noHBand="0" w:noVBand="1"/>
      </w:tblPr>
      <w:tblGrid>
        <w:gridCol w:w="4509"/>
        <w:gridCol w:w="4508"/>
      </w:tblGrid>
      <w:tr w:rsidR="00C775AE" w:rsidRPr="002F733E" w14:paraId="37C4000E" w14:textId="77777777" w:rsidTr="00C775AE">
        <w:tc>
          <w:tcPr>
            <w:tcW w:w="4509" w:type="dxa"/>
            <w:shd w:val="clear" w:color="auto" w:fill="C6D9F1" w:themeFill="text2" w:themeFillTint="33"/>
          </w:tcPr>
          <w:p w14:paraId="38C13227" w14:textId="77777777" w:rsidR="00C775AE" w:rsidRPr="002F733E" w:rsidRDefault="00C775AE" w:rsidP="00C775AE">
            <w:pPr>
              <w:pStyle w:val="In-tableHeading"/>
              <w:jc w:val="center"/>
              <w:rPr>
                <w:lang w:val="en-AU"/>
              </w:rPr>
            </w:pPr>
            <w:r w:rsidRPr="002F733E">
              <w:rPr>
                <w:lang w:val="en-AU"/>
              </w:rPr>
              <w:t>July 2022 submission</w:t>
            </w:r>
          </w:p>
        </w:tc>
        <w:tc>
          <w:tcPr>
            <w:tcW w:w="4508" w:type="dxa"/>
          </w:tcPr>
          <w:p w14:paraId="66ADE200" w14:textId="77777777" w:rsidR="00C775AE" w:rsidRPr="002F733E" w:rsidRDefault="00C775AE" w:rsidP="00C775AE">
            <w:pPr>
              <w:pStyle w:val="In-tableHeading"/>
              <w:jc w:val="center"/>
              <w:rPr>
                <w:lang w:val="en-AU"/>
              </w:rPr>
            </w:pPr>
            <w:r w:rsidRPr="002F733E">
              <w:rPr>
                <w:lang w:val="en-AU"/>
              </w:rPr>
              <w:t>Resubmission</w:t>
            </w:r>
          </w:p>
        </w:tc>
      </w:tr>
      <w:tr w:rsidR="00C775AE" w:rsidRPr="002F733E" w14:paraId="2B4D07DA" w14:textId="77777777" w:rsidTr="00C775AE">
        <w:tc>
          <w:tcPr>
            <w:tcW w:w="4509" w:type="dxa"/>
            <w:shd w:val="clear" w:color="auto" w:fill="C6D9F1" w:themeFill="text2" w:themeFillTint="33"/>
          </w:tcPr>
          <w:p w14:paraId="7542DBB2" w14:textId="77777777" w:rsidR="00C775AE" w:rsidRPr="002F733E" w:rsidRDefault="00C775AE" w:rsidP="00C775AE">
            <w:pPr>
              <w:pStyle w:val="In-tableHeading"/>
              <w:jc w:val="center"/>
              <w:rPr>
                <w:lang w:val="en-AU"/>
              </w:rPr>
            </w:pPr>
            <w:r w:rsidRPr="002F733E">
              <w:rPr>
                <w:noProof/>
                <w:lang w:val="en-AU"/>
              </w:rPr>
              <w:drawing>
                <wp:inline distT="0" distB="0" distL="0" distR="0" wp14:anchorId="2CC24B9A" wp14:editId="049DCBA1">
                  <wp:extent cx="2860755" cy="1862919"/>
                  <wp:effectExtent l="0" t="0" r="0" b="4445"/>
                  <wp:docPr id="67" name="Picture 67" descr="Figure 2: Modelled proportion of patients on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descr="Figure 2: Modelled proportion of patients on treatmen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74949" cy="1872162"/>
                          </a:xfrm>
                          <a:prstGeom prst="rect">
                            <a:avLst/>
                          </a:prstGeom>
                          <a:noFill/>
                        </pic:spPr>
                      </pic:pic>
                    </a:graphicData>
                  </a:graphic>
                </wp:inline>
              </w:drawing>
            </w:r>
          </w:p>
        </w:tc>
        <w:tc>
          <w:tcPr>
            <w:tcW w:w="4508" w:type="dxa"/>
          </w:tcPr>
          <w:p w14:paraId="20F327DD" w14:textId="77777777" w:rsidR="00C775AE" w:rsidRPr="002F733E" w:rsidRDefault="00C775AE" w:rsidP="00C775AE">
            <w:pPr>
              <w:pStyle w:val="In-tableHeading"/>
              <w:jc w:val="center"/>
              <w:rPr>
                <w:lang w:val="en-AU"/>
              </w:rPr>
            </w:pPr>
            <w:r w:rsidRPr="002F733E">
              <w:rPr>
                <w:noProof/>
                <w:lang w:val="en-AU"/>
              </w:rPr>
              <w:drawing>
                <wp:inline distT="0" distB="0" distL="0" distR="0" wp14:anchorId="54CB29CA" wp14:editId="02F57BEA">
                  <wp:extent cx="2860042" cy="1862455"/>
                  <wp:effectExtent l="0" t="0" r="0" b="4445"/>
                  <wp:docPr id="68" name="Picture 68" descr="Figure 2: Modelled proportion of patients on treat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descr="Figure 2: Modelled proportion of patients on treatmen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72999" cy="1870893"/>
                          </a:xfrm>
                          <a:prstGeom prst="rect">
                            <a:avLst/>
                          </a:prstGeom>
                          <a:noFill/>
                        </pic:spPr>
                      </pic:pic>
                    </a:graphicData>
                  </a:graphic>
                </wp:inline>
              </w:drawing>
            </w:r>
          </w:p>
        </w:tc>
      </w:tr>
    </w:tbl>
    <w:p w14:paraId="4533035F" w14:textId="77777777" w:rsidR="00C775AE" w:rsidRPr="002F733E" w:rsidRDefault="00C775AE" w:rsidP="00C775AE">
      <w:pPr>
        <w:pStyle w:val="TableFigureFooter"/>
      </w:pPr>
      <w:r w:rsidRPr="002F733E">
        <w:rPr>
          <w:rStyle w:val="CommentReference"/>
          <w:b w:val="0"/>
          <w:bCs/>
          <w:sz w:val="16"/>
          <w:shd w:val="clear" w:color="auto" w:fill="B8CCE4" w:themeFill="accent1" w:themeFillTint="66"/>
        </w:rPr>
        <w:t xml:space="preserve">Blue </w:t>
      </w:r>
      <w:r w:rsidRPr="002F733E">
        <w:rPr>
          <w:rStyle w:val="CommentReference"/>
          <w:b w:val="0"/>
          <w:bCs/>
          <w:sz w:val="16"/>
        </w:rPr>
        <w:t>shading indicates data previously seen by the PBAC</w:t>
      </w:r>
    </w:p>
    <w:p w14:paraId="511530CC" w14:textId="77777777" w:rsidR="00C775AE" w:rsidRPr="002F733E" w:rsidRDefault="00C775AE" w:rsidP="00C775AE">
      <w:pPr>
        <w:pStyle w:val="TableFigureFooter"/>
      </w:pPr>
      <w:r w:rsidRPr="002F733E">
        <w:t>Source: Figure 3.7-1 of the July 2022 submission and Sheet ‘Summary’ of the Excel workbook ‘CE model_anifrolumab_SLE_Nov2022.xlsm’ resubmission.</w:t>
      </w:r>
    </w:p>
    <w:p w14:paraId="34FDE16B" w14:textId="77777777" w:rsidR="00C775AE" w:rsidRPr="002F733E" w:rsidRDefault="00C775AE" w:rsidP="00C775AE">
      <w:pPr>
        <w:pStyle w:val="TableFigureFooter"/>
      </w:pPr>
      <w:r w:rsidRPr="002F733E">
        <w:t>Figure 3.7-1 of the resubmission did not appear to have been updated and was identical to the July 2022 submission</w:t>
      </w:r>
    </w:p>
    <w:p w14:paraId="0ABDA183" w14:textId="32567E8B" w:rsidR="00C775AE" w:rsidRPr="002F733E" w:rsidRDefault="00C775AE" w:rsidP="00C775AE">
      <w:pPr>
        <w:pStyle w:val="3-BodyText"/>
      </w:pPr>
      <w:r w:rsidRPr="002F733E">
        <w:t>The submission estimated utilities each cycle based on a linear regression of patient characteristics and response to treatment from the pooled ITT data from the TULIP trials and TULIP LTE. This was reasonable as utilities predicted from patients with SLEDAI-2K</w:t>
      </w:r>
      <w:r w:rsidR="008A372F" w:rsidRPr="002F733E">
        <w:t xml:space="preserve"> </w:t>
      </w:r>
      <w:r w:rsidRPr="002F733E">
        <w:rPr>
          <w:rFonts w:cstheme="minorHAnsi"/>
        </w:rPr>
        <w:t>≥</w:t>
      </w:r>
      <w:r w:rsidRPr="002F733E">
        <w:t xml:space="preserve">10 would likely not be representative of patients with a lower score (which patients in the model were likely to move to). However, this </w:t>
      </w:r>
      <w:r w:rsidR="00E1507E" w:rsidRPr="002F733E">
        <w:t>result</w:t>
      </w:r>
      <w:r w:rsidR="00CE2C5B" w:rsidRPr="002F733E">
        <w:t>ed</w:t>
      </w:r>
      <w:r w:rsidR="00E1507E" w:rsidRPr="002F733E">
        <w:t xml:space="preserve"> in</w:t>
      </w:r>
      <w:r w:rsidRPr="002F733E">
        <w:t xml:space="preserve"> the utility estimates </w:t>
      </w:r>
      <w:r w:rsidR="00E1507E" w:rsidRPr="002F733E">
        <w:t xml:space="preserve">being </w:t>
      </w:r>
      <w:r w:rsidRPr="002F733E">
        <w:t>inconsistent with the transition probability estimates.</w:t>
      </w:r>
    </w:p>
    <w:p w14:paraId="27E9D7B0" w14:textId="3873105C" w:rsidR="00C775AE" w:rsidRPr="002F733E" w:rsidRDefault="00C775AE" w:rsidP="00C775AE">
      <w:pPr>
        <w:pStyle w:val="3-BodyText"/>
      </w:pPr>
      <w:r w:rsidRPr="002F733E">
        <w:t>The resubmission corrected an error in the July 2022 submission where the coefficient for log(age) was omitted from the utility estimates. Unlike the transition probabilities where the same covariates were chosen for the pooled TULIP 1 and 2 analysis and the TULIP LTE analysis, different covariates were chosen for Cycle 3 onwards.</w:t>
      </w:r>
      <w:r w:rsidR="004C5F71" w:rsidRPr="002F733E">
        <w:t xml:space="preserve"> It was unclear if a consistent approach to choosing covariates had been conducted across the regression analyses presented in the model, </w:t>
      </w:r>
      <w:r w:rsidR="00F92484" w:rsidRPr="002F733E">
        <w:t>and therefore it was unclear whether this was appropriate.</w:t>
      </w:r>
      <w:r w:rsidRPr="002F733E">
        <w:t xml:space="preserve"> Organ damage disutility was </w:t>
      </w:r>
      <w:r w:rsidR="006663B2" w:rsidRPr="002F733E">
        <w:t xml:space="preserve">derived </w:t>
      </w:r>
      <w:r w:rsidRPr="002F733E">
        <w:t>separately and unchanged from the July 2022 submission.</w:t>
      </w:r>
    </w:p>
    <w:p w14:paraId="2AD10F06" w14:textId="34F013FF" w:rsidR="00C775AE" w:rsidRPr="002F733E" w:rsidRDefault="00C775AE" w:rsidP="00C775AE">
      <w:pPr>
        <w:pStyle w:val="3-BodyText"/>
      </w:pPr>
      <w:r w:rsidRPr="002F733E">
        <w:t xml:space="preserve">In comparison to the July 2022 submission where utilities in the absence of organ damage were high (average &gt;0.87 across the time horizon), utilities in the absence of organ damage in the resubmission were low (average 0.281 for the anifrolumab arm, 0.252 for the SOC arm across the time horizon), but the difference in mean utility across arms was larger than the July 2022 submission (0.030 versus 0.001). The resubmission did not validate the utilities </w:t>
      </w:r>
      <w:r w:rsidR="00E1507E" w:rsidRPr="002F733E">
        <w:t xml:space="preserve">with </w:t>
      </w:r>
      <w:r w:rsidRPr="002F733E">
        <w:t xml:space="preserve">external data or </w:t>
      </w:r>
      <w:r w:rsidR="00CE2C5B" w:rsidRPr="002F733E">
        <w:t xml:space="preserve">with </w:t>
      </w:r>
      <w:r w:rsidRPr="002F733E">
        <w:t>the TULIP LTE data, and the modelled mean utility d</w:t>
      </w:r>
      <w:r w:rsidR="00E1507E" w:rsidRPr="002F733E">
        <w:t>id</w:t>
      </w:r>
      <w:r w:rsidRPr="002F733E">
        <w:t xml:space="preserve"> not appear to reflect the TULIP LTE utility estimates of 0.614-0.615 at baseline, increasing </w:t>
      </w:r>
      <w:r w:rsidR="00E1507E" w:rsidRPr="002F733E">
        <w:t xml:space="preserve">at </w:t>
      </w:r>
      <w:r w:rsidRPr="002F733E">
        <w:t xml:space="preserve">the end of 4 years of follow-up by 0.088 in the anifrolumab arm and 0.017 in the SOC arm (p116, TULIP LTE CSR). In comparison, average utility in the absence of organ damage decreased from baseline and was predicted to be 0.401 in the anifrolumab arm and 0.316 in the SOC arm at 4 years. Example QALYs per cycle over the time horizon for a single SOC patient are presented in </w:t>
      </w:r>
      <w:r w:rsidR="0090762C">
        <w:fldChar w:fldCharType="begin" w:fldLock="1"/>
      </w:r>
      <w:r w:rsidR="0090762C">
        <w:instrText xml:space="preserve"> REF _Ref121668937  \* MERGEFORMAT </w:instrText>
      </w:r>
      <w:r w:rsidR="0090762C">
        <w:fldChar w:fldCharType="separate"/>
      </w:r>
      <w:r w:rsidR="001316D2" w:rsidRPr="002F733E">
        <w:t>Figure 3</w:t>
      </w:r>
      <w:r w:rsidR="0090762C">
        <w:fldChar w:fldCharType="end"/>
      </w:r>
      <w:r w:rsidRPr="002F733E">
        <w:t xml:space="preserve"> and demonstrate that patients could have very low quality of life, even 0, for multiple cycles of the model.</w:t>
      </w:r>
      <w:r w:rsidR="00D30176" w:rsidRPr="002F733E">
        <w:t xml:space="preserve"> The PSCR stated that TULIP LTE </w:t>
      </w:r>
      <w:r w:rsidR="00237361" w:rsidRPr="002F733E">
        <w:t>provided t</w:t>
      </w:r>
      <w:r w:rsidR="00D30176" w:rsidRPr="002F733E">
        <w:t>he best available quality of life data</w:t>
      </w:r>
      <w:r w:rsidR="00237361" w:rsidRPr="002F733E">
        <w:t>. The PSCR noted that although the TULIP LTE and TULIP 1 and 2 datasets underwent the same mapping and model selection processes, the TULIP LTE utilities were derived from using the EQ-5D-3L questionnaire, whereas the TULIP 1 and 2 utilities were derived using the EQ-5D-5L questionnaire.</w:t>
      </w:r>
      <w:r w:rsidR="00BC4ADB" w:rsidRPr="002F733E">
        <w:t xml:space="preserve"> The ESC noted that the PSCR did not address the concern that patients could have zero utility in multiple cycles </w:t>
      </w:r>
      <w:r w:rsidR="00A17709" w:rsidRPr="002F733E">
        <w:t xml:space="preserve">(see Figure 3) </w:t>
      </w:r>
      <w:r w:rsidR="00BC4ADB" w:rsidRPr="002F733E">
        <w:t>and did not adequately justify why the utility was estimated to be significantly lower than predicted in July 2022</w:t>
      </w:r>
      <w:r w:rsidR="00A17709" w:rsidRPr="002F733E">
        <w:t>, particularly considering the utility at Year 4 for patients in TU</w:t>
      </w:r>
      <w:r w:rsidR="008A372F" w:rsidRPr="002F733E">
        <w:t>LIP</w:t>
      </w:r>
      <w:r w:rsidR="00A17709" w:rsidRPr="002F733E">
        <w:t xml:space="preserve"> LTE was approximately 0.7.</w:t>
      </w:r>
      <w:r w:rsidR="00AD66FF" w:rsidRPr="002F733E">
        <w:t xml:space="preserve"> </w:t>
      </w:r>
    </w:p>
    <w:p w14:paraId="313A1D24" w14:textId="0142D0D7" w:rsidR="00C775AE" w:rsidRPr="002F733E" w:rsidRDefault="00C775AE" w:rsidP="00C775AE">
      <w:pPr>
        <w:pStyle w:val="TableFigureHeading"/>
        <w:rPr>
          <w:rStyle w:val="CommentReference"/>
          <w:b/>
          <w:szCs w:val="24"/>
        </w:rPr>
      </w:pPr>
      <w:bookmarkStart w:id="46" w:name="_Ref121668937"/>
      <w:r w:rsidRPr="002F733E">
        <w:t xml:space="preserve">Figure </w:t>
      </w:r>
      <w:fldSimple w:instr=" SEQ Figure \* ARABIC " w:fldLock="1">
        <w:r w:rsidR="001316D2" w:rsidRPr="002F733E">
          <w:t>3</w:t>
        </w:r>
      </w:fldSimple>
      <w:bookmarkEnd w:id="46"/>
      <w:r w:rsidRPr="002F733E">
        <w:t xml:space="preserve">: </w:t>
      </w:r>
      <w:r w:rsidRPr="002F733E">
        <w:rPr>
          <w:rStyle w:val="CommentReference"/>
          <w:b/>
          <w:szCs w:val="24"/>
        </w:rPr>
        <w:t>QALYs per 6-month cycle for a single patient from the SOC arm</w:t>
      </w:r>
    </w:p>
    <w:p w14:paraId="1D7CBE41" w14:textId="77777777" w:rsidR="00C775AE" w:rsidRPr="002F733E" w:rsidRDefault="00C775AE" w:rsidP="00C775AE">
      <w:r w:rsidRPr="002F733E">
        <w:rPr>
          <w:noProof/>
        </w:rPr>
        <w:drawing>
          <wp:inline distT="0" distB="0" distL="0" distR="0" wp14:anchorId="090AA5E8" wp14:editId="112D7952">
            <wp:extent cx="4924868" cy="3223977"/>
            <wp:effectExtent l="0" t="0" r="9525" b="0"/>
            <wp:docPr id="69" name="Picture 69" descr="Figure 3: QALYs per 6-month cycle for a single patient from the SOC a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descr="Figure 3: QALYs per 6-month cycle for a single patient from the SOC arm"/>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937919" cy="3232521"/>
                    </a:xfrm>
                    <a:prstGeom prst="rect">
                      <a:avLst/>
                    </a:prstGeom>
                    <a:noFill/>
                  </pic:spPr>
                </pic:pic>
              </a:graphicData>
            </a:graphic>
          </wp:inline>
        </w:drawing>
      </w:r>
    </w:p>
    <w:p w14:paraId="559B84BA" w14:textId="77777777" w:rsidR="00C775AE" w:rsidRPr="002F733E" w:rsidRDefault="00C775AE" w:rsidP="00C775AE">
      <w:pPr>
        <w:pStyle w:val="TableFigureFooter"/>
        <w:rPr>
          <w:iCs/>
        </w:rPr>
      </w:pPr>
      <w:r w:rsidRPr="002F733E">
        <w:rPr>
          <w:iCs/>
        </w:rPr>
        <w:t xml:space="preserve">Source: compiled during the evaluation. </w:t>
      </w:r>
    </w:p>
    <w:p w14:paraId="4A3FA77D" w14:textId="37C9049A" w:rsidR="00C775AE" w:rsidRPr="002F733E" w:rsidRDefault="00C775AE" w:rsidP="00C775AE">
      <w:pPr>
        <w:pStyle w:val="TableFigureFooter"/>
        <w:rPr>
          <w:iCs/>
        </w:rPr>
      </w:pPr>
      <w:r w:rsidRPr="002F733E">
        <w:rPr>
          <w:iCs/>
        </w:rPr>
        <w:t>QALY=quality adjusted life year</w:t>
      </w:r>
      <w:r w:rsidR="0034439E" w:rsidRPr="002F733E">
        <w:rPr>
          <w:iCs/>
        </w:rPr>
        <w:t>, SOC=standard of care</w:t>
      </w:r>
    </w:p>
    <w:p w14:paraId="07095109" w14:textId="7A57DC88" w:rsidR="00C775AE" w:rsidRPr="002F733E" w:rsidRDefault="00A3335C" w:rsidP="00C775AE">
      <w:pPr>
        <w:pStyle w:val="TableFigureFooter"/>
        <w:rPr>
          <w:iCs/>
        </w:rPr>
      </w:pPr>
      <w:r w:rsidRPr="002F733E">
        <w:rPr>
          <w:iCs/>
        </w:rPr>
        <w:t>As each cycle length=0.5 years, there is a m</w:t>
      </w:r>
      <w:r w:rsidR="00C775AE" w:rsidRPr="002F733E">
        <w:rPr>
          <w:iCs/>
        </w:rPr>
        <w:t>aximum</w:t>
      </w:r>
      <w:r w:rsidRPr="002F733E">
        <w:rPr>
          <w:iCs/>
        </w:rPr>
        <w:t xml:space="preserve"> of</w:t>
      </w:r>
      <w:r w:rsidR="00C775AE" w:rsidRPr="002F733E">
        <w:rPr>
          <w:iCs/>
        </w:rPr>
        <w:t xml:space="preserve"> 0.5 QALYs per cycle (</w:t>
      </w:r>
      <w:r w:rsidR="00EC1082" w:rsidRPr="002F733E">
        <w:rPr>
          <w:iCs/>
        </w:rPr>
        <w:t>i.e.</w:t>
      </w:r>
      <w:r w:rsidR="00C775AE" w:rsidRPr="002F733E">
        <w:rPr>
          <w:iCs/>
        </w:rPr>
        <w:t xml:space="preserve"> </w:t>
      </w:r>
      <w:r w:rsidRPr="002F733E">
        <w:rPr>
          <w:iCs/>
        </w:rPr>
        <w:t>full health utility =1 x 0.5LYs = 0.5 QALYs)</w:t>
      </w:r>
    </w:p>
    <w:p w14:paraId="5DE3E6A2" w14:textId="3788A3D0" w:rsidR="00C775AE" w:rsidRPr="002F733E" w:rsidRDefault="00C775AE" w:rsidP="00C775AE">
      <w:pPr>
        <w:pStyle w:val="3-BodyText"/>
      </w:pPr>
      <w:r w:rsidRPr="002F733E">
        <w:t>The resubmission did not present health state allocation plots. The figure below was constructed during the evaluation. In the anifrolumab arm, the majority of patients were alive and off-treatment by Year 2. The health state allocation plots demonstrate the reduced survival compared to July 2022 submission in both arms, plus the reduced survival benefit of anifrolumab over SOC and the slight increase in time on treatment for anifrolumab.</w:t>
      </w:r>
    </w:p>
    <w:p w14:paraId="0B13AA46" w14:textId="54C6F915" w:rsidR="00C775AE" w:rsidRPr="002F733E" w:rsidRDefault="00C775AE" w:rsidP="00C775AE">
      <w:pPr>
        <w:pStyle w:val="TableFigureHeading"/>
        <w:rPr>
          <w:rStyle w:val="CommentReference"/>
          <w:b/>
          <w:szCs w:val="24"/>
        </w:rPr>
      </w:pPr>
      <w:bookmarkStart w:id="47" w:name="_Ref121668295"/>
      <w:bookmarkStart w:id="48" w:name="_Hlk121582442"/>
      <w:r w:rsidRPr="002F733E">
        <w:t xml:space="preserve">Figure </w:t>
      </w:r>
      <w:fldSimple w:instr=" SEQ Figure \* ARABIC " w:fldLock="1">
        <w:r w:rsidR="001316D2" w:rsidRPr="002F733E">
          <w:t>4</w:t>
        </w:r>
      </w:fldSimple>
      <w:bookmarkEnd w:id="47"/>
      <w:r w:rsidRPr="002F733E">
        <w:t xml:space="preserve">: </w:t>
      </w:r>
      <w:r w:rsidRPr="002F733E">
        <w:rPr>
          <w:rStyle w:val="CommentReference"/>
          <w:b/>
          <w:szCs w:val="24"/>
        </w:rPr>
        <w:t>Health state allocation in the economic evaluation</w:t>
      </w:r>
    </w:p>
    <w:tbl>
      <w:tblPr>
        <w:tblStyle w:val="TableGrid"/>
        <w:tblW w:w="0" w:type="auto"/>
        <w:tblLook w:val="04A0" w:firstRow="1" w:lastRow="0" w:firstColumn="1" w:lastColumn="0" w:noHBand="0" w:noVBand="1"/>
      </w:tblPr>
      <w:tblGrid>
        <w:gridCol w:w="4508"/>
        <w:gridCol w:w="4509"/>
      </w:tblGrid>
      <w:tr w:rsidR="00C775AE" w:rsidRPr="002F733E" w14:paraId="73567117" w14:textId="77777777" w:rsidTr="00C775AE">
        <w:tc>
          <w:tcPr>
            <w:tcW w:w="4508" w:type="dxa"/>
            <w:shd w:val="clear" w:color="auto" w:fill="C6D9F1" w:themeFill="text2" w:themeFillTint="33"/>
          </w:tcPr>
          <w:bookmarkEnd w:id="48"/>
          <w:p w14:paraId="0C77F59B" w14:textId="77777777" w:rsidR="00C775AE" w:rsidRPr="002F733E" w:rsidRDefault="00C775AE" w:rsidP="0034439E">
            <w:pPr>
              <w:pStyle w:val="In-tableHeading"/>
              <w:jc w:val="center"/>
              <w:rPr>
                <w:iCs/>
                <w:lang w:val="en-AU"/>
              </w:rPr>
            </w:pPr>
            <w:r w:rsidRPr="002F733E">
              <w:rPr>
                <w:iCs/>
                <w:lang w:val="en-AU"/>
              </w:rPr>
              <w:t>July 2022 submission</w:t>
            </w:r>
          </w:p>
        </w:tc>
        <w:tc>
          <w:tcPr>
            <w:tcW w:w="4509" w:type="dxa"/>
          </w:tcPr>
          <w:p w14:paraId="7115FB4B" w14:textId="77777777" w:rsidR="00C775AE" w:rsidRPr="002F733E" w:rsidRDefault="00C775AE" w:rsidP="0034439E">
            <w:pPr>
              <w:pStyle w:val="In-tableHeading"/>
              <w:jc w:val="center"/>
              <w:rPr>
                <w:iCs/>
                <w:lang w:val="en-AU"/>
              </w:rPr>
            </w:pPr>
            <w:r w:rsidRPr="002F733E">
              <w:rPr>
                <w:iCs/>
                <w:lang w:val="en-AU"/>
              </w:rPr>
              <w:t>Resubmission</w:t>
            </w:r>
          </w:p>
        </w:tc>
      </w:tr>
      <w:tr w:rsidR="00C775AE" w:rsidRPr="002F733E" w14:paraId="1D24E82E" w14:textId="77777777" w:rsidTr="00C775AE">
        <w:tc>
          <w:tcPr>
            <w:tcW w:w="4508" w:type="dxa"/>
            <w:shd w:val="clear" w:color="auto" w:fill="C6D9F1" w:themeFill="text2" w:themeFillTint="33"/>
          </w:tcPr>
          <w:p w14:paraId="563D8181" w14:textId="77777777" w:rsidR="00C775AE" w:rsidRPr="002F733E" w:rsidRDefault="00C775AE" w:rsidP="00C775AE">
            <w:pPr>
              <w:pStyle w:val="In-tableHeading"/>
              <w:rPr>
                <w:lang w:val="en-AU"/>
              </w:rPr>
            </w:pPr>
            <w:r w:rsidRPr="002F733E">
              <w:rPr>
                <w:noProof/>
                <w:lang w:val="en-AU"/>
              </w:rPr>
              <w:drawing>
                <wp:inline distT="0" distB="0" distL="0" distR="0" wp14:anchorId="18E53924" wp14:editId="788EDFD6">
                  <wp:extent cx="2757735" cy="1800000"/>
                  <wp:effectExtent l="0" t="0" r="5080" b="0"/>
                  <wp:docPr id="218" name="Picture 218" descr="Figure 4: Health state allocation in the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Picture 218" descr="Figure 4: Health state allocation in the economic evaluati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757735" cy="1800000"/>
                          </a:xfrm>
                          <a:prstGeom prst="rect">
                            <a:avLst/>
                          </a:prstGeom>
                          <a:noFill/>
                          <a:ln>
                            <a:noFill/>
                          </a:ln>
                        </pic:spPr>
                      </pic:pic>
                    </a:graphicData>
                  </a:graphic>
                </wp:inline>
              </w:drawing>
            </w:r>
          </w:p>
        </w:tc>
        <w:tc>
          <w:tcPr>
            <w:tcW w:w="4509" w:type="dxa"/>
          </w:tcPr>
          <w:p w14:paraId="109E1F56" w14:textId="77777777" w:rsidR="00C775AE" w:rsidRPr="002F733E" w:rsidRDefault="00C775AE" w:rsidP="00C775AE">
            <w:pPr>
              <w:pStyle w:val="In-tableHeading"/>
              <w:rPr>
                <w:lang w:val="en-AU"/>
              </w:rPr>
            </w:pPr>
            <w:r w:rsidRPr="002F733E">
              <w:rPr>
                <w:noProof/>
                <w:lang w:val="en-AU"/>
              </w:rPr>
              <w:drawing>
                <wp:inline distT="0" distB="0" distL="0" distR="0" wp14:anchorId="6F78C510" wp14:editId="30114C36">
                  <wp:extent cx="2757148" cy="1800000"/>
                  <wp:effectExtent l="0" t="0" r="5715" b="0"/>
                  <wp:docPr id="70" name="Picture 70" descr="Figure 4: Health state allocation in the economic eval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descr="Figure 4: Health state allocation in the economic evaluati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7148" cy="1800000"/>
                          </a:xfrm>
                          <a:prstGeom prst="rect">
                            <a:avLst/>
                          </a:prstGeom>
                          <a:noFill/>
                        </pic:spPr>
                      </pic:pic>
                    </a:graphicData>
                  </a:graphic>
                </wp:inline>
              </w:drawing>
            </w:r>
          </w:p>
        </w:tc>
      </w:tr>
    </w:tbl>
    <w:p w14:paraId="2BEC008F" w14:textId="77777777" w:rsidR="00C775AE" w:rsidRPr="002F733E" w:rsidRDefault="00C775AE" w:rsidP="00C775AE">
      <w:pPr>
        <w:pStyle w:val="TableFigureFooter"/>
      </w:pPr>
      <w:r w:rsidRPr="002F733E">
        <w:rPr>
          <w:rStyle w:val="CommentReference"/>
          <w:b w:val="0"/>
          <w:bCs/>
          <w:sz w:val="16"/>
          <w:shd w:val="clear" w:color="auto" w:fill="B8CCE4" w:themeFill="accent1" w:themeFillTint="66"/>
        </w:rPr>
        <w:t xml:space="preserve">Blue </w:t>
      </w:r>
      <w:r w:rsidRPr="002F733E">
        <w:rPr>
          <w:rStyle w:val="CommentReference"/>
          <w:b w:val="0"/>
          <w:bCs/>
          <w:sz w:val="16"/>
        </w:rPr>
        <w:t>shading indicates data previously seen by the PBAC</w:t>
      </w:r>
    </w:p>
    <w:p w14:paraId="17DE2B3E" w14:textId="77777777" w:rsidR="00C775AE" w:rsidRPr="002F733E" w:rsidRDefault="00C775AE" w:rsidP="00C775AE">
      <w:pPr>
        <w:pStyle w:val="TableFigureFooter"/>
      </w:pPr>
      <w:r w:rsidRPr="002F733E">
        <w:t>Source: compiled during the evaluation</w:t>
      </w:r>
    </w:p>
    <w:p w14:paraId="412DB354" w14:textId="77777777" w:rsidR="00C775AE" w:rsidRPr="002F733E" w:rsidRDefault="00C775AE" w:rsidP="00C775AE">
      <w:pPr>
        <w:pStyle w:val="TableFigureFooter"/>
      </w:pPr>
      <w:r w:rsidRPr="002F733E">
        <w:t>Anifrolumab = anifrolumab arm; SOC = standard of care arm</w:t>
      </w:r>
    </w:p>
    <w:p w14:paraId="11457423" w14:textId="77777777" w:rsidR="00C775AE" w:rsidRPr="002F733E" w:rsidRDefault="00C775AE" w:rsidP="00C775AE">
      <w:pPr>
        <w:pStyle w:val="TableFigureFooter"/>
      </w:pPr>
      <w:r w:rsidRPr="002F733E">
        <w:t>On and off treatment only refers to whether patients were receiving anifrolumab. Patients in the anifrolumab arm received treatment with SOC for the entirety of the modelled time horizon.</w:t>
      </w:r>
    </w:p>
    <w:p w14:paraId="3085154B" w14:textId="0FE53CD8" w:rsidR="00C775AE" w:rsidRPr="002F733E" w:rsidRDefault="00C775AE" w:rsidP="00C775AE">
      <w:pPr>
        <w:pStyle w:val="3-BodyText"/>
      </w:pPr>
      <w:r w:rsidRPr="002F733E">
        <w:t xml:space="preserve">The resubmission also compared the modelled SLEDAI-2K to the TULIP LTE </w:t>
      </w:r>
      <w:r w:rsidR="008A372F" w:rsidRPr="002F733E">
        <w:t>(</w:t>
      </w:r>
      <w:r w:rsidRPr="002F733E">
        <w:t>reproduced below</w:t>
      </w:r>
      <w:r w:rsidR="008A372F" w:rsidRPr="002F733E">
        <w:t>)</w:t>
      </w:r>
      <w:r w:rsidRPr="002F733E">
        <w:t>, along with the SLEDAI-2K score from ALRB data. A further comparison is presented of the modelled adjusted mean SLEDAI</w:t>
      </w:r>
      <w:r w:rsidR="00A3335C" w:rsidRPr="002F733E">
        <w:t xml:space="preserve"> </w:t>
      </w:r>
      <w:r w:rsidRPr="002F733E">
        <w:t>versus ALRB and APLC data.</w:t>
      </w:r>
      <w:r w:rsidR="00A3335C" w:rsidRPr="002F733E">
        <w:t xml:space="preserve"> Adjusted mean SLEDAI</w:t>
      </w:r>
      <w:r w:rsidRPr="002F733E">
        <w:t xml:space="preserve"> </w:t>
      </w:r>
      <w:r w:rsidR="00A3335C" w:rsidRPr="002F733E">
        <w:t xml:space="preserve">was calculated as the average SLEDAI-2K score from baseline to each cycle. In the presented figures it was further adjusted for mortality. </w:t>
      </w:r>
      <w:r w:rsidRPr="002F733E">
        <w:t xml:space="preserve">Generally, the modelled SOC SLEDAI-2K scores and adjusted mean SLEDAI-2K were overestimated compared to the TULIP LTE data and the ALRB data, though the APLC data was similar to modelled estimates. The difference between the ALRB and APLC also demonstrated that even amongst similar patients </w:t>
      </w:r>
      <w:r w:rsidR="00764784" w:rsidRPr="002F733E">
        <w:t xml:space="preserve">from </w:t>
      </w:r>
      <w:r w:rsidRPr="002F733E">
        <w:t>the same country there may be heterogeneity in disease activity. Modelled SLEDAI-2K for the anifrolumab arm was similar to the TULIP LTE data, but the TULIP LTE data for the anifrolumab arm did not appear to include patients who discontinued anifrolumab</w:t>
      </w:r>
      <w:r w:rsidR="00316055" w:rsidRPr="002F733E">
        <w:t>.</w:t>
      </w:r>
      <w:r w:rsidR="00316055" w:rsidRPr="002F733E" w:rsidDel="00316055">
        <w:t xml:space="preserve"> </w:t>
      </w:r>
    </w:p>
    <w:p w14:paraId="7C8EA905" w14:textId="0A97DAD5" w:rsidR="00C775AE" w:rsidRPr="002F733E" w:rsidRDefault="00C775AE" w:rsidP="00C775AE">
      <w:pPr>
        <w:pStyle w:val="TableFigureHeading"/>
        <w:rPr>
          <w:rStyle w:val="CommentReference"/>
          <w:b/>
          <w:szCs w:val="24"/>
        </w:rPr>
      </w:pPr>
      <w:r w:rsidRPr="002F733E">
        <w:t xml:space="preserve">Figure </w:t>
      </w:r>
      <w:fldSimple w:instr=" SEQ Figure \* ARABIC " w:fldLock="1">
        <w:r w:rsidR="001316D2" w:rsidRPr="002F733E">
          <w:t>5</w:t>
        </w:r>
      </w:fldSimple>
      <w:r w:rsidRPr="002F733E">
        <w:t xml:space="preserve">: </w:t>
      </w:r>
      <w:r w:rsidRPr="002F733E">
        <w:rPr>
          <w:rStyle w:val="CommentReference"/>
          <w:b/>
          <w:szCs w:val="24"/>
        </w:rPr>
        <w:t>Modelled SLEDAI outcomes versus TULIP LTE, ALRB and APLC AU data</w:t>
      </w:r>
    </w:p>
    <w:tbl>
      <w:tblPr>
        <w:tblStyle w:val="TableGrid"/>
        <w:tblW w:w="0" w:type="auto"/>
        <w:tblLook w:val="04A0" w:firstRow="1" w:lastRow="0" w:firstColumn="1" w:lastColumn="0" w:noHBand="0" w:noVBand="1"/>
      </w:tblPr>
      <w:tblGrid>
        <w:gridCol w:w="4499"/>
        <w:gridCol w:w="4518"/>
      </w:tblGrid>
      <w:tr w:rsidR="00C775AE" w:rsidRPr="002F733E" w14:paraId="7001EB24" w14:textId="77777777" w:rsidTr="00C775AE">
        <w:tc>
          <w:tcPr>
            <w:tcW w:w="4499" w:type="dxa"/>
            <w:shd w:val="clear" w:color="auto" w:fill="auto"/>
          </w:tcPr>
          <w:p w14:paraId="07F72FAA" w14:textId="77777777" w:rsidR="00C775AE" w:rsidRPr="002F733E" w:rsidRDefault="00C775AE" w:rsidP="0034439E">
            <w:pPr>
              <w:pStyle w:val="In-tableHeading"/>
              <w:jc w:val="center"/>
              <w:rPr>
                <w:iCs/>
                <w:lang w:val="en-AU"/>
              </w:rPr>
            </w:pPr>
            <w:r w:rsidRPr="002F733E">
              <w:rPr>
                <w:iCs/>
                <w:lang w:val="en-AU"/>
              </w:rPr>
              <w:t>SLEDAI-2K over time</w:t>
            </w:r>
          </w:p>
        </w:tc>
        <w:tc>
          <w:tcPr>
            <w:tcW w:w="4518" w:type="dxa"/>
          </w:tcPr>
          <w:p w14:paraId="30EC3033" w14:textId="77777777" w:rsidR="00C775AE" w:rsidRPr="002F733E" w:rsidRDefault="00C775AE" w:rsidP="0034439E">
            <w:pPr>
              <w:pStyle w:val="In-tableHeading"/>
              <w:jc w:val="center"/>
              <w:rPr>
                <w:iCs/>
                <w:lang w:val="en-AU"/>
              </w:rPr>
            </w:pPr>
            <w:r w:rsidRPr="002F733E">
              <w:rPr>
                <w:iCs/>
                <w:lang w:val="en-AU"/>
              </w:rPr>
              <w:t>Adjusted mean SLEDAI over time</w:t>
            </w:r>
          </w:p>
        </w:tc>
      </w:tr>
      <w:tr w:rsidR="00C775AE" w:rsidRPr="002F733E" w14:paraId="5A1BBA96" w14:textId="77777777" w:rsidTr="00C775AE">
        <w:tc>
          <w:tcPr>
            <w:tcW w:w="4499" w:type="dxa"/>
            <w:shd w:val="clear" w:color="auto" w:fill="auto"/>
          </w:tcPr>
          <w:p w14:paraId="14A6C362" w14:textId="77777777" w:rsidR="00C775AE" w:rsidRPr="002F733E" w:rsidRDefault="00C775AE" w:rsidP="00C775AE">
            <w:pPr>
              <w:pStyle w:val="In-tableHeading"/>
              <w:rPr>
                <w:lang w:val="en-AU"/>
              </w:rPr>
            </w:pPr>
            <w:r w:rsidRPr="002F733E">
              <w:rPr>
                <w:noProof/>
                <w:lang w:val="en-AU"/>
              </w:rPr>
              <w:drawing>
                <wp:inline distT="0" distB="0" distL="0" distR="0" wp14:anchorId="633B2421" wp14:editId="284494D9">
                  <wp:extent cx="2708806" cy="1800000"/>
                  <wp:effectExtent l="0" t="0" r="0" b="0"/>
                  <wp:docPr id="71" name="Picture 71" descr="Figure 5: Modelled SLEDAI outcomes versus TULIP LTE, ALRB and APLC AU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descr="Figure 5: Modelled SLEDAI outcomes versus TULIP LTE, ALRB and APLC AU data"/>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08806" cy="1800000"/>
                          </a:xfrm>
                          <a:prstGeom prst="rect">
                            <a:avLst/>
                          </a:prstGeom>
                          <a:noFill/>
                        </pic:spPr>
                      </pic:pic>
                    </a:graphicData>
                  </a:graphic>
                </wp:inline>
              </w:drawing>
            </w:r>
          </w:p>
        </w:tc>
        <w:tc>
          <w:tcPr>
            <w:tcW w:w="4518" w:type="dxa"/>
          </w:tcPr>
          <w:p w14:paraId="5CA25174" w14:textId="77777777" w:rsidR="00C775AE" w:rsidRPr="002F733E" w:rsidRDefault="00C775AE" w:rsidP="00C775AE">
            <w:pPr>
              <w:pStyle w:val="In-tableHeading"/>
              <w:rPr>
                <w:lang w:val="en-AU"/>
              </w:rPr>
            </w:pPr>
            <w:r w:rsidRPr="002F733E">
              <w:rPr>
                <w:noProof/>
                <w:lang w:val="en-AU"/>
              </w:rPr>
              <w:drawing>
                <wp:inline distT="0" distB="0" distL="0" distR="0" wp14:anchorId="06609BD1" wp14:editId="5FE606D9">
                  <wp:extent cx="2731865" cy="1800000"/>
                  <wp:effectExtent l="0" t="0" r="0" b="0"/>
                  <wp:docPr id="73" name="Picture 73" descr="Figure 5: Modelled SLEDAI outcomes versus TULIP LTE, ALRB and APLC AU d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descr="Figure 5: Modelled SLEDAI outcomes versus TULIP LTE, ALRB and APLC AU data"/>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731865" cy="1800000"/>
                          </a:xfrm>
                          <a:prstGeom prst="rect">
                            <a:avLst/>
                          </a:prstGeom>
                          <a:noFill/>
                        </pic:spPr>
                      </pic:pic>
                    </a:graphicData>
                  </a:graphic>
                </wp:inline>
              </w:drawing>
            </w:r>
          </w:p>
        </w:tc>
      </w:tr>
    </w:tbl>
    <w:p w14:paraId="74D1F876" w14:textId="77777777" w:rsidR="00C775AE" w:rsidRPr="002F733E" w:rsidRDefault="00C775AE" w:rsidP="00C775AE">
      <w:pPr>
        <w:pStyle w:val="TableFigureFooter"/>
      </w:pPr>
      <w:r w:rsidRPr="002F733E">
        <w:t xml:space="preserve">Source: Compiled from Sheet ‘Summary’ of the Excel workbook ‘CE model_anifrolumab_SLE_Nov2022.xlsx’ </w:t>
      </w:r>
    </w:p>
    <w:p w14:paraId="3635BD41" w14:textId="7C570215" w:rsidR="00C775AE" w:rsidRPr="002F733E" w:rsidRDefault="00C775AE" w:rsidP="00C775AE">
      <w:pPr>
        <w:pStyle w:val="TableFigureFooter"/>
      </w:pPr>
      <w:r w:rsidRPr="002F733E">
        <w:t>ALRB = Australian Lupus Registry and Biobank; ANI = anifrolumab; APLC = Asia-Pacific Lupus; AU=Australian; LTE=long term extension; HDAS = high disease activity score; SOC = standard of care</w:t>
      </w:r>
      <w:r w:rsidR="0034439E" w:rsidRPr="002F733E">
        <w:t>, SLEDAI-2K= Systemic Lupus Erythematosus Disease Activity Index 2000</w:t>
      </w:r>
    </w:p>
    <w:p w14:paraId="46AA4027" w14:textId="2A861A3F" w:rsidR="00C775AE" w:rsidRPr="002F733E" w:rsidRDefault="00C775AE" w:rsidP="00C775AE">
      <w:pPr>
        <w:pStyle w:val="3-BodyText"/>
      </w:pPr>
      <w:r w:rsidRPr="002F733E">
        <w:t>Despite potentially overestimating the SLEDAI-2K score in the SOC arm, the model appeared to underestimate the SDI score compared to ALRB data. This suggested that the model predictions did not fully reflect the relationship between SLEDAI-2K and organ damage that might be expected in the Australian population. Change in SDI score reported from the TULIP LTE was identical across arms at Year 4, and it appeared that the arms of the model did not begin to diverge until after this point.</w:t>
      </w:r>
    </w:p>
    <w:p w14:paraId="0C6BF455" w14:textId="5A02E946" w:rsidR="00C775AE" w:rsidRPr="002F733E" w:rsidRDefault="00C775AE" w:rsidP="00C775AE">
      <w:pPr>
        <w:numPr>
          <w:ilvl w:val="1"/>
          <w:numId w:val="1"/>
        </w:numPr>
        <w:spacing w:after="120"/>
        <w:rPr>
          <w:rStyle w:val="3-BodyTextChar"/>
        </w:rPr>
      </w:pPr>
      <w:r w:rsidRPr="002F733E">
        <w:rPr>
          <w:rFonts w:asciiTheme="minorHAnsi" w:hAnsiTheme="minorHAnsi"/>
          <w:snapToGrid w:val="0"/>
        </w:rPr>
        <w:t xml:space="preserve">The key drivers of the model are </w:t>
      </w:r>
      <w:r w:rsidRPr="002F733E">
        <w:rPr>
          <w:rStyle w:val="3-BodyTextChar"/>
        </w:rPr>
        <w:t xml:space="preserve">summarised in </w:t>
      </w:r>
      <w:r w:rsidRPr="002F733E">
        <w:rPr>
          <w:rStyle w:val="3-BodyTextChar"/>
        </w:rPr>
        <w:fldChar w:fldCharType="begin" w:fldLock="1"/>
      </w:r>
      <w:r w:rsidRPr="002F733E">
        <w:rPr>
          <w:rStyle w:val="3-BodyTextChar"/>
        </w:rPr>
        <w:instrText xml:space="preserve"> REF _Ref121669110  \* MERGEFORMAT </w:instrText>
      </w:r>
      <w:r w:rsidRPr="002F733E">
        <w:rPr>
          <w:rStyle w:val="3-BodyTextChar"/>
        </w:rPr>
        <w:fldChar w:fldCharType="separate"/>
      </w:r>
      <w:r w:rsidR="001316D2" w:rsidRPr="002F733E">
        <w:rPr>
          <w:rStyle w:val="3-BodyTextChar"/>
          <w:rFonts w:eastAsiaTheme="majorEastAsia"/>
        </w:rPr>
        <w:t>Table 10</w:t>
      </w:r>
      <w:r w:rsidRPr="002F733E">
        <w:rPr>
          <w:rStyle w:val="3-BodyTextChar"/>
        </w:rPr>
        <w:fldChar w:fldCharType="end"/>
      </w:r>
      <w:r w:rsidRPr="002F733E">
        <w:rPr>
          <w:rStyle w:val="3-BodyTextChar"/>
        </w:rPr>
        <w:t>.</w:t>
      </w:r>
    </w:p>
    <w:p w14:paraId="24892464" w14:textId="1584B701" w:rsidR="00C775AE" w:rsidRPr="002F733E" w:rsidRDefault="00C775AE" w:rsidP="00C775AE">
      <w:pPr>
        <w:keepNext/>
        <w:jc w:val="left"/>
        <w:rPr>
          <w:rFonts w:ascii="Arial Narrow" w:eastAsiaTheme="majorEastAsia" w:hAnsi="Arial Narrow" w:cstheme="majorBidi"/>
          <w:b/>
          <w:bCs/>
          <w:sz w:val="20"/>
        </w:rPr>
      </w:pPr>
      <w:bookmarkStart w:id="49" w:name="_Ref121669110"/>
      <w:r w:rsidRPr="002F733E">
        <w:rPr>
          <w:rFonts w:ascii="Arial Narrow" w:eastAsiaTheme="majorEastAsia" w:hAnsi="Arial Narrow" w:cstheme="majorBidi"/>
          <w:b/>
          <w:bCs/>
          <w:sz w:val="20"/>
        </w:rPr>
        <w:t xml:space="preserve">Table </w:t>
      </w:r>
      <w:r w:rsidRPr="002F733E">
        <w:rPr>
          <w:rFonts w:ascii="Arial Narrow" w:eastAsiaTheme="majorEastAsia" w:hAnsi="Arial Narrow" w:cstheme="majorBidi"/>
          <w:b/>
          <w:bCs/>
          <w:sz w:val="20"/>
        </w:rPr>
        <w:fldChar w:fldCharType="begin" w:fldLock="1"/>
      </w:r>
      <w:r w:rsidRPr="002F733E">
        <w:rPr>
          <w:rFonts w:ascii="Arial Narrow" w:eastAsiaTheme="majorEastAsia" w:hAnsi="Arial Narrow" w:cstheme="majorBidi"/>
          <w:b/>
          <w:bCs/>
          <w:sz w:val="20"/>
        </w:rPr>
        <w:instrText xml:space="preserve"> SEQ Table \* ARABIC </w:instrText>
      </w:r>
      <w:r w:rsidRPr="002F733E">
        <w:rPr>
          <w:rFonts w:ascii="Arial Narrow" w:eastAsiaTheme="majorEastAsia" w:hAnsi="Arial Narrow" w:cstheme="majorBidi"/>
          <w:b/>
          <w:bCs/>
          <w:sz w:val="20"/>
        </w:rPr>
        <w:fldChar w:fldCharType="separate"/>
      </w:r>
      <w:r w:rsidR="00781A0F" w:rsidRPr="002F733E">
        <w:rPr>
          <w:rFonts w:ascii="Arial Narrow" w:eastAsiaTheme="majorEastAsia" w:hAnsi="Arial Narrow" w:cstheme="majorBidi"/>
          <w:b/>
          <w:bCs/>
          <w:sz w:val="20"/>
        </w:rPr>
        <w:t>10</w:t>
      </w:r>
      <w:r w:rsidRPr="002F733E">
        <w:rPr>
          <w:rFonts w:ascii="Arial Narrow" w:eastAsiaTheme="majorEastAsia" w:hAnsi="Arial Narrow" w:cstheme="majorBidi"/>
          <w:b/>
          <w:bCs/>
          <w:sz w:val="20"/>
        </w:rPr>
        <w:fldChar w:fldCharType="end"/>
      </w:r>
      <w:bookmarkEnd w:id="49"/>
      <w:r w:rsidRPr="002F733E">
        <w:rPr>
          <w:rFonts w:ascii="Arial Narrow" w:eastAsiaTheme="majorEastAsia" w:hAnsi="Arial Narrow" w:cstheme="majorBidi"/>
          <w:b/>
          <w:bCs/>
          <w:sz w:val="20"/>
        </w:rPr>
        <w:t>: 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2"/>
        <w:gridCol w:w="3401"/>
        <w:gridCol w:w="4344"/>
      </w:tblGrid>
      <w:tr w:rsidR="00C775AE" w:rsidRPr="002F733E" w14:paraId="518C8F4E" w14:textId="77777777" w:rsidTr="00C775AE">
        <w:trPr>
          <w:tblHeader/>
        </w:trPr>
        <w:tc>
          <w:tcPr>
            <w:tcW w:w="705" w:type="pct"/>
            <w:shd w:val="clear" w:color="auto" w:fill="auto"/>
            <w:vAlign w:val="center"/>
          </w:tcPr>
          <w:p w14:paraId="3C45DD0E" w14:textId="77777777" w:rsidR="00C775AE" w:rsidRPr="002F733E" w:rsidRDefault="00C775AE" w:rsidP="00C775AE">
            <w:pPr>
              <w:keepNext/>
              <w:jc w:val="left"/>
              <w:rPr>
                <w:rFonts w:ascii="Arial Narrow" w:eastAsiaTheme="majorEastAsia" w:hAnsi="Arial Narrow" w:cs="Times New Roman"/>
                <w:b/>
                <w:sz w:val="20"/>
              </w:rPr>
            </w:pPr>
            <w:r w:rsidRPr="002F733E">
              <w:rPr>
                <w:rFonts w:ascii="Arial Narrow" w:eastAsiaTheme="majorEastAsia" w:hAnsi="Arial Narrow" w:cs="Times New Roman"/>
                <w:b/>
                <w:sz w:val="20"/>
              </w:rPr>
              <w:t>Description</w:t>
            </w:r>
          </w:p>
        </w:tc>
        <w:tc>
          <w:tcPr>
            <w:tcW w:w="1886" w:type="pct"/>
            <w:shd w:val="clear" w:color="auto" w:fill="auto"/>
            <w:vAlign w:val="center"/>
          </w:tcPr>
          <w:p w14:paraId="5F3E3BEC" w14:textId="77777777" w:rsidR="00C775AE" w:rsidRPr="002F733E" w:rsidRDefault="00C775AE" w:rsidP="00C775AE">
            <w:pPr>
              <w:keepNext/>
              <w:jc w:val="center"/>
              <w:rPr>
                <w:rFonts w:ascii="Arial Narrow" w:eastAsiaTheme="majorEastAsia" w:hAnsi="Arial Narrow" w:cs="Times New Roman"/>
                <w:b/>
                <w:sz w:val="20"/>
              </w:rPr>
            </w:pPr>
            <w:r w:rsidRPr="002F733E">
              <w:rPr>
                <w:rFonts w:ascii="Arial Narrow" w:eastAsiaTheme="majorEastAsia" w:hAnsi="Arial Narrow" w:cs="Times New Roman"/>
                <w:b/>
                <w:sz w:val="20"/>
              </w:rPr>
              <w:t>Method/Value</w:t>
            </w:r>
          </w:p>
        </w:tc>
        <w:tc>
          <w:tcPr>
            <w:tcW w:w="2409" w:type="pct"/>
            <w:shd w:val="clear" w:color="auto" w:fill="auto"/>
            <w:vAlign w:val="center"/>
          </w:tcPr>
          <w:p w14:paraId="718DC4C4" w14:textId="77777777" w:rsidR="00C775AE" w:rsidRPr="002F733E" w:rsidRDefault="00C775AE" w:rsidP="00C775AE">
            <w:pPr>
              <w:keepNext/>
              <w:jc w:val="center"/>
              <w:rPr>
                <w:rFonts w:ascii="Arial Narrow" w:eastAsiaTheme="majorEastAsia" w:hAnsi="Arial Narrow" w:cs="Times New Roman"/>
                <w:b/>
                <w:sz w:val="20"/>
              </w:rPr>
            </w:pPr>
            <w:r w:rsidRPr="002F733E">
              <w:rPr>
                <w:rFonts w:ascii="Arial Narrow" w:eastAsiaTheme="majorEastAsia" w:hAnsi="Arial Narrow" w:cs="Times New Roman"/>
                <w:b/>
                <w:sz w:val="20"/>
              </w:rPr>
              <w:t>Impact</w:t>
            </w:r>
          </w:p>
          <w:p w14:paraId="66C292F4" w14:textId="657A23D3" w:rsidR="00C775AE" w:rsidRPr="002F733E" w:rsidRDefault="00C775AE" w:rsidP="00C775AE">
            <w:pPr>
              <w:keepNext/>
              <w:jc w:val="center"/>
              <w:rPr>
                <w:rFonts w:ascii="Arial Narrow" w:eastAsiaTheme="majorEastAsia" w:hAnsi="Arial Narrow" w:cs="Times New Roman"/>
                <w:b/>
                <w:sz w:val="20"/>
              </w:rPr>
            </w:pPr>
            <w:r w:rsidRPr="002F733E">
              <w:rPr>
                <w:rFonts w:ascii="Arial Narrow" w:eastAsiaTheme="majorEastAsia" w:hAnsi="Arial Narrow"/>
                <w:b/>
                <w:sz w:val="20"/>
                <w:szCs w:val="20"/>
              </w:rPr>
              <w:t>Base case: $</w:t>
            </w:r>
            <w:r w:rsidR="00EB6544" w:rsidRPr="00EB6544">
              <w:rPr>
                <w:rFonts w:ascii="Arial Narrow" w:eastAsiaTheme="majorEastAsia" w:hAnsi="Arial Narrow"/>
                <w:b/>
                <w:color w:val="000000"/>
                <w:sz w:val="20"/>
                <w:szCs w:val="20"/>
                <w:shd w:val="solid" w:color="000000" w:fill="000000"/>
                <w14:textFill>
                  <w14:solidFill>
                    <w14:srgbClr w14:val="000000">
                      <w14:alpha w14:val="100000"/>
                    </w14:srgbClr>
                  </w14:solidFill>
                </w14:textFill>
              </w:rPr>
              <w:t>|</w:t>
            </w:r>
            <w:r w:rsidR="00193CB4">
              <w:rPr>
                <w:rFonts w:ascii="Arial Narrow" w:hAnsi="Arial Narrow"/>
                <w:snapToGrid w:val="0"/>
                <w:sz w:val="18"/>
                <w:szCs w:val="20"/>
                <w:vertAlign w:val="superscript"/>
              </w:rPr>
              <w:t>1</w:t>
            </w:r>
            <w:r w:rsidRPr="002F733E">
              <w:rPr>
                <w:rFonts w:ascii="Arial Narrow" w:eastAsiaTheme="majorEastAsia" w:hAnsi="Arial Narrow"/>
                <w:b/>
                <w:sz w:val="20"/>
                <w:szCs w:val="20"/>
              </w:rPr>
              <w:t>/QALY gained</w:t>
            </w:r>
            <w:r w:rsidRPr="002F733E">
              <w:rPr>
                <w:rFonts w:ascii="Arial Narrow" w:eastAsiaTheme="majorEastAsia" w:hAnsi="Arial Narrow"/>
                <w:b/>
                <w:color w:val="3366FF"/>
                <w:sz w:val="20"/>
                <w:szCs w:val="20"/>
              </w:rPr>
              <w:t>.</w:t>
            </w:r>
          </w:p>
        </w:tc>
      </w:tr>
      <w:tr w:rsidR="00C775AE" w:rsidRPr="002F733E" w14:paraId="50AA1237" w14:textId="77777777" w:rsidTr="00C775AE">
        <w:tc>
          <w:tcPr>
            <w:tcW w:w="705" w:type="pct"/>
            <w:shd w:val="clear" w:color="auto" w:fill="auto"/>
            <w:vAlign w:val="center"/>
          </w:tcPr>
          <w:p w14:paraId="1862760F" w14:textId="77777777"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Flare duration</w:t>
            </w:r>
          </w:p>
        </w:tc>
        <w:tc>
          <w:tcPr>
            <w:tcW w:w="1886" w:type="pct"/>
            <w:shd w:val="clear" w:color="auto" w:fill="auto"/>
            <w:vAlign w:val="center"/>
          </w:tcPr>
          <w:p w14:paraId="1457E54F" w14:textId="3CC171B6"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 xml:space="preserve">5.3 months </w:t>
            </w:r>
            <w:r w:rsidR="007E2392" w:rsidRPr="002F733E">
              <w:rPr>
                <w:rFonts w:ascii="Arial Narrow" w:eastAsiaTheme="majorEastAsia" w:hAnsi="Arial Narrow" w:cstheme="majorBidi"/>
                <w:bCs/>
                <w:sz w:val="20"/>
              </w:rPr>
              <w:t xml:space="preserve">for </w:t>
            </w:r>
            <w:r w:rsidRPr="002F733E">
              <w:rPr>
                <w:rFonts w:ascii="Arial Narrow" w:eastAsiaTheme="majorEastAsia" w:hAnsi="Arial Narrow" w:cstheme="majorBidi"/>
                <w:bCs/>
                <w:sz w:val="20"/>
              </w:rPr>
              <w:t>non-severe and 2.5 months</w:t>
            </w:r>
            <w:r w:rsidR="007E2392" w:rsidRPr="002F733E">
              <w:rPr>
                <w:rFonts w:ascii="Arial Narrow" w:eastAsiaTheme="majorEastAsia" w:hAnsi="Arial Narrow" w:cstheme="majorBidi"/>
                <w:bCs/>
                <w:sz w:val="20"/>
              </w:rPr>
              <w:t xml:space="preserve"> for </w:t>
            </w:r>
            <w:r w:rsidRPr="002F733E">
              <w:rPr>
                <w:rFonts w:ascii="Arial Narrow" w:eastAsiaTheme="majorEastAsia" w:hAnsi="Arial Narrow" w:cstheme="majorBidi"/>
                <w:bCs/>
                <w:sz w:val="20"/>
              </w:rPr>
              <w:t>severe f</w:t>
            </w:r>
            <w:r w:rsidR="007E2392" w:rsidRPr="002F733E">
              <w:rPr>
                <w:rFonts w:ascii="Arial Narrow" w:eastAsiaTheme="majorEastAsia" w:hAnsi="Arial Narrow" w:cstheme="majorBidi"/>
                <w:bCs/>
                <w:sz w:val="20"/>
              </w:rPr>
              <w:t xml:space="preserve">lares in the </w:t>
            </w:r>
            <w:r w:rsidRPr="002F733E">
              <w:rPr>
                <w:rFonts w:ascii="Arial Narrow" w:eastAsiaTheme="majorEastAsia" w:hAnsi="Arial Narrow" w:cstheme="majorBidi"/>
                <w:bCs/>
                <w:sz w:val="20"/>
              </w:rPr>
              <w:t>SOC arm and anifrolumab non-responders. HR</w:t>
            </w:r>
            <w:r w:rsidR="007E2392" w:rsidRPr="002F733E">
              <w:rPr>
                <w:rFonts w:ascii="Arial Narrow" w:eastAsiaTheme="majorEastAsia" w:hAnsi="Arial Narrow" w:cstheme="majorBidi"/>
                <w:bCs/>
                <w:sz w:val="20"/>
              </w:rPr>
              <w:t xml:space="preserve"> of</w:t>
            </w:r>
            <w:r w:rsidRPr="002F733E">
              <w:rPr>
                <w:rFonts w:ascii="Arial Narrow" w:eastAsiaTheme="majorEastAsia" w:hAnsi="Arial Narrow" w:cstheme="majorBidi"/>
                <w:bCs/>
                <w:sz w:val="20"/>
              </w:rPr>
              <w:t xml:space="preserve"> 1.76 applied for anifrolumab responders.</w:t>
            </w:r>
          </w:p>
        </w:tc>
        <w:tc>
          <w:tcPr>
            <w:tcW w:w="2409" w:type="pct"/>
            <w:shd w:val="clear" w:color="auto" w:fill="auto"/>
            <w:vAlign w:val="center"/>
          </w:tcPr>
          <w:p w14:paraId="0B04C299" w14:textId="385FEE9C"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 xml:space="preserve">High, favoured anifrolumab. If flare duration </w:t>
            </w:r>
            <w:r w:rsidR="007E2392" w:rsidRPr="002F733E">
              <w:rPr>
                <w:rFonts w:ascii="Arial Narrow" w:eastAsiaTheme="majorEastAsia" w:hAnsi="Arial Narrow" w:cstheme="majorBidi"/>
                <w:bCs/>
                <w:sz w:val="20"/>
              </w:rPr>
              <w:t xml:space="preserve">was </w:t>
            </w:r>
            <w:r w:rsidRPr="002F733E">
              <w:rPr>
                <w:rFonts w:ascii="Arial Narrow" w:eastAsiaTheme="majorEastAsia" w:hAnsi="Arial Narrow" w:cstheme="majorBidi"/>
                <w:bCs/>
                <w:sz w:val="20"/>
              </w:rPr>
              <w:t xml:space="preserve">reduced to </w:t>
            </w:r>
            <w:r w:rsidR="007E2392" w:rsidRPr="002F733E">
              <w:rPr>
                <w:rFonts w:ascii="Arial Narrow" w:eastAsiaTheme="majorEastAsia" w:hAnsi="Arial Narrow" w:cstheme="majorBidi"/>
                <w:bCs/>
                <w:sz w:val="20"/>
              </w:rPr>
              <w:t xml:space="preserve">the </w:t>
            </w:r>
            <w:r w:rsidRPr="002F733E">
              <w:rPr>
                <w:rFonts w:ascii="Arial Narrow" w:eastAsiaTheme="majorEastAsia" w:hAnsi="Arial Narrow" w:cstheme="majorBidi"/>
                <w:bCs/>
                <w:sz w:val="20"/>
              </w:rPr>
              <w:t>lower bound of the IQR f</w:t>
            </w:r>
            <w:r w:rsidR="007E2392" w:rsidRPr="002F733E">
              <w:rPr>
                <w:rFonts w:ascii="Arial Narrow" w:eastAsiaTheme="majorEastAsia" w:hAnsi="Arial Narrow" w:cstheme="majorBidi"/>
                <w:bCs/>
                <w:sz w:val="20"/>
              </w:rPr>
              <w:t>rom</w:t>
            </w:r>
            <w:r w:rsidRPr="002F733E">
              <w:rPr>
                <w:rFonts w:ascii="Arial Narrow" w:eastAsiaTheme="majorEastAsia" w:hAnsi="Arial Narrow" w:cstheme="majorBidi"/>
                <w:bCs/>
                <w:sz w:val="20"/>
              </w:rPr>
              <w:t xml:space="preserve"> the APLC data (2.8 months non-severe, 1.1 months severe) in </w:t>
            </w:r>
            <w:r w:rsidR="007E2392" w:rsidRPr="002F733E">
              <w:rPr>
                <w:rFonts w:ascii="Arial Narrow" w:eastAsiaTheme="majorEastAsia" w:hAnsi="Arial Narrow" w:cstheme="majorBidi"/>
                <w:bCs/>
                <w:sz w:val="20"/>
              </w:rPr>
              <w:t xml:space="preserve">the </w:t>
            </w:r>
            <w:r w:rsidRPr="002F733E">
              <w:rPr>
                <w:rFonts w:ascii="Arial Narrow" w:eastAsiaTheme="majorEastAsia" w:hAnsi="Arial Narrow" w:cstheme="majorBidi"/>
                <w:bCs/>
                <w:sz w:val="20"/>
              </w:rPr>
              <w:t xml:space="preserve">SOC arm, </w:t>
            </w:r>
            <w:r w:rsidR="007E2392" w:rsidRPr="002F733E">
              <w:rPr>
                <w:rFonts w:ascii="Arial Narrow" w:eastAsiaTheme="majorEastAsia" w:hAnsi="Arial Narrow" w:cstheme="majorBidi"/>
                <w:bCs/>
                <w:sz w:val="20"/>
              </w:rPr>
              <w:t xml:space="preserve">the </w:t>
            </w:r>
            <w:r w:rsidRPr="002F733E">
              <w:rPr>
                <w:rFonts w:ascii="Arial Narrow" w:eastAsiaTheme="majorEastAsia" w:hAnsi="Arial Narrow" w:cstheme="majorBidi"/>
                <w:bCs/>
                <w:sz w:val="20"/>
              </w:rPr>
              <w:t>ICER increased to $</w:t>
            </w:r>
            <w:r w:rsidR="00EB6544" w:rsidRPr="00EB6544">
              <w:rPr>
                <w:rFonts w:ascii="Arial Narrow" w:eastAsiaTheme="majorEastAsia" w:hAnsi="Arial Narrow" w:cstheme="majorBidi"/>
                <w:bCs/>
                <w:color w:val="000000"/>
                <w:spacing w:val="29"/>
                <w:sz w:val="20"/>
                <w:shd w:val="solid" w:color="000000" w:fill="000000"/>
                <w:fitText w:val="549" w:id="-1236572915"/>
                <w14:textFill>
                  <w14:solidFill>
                    <w14:srgbClr w14:val="000000">
                      <w14:alpha w14:val="100000"/>
                    </w14:srgbClr>
                  </w14:solidFill>
                </w14:textFill>
              </w:rPr>
              <w:t>|||||||</w:t>
            </w:r>
            <w:r w:rsidR="00EB6544" w:rsidRPr="00EB6544">
              <w:rPr>
                <w:rFonts w:ascii="Arial Narrow" w:eastAsiaTheme="majorEastAsia" w:hAnsi="Arial Narrow" w:cstheme="majorBidi"/>
                <w:bCs/>
                <w:color w:val="000000"/>
                <w:spacing w:val="6"/>
                <w:sz w:val="20"/>
                <w:shd w:val="solid" w:color="000000" w:fill="000000"/>
                <w:fitText w:val="549" w:id="-1236572915"/>
                <w14:textFill>
                  <w14:solidFill>
                    <w14:srgbClr w14:val="000000">
                      <w14:alpha w14:val="100000"/>
                    </w14:srgbClr>
                  </w14:solidFill>
                </w14:textFill>
              </w:rPr>
              <w:t>|</w:t>
            </w:r>
            <w:r w:rsidR="00193CB4">
              <w:rPr>
                <w:rFonts w:ascii="Arial Narrow" w:hAnsi="Arial Narrow"/>
                <w:snapToGrid w:val="0"/>
                <w:sz w:val="18"/>
                <w:szCs w:val="20"/>
                <w:vertAlign w:val="superscript"/>
              </w:rPr>
              <w:t>2</w:t>
            </w:r>
            <w:r w:rsidR="00193CB4">
              <w:rPr>
                <w:rFonts w:ascii="Arial Narrow" w:hAnsi="Arial Narrow"/>
                <w:snapToGrid w:val="0"/>
                <w:sz w:val="18"/>
                <w:szCs w:val="20"/>
              </w:rPr>
              <w:t xml:space="preserve"> </w:t>
            </w:r>
            <w:r w:rsidRPr="00193CB4">
              <w:rPr>
                <w:rFonts w:ascii="Arial Narrow" w:eastAsiaTheme="majorEastAsia" w:hAnsi="Arial Narrow" w:cstheme="majorBidi"/>
                <w:bCs/>
                <w:sz w:val="20"/>
              </w:rPr>
              <w:t>/</w:t>
            </w:r>
            <w:r w:rsidRPr="002F733E">
              <w:rPr>
                <w:rFonts w:ascii="Arial Narrow" w:eastAsiaTheme="majorEastAsia" w:hAnsi="Arial Narrow" w:cstheme="majorBidi"/>
                <w:bCs/>
                <w:sz w:val="20"/>
              </w:rPr>
              <w:t>QALY gained.</w:t>
            </w:r>
          </w:p>
        </w:tc>
      </w:tr>
      <w:tr w:rsidR="00C775AE" w:rsidRPr="002F733E" w14:paraId="4B8451B6" w14:textId="77777777" w:rsidTr="00C775AE">
        <w:tc>
          <w:tcPr>
            <w:tcW w:w="705" w:type="pct"/>
            <w:shd w:val="clear" w:color="auto" w:fill="auto"/>
            <w:vAlign w:val="center"/>
          </w:tcPr>
          <w:p w14:paraId="2789AF62" w14:textId="77777777"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SLEDAI-2K estimates</w:t>
            </w:r>
          </w:p>
        </w:tc>
        <w:tc>
          <w:tcPr>
            <w:tcW w:w="1886" w:type="pct"/>
            <w:shd w:val="clear" w:color="auto" w:fill="auto"/>
            <w:vAlign w:val="center"/>
          </w:tcPr>
          <w:p w14:paraId="681A0F8D" w14:textId="77777777"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Change in SLEDAI-2K was estimated each cycle through linear regressions, with covariates for treatment effect, previous SLEDAI-2K score, TULIP-2 indicator and flares.</w:t>
            </w:r>
          </w:p>
          <w:p w14:paraId="4AD382F7" w14:textId="77777777"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SLEDAI-2K estimates contributed to estimates of flares (circular calculation), OCS, organ damage, mortality, utility, and medical resource utilisation (excluding hospitalisations). As many of these estimates were correlated there was a high likelihood of double counting the effect of SLEDAI-2K.</w:t>
            </w:r>
          </w:p>
        </w:tc>
        <w:tc>
          <w:tcPr>
            <w:tcW w:w="2409" w:type="pct"/>
            <w:shd w:val="clear" w:color="auto" w:fill="auto"/>
            <w:vAlign w:val="center"/>
          </w:tcPr>
          <w:p w14:paraId="2F542967" w14:textId="49B265BD"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 xml:space="preserve">High, favoured anifrolumab. If SLEDAI-2K was assumed </w:t>
            </w:r>
            <w:r w:rsidR="007E2392" w:rsidRPr="002F733E">
              <w:rPr>
                <w:rFonts w:ascii="Arial Narrow" w:eastAsiaTheme="majorEastAsia" w:hAnsi="Arial Narrow" w:cstheme="majorBidi"/>
                <w:bCs/>
                <w:sz w:val="20"/>
              </w:rPr>
              <w:t xml:space="preserve">to be </w:t>
            </w:r>
            <w:r w:rsidRPr="002F733E">
              <w:rPr>
                <w:rFonts w:ascii="Arial Narrow" w:eastAsiaTheme="majorEastAsia" w:hAnsi="Arial Narrow" w:cstheme="majorBidi"/>
                <w:bCs/>
                <w:sz w:val="20"/>
              </w:rPr>
              <w:t xml:space="preserve">equal across </w:t>
            </w:r>
            <w:r w:rsidR="007E2392" w:rsidRPr="002F733E">
              <w:rPr>
                <w:rFonts w:ascii="Arial Narrow" w:eastAsiaTheme="majorEastAsia" w:hAnsi="Arial Narrow" w:cstheme="majorBidi"/>
                <w:bCs/>
                <w:sz w:val="20"/>
              </w:rPr>
              <w:t xml:space="preserve">the </w:t>
            </w:r>
            <w:r w:rsidRPr="002F733E">
              <w:rPr>
                <w:rFonts w:ascii="Arial Narrow" w:eastAsiaTheme="majorEastAsia" w:hAnsi="Arial Narrow" w:cstheme="majorBidi"/>
                <w:bCs/>
                <w:sz w:val="20"/>
              </w:rPr>
              <w:t xml:space="preserve">arms, </w:t>
            </w:r>
            <w:r w:rsidR="007E2392" w:rsidRPr="002F733E">
              <w:rPr>
                <w:rFonts w:ascii="Arial Narrow" w:eastAsiaTheme="majorEastAsia" w:hAnsi="Arial Narrow" w:cstheme="majorBidi"/>
                <w:bCs/>
                <w:sz w:val="20"/>
              </w:rPr>
              <w:t xml:space="preserve">the </w:t>
            </w:r>
            <w:r w:rsidRPr="002F733E">
              <w:rPr>
                <w:rFonts w:ascii="Arial Narrow" w:eastAsiaTheme="majorEastAsia" w:hAnsi="Arial Narrow" w:cstheme="majorBidi"/>
                <w:bCs/>
                <w:sz w:val="20"/>
              </w:rPr>
              <w:t>ICER increased to $</w:t>
            </w:r>
            <w:r w:rsidR="00EB6544" w:rsidRPr="00EB6544">
              <w:rPr>
                <w:rFonts w:ascii="Arial Narrow" w:eastAsiaTheme="majorEastAsia" w:hAnsi="Arial Narrow" w:cstheme="majorBidi"/>
                <w:bCs/>
                <w:color w:val="000000"/>
                <w:spacing w:val="29"/>
                <w:sz w:val="20"/>
                <w:shd w:val="solid" w:color="000000" w:fill="000000"/>
                <w:fitText w:val="549" w:id="-1236572914"/>
                <w14:textFill>
                  <w14:solidFill>
                    <w14:srgbClr w14:val="000000">
                      <w14:alpha w14:val="100000"/>
                    </w14:srgbClr>
                  </w14:solidFill>
                </w14:textFill>
              </w:rPr>
              <w:t>|||||||</w:t>
            </w:r>
            <w:r w:rsidR="00EB6544" w:rsidRPr="00EB6544">
              <w:rPr>
                <w:rFonts w:ascii="Arial Narrow" w:eastAsiaTheme="majorEastAsia" w:hAnsi="Arial Narrow" w:cstheme="majorBidi"/>
                <w:bCs/>
                <w:color w:val="000000"/>
                <w:spacing w:val="6"/>
                <w:sz w:val="20"/>
                <w:shd w:val="solid" w:color="000000" w:fill="000000"/>
                <w:fitText w:val="549" w:id="-1236572914"/>
                <w14:textFill>
                  <w14:solidFill>
                    <w14:srgbClr w14:val="000000">
                      <w14:alpha w14:val="100000"/>
                    </w14:srgbClr>
                  </w14:solidFill>
                </w14:textFill>
              </w:rPr>
              <w:t>|</w:t>
            </w:r>
            <w:r w:rsidR="00193CB4">
              <w:rPr>
                <w:rFonts w:ascii="Arial Narrow" w:hAnsi="Arial Narrow"/>
                <w:snapToGrid w:val="0"/>
                <w:sz w:val="18"/>
                <w:szCs w:val="20"/>
                <w:vertAlign w:val="superscript"/>
              </w:rPr>
              <w:t>3</w:t>
            </w:r>
            <w:r w:rsidRPr="002F733E">
              <w:rPr>
                <w:rFonts w:ascii="Arial Narrow" w:eastAsiaTheme="majorEastAsia" w:hAnsi="Arial Narrow" w:cstheme="majorBidi"/>
                <w:bCs/>
                <w:sz w:val="20"/>
              </w:rPr>
              <w:t xml:space="preserve">/QALY gained. However, the anifrolumab arm accrued fewer life years than the SOC arm in this analysis, a result of life years </w:t>
            </w:r>
            <w:r w:rsidR="009F381B" w:rsidRPr="002F733E">
              <w:rPr>
                <w:rFonts w:ascii="Arial Narrow" w:eastAsiaTheme="majorEastAsia" w:hAnsi="Arial Narrow" w:cstheme="majorBidi"/>
                <w:bCs/>
                <w:sz w:val="20"/>
              </w:rPr>
              <w:t>accruing</w:t>
            </w:r>
            <w:r w:rsidRPr="002F733E">
              <w:rPr>
                <w:rFonts w:ascii="Arial Narrow" w:eastAsiaTheme="majorEastAsia" w:hAnsi="Arial Narrow" w:cstheme="majorBidi"/>
                <w:bCs/>
                <w:sz w:val="20"/>
              </w:rPr>
              <w:t xml:space="preserve"> more QALYs in the anifrolumab arm than in the SOC arm.</w:t>
            </w:r>
          </w:p>
          <w:p w14:paraId="4AC52EEE" w14:textId="77777777" w:rsidR="00C775AE" w:rsidRPr="002F733E" w:rsidRDefault="00C775AE" w:rsidP="00C775AE">
            <w:pPr>
              <w:keepNext/>
              <w:jc w:val="left"/>
              <w:rPr>
                <w:rFonts w:ascii="Arial Narrow" w:eastAsiaTheme="majorEastAsia" w:hAnsi="Arial Narrow" w:cstheme="majorBidi"/>
                <w:bCs/>
                <w:sz w:val="20"/>
              </w:rPr>
            </w:pPr>
          </w:p>
          <w:p w14:paraId="09A64A7D" w14:textId="2D6DE3EB"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If the effect of flares on SLEDAI-2K (+4.3 for non-severe, +9.7 for severe in the base case) was returned to</w:t>
            </w:r>
            <w:r w:rsidR="00A43ACD" w:rsidRPr="002F733E">
              <w:rPr>
                <w:rFonts w:ascii="Arial Narrow" w:eastAsiaTheme="majorEastAsia" w:hAnsi="Arial Narrow" w:cstheme="majorBidi"/>
                <w:bCs/>
                <w:sz w:val="20"/>
              </w:rPr>
              <w:t xml:space="preserve"> those assumed in</w:t>
            </w:r>
            <w:r w:rsidRPr="002F733E">
              <w:rPr>
                <w:rFonts w:ascii="Arial Narrow" w:eastAsiaTheme="majorEastAsia" w:hAnsi="Arial Narrow" w:cstheme="majorBidi"/>
                <w:bCs/>
                <w:sz w:val="20"/>
              </w:rPr>
              <w:t xml:space="preserve"> </w:t>
            </w:r>
            <w:r w:rsidR="009F381B" w:rsidRPr="002F733E">
              <w:rPr>
                <w:rFonts w:ascii="Arial Narrow" w:eastAsiaTheme="majorEastAsia" w:hAnsi="Arial Narrow" w:cstheme="majorBidi"/>
                <w:bCs/>
                <w:sz w:val="20"/>
              </w:rPr>
              <w:t>the July 2022 submissio</w:t>
            </w:r>
            <w:r w:rsidRPr="002F733E">
              <w:rPr>
                <w:rFonts w:ascii="Arial Narrow" w:eastAsiaTheme="majorEastAsia" w:hAnsi="Arial Narrow" w:cstheme="majorBidi"/>
                <w:bCs/>
                <w:sz w:val="20"/>
              </w:rPr>
              <w:t>n (+3 for non-severe, +7 for severe), the ICER increased to $</w:t>
            </w:r>
            <w:r w:rsidR="00EB6544" w:rsidRPr="00EB6544">
              <w:rPr>
                <w:rFonts w:ascii="Arial Narrow" w:eastAsiaTheme="majorEastAsia" w:hAnsi="Arial Narrow" w:cstheme="majorBidi"/>
                <w:bCs/>
                <w:color w:val="000000"/>
                <w:spacing w:val="29"/>
                <w:sz w:val="20"/>
                <w:shd w:val="solid" w:color="000000" w:fill="000000"/>
                <w:fitText w:val="549" w:id="-1236572913"/>
                <w14:textFill>
                  <w14:solidFill>
                    <w14:srgbClr w14:val="000000">
                      <w14:alpha w14:val="100000"/>
                    </w14:srgbClr>
                  </w14:solidFill>
                </w14:textFill>
              </w:rPr>
              <w:t>|||||||</w:t>
            </w:r>
            <w:r w:rsidR="00EB6544" w:rsidRPr="00EB6544">
              <w:rPr>
                <w:rFonts w:ascii="Arial Narrow" w:eastAsiaTheme="majorEastAsia" w:hAnsi="Arial Narrow" w:cstheme="majorBidi"/>
                <w:bCs/>
                <w:color w:val="000000"/>
                <w:spacing w:val="6"/>
                <w:sz w:val="20"/>
                <w:shd w:val="solid" w:color="000000" w:fill="000000"/>
                <w:fitText w:val="549" w:id="-1236572913"/>
                <w14:textFill>
                  <w14:solidFill>
                    <w14:srgbClr w14:val="000000">
                      <w14:alpha w14:val="100000"/>
                    </w14:srgbClr>
                  </w14:solidFill>
                </w14:textFill>
              </w:rPr>
              <w:t>|</w:t>
            </w:r>
            <w:r w:rsidR="00193CB4">
              <w:rPr>
                <w:rFonts w:ascii="Arial Narrow" w:hAnsi="Arial Narrow"/>
                <w:snapToGrid w:val="0"/>
                <w:sz w:val="18"/>
                <w:szCs w:val="20"/>
                <w:vertAlign w:val="superscript"/>
              </w:rPr>
              <w:t>4</w:t>
            </w:r>
            <w:r w:rsidRPr="002F733E">
              <w:rPr>
                <w:rFonts w:ascii="Arial Narrow" w:eastAsiaTheme="majorEastAsia" w:hAnsi="Arial Narrow" w:cstheme="majorBidi"/>
                <w:bCs/>
                <w:sz w:val="20"/>
              </w:rPr>
              <w:t xml:space="preserve">/QALY gained. </w:t>
            </w:r>
          </w:p>
        </w:tc>
      </w:tr>
      <w:tr w:rsidR="00C775AE" w:rsidRPr="002F733E" w14:paraId="22AEEE15" w14:textId="77777777" w:rsidTr="00C775AE">
        <w:tc>
          <w:tcPr>
            <w:tcW w:w="705" w:type="pct"/>
            <w:shd w:val="clear" w:color="auto" w:fill="auto"/>
            <w:vAlign w:val="center"/>
          </w:tcPr>
          <w:p w14:paraId="2E3F84B7" w14:textId="77777777"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Extrapolation of treatment effect</w:t>
            </w:r>
          </w:p>
        </w:tc>
        <w:tc>
          <w:tcPr>
            <w:tcW w:w="1886" w:type="pct"/>
            <w:shd w:val="clear" w:color="auto" w:fill="auto"/>
            <w:vAlign w:val="center"/>
          </w:tcPr>
          <w:p w14:paraId="55D332E7" w14:textId="5D5B3470"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 xml:space="preserve">Treatment effect was included in regressions for flares, SLEDAI-2K, OCS use and utility and the effects were assumed </w:t>
            </w:r>
            <w:r w:rsidR="007E2392" w:rsidRPr="002F733E">
              <w:rPr>
                <w:rFonts w:ascii="Arial Narrow" w:eastAsiaTheme="majorEastAsia" w:hAnsi="Arial Narrow" w:cstheme="majorBidi"/>
                <w:bCs/>
                <w:sz w:val="20"/>
              </w:rPr>
              <w:t xml:space="preserve">to be </w:t>
            </w:r>
            <w:r w:rsidRPr="002F733E">
              <w:rPr>
                <w:rFonts w:ascii="Arial Narrow" w:eastAsiaTheme="majorEastAsia" w:hAnsi="Arial Narrow" w:cstheme="majorBidi"/>
                <w:bCs/>
                <w:sz w:val="20"/>
              </w:rPr>
              <w:t xml:space="preserve">constant from </w:t>
            </w:r>
            <w:r w:rsidR="0034439E" w:rsidRPr="002F733E">
              <w:rPr>
                <w:rFonts w:ascii="Arial Narrow" w:eastAsiaTheme="majorEastAsia" w:hAnsi="Arial Narrow" w:cstheme="majorBidi"/>
                <w:bCs/>
                <w:sz w:val="20"/>
              </w:rPr>
              <w:t>C</w:t>
            </w:r>
            <w:r w:rsidRPr="002F733E">
              <w:rPr>
                <w:rFonts w:ascii="Arial Narrow" w:eastAsiaTheme="majorEastAsia" w:hAnsi="Arial Narrow" w:cstheme="majorBidi"/>
                <w:bCs/>
                <w:sz w:val="20"/>
              </w:rPr>
              <w:t>ycle 3 onwards.</w:t>
            </w:r>
          </w:p>
        </w:tc>
        <w:tc>
          <w:tcPr>
            <w:tcW w:w="2409" w:type="pct"/>
            <w:shd w:val="clear" w:color="auto" w:fill="auto"/>
            <w:vAlign w:val="center"/>
          </w:tcPr>
          <w:p w14:paraId="22549A44" w14:textId="3D95EEC5"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High, favoured anifrolumab. If treatment effect was assumed to converge from Year 5, the ICER increase</w:t>
            </w:r>
            <w:r w:rsidR="007E2392" w:rsidRPr="002F733E">
              <w:rPr>
                <w:rFonts w:ascii="Arial Narrow" w:eastAsiaTheme="majorEastAsia" w:hAnsi="Arial Narrow" w:cstheme="majorBidi"/>
                <w:bCs/>
                <w:sz w:val="20"/>
              </w:rPr>
              <w:t>d</w:t>
            </w:r>
            <w:r w:rsidRPr="002F733E">
              <w:rPr>
                <w:rFonts w:ascii="Arial Narrow" w:eastAsiaTheme="majorEastAsia" w:hAnsi="Arial Narrow" w:cstheme="majorBidi"/>
                <w:bCs/>
                <w:sz w:val="20"/>
              </w:rPr>
              <w:t xml:space="preserve"> to $</w:t>
            </w:r>
            <w:r w:rsidR="00EB6544" w:rsidRPr="00EB6544">
              <w:rPr>
                <w:rFonts w:ascii="Arial Narrow" w:eastAsiaTheme="majorEastAsia" w:hAnsi="Arial Narrow" w:cstheme="majorBidi"/>
                <w:bCs/>
                <w:color w:val="000000"/>
                <w:spacing w:val="29"/>
                <w:sz w:val="20"/>
                <w:shd w:val="solid" w:color="000000" w:fill="000000"/>
                <w:fitText w:val="549" w:id="-1236572912"/>
                <w14:textFill>
                  <w14:solidFill>
                    <w14:srgbClr w14:val="000000">
                      <w14:alpha w14:val="100000"/>
                    </w14:srgbClr>
                  </w14:solidFill>
                </w14:textFill>
              </w:rPr>
              <w:t>|||||||</w:t>
            </w:r>
            <w:r w:rsidR="00EB6544" w:rsidRPr="00EB6544">
              <w:rPr>
                <w:rFonts w:ascii="Arial Narrow" w:eastAsiaTheme="majorEastAsia" w:hAnsi="Arial Narrow" w:cstheme="majorBidi"/>
                <w:bCs/>
                <w:color w:val="000000"/>
                <w:spacing w:val="6"/>
                <w:sz w:val="20"/>
                <w:shd w:val="solid" w:color="000000" w:fill="000000"/>
                <w:fitText w:val="549" w:id="-1236572912"/>
                <w14:textFill>
                  <w14:solidFill>
                    <w14:srgbClr w14:val="000000">
                      <w14:alpha w14:val="100000"/>
                    </w14:srgbClr>
                  </w14:solidFill>
                </w14:textFill>
              </w:rPr>
              <w:t>|</w:t>
            </w:r>
            <w:r w:rsidR="00193CB4">
              <w:rPr>
                <w:rFonts w:ascii="Arial Narrow" w:hAnsi="Arial Narrow"/>
                <w:snapToGrid w:val="0"/>
                <w:sz w:val="18"/>
                <w:szCs w:val="20"/>
                <w:vertAlign w:val="superscript"/>
              </w:rPr>
              <w:t>5</w:t>
            </w:r>
            <w:r w:rsidRPr="002F733E">
              <w:rPr>
                <w:rFonts w:ascii="Arial Narrow" w:eastAsiaTheme="majorEastAsia" w:hAnsi="Arial Narrow" w:cstheme="majorBidi"/>
                <w:bCs/>
                <w:sz w:val="20"/>
              </w:rPr>
              <w:t>/QALY gained.</w:t>
            </w:r>
          </w:p>
        </w:tc>
      </w:tr>
      <w:tr w:rsidR="00C775AE" w:rsidRPr="002F733E" w14:paraId="386A0AF7" w14:textId="77777777" w:rsidTr="00C775AE">
        <w:tc>
          <w:tcPr>
            <w:tcW w:w="705" w:type="pct"/>
            <w:shd w:val="clear" w:color="auto" w:fill="auto"/>
            <w:vAlign w:val="center"/>
          </w:tcPr>
          <w:p w14:paraId="2BF06B21" w14:textId="77777777"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Utility</w:t>
            </w:r>
          </w:p>
        </w:tc>
        <w:tc>
          <w:tcPr>
            <w:tcW w:w="1886" w:type="pct"/>
            <w:shd w:val="clear" w:color="auto" w:fill="auto"/>
            <w:vAlign w:val="center"/>
          </w:tcPr>
          <w:p w14:paraId="414AA01D" w14:textId="77777777"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Linear regressions for utility (excluding organ damage disutility) included covariates for treatment effect, SLEDAI-2K, TULIP-2 indicator and patient characteristics.</w:t>
            </w:r>
          </w:p>
        </w:tc>
        <w:tc>
          <w:tcPr>
            <w:tcW w:w="2409" w:type="pct"/>
            <w:shd w:val="clear" w:color="auto" w:fill="auto"/>
            <w:vAlign w:val="center"/>
          </w:tcPr>
          <w:p w14:paraId="66ED4B2E" w14:textId="6EE34EC2" w:rsidR="00C775AE" w:rsidRPr="002F733E" w:rsidRDefault="00FD673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High</w:t>
            </w:r>
            <w:r w:rsidR="00C775AE" w:rsidRPr="002F733E">
              <w:rPr>
                <w:rFonts w:ascii="Arial Narrow" w:eastAsiaTheme="majorEastAsia" w:hAnsi="Arial Narrow" w:cstheme="majorBidi"/>
                <w:bCs/>
                <w:sz w:val="20"/>
              </w:rPr>
              <w:t xml:space="preserve">, favoured anifrolumab. </w:t>
            </w:r>
            <w:r w:rsidR="00EC04A6" w:rsidRPr="002F733E">
              <w:rPr>
                <w:rFonts w:ascii="Arial Narrow" w:eastAsiaTheme="majorEastAsia" w:hAnsi="Arial Narrow" w:cstheme="majorBidi"/>
                <w:bCs/>
                <w:sz w:val="20"/>
              </w:rPr>
              <w:t>If no mortality benefit (i.e. 0 incremental LYG) was assumed for anifrolumab, the incremental discounted QALYs were still 0.537 vs 0.664 in the base case, and the ICER increased only slightly to $</w:t>
            </w:r>
            <w:r w:rsidR="00EB6544" w:rsidRPr="00EB6544">
              <w:rPr>
                <w:rFonts w:ascii="Arial Narrow" w:eastAsiaTheme="majorEastAsia" w:hAnsi="Arial Narrow" w:cstheme="majorBidi"/>
                <w:bCs/>
                <w:color w:val="000000"/>
                <w:spacing w:val="29"/>
                <w:sz w:val="20"/>
                <w:shd w:val="solid" w:color="000000" w:fill="000000"/>
                <w:fitText w:val="549" w:id="-1236572928"/>
                <w14:textFill>
                  <w14:solidFill>
                    <w14:srgbClr w14:val="000000">
                      <w14:alpha w14:val="100000"/>
                    </w14:srgbClr>
                  </w14:solidFill>
                </w14:textFill>
              </w:rPr>
              <w:t>|||||||</w:t>
            </w:r>
            <w:r w:rsidR="00EB6544" w:rsidRPr="00EB6544">
              <w:rPr>
                <w:rFonts w:ascii="Arial Narrow" w:eastAsiaTheme="majorEastAsia" w:hAnsi="Arial Narrow" w:cstheme="majorBidi"/>
                <w:bCs/>
                <w:color w:val="000000"/>
                <w:spacing w:val="6"/>
                <w:sz w:val="20"/>
                <w:shd w:val="solid" w:color="000000" w:fill="000000"/>
                <w:fitText w:val="549" w:id="-1236572928"/>
                <w14:textFill>
                  <w14:solidFill>
                    <w14:srgbClr w14:val="000000">
                      <w14:alpha w14:val="100000"/>
                    </w14:srgbClr>
                  </w14:solidFill>
                </w14:textFill>
              </w:rPr>
              <w:t>|</w:t>
            </w:r>
            <w:r w:rsidR="00193CB4">
              <w:rPr>
                <w:rFonts w:ascii="Arial Narrow" w:hAnsi="Arial Narrow"/>
                <w:snapToGrid w:val="0"/>
                <w:sz w:val="18"/>
                <w:szCs w:val="20"/>
                <w:vertAlign w:val="superscript"/>
              </w:rPr>
              <w:t>1</w:t>
            </w:r>
            <w:r w:rsidR="00EC04A6" w:rsidRPr="002F733E">
              <w:rPr>
                <w:rFonts w:ascii="Arial Narrow" w:eastAsiaTheme="majorEastAsia" w:hAnsi="Arial Narrow" w:cstheme="majorBidi"/>
                <w:bCs/>
                <w:sz w:val="20"/>
              </w:rPr>
              <w:t>/QALY gained</w:t>
            </w:r>
            <w:r w:rsidR="00C775AE" w:rsidRPr="002F733E">
              <w:rPr>
                <w:rFonts w:ascii="Arial Narrow" w:eastAsiaTheme="majorEastAsia" w:hAnsi="Arial Narrow" w:cstheme="majorBidi"/>
                <w:bCs/>
                <w:sz w:val="20"/>
              </w:rPr>
              <w:t>.</w:t>
            </w:r>
          </w:p>
        </w:tc>
      </w:tr>
      <w:tr w:rsidR="00C775AE" w:rsidRPr="002F733E" w14:paraId="2676A0DD" w14:textId="77777777" w:rsidTr="00C775AE">
        <w:tc>
          <w:tcPr>
            <w:tcW w:w="705" w:type="pct"/>
            <w:shd w:val="clear" w:color="auto" w:fill="auto"/>
            <w:vAlign w:val="center"/>
          </w:tcPr>
          <w:p w14:paraId="573364BE" w14:textId="77777777"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Organ damage incidence</w:t>
            </w:r>
          </w:p>
        </w:tc>
        <w:tc>
          <w:tcPr>
            <w:tcW w:w="1886" w:type="pct"/>
            <w:shd w:val="clear" w:color="auto" w:fill="auto"/>
            <w:vAlign w:val="center"/>
          </w:tcPr>
          <w:p w14:paraId="69ACC402" w14:textId="16DD8D5F" w:rsidR="00C775AE" w:rsidRPr="002F733E" w:rsidRDefault="00C775AE"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Regressions for organ damage incidence taken from published estimate</w:t>
            </w:r>
            <w:r w:rsidR="00517442" w:rsidRPr="002F733E">
              <w:rPr>
                <w:rFonts w:ascii="Arial Narrow" w:eastAsiaTheme="majorEastAsia" w:hAnsi="Arial Narrow" w:cstheme="majorBidi"/>
                <w:bCs/>
                <w:sz w:val="20"/>
              </w:rPr>
              <w:t>s</w:t>
            </w:r>
            <w:r w:rsidRPr="002F733E">
              <w:rPr>
                <w:rFonts w:ascii="Arial Narrow" w:eastAsiaTheme="majorEastAsia" w:hAnsi="Arial Narrow" w:cstheme="majorBidi"/>
                <w:bCs/>
                <w:sz w:val="20"/>
              </w:rPr>
              <w:t xml:space="preserve"> based on JHLC and several included covariates such as AMS, OCS use and patient characteristics.</w:t>
            </w:r>
          </w:p>
        </w:tc>
        <w:tc>
          <w:tcPr>
            <w:tcW w:w="2409" w:type="pct"/>
            <w:shd w:val="clear" w:color="auto" w:fill="auto"/>
            <w:vAlign w:val="center"/>
          </w:tcPr>
          <w:p w14:paraId="23E86BA7" w14:textId="617BB59D" w:rsidR="00C775AE" w:rsidRPr="002F733E" w:rsidRDefault="007E2392" w:rsidP="00C775AE">
            <w:pPr>
              <w:keepNext/>
              <w:jc w:val="left"/>
              <w:rPr>
                <w:rFonts w:ascii="Arial Narrow" w:eastAsiaTheme="majorEastAsia" w:hAnsi="Arial Narrow" w:cstheme="majorBidi"/>
                <w:bCs/>
                <w:sz w:val="20"/>
              </w:rPr>
            </w:pPr>
            <w:r w:rsidRPr="002F733E">
              <w:rPr>
                <w:rFonts w:ascii="Arial Narrow" w:eastAsiaTheme="majorEastAsia" w:hAnsi="Arial Narrow" w:cstheme="majorBidi"/>
                <w:bCs/>
                <w:sz w:val="20"/>
              </w:rPr>
              <w:t>Moderate</w:t>
            </w:r>
            <w:r w:rsidR="00C775AE" w:rsidRPr="002F733E">
              <w:rPr>
                <w:rFonts w:ascii="Arial Narrow" w:eastAsiaTheme="majorEastAsia" w:hAnsi="Arial Narrow" w:cstheme="majorBidi"/>
                <w:bCs/>
                <w:sz w:val="20"/>
              </w:rPr>
              <w:t>, favoured anifrolumab. If AMS coefficients were set to 0 (affecting 9 out of 12 organ system regressions), the ICER increased to $</w:t>
            </w:r>
            <w:r w:rsidR="00EB6544" w:rsidRPr="00EB6544">
              <w:rPr>
                <w:rFonts w:ascii="Arial Narrow" w:eastAsiaTheme="majorEastAsia" w:hAnsi="Arial Narrow" w:cstheme="majorBidi"/>
                <w:bCs/>
                <w:color w:val="000000"/>
                <w:spacing w:val="29"/>
                <w:sz w:val="20"/>
                <w:shd w:val="solid" w:color="000000" w:fill="000000"/>
                <w:fitText w:val="549" w:id="-1236572927"/>
                <w14:textFill>
                  <w14:solidFill>
                    <w14:srgbClr w14:val="000000">
                      <w14:alpha w14:val="100000"/>
                    </w14:srgbClr>
                  </w14:solidFill>
                </w14:textFill>
              </w:rPr>
              <w:t>|||||||</w:t>
            </w:r>
            <w:r w:rsidR="00EB6544" w:rsidRPr="00EB6544">
              <w:rPr>
                <w:rFonts w:ascii="Arial Narrow" w:eastAsiaTheme="majorEastAsia" w:hAnsi="Arial Narrow" w:cstheme="majorBidi"/>
                <w:bCs/>
                <w:color w:val="000000"/>
                <w:spacing w:val="6"/>
                <w:sz w:val="20"/>
                <w:shd w:val="solid" w:color="000000" w:fill="000000"/>
                <w:fitText w:val="549" w:id="-1236572927"/>
                <w14:textFill>
                  <w14:solidFill>
                    <w14:srgbClr w14:val="000000">
                      <w14:alpha w14:val="100000"/>
                    </w14:srgbClr>
                  </w14:solidFill>
                </w14:textFill>
              </w:rPr>
              <w:t>|</w:t>
            </w:r>
            <w:r w:rsidR="00193CB4">
              <w:rPr>
                <w:rFonts w:ascii="Arial Narrow" w:hAnsi="Arial Narrow"/>
                <w:snapToGrid w:val="0"/>
                <w:sz w:val="18"/>
                <w:szCs w:val="20"/>
                <w:vertAlign w:val="superscript"/>
              </w:rPr>
              <w:t>1</w:t>
            </w:r>
            <w:r w:rsidR="00C775AE" w:rsidRPr="002F733E">
              <w:rPr>
                <w:rFonts w:ascii="Arial Narrow" w:eastAsiaTheme="majorEastAsia" w:hAnsi="Arial Narrow" w:cstheme="majorBidi"/>
                <w:bCs/>
                <w:sz w:val="20"/>
              </w:rPr>
              <w:t>/QALY gained.</w:t>
            </w:r>
          </w:p>
        </w:tc>
      </w:tr>
    </w:tbl>
    <w:p w14:paraId="300604CB" w14:textId="77777777" w:rsidR="00C775AE" w:rsidRPr="002F733E" w:rsidRDefault="00C775AE" w:rsidP="00C775AE">
      <w:pPr>
        <w:spacing w:after="120"/>
        <w:contextualSpacing/>
        <w:rPr>
          <w:rFonts w:ascii="Arial Narrow" w:hAnsi="Arial Narrow"/>
          <w:snapToGrid w:val="0"/>
          <w:sz w:val="18"/>
          <w:szCs w:val="22"/>
        </w:rPr>
      </w:pPr>
      <w:r w:rsidRPr="002F733E">
        <w:rPr>
          <w:rFonts w:ascii="Arial Narrow" w:hAnsi="Arial Narrow"/>
          <w:snapToGrid w:val="0"/>
          <w:sz w:val="18"/>
          <w:szCs w:val="22"/>
        </w:rPr>
        <w:t>Source: compiled during the evaluation</w:t>
      </w:r>
    </w:p>
    <w:p w14:paraId="71F2B6A9" w14:textId="7F1BB541" w:rsidR="00C775AE" w:rsidRDefault="00C775AE" w:rsidP="00C775AE">
      <w:pPr>
        <w:spacing w:after="120"/>
        <w:contextualSpacing/>
        <w:rPr>
          <w:rFonts w:ascii="Arial Narrow" w:hAnsi="Arial Narrow"/>
          <w:snapToGrid w:val="0"/>
          <w:sz w:val="18"/>
          <w:szCs w:val="20"/>
        </w:rPr>
      </w:pPr>
      <w:r w:rsidRPr="002F733E">
        <w:rPr>
          <w:rFonts w:ascii="Arial Narrow" w:hAnsi="Arial Narrow"/>
          <w:snapToGrid w:val="0"/>
          <w:sz w:val="18"/>
          <w:szCs w:val="20"/>
        </w:rPr>
        <w:t>AMS=adjusted mean SLEDAI; ICER=incremental cost-effectiveness ratio; OCS=oral corticosteroids; LOS=length of stay; QALY=quality adjusted life year; SLE=Systemic Lupus Erythematosus; SLEDAI-2K=Systemic Lupus Erythematosus Disease Activity Index 2000; SOC=standard of care</w:t>
      </w:r>
      <w:r w:rsidR="0034439E" w:rsidRPr="002F733E">
        <w:rPr>
          <w:rFonts w:ascii="Arial Narrow" w:hAnsi="Arial Narrow"/>
          <w:snapToGrid w:val="0"/>
          <w:sz w:val="18"/>
          <w:szCs w:val="20"/>
        </w:rPr>
        <w:t>, HR=hazard ratio</w:t>
      </w:r>
    </w:p>
    <w:p w14:paraId="6505870E" w14:textId="7FFEE57D" w:rsidR="00193CB4" w:rsidRPr="00193CB4" w:rsidRDefault="00193CB4" w:rsidP="00C775AE">
      <w:pPr>
        <w:spacing w:after="120"/>
        <w:contextualSpacing/>
        <w:rPr>
          <w:rFonts w:ascii="Arial Narrow" w:hAnsi="Arial Narrow"/>
          <w:i/>
          <w:iCs/>
          <w:snapToGrid w:val="0"/>
          <w:sz w:val="18"/>
          <w:szCs w:val="20"/>
        </w:rPr>
      </w:pPr>
      <w:r w:rsidRPr="00193CB4">
        <w:rPr>
          <w:rFonts w:ascii="Arial Narrow" w:hAnsi="Arial Narrow"/>
          <w:i/>
          <w:iCs/>
          <w:snapToGrid w:val="0"/>
          <w:sz w:val="18"/>
          <w:szCs w:val="20"/>
        </w:rPr>
        <w:t>The redacted values correspond to the following ranges:</w:t>
      </w:r>
    </w:p>
    <w:p w14:paraId="70B6F022" w14:textId="0434CB17" w:rsidR="00193CB4" w:rsidRPr="00193CB4" w:rsidRDefault="00193CB4" w:rsidP="00193CB4">
      <w:pPr>
        <w:tabs>
          <w:tab w:val="left" w:pos="2116"/>
        </w:tabs>
        <w:spacing w:after="120"/>
        <w:contextualSpacing/>
        <w:rPr>
          <w:rFonts w:ascii="Arial Narrow" w:hAnsi="Arial Narrow"/>
          <w:i/>
          <w:iCs/>
          <w:snapToGrid w:val="0"/>
          <w:sz w:val="18"/>
          <w:szCs w:val="20"/>
        </w:rPr>
      </w:pPr>
      <w:r w:rsidRPr="00193CB4">
        <w:rPr>
          <w:rFonts w:ascii="Arial Narrow" w:hAnsi="Arial Narrow"/>
          <w:i/>
          <w:iCs/>
          <w:snapToGrid w:val="0"/>
          <w:sz w:val="18"/>
          <w:szCs w:val="20"/>
          <w:vertAlign w:val="superscript"/>
        </w:rPr>
        <w:t>1</w:t>
      </w:r>
      <w:r w:rsidRPr="00193CB4">
        <w:rPr>
          <w:rFonts w:ascii="Arial Narrow" w:hAnsi="Arial Narrow"/>
          <w:i/>
          <w:iCs/>
          <w:snapToGrid w:val="0"/>
          <w:sz w:val="18"/>
          <w:szCs w:val="20"/>
        </w:rPr>
        <w:t xml:space="preserve"> $75,000 to &lt; $95,000</w:t>
      </w:r>
    </w:p>
    <w:p w14:paraId="785FEE6B" w14:textId="13720D87" w:rsidR="00193CB4" w:rsidRPr="00193CB4" w:rsidRDefault="00193CB4" w:rsidP="00193CB4">
      <w:pPr>
        <w:tabs>
          <w:tab w:val="left" w:pos="2116"/>
        </w:tabs>
        <w:spacing w:after="120"/>
        <w:contextualSpacing/>
        <w:rPr>
          <w:rFonts w:ascii="Arial Narrow" w:hAnsi="Arial Narrow"/>
          <w:i/>
          <w:iCs/>
          <w:snapToGrid w:val="0"/>
          <w:sz w:val="18"/>
          <w:szCs w:val="20"/>
        </w:rPr>
      </w:pPr>
      <w:r w:rsidRPr="00193CB4">
        <w:rPr>
          <w:rFonts w:ascii="Arial Narrow" w:hAnsi="Arial Narrow"/>
          <w:i/>
          <w:iCs/>
          <w:snapToGrid w:val="0"/>
          <w:sz w:val="18"/>
          <w:szCs w:val="20"/>
          <w:vertAlign w:val="superscript"/>
        </w:rPr>
        <w:t>2</w:t>
      </w:r>
      <w:r w:rsidRPr="00193CB4">
        <w:rPr>
          <w:rFonts w:ascii="Arial Narrow" w:hAnsi="Arial Narrow"/>
          <w:i/>
          <w:iCs/>
          <w:snapToGrid w:val="0"/>
          <w:sz w:val="18"/>
          <w:szCs w:val="20"/>
        </w:rPr>
        <w:t xml:space="preserve"> $135,000 to &lt; $155,000</w:t>
      </w:r>
    </w:p>
    <w:p w14:paraId="197DA13A" w14:textId="74CB9901" w:rsidR="00193CB4" w:rsidRPr="00193CB4" w:rsidRDefault="00193CB4" w:rsidP="00193CB4">
      <w:pPr>
        <w:tabs>
          <w:tab w:val="left" w:pos="2116"/>
        </w:tabs>
        <w:spacing w:after="120"/>
        <w:contextualSpacing/>
        <w:rPr>
          <w:rFonts w:ascii="Arial Narrow" w:hAnsi="Arial Narrow"/>
          <w:i/>
          <w:iCs/>
          <w:snapToGrid w:val="0"/>
          <w:sz w:val="18"/>
          <w:szCs w:val="20"/>
        </w:rPr>
      </w:pPr>
      <w:r w:rsidRPr="00193CB4">
        <w:rPr>
          <w:rFonts w:ascii="Arial Narrow" w:hAnsi="Arial Narrow"/>
          <w:i/>
          <w:iCs/>
          <w:snapToGrid w:val="0"/>
          <w:sz w:val="18"/>
          <w:szCs w:val="20"/>
          <w:vertAlign w:val="superscript"/>
        </w:rPr>
        <w:t>3</w:t>
      </w:r>
      <w:r w:rsidRPr="00193CB4">
        <w:rPr>
          <w:rFonts w:ascii="Arial Narrow" w:hAnsi="Arial Narrow"/>
          <w:i/>
          <w:iCs/>
          <w:snapToGrid w:val="0"/>
          <w:sz w:val="18"/>
          <w:szCs w:val="20"/>
        </w:rPr>
        <w:t xml:space="preserve"> $255,000 to &lt; $355,000</w:t>
      </w:r>
    </w:p>
    <w:p w14:paraId="41B99F3E" w14:textId="69306E17" w:rsidR="00193CB4" w:rsidRPr="00193CB4" w:rsidRDefault="00193CB4" w:rsidP="00193CB4">
      <w:pPr>
        <w:tabs>
          <w:tab w:val="left" w:pos="2116"/>
        </w:tabs>
        <w:spacing w:after="120"/>
        <w:contextualSpacing/>
        <w:rPr>
          <w:rFonts w:ascii="Arial Narrow" w:hAnsi="Arial Narrow"/>
          <w:i/>
          <w:iCs/>
          <w:snapToGrid w:val="0"/>
          <w:sz w:val="18"/>
          <w:szCs w:val="20"/>
        </w:rPr>
      </w:pPr>
      <w:r w:rsidRPr="00193CB4">
        <w:rPr>
          <w:rFonts w:ascii="Arial Narrow" w:hAnsi="Arial Narrow"/>
          <w:i/>
          <w:iCs/>
          <w:snapToGrid w:val="0"/>
          <w:sz w:val="18"/>
          <w:szCs w:val="20"/>
          <w:vertAlign w:val="superscript"/>
        </w:rPr>
        <w:t>4</w:t>
      </w:r>
      <w:r w:rsidRPr="00193CB4">
        <w:rPr>
          <w:rFonts w:ascii="Arial Narrow" w:hAnsi="Arial Narrow"/>
          <w:i/>
          <w:iCs/>
          <w:snapToGrid w:val="0"/>
          <w:sz w:val="18"/>
          <w:szCs w:val="20"/>
        </w:rPr>
        <w:t xml:space="preserve"> $115,000 to &lt; $135,000</w:t>
      </w:r>
    </w:p>
    <w:p w14:paraId="01FC5CA6" w14:textId="1FE72482" w:rsidR="00193CB4" w:rsidRPr="00193CB4" w:rsidRDefault="00193CB4" w:rsidP="00193CB4">
      <w:pPr>
        <w:tabs>
          <w:tab w:val="left" w:pos="2116"/>
        </w:tabs>
        <w:spacing w:after="120"/>
        <w:contextualSpacing/>
        <w:rPr>
          <w:rFonts w:ascii="Arial Narrow" w:hAnsi="Arial Narrow"/>
          <w:i/>
          <w:iCs/>
          <w:snapToGrid w:val="0"/>
          <w:sz w:val="18"/>
          <w:szCs w:val="20"/>
        </w:rPr>
      </w:pPr>
      <w:r w:rsidRPr="00193CB4">
        <w:rPr>
          <w:rFonts w:ascii="Arial Narrow" w:hAnsi="Arial Narrow"/>
          <w:i/>
          <w:iCs/>
          <w:snapToGrid w:val="0"/>
          <w:sz w:val="18"/>
          <w:szCs w:val="20"/>
          <w:vertAlign w:val="superscript"/>
        </w:rPr>
        <w:t>5</w:t>
      </w:r>
      <w:r w:rsidRPr="00193CB4">
        <w:rPr>
          <w:rFonts w:ascii="Arial Narrow" w:hAnsi="Arial Narrow"/>
          <w:i/>
          <w:iCs/>
          <w:snapToGrid w:val="0"/>
          <w:sz w:val="18"/>
          <w:szCs w:val="20"/>
        </w:rPr>
        <w:t xml:space="preserve"> $95,000 to &lt; $115,000</w:t>
      </w:r>
    </w:p>
    <w:p w14:paraId="07566636" w14:textId="49B016F1" w:rsidR="00C775AE" w:rsidRPr="002F733E" w:rsidRDefault="0090762C" w:rsidP="00C775AE">
      <w:pPr>
        <w:pStyle w:val="3-BodyText"/>
      </w:pPr>
      <w:r>
        <w:fldChar w:fldCharType="begin" w:fldLock="1"/>
      </w:r>
      <w:r>
        <w:instrText xml:space="preserve"> REF _Ref121669141  \* MERGEFORMAT </w:instrText>
      </w:r>
      <w:r>
        <w:fldChar w:fldCharType="separate"/>
      </w:r>
      <w:r w:rsidR="001316D2" w:rsidRPr="002F733E">
        <w:t>Table 11</w:t>
      </w:r>
      <w:r>
        <w:fldChar w:fldCharType="end"/>
      </w:r>
      <w:r w:rsidR="00C775AE" w:rsidRPr="002F733E">
        <w:t xml:space="preserve"> summarises the stepped economic evaluation. </w:t>
      </w:r>
      <w:bookmarkStart w:id="50" w:name="_Hlk131423006"/>
      <w:r w:rsidR="00C775AE" w:rsidRPr="002F733E">
        <w:t>The base case ICER was $</w:t>
      </w:r>
      <w:r w:rsidR="00E13FB6">
        <w:t>75,000</w:t>
      </w:r>
      <w:r w:rsidR="00612BA3">
        <w:t> </w:t>
      </w:r>
      <w:r w:rsidR="00E13FB6">
        <w:t>to</w:t>
      </w:r>
      <w:r w:rsidR="00612BA3">
        <w:t> </w:t>
      </w:r>
      <w:r w:rsidR="00E13FB6">
        <w:t>&lt;</w:t>
      </w:r>
      <w:r w:rsidR="00612BA3">
        <w:t> </w:t>
      </w:r>
      <w:r w:rsidR="00E13FB6">
        <w:t>$95,000</w:t>
      </w:r>
      <w:r w:rsidR="00C775AE" w:rsidRPr="002F733E">
        <w:t xml:space="preserve"> per QALY gained compared to $</w:t>
      </w:r>
      <w:r w:rsidR="00E13FB6">
        <w:t>55,000</w:t>
      </w:r>
      <w:r w:rsidR="00612BA3">
        <w:t> </w:t>
      </w:r>
      <w:r w:rsidR="00E13FB6">
        <w:t>to</w:t>
      </w:r>
      <w:r w:rsidR="00612BA3">
        <w:t> </w:t>
      </w:r>
      <w:r w:rsidR="00E13FB6">
        <w:t>&lt;</w:t>
      </w:r>
      <w:r w:rsidR="00612BA3">
        <w:t> </w:t>
      </w:r>
      <w:r w:rsidR="00E13FB6">
        <w:t>$75,000</w:t>
      </w:r>
      <w:r w:rsidR="00C775AE" w:rsidRPr="002F733E">
        <w:t xml:space="preserve"> per QALY gained once the OCS costs were corrected in the July 2022 submission. An additional step was included in the resubmission to consider </w:t>
      </w:r>
      <w:r w:rsidR="00546351" w:rsidRPr="002F733E">
        <w:t xml:space="preserve">the </w:t>
      </w:r>
      <w:r w:rsidR="00C775AE" w:rsidRPr="002F733E">
        <w:t xml:space="preserve">cost per QALY at 4 years (i.e. to the end of the TULIP LTE data). </w:t>
      </w:r>
      <w:r w:rsidR="00C775AE" w:rsidRPr="002F733E">
        <w:rPr>
          <w:iCs/>
        </w:rPr>
        <w:t>For completeness, cost per life year gained for Steps 3 to 5 were calculated during the evaluation. The</w:t>
      </w:r>
      <w:r w:rsidR="00C775AE" w:rsidRPr="002F733E">
        <w:t xml:space="preserve"> results showed significantly higher quality of life benefits than survival with anifrolumab versus SOC in the first 4 years of treatment, with the majority of the survival benefits predicted to occur after 4 years (i.e., beyond available clinical data).</w:t>
      </w:r>
      <w:bookmarkEnd w:id="50"/>
    </w:p>
    <w:p w14:paraId="189BDFFD" w14:textId="40F2D150" w:rsidR="00C775AE" w:rsidRPr="002F733E" w:rsidRDefault="00C775AE" w:rsidP="00C775AE">
      <w:pPr>
        <w:pStyle w:val="TableFigureHeading"/>
        <w:rPr>
          <w:rStyle w:val="CommentReference"/>
          <w:b/>
          <w:szCs w:val="24"/>
        </w:rPr>
      </w:pPr>
      <w:bookmarkStart w:id="51" w:name="_Ref121669141"/>
      <w:r w:rsidRPr="002F733E">
        <w:t xml:space="preserve">Table </w:t>
      </w:r>
      <w:fldSimple w:instr=" SEQ Table \* ARABIC " w:fldLock="1">
        <w:r w:rsidR="00781A0F" w:rsidRPr="002F733E">
          <w:t>11</w:t>
        </w:r>
      </w:fldSimple>
      <w:bookmarkEnd w:id="51"/>
      <w:r w:rsidRPr="002F733E">
        <w:t>:</w:t>
      </w:r>
      <w:r w:rsidRPr="002F733E">
        <w:rPr>
          <w:rStyle w:val="CommentReference"/>
          <w:b/>
          <w:szCs w:val="24"/>
        </w:rPr>
        <w:t xml:space="preserve"> Results of the stepped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689"/>
        <w:gridCol w:w="1273"/>
        <w:gridCol w:w="965"/>
        <w:gridCol w:w="974"/>
        <w:gridCol w:w="1174"/>
        <w:gridCol w:w="974"/>
        <w:gridCol w:w="968"/>
      </w:tblGrid>
      <w:tr w:rsidR="00C775AE" w:rsidRPr="002F733E" w14:paraId="3CB6993D" w14:textId="77777777" w:rsidTr="00BB0C5F">
        <w:trPr>
          <w:tblHeader/>
        </w:trPr>
        <w:tc>
          <w:tcPr>
            <w:tcW w:w="1491" w:type="pct"/>
            <w:vAlign w:val="center"/>
          </w:tcPr>
          <w:p w14:paraId="2EECB37E" w14:textId="77777777" w:rsidR="00C775AE" w:rsidRPr="002F733E" w:rsidRDefault="00C775AE" w:rsidP="00C775AE">
            <w:pPr>
              <w:pStyle w:val="In-tableHeading"/>
              <w:rPr>
                <w:lang w:val="en-AU"/>
              </w:rPr>
            </w:pPr>
          </w:p>
        </w:tc>
        <w:tc>
          <w:tcPr>
            <w:tcW w:w="1781" w:type="pct"/>
            <w:gridSpan w:val="3"/>
            <w:shd w:val="clear" w:color="auto" w:fill="C6D9F1" w:themeFill="text2" w:themeFillTint="33"/>
            <w:vAlign w:val="center"/>
          </w:tcPr>
          <w:p w14:paraId="49AEC6A9" w14:textId="77777777" w:rsidR="00C775AE" w:rsidRPr="002F733E" w:rsidRDefault="00C775AE" w:rsidP="00C775AE">
            <w:pPr>
              <w:pStyle w:val="In-tableHeading"/>
              <w:jc w:val="center"/>
              <w:rPr>
                <w:lang w:val="en-AU"/>
              </w:rPr>
            </w:pPr>
            <w:r w:rsidRPr="002F733E">
              <w:rPr>
                <w:lang w:val="en-AU"/>
              </w:rPr>
              <w:t>July 2022 submission</w:t>
            </w:r>
          </w:p>
        </w:tc>
        <w:tc>
          <w:tcPr>
            <w:tcW w:w="1728" w:type="pct"/>
            <w:gridSpan w:val="3"/>
          </w:tcPr>
          <w:p w14:paraId="51080BB9" w14:textId="76ABEC2F" w:rsidR="00C775AE" w:rsidRPr="002F733E" w:rsidRDefault="008E7715" w:rsidP="00C775AE">
            <w:pPr>
              <w:pStyle w:val="In-tableHeading"/>
              <w:jc w:val="center"/>
              <w:rPr>
                <w:lang w:val="en-AU"/>
              </w:rPr>
            </w:pPr>
            <w:r w:rsidRPr="002F733E">
              <w:rPr>
                <w:lang w:val="en-AU"/>
              </w:rPr>
              <w:t xml:space="preserve">March 2023 </w:t>
            </w:r>
            <w:r w:rsidR="00C775AE" w:rsidRPr="002F733E">
              <w:rPr>
                <w:lang w:val="en-AU"/>
              </w:rPr>
              <w:t>Resubmission</w:t>
            </w:r>
          </w:p>
        </w:tc>
      </w:tr>
      <w:tr w:rsidR="00C775AE" w:rsidRPr="002F733E" w14:paraId="0518EA91" w14:textId="77777777" w:rsidTr="00BB0C5F">
        <w:trPr>
          <w:tblHeader/>
        </w:trPr>
        <w:tc>
          <w:tcPr>
            <w:tcW w:w="1491" w:type="pct"/>
            <w:tcBorders>
              <w:bottom w:val="single" w:sz="4" w:space="0" w:color="auto"/>
            </w:tcBorders>
            <w:vAlign w:val="center"/>
          </w:tcPr>
          <w:p w14:paraId="44219B9E" w14:textId="77777777" w:rsidR="00C775AE" w:rsidRPr="002F733E" w:rsidRDefault="00C775AE" w:rsidP="00C775AE">
            <w:pPr>
              <w:pStyle w:val="In-tableHeading"/>
              <w:rPr>
                <w:lang w:val="en-AU"/>
              </w:rPr>
            </w:pPr>
            <w:r w:rsidRPr="002F733E">
              <w:rPr>
                <w:lang w:val="en-AU"/>
              </w:rPr>
              <w:t>Step and component</w:t>
            </w:r>
          </w:p>
        </w:tc>
        <w:tc>
          <w:tcPr>
            <w:tcW w:w="706" w:type="pct"/>
            <w:tcBorders>
              <w:bottom w:val="single" w:sz="4" w:space="0" w:color="auto"/>
            </w:tcBorders>
            <w:shd w:val="clear" w:color="auto" w:fill="C6D9F1" w:themeFill="text2" w:themeFillTint="33"/>
            <w:vAlign w:val="center"/>
          </w:tcPr>
          <w:p w14:paraId="585BC9CC" w14:textId="77777777" w:rsidR="00C775AE" w:rsidRPr="002F733E" w:rsidRDefault="00C775AE" w:rsidP="00C775AE">
            <w:pPr>
              <w:pStyle w:val="In-tableHeading"/>
              <w:jc w:val="center"/>
              <w:rPr>
                <w:lang w:val="en-AU"/>
              </w:rPr>
            </w:pPr>
            <w:r w:rsidRPr="002F733E">
              <w:rPr>
                <w:lang w:val="en-AU"/>
              </w:rPr>
              <w:t>Anifrolumab arm</w:t>
            </w:r>
          </w:p>
        </w:tc>
        <w:tc>
          <w:tcPr>
            <w:tcW w:w="534" w:type="pct"/>
            <w:tcBorders>
              <w:bottom w:val="single" w:sz="4" w:space="0" w:color="auto"/>
            </w:tcBorders>
            <w:shd w:val="clear" w:color="auto" w:fill="C6D9F1" w:themeFill="text2" w:themeFillTint="33"/>
            <w:vAlign w:val="center"/>
          </w:tcPr>
          <w:p w14:paraId="5459894D" w14:textId="77777777" w:rsidR="00C775AE" w:rsidRPr="002F733E" w:rsidRDefault="00C775AE" w:rsidP="00C775AE">
            <w:pPr>
              <w:pStyle w:val="In-tableHeading"/>
              <w:jc w:val="center"/>
              <w:rPr>
                <w:lang w:val="en-AU"/>
              </w:rPr>
            </w:pPr>
            <w:r w:rsidRPr="002F733E">
              <w:rPr>
                <w:lang w:val="en-AU"/>
              </w:rPr>
              <w:t>SOC arm</w:t>
            </w:r>
          </w:p>
        </w:tc>
        <w:tc>
          <w:tcPr>
            <w:tcW w:w="540" w:type="pct"/>
            <w:tcBorders>
              <w:bottom w:val="single" w:sz="4" w:space="0" w:color="auto"/>
            </w:tcBorders>
            <w:shd w:val="clear" w:color="auto" w:fill="C6D9F1" w:themeFill="text2" w:themeFillTint="33"/>
            <w:vAlign w:val="center"/>
          </w:tcPr>
          <w:p w14:paraId="09F521EC" w14:textId="77777777" w:rsidR="00C775AE" w:rsidRPr="002F733E" w:rsidRDefault="00C775AE" w:rsidP="00C775AE">
            <w:pPr>
              <w:pStyle w:val="In-tableHeading"/>
              <w:jc w:val="center"/>
              <w:rPr>
                <w:lang w:val="en-AU"/>
              </w:rPr>
            </w:pPr>
            <w:r w:rsidRPr="002F733E">
              <w:rPr>
                <w:lang w:val="en-AU"/>
              </w:rPr>
              <w:t>Increment</w:t>
            </w:r>
          </w:p>
        </w:tc>
        <w:tc>
          <w:tcPr>
            <w:tcW w:w="651" w:type="pct"/>
            <w:tcBorders>
              <w:bottom w:val="single" w:sz="4" w:space="0" w:color="auto"/>
            </w:tcBorders>
          </w:tcPr>
          <w:p w14:paraId="1C231123" w14:textId="77777777" w:rsidR="00C775AE" w:rsidRPr="002F733E" w:rsidRDefault="00C775AE" w:rsidP="00C775AE">
            <w:pPr>
              <w:pStyle w:val="In-tableHeading"/>
              <w:jc w:val="center"/>
              <w:rPr>
                <w:lang w:val="en-AU"/>
              </w:rPr>
            </w:pPr>
            <w:r w:rsidRPr="002F733E">
              <w:rPr>
                <w:lang w:val="en-AU"/>
              </w:rPr>
              <w:t>Anifrolumab arm</w:t>
            </w:r>
          </w:p>
        </w:tc>
        <w:tc>
          <w:tcPr>
            <w:tcW w:w="540" w:type="pct"/>
            <w:tcBorders>
              <w:bottom w:val="single" w:sz="4" w:space="0" w:color="auto"/>
            </w:tcBorders>
          </w:tcPr>
          <w:p w14:paraId="08551A40" w14:textId="77777777" w:rsidR="00C775AE" w:rsidRPr="002F733E" w:rsidRDefault="00C775AE" w:rsidP="00C775AE">
            <w:pPr>
              <w:pStyle w:val="In-tableHeading"/>
              <w:jc w:val="center"/>
              <w:rPr>
                <w:lang w:val="en-AU"/>
              </w:rPr>
            </w:pPr>
            <w:r w:rsidRPr="002F733E">
              <w:rPr>
                <w:lang w:val="en-AU"/>
              </w:rPr>
              <w:t>SOC arm</w:t>
            </w:r>
          </w:p>
        </w:tc>
        <w:tc>
          <w:tcPr>
            <w:tcW w:w="537" w:type="pct"/>
            <w:tcBorders>
              <w:bottom w:val="single" w:sz="4" w:space="0" w:color="auto"/>
            </w:tcBorders>
          </w:tcPr>
          <w:p w14:paraId="43DCB502" w14:textId="77777777" w:rsidR="00C775AE" w:rsidRPr="002F733E" w:rsidRDefault="00C775AE" w:rsidP="00C775AE">
            <w:pPr>
              <w:pStyle w:val="In-tableHeading"/>
              <w:jc w:val="center"/>
              <w:rPr>
                <w:lang w:val="en-AU"/>
              </w:rPr>
            </w:pPr>
            <w:r w:rsidRPr="002F733E">
              <w:rPr>
                <w:lang w:val="en-AU"/>
              </w:rPr>
              <w:t>Increment</w:t>
            </w:r>
          </w:p>
        </w:tc>
      </w:tr>
      <w:tr w:rsidR="00C775AE" w:rsidRPr="002F733E" w14:paraId="0E87F65A" w14:textId="77777777" w:rsidTr="00BB0C5F">
        <w:tc>
          <w:tcPr>
            <w:tcW w:w="5000" w:type="pct"/>
            <w:gridSpan w:val="7"/>
            <w:tcBorders>
              <w:bottom w:val="single" w:sz="4" w:space="0" w:color="auto"/>
            </w:tcBorders>
            <w:shd w:val="clear" w:color="auto" w:fill="auto"/>
            <w:vAlign w:val="center"/>
          </w:tcPr>
          <w:p w14:paraId="27EB722D" w14:textId="77777777" w:rsidR="00C775AE" w:rsidRPr="002F733E" w:rsidRDefault="00C775AE" w:rsidP="00C775AE">
            <w:pPr>
              <w:pStyle w:val="TableText0"/>
              <w:rPr>
                <w:b/>
              </w:rPr>
            </w:pPr>
            <w:r w:rsidRPr="002F733E">
              <w:rPr>
                <w:b/>
              </w:rPr>
              <w:t>Step 1: Cost per responder at 24 weeks, no discounting</w:t>
            </w:r>
          </w:p>
        </w:tc>
      </w:tr>
      <w:tr w:rsidR="00C775AE" w:rsidRPr="002F733E" w14:paraId="5CC6D08E" w14:textId="77777777" w:rsidTr="00EB6544">
        <w:tc>
          <w:tcPr>
            <w:tcW w:w="1491" w:type="pct"/>
            <w:tcBorders>
              <w:top w:val="single" w:sz="4" w:space="0" w:color="auto"/>
              <w:bottom w:val="single" w:sz="4" w:space="0" w:color="auto"/>
            </w:tcBorders>
            <w:vAlign w:val="center"/>
          </w:tcPr>
          <w:p w14:paraId="1102918C" w14:textId="7EB8536F" w:rsidR="00C775AE" w:rsidRPr="002F733E" w:rsidRDefault="00C775AE" w:rsidP="00C775AE">
            <w:pPr>
              <w:pStyle w:val="TableText0"/>
              <w:rPr>
                <w:rFonts w:ascii="Times" w:hAnsi="Times"/>
              </w:rPr>
            </w:pPr>
            <w:r w:rsidRPr="002F733E">
              <w:t>Costs (at 6 months)</w:t>
            </w:r>
            <w:r w:rsidR="00E13FB6">
              <w:t xml:space="preserve"> ($)</w:t>
            </w:r>
          </w:p>
        </w:tc>
        <w:tc>
          <w:tcPr>
            <w:tcW w:w="706" w:type="pct"/>
            <w:tcBorders>
              <w:top w:val="single" w:sz="4" w:space="0" w:color="auto"/>
              <w:bottom w:val="single" w:sz="4" w:space="0" w:color="auto"/>
            </w:tcBorders>
            <w:shd w:val="solid" w:color="000000" w:fill="000000"/>
          </w:tcPr>
          <w:p w14:paraId="2A9659D7" w14:textId="72CE1948" w:rsidR="00C775AE" w:rsidRPr="00EB6544" w:rsidRDefault="00EB6544" w:rsidP="00C775AE">
            <w:pPr>
              <w:pStyle w:val="TableText0"/>
              <w:jc w:val="center"/>
              <w:rPr>
                <w:rFonts w:ascii="Times" w:hAnsi="Times"/>
              </w:rPr>
            </w:pPr>
            <w:r w:rsidRPr="00EB6544">
              <w:rPr>
                <w:color w:val="000000"/>
                <w:spacing w:val="180"/>
                <w:fitText w:val="266" w:id="-1236572926"/>
                <w14:textFill>
                  <w14:solidFill>
                    <w14:srgbClr w14:val="000000">
                      <w14:alpha w14:val="100000"/>
                    </w14:srgbClr>
                  </w14:solidFill>
                </w14:textFill>
              </w:rPr>
              <w:t>|</w:t>
            </w:r>
            <w:r w:rsidRPr="00EB6544">
              <w:rPr>
                <w:color w:val="000000"/>
                <w:fitText w:val="266" w:id="-1236572926"/>
                <w14:textFill>
                  <w14:solidFill>
                    <w14:srgbClr w14:val="000000">
                      <w14:alpha w14:val="100000"/>
                    </w14:srgbClr>
                  </w14:solidFill>
                </w14:textFill>
              </w:rPr>
              <w:t>|</w:t>
            </w:r>
          </w:p>
        </w:tc>
        <w:tc>
          <w:tcPr>
            <w:tcW w:w="534" w:type="pct"/>
            <w:tcBorders>
              <w:top w:val="single" w:sz="4" w:space="0" w:color="auto"/>
              <w:bottom w:val="single" w:sz="4" w:space="0" w:color="auto"/>
            </w:tcBorders>
            <w:shd w:val="clear" w:color="auto" w:fill="C6D9F1" w:themeFill="text2" w:themeFillTint="33"/>
          </w:tcPr>
          <w:p w14:paraId="65014680" w14:textId="77777777" w:rsidR="00C775AE" w:rsidRPr="002F733E" w:rsidRDefault="00C775AE" w:rsidP="00C775AE">
            <w:pPr>
              <w:pStyle w:val="TableText0"/>
              <w:jc w:val="center"/>
              <w:rPr>
                <w:rFonts w:ascii="Times" w:hAnsi="Times"/>
              </w:rPr>
            </w:pPr>
            <w:r w:rsidRPr="002F733E">
              <w:t xml:space="preserve">$0 </w:t>
            </w:r>
          </w:p>
        </w:tc>
        <w:tc>
          <w:tcPr>
            <w:tcW w:w="540" w:type="pct"/>
            <w:tcBorders>
              <w:top w:val="single" w:sz="4" w:space="0" w:color="auto"/>
              <w:bottom w:val="single" w:sz="4" w:space="0" w:color="auto"/>
            </w:tcBorders>
            <w:shd w:val="clear" w:color="auto" w:fill="C6D9F1" w:themeFill="text2" w:themeFillTint="33"/>
          </w:tcPr>
          <w:p w14:paraId="7CFA7B95" w14:textId="1FEFE266" w:rsidR="00C775AE" w:rsidRPr="00EB6544" w:rsidRDefault="00EB6544" w:rsidP="00C775AE">
            <w:pPr>
              <w:pStyle w:val="TableText0"/>
              <w:jc w:val="center"/>
              <w:rPr>
                <w:rFonts w:ascii="Times" w:hAnsi="Times"/>
              </w:rPr>
            </w:pPr>
            <w:r w:rsidRPr="00EB6544">
              <w:rPr>
                <w:color w:val="000000"/>
                <w:spacing w:val="81"/>
                <w:shd w:val="solid" w:color="000000" w:fill="000000"/>
                <w:fitText w:val="416" w:id="-1236572925"/>
                <w14:textFill>
                  <w14:solidFill>
                    <w14:srgbClr w14:val="000000">
                      <w14:alpha w14:val="100000"/>
                    </w14:srgbClr>
                  </w14:solidFill>
                </w14:textFill>
              </w:rPr>
              <w:t>|||</w:t>
            </w:r>
            <w:r w:rsidRPr="00EB6544">
              <w:rPr>
                <w:color w:val="000000"/>
                <w:spacing w:val="3"/>
                <w:shd w:val="solid" w:color="000000" w:fill="000000"/>
                <w:fitText w:val="416" w:id="-1236572925"/>
                <w14:textFill>
                  <w14:solidFill>
                    <w14:srgbClr w14:val="000000">
                      <w14:alpha w14:val="100000"/>
                    </w14:srgbClr>
                  </w14:solidFill>
                </w14:textFill>
              </w:rPr>
              <w:t>|</w:t>
            </w:r>
            <w:r w:rsidR="00C775AE" w:rsidRPr="00EB6544">
              <w:t xml:space="preserve"> </w:t>
            </w:r>
          </w:p>
        </w:tc>
        <w:tc>
          <w:tcPr>
            <w:tcW w:w="651" w:type="pct"/>
            <w:tcBorders>
              <w:top w:val="single" w:sz="4" w:space="0" w:color="auto"/>
              <w:bottom w:val="single" w:sz="4" w:space="0" w:color="auto"/>
            </w:tcBorders>
            <w:shd w:val="solid" w:color="000000" w:fill="000000"/>
          </w:tcPr>
          <w:p w14:paraId="3063F03A" w14:textId="4C7ED62B" w:rsidR="00C775AE" w:rsidRPr="00EB6544" w:rsidRDefault="00EB6544" w:rsidP="00C775AE">
            <w:pPr>
              <w:pStyle w:val="TableText0"/>
              <w:jc w:val="center"/>
            </w:pPr>
            <w:r w:rsidRPr="00EB6544">
              <w:rPr>
                <w:color w:val="000000"/>
                <w:spacing w:val="48"/>
                <w:fitText w:val="316" w:id="-1236572924"/>
                <w14:textFill>
                  <w14:solidFill>
                    <w14:srgbClr w14:val="000000">
                      <w14:alpha w14:val="100000"/>
                    </w14:srgbClr>
                  </w14:solidFill>
                </w14:textFill>
              </w:rPr>
              <w:t>|||</w:t>
            </w:r>
            <w:r w:rsidRPr="00EB6544">
              <w:rPr>
                <w:color w:val="000000"/>
                <w:spacing w:val="2"/>
                <w:fitText w:val="316" w:id="-1236572924"/>
                <w14:textFill>
                  <w14:solidFill>
                    <w14:srgbClr w14:val="000000">
                      <w14:alpha w14:val="100000"/>
                    </w14:srgbClr>
                  </w14:solidFill>
                </w14:textFill>
              </w:rPr>
              <w:t>|</w:t>
            </w:r>
          </w:p>
        </w:tc>
        <w:tc>
          <w:tcPr>
            <w:tcW w:w="540" w:type="pct"/>
            <w:tcBorders>
              <w:top w:val="single" w:sz="4" w:space="0" w:color="auto"/>
              <w:bottom w:val="single" w:sz="4" w:space="0" w:color="auto"/>
            </w:tcBorders>
          </w:tcPr>
          <w:p w14:paraId="0503A688" w14:textId="77777777" w:rsidR="00C775AE" w:rsidRPr="002F733E" w:rsidRDefault="00C775AE" w:rsidP="00C775AE">
            <w:pPr>
              <w:pStyle w:val="TableText0"/>
              <w:jc w:val="center"/>
            </w:pPr>
            <w:r w:rsidRPr="002F733E">
              <w:t xml:space="preserve">$0 </w:t>
            </w:r>
          </w:p>
        </w:tc>
        <w:tc>
          <w:tcPr>
            <w:tcW w:w="537" w:type="pct"/>
            <w:tcBorders>
              <w:top w:val="single" w:sz="4" w:space="0" w:color="auto"/>
              <w:bottom w:val="single" w:sz="4" w:space="0" w:color="auto"/>
            </w:tcBorders>
            <w:shd w:val="solid" w:color="000000" w:fill="000000"/>
          </w:tcPr>
          <w:p w14:paraId="7818717D" w14:textId="799172F3" w:rsidR="00C775AE" w:rsidRPr="00EB6544" w:rsidRDefault="00EB6544" w:rsidP="00C775AE">
            <w:pPr>
              <w:pStyle w:val="TableText0"/>
              <w:jc w:val="center"/>
            </w:pPr>
            <w:r w:rsidRPr="00EB6544">
              <w:rPr>
                <w:color w:val="000000"/>
                <w:spacing w:val="81"/>
                <w:fitText w:val="416" w:id="-1236572923"/>
                <w14:textFill>
                  <w14:solidFill>
                    <w14:srgbClr w14:val="000000">
                      <w14:alpha w14:val="100000"/>
                    </w14:srgbClr>
                  </w14:solidFill>
                </w14:textFill>
              </w:rPr>
              <w:t>|||</w:t>
            </w:r>
            <w:r w:rsidRPr="00EB6544">
              <w:rPr>
                <w:color w:val="000000"/>
                <w:spacing w:val="3"/>
                <w:fitText w:val="416" w:id="-1236572923"/>
                <w14:textFill>
                  <w14:solidFill>
                    <w14:srgbClr w14:val="000000">
                      <w14:alpha w14:val="100000"/>
                    </w14:srgbClr>
                  </w14:solidFill>
                </w14:textFill>
              </w:rPr>
              <w:t>|</w:t>
            </w:r>
          </w:p>
        </w:tc>
      </w:tr>
      <w:tr w:rsidR="00C775AE" w:rsidRPr="002F733E" w14:paraId="2A0D9ACE" w14:textId="77777777" w:rsidTr="00BB0C5F">
        <w:tc>
          <w:tcPr>
            <w:tcW w:w="1491" w:type="pct"/>
            <w:tcBorders>
              <w:top w:val="single" w:sz="4" w:space="0" w:color="auto"/>
              <w:bottom w:val="single" w:sz="4" w:space="0" w:color="auto"/>
            </w:tcBorders>
            <w:vAlign w:val="center"/>
          </w:tcPr>
          <w:p w14:paraId="523BB313" w14:textId="77777777" w:rsidR="00C775AE" w:rsidRPr="002F733E" w:rsidRDefault="00C775AE" w:rsidP="00C775AE">
            <w:pPr>
              <w:pStyle w:val="TableText0"/>
              <w:rPr>
                <w:rFonts w:ascii="Times" w:hAnsi="Times"/>
              </w:rPr>
            </w:pPr>
            <w:r w:rsidRPr="002F733E">
              <w:t>Responders</w:t>
            </w:r>
            <w:r w:rsidRPr="002F733E">
              <w:rPr>
                <w:vertAlign w:val="superscript"/>
              </w:rPr>
              <w:t>a</w:t>
            </w:r>
          </w:p>
        </w:tc>
        <w:tc>
          <w:tcPr>
            <w:tcW w:w="706" w:type="pct"/>
            <w:tcBorders>
              <w:top w:val="single" w:sz="4" w:space="0" w:color="auto"/>
              <w:bottom w:val="single" w:sz="4" w:space="0" w:color="auto"/>
            </w:tcBorders>
            <w:shd w:val="clear" w:color="auto" w:fill="C6D9F1" w:themeFill="text2" w:themeFillTint="33"/>
          </w:tcPr>
          <w:p w14:paraId="5751B16C" w14:textId="77777777" w:rsidR="00C775AE" w:rsidRPr="002F733E" w:rsidRDefault="00C775AE" w:rsidP="00C775AE">
            <w:pPr>
              <w:pStyle w:val="TableText0"/>
              <w:jc w:val="center"/>
              <w:rPr>
                <w:rFonts w:ascii="Times" w:hAnsi="Times"/>
              </w:rPr>
            </w:pPr>
            <w:r w:rsidRPr="002F733E">
              <w:t>55.4%</w:t>
            </w:r>
          </w:p>
        </w:tc>
        <w:tc>
          <w:tcPr>
            <w:tcW w:w="534" w:type="pct"/>
            <w:tcBorders>
              <w:top w:val="single" w:sz="4" w:space="0" w:color="auto"/>
              <w:bottom w:val="single" w:sz="4" w:space="0" w:color="auto"/>
            </w:tcBorders>
            <w:shd w:val="clear" w:color="auto" w:fill="C6D9F1" w:themeFill="text2" w:themeFillTint="33"/>
          </w:tcPr>
          <w:p w14:paraId="74106E0C" w14:textId="77777777" w:rsidR="00C775AE" w:rsidRPr="002F733E" w:rsidRDefault="00C775AE" w:rsidP="00C775AE">
            <w:pPr>
              <w:pStyle w:val="TableText0"/>
              <w:jc w:val="center"/>
              <w:rPr>
                <w:rFonts w:ascii="Times" w:hAnsi="Times"/>
              </w:rPr>
            </w:pPr>
            <w:r w:rsidRPr="002F733E">
              <w:t>47.4%</w:t>
            </w:r>
          </w:p>
        </w:tc>
        <w:tc>
          <w:tcPr>
            <w:tcW w:w="540" w:type="pct"/>
            <w:tcBorders>
              <w:top w:val="single" w:sz="4" w:space="0" w:color="auto"/>
              <w:bottom w:val="single" w:sz="4" w:space="0" w:color="auto"/>
            </w:tcBorders>
            <w:shd w:val="clear" w:color="auto" w:fill="C6D9F1" w:themeFill="text2" w:themeFillTint="33"/>
          </w:tcPr>
          <w:p w14:paraId="355ABF31" w14:textId="77777777" w:rsidR="00C775AE" w:rsidRPr="002F733E" w:rsidRDefault="00C775AE" w:rsidP="00C775AE">
            <w:pPr>
              <w:pStyle w:val="TableText0"/>
              <w:jc w:val="center"/>
            </w:pPr>
            <w:r w:rsidRPr="002F733E">
              <w:t>8.0%</w:t>
            </w:r>
          </w:p>
        </w:tc>
        <w:tc>
          <w:tcPr>
            <w:tcW w:w="651" w:type="pct"/>
            <w:tcBorders>
              <w:top w:val="single" w:sz="4" w:space="0" w:color="auto"/>
              <w:bottom w:val="single" w:sz="4" w:space="0" w:color="auto"/>
            </w:tcBorders>
            <w:shd w:val="clear" w:color="auto" w:fill="C6D9F1" w:themeFill="text2" w:themeFillTint="33"/>
          </w:tcPr>
          <w:p w14:paraId="756585F3" w14:textId="77777777" w:rsidR="00C775AE" w:rsidRPr="002F733E" w:rsidRDefault="00C775AE" w:rsidP="00C775AE">
            <w:pPr>
              <w:pStyle w:val="TableText0"/>
              <w:jc w:val="center"/>
            </w:pPr>
            <w:r w:rsidRPr="002F733E">
              <w:t>55.4%</w:t>
            </w:r>
          </w:p>
        </w:tc>
        <w:tc>
          <w:tcPr>
            <w:tcW w:w="540" w:type="pct"/>
            <w:tcBorders>
              <w:top w:val="single" w:sz="4" w:space="0" w:color="auto"/>
              <w:bottom w:val="single" w:sz="4" w:space="0" w:color="auto"/>
            </w:tcBorders>
            <w:shd w:val="clear" w:color="auto" w:fill="C6D9F1" w:themeFill="text2" w:themeFillTint="33"/>
          </w:tcPr>
          <w:p w14:paraId="52D0C299" w14:textId="77777777" w:rsidR="00C775AE" w:rsidRPr="002F733E" w:rsidRDefault="00C775AE" w:rsidP="00C775AE">
            <w:pPr>
              <w:pStyle w:val="TableText0"/>
              <w:jc w:val="center"/>
            </w:pPr>
            <w:r w:rsidRPr="002F733E">
              <w:t>47.4%</w:t>
            </w:r>
          </w:p>
        </w:tc>
        <w:tc>
          <w:tcPr>
            <w:tcW w:w="537" w:type="pct"/>
            <w:tcBorders>
              <w:top w:val="single" w:sz="4" w:space="0" w:color="auto"/>
              <w:bottom w:val="single" w:sz="4" w:space="0" w:color="auto"/>
            </w:tcBorders>
            <w:shd w:val="clear" w:color="auto" w:fill="C6D9F1" w:themeFill="text2" w:themeFillTint="33"/>
          </w:tcPr>
          <w:p w14:paraId="2DC64339" w14:textId="77777777" w:rsidR="00C775AE" w:rsidRPr="002F733E" w:rsidRDefault="00C775AE" w:rsidP="00C775AE">
            <w:pPr>
              <w:pStyle w:val="TableText0"/>
              <w:jc w:val="center"/>
            </w:pPr>
            <w:r w:rsidRPr="002F733E">
              <w:t>8.0%</w:t>
            </w:r>
          </w:p>
        </w:tc>
      </w:tr>
      <w:tr w:rsidR="00C775AE" w:rsidRPr="002F733E" w14:paraId="54DC156C" w14:textId="77777777" w:rsidTr="00BB0C5F">
        <w:tc>
          <w:tcPr>
            <w:tcW w:w="2732" w:type="pct"/>
            <w:gridSpan w:val="3"/>
            <w:tcBorders>
              <w:top w:val="single" w:sz="4" w:space="0" w:color="auto"/>
              <w:bottom w:val="single" w:sz="4" w:space="0" w:color="auto"/>
            </w:tcBorders>
            <w:vAlign w:val="center"/>
          </w:tcPr>
          <w:p w14:paraId="66F8940B" w14:textId="77777777" w:rsidR="00C775AE" w:rsidRPr="002F733E" w:rsidRDefault="00C775AE" w:rsidP="00C775AE">
            <w:pPr>
              <w:pStyle w:val="TableText0"/>
              <w:rPr>
                <w:rFonts w:ascii="Times" w:hAnsi="Times"/>
                <w:b/>
              </w:rPr>
            </w:pPr>
            <w:r w:rsidRPr="002F733E">
              <w:rPr>
                <w:b/>
              </w:rPr>
              <w:t>Incremental cost/extra responder</w:t>
            </w:r>
          </w:p>
        </w:tc>
        <w:tc>
          <w:tcPr>
            <w:tcW w:w="540" w:type="pct"/>
            <w:tcBorders>
              <w:top w:val="single" w:sz="4" w:space="0" w:color="auto"/>
              <w:bottom w:val="single" w:sz="4" w:space="0" w:color="auto"/>
            </w:tcBorders>
            <w:shd w:val="clear" w:color="auto" w:fill="C6D9F1" w:themeFill="text2" w:themeFillTint="33"/>
            <w:vAlign w:val="center"/>
          </w:tcPr>
          <w:p w14:paraId="69546793" w14:textId="735F9A24" w:rsidR="00C775AE" w:rsidRPr="002F733E" w:rsidRDefault="00EB6544" w:rsidP="00C775AE">
            <w:pPr>
              <w:pStyle w:val="TableText0"/>
              <w:jc w:val="center"/>
              <w:rPr>
                <w:rFonts w:ascii="Times" w:hAnsi="Times"/>
                <w:b/>
              </w:rPr>
            </w:pPr>
            <w:r w:rsidRPr="00EB6544">
              <w:rPr>
                <w:b/>
                <w:color w:val="000000"/>
                <w:spacing w:val="48"/>
                <w:shd w:val="solid" w:color="000000" w:fill="000000"/>
                <w:fitText w:val="516" w:id="-1236572922"/>
                <w14:textFill>
                  <w14:solidFill>
                    <w14:srgbClr w14:val="000000">
                      <w14:alpha w14:val="100000"/>
                    </w14:srgbClr>
                  </w14:solidFill>
                </w14:textFill>
              </w:rPr>
              <w:t>|||||</w:t>
            </w:r>
            <w:r w:rsidRPr="00EB6544">
              <w:rPr>
                <w:b/>
                <w:color w:val="000000"/>
                <w:spacing w:val="1"/>
                <w:shd w:val="solid" w:color="000000" w:fill="000000"/>
                <w:fitText w:val="516" w:id="-1236572922"/>
                <w14:textFill>
                  <w14:solidFill>
                    <w14:srgbClr w14:val="000000">
                      <w14:alpha w14:val="100000"/>
                    </w14:srgbClr>
                  </w14:solidFill>
                </w14:textFill>
              </w:rPr>
              <w:t>|</w:t>
            </w:r>
            <w:r w:rsidR="00E13FB6">
              <w:rPr>
                <w:vertAlign w:val="superscript"/>
              </w:rPr>
              <w:t>1</w:t>
            </w:r>
          </w:p>
        </w:tc>
        <w:tc>
          <w:tcPr>
            <w:tcW w:w="651" w:type="pct"/>
            <w:tcBorders>
              <w:top w:val="single" w:sz="4" w:space="0" w:color="auto"/>
              <w:bottom w:val="single" w:sz="4" w:space="0" w:color="auto"/>
            </w:tcBorders>
          </w:tcPr>
          <w:p w14:paraId="66165CB9" w14:textId="77777777" w:rsidR="00C775AE" w:rsidRPr="002F733E" w:rsidRDefault="00C775AE" w:rsidP="00C775AE">
            <w:pPr>
              <w:pStyle w:val="TableText0"/>
              <w:jc w:val="center"/>
              <w:rPr>
                <w:b/>
              </w:rPr>
            </w:pPr>
          </w:p>
        </w:tc>
        <w:tc>
          <w:tcPr>
            <w:tcW w:w="540" w:type="pct"/>
            <w:tcBorders>
              <w:top w:val="single" w:sz="4" w:space="0" w:color="auto"/>
              <w:bottom w:val="single" w:sz="4" w:space="0" w:color="auto"/>
            </w:tcBorders>
          </w:tcPr>
          <w:p w14:paraId="02F01BBF" w14:textId="77777777" w:rsidR="00C775AE" w:rsidRPr="002F733E" w:rsidRDefault="00C775AE" w:rsidP="00C775AE">
            <w:pPr>
              <w:pStyle w:val="TableText0"/>
              <w:jc w:val="center"/>
              <w:rPr>
                <w:b/>
              </w:rPr>
            </w:pPr>
          </w:p>
        </w:tc>
        <w:tc>
          <w:tcPr>
            <w:tcW w:w="537" w:type="pct"/>
            <w:tcBorders>
              <w:top w:val="single" w:sz="4" w:space="0" w:color="auto"/>
              <w:bottom w:val="single" w:sz="4" w:space="0" w:color="auto"/>
            </w:tcBorders>
          </w:tcPr>
          <w:p w14:paraId="50652F80" w14:textId="427D7A7F" w:rsidR="00C775AE" w:rsidRPr="002F733E" w:rsidRDefault="00EB6544" w:rsidP="00C775AE">
            <w:pPr>
              <w:pStyle w:val="TableText0"/>
              <w:jc w:val="center"/>
              <w:rPr>
                <w:b/>
              </w:rPr>
            </w:pPr>
            <w:r w:rsidRPr="00EB6544">
              <w:rPr>
                <w:b/>
                <w:color w:val="000000"/>
                <w:spacing w:val="48"/>
                <w:shd w:val="solid" w:color="000000" w:fill="000000"/>
                <w:fitText w:val="516" w:id="-1236572921"/>
                <w14:textFill>
                  <w14:solidFill>
                    <w14:srgbClr w14:val="000000">
                      <w14:alpha w14:val="100000"/>
                    </w14:srgbClr>
                  </w14:solidFill>
                </w14:textFill>
              </w:rPr>
              <w:t>|||||</w:t>
            </w:r>
            <w:r w:rsidRPr="00EB6544">
              <w:rPr>
                <w:b/>
                <w:color w:val="000000"/>
                <w:spacing w:val="1"/>
                <w:shd w:val="solid" w:color="000000" w:fill="000000"/>
                <w:fitText w:val="516" w:id="-1236572921"/>
                <w14:textFill>
                  <w14:solidFill>
                    <w14:srgbClr w14:val="000000">
                      <w14:alpha w14:val="100000"/>
                    </w14:srgbClr>
                  </w14:solidFill>
                </w14:textFill>
              </w:rPr>
              <w:t>|</w:t>
            </w:r>
            <w:r w:rsidR="00E13FB6">
              <w:rPr>
                <w:vertAlign w:val="superscript"/>
              </w:rPr>
              <w:t>2</w:t>
            </w:r>
          </w:p>
        </w:tc>
      </w:tr>
      <w:tr w:rsidR="00C775AE" w:rsidRPr="002F733E" w14:paraId="0B760A1F" w14:textId="77777777" w:rsidTr="00BB0C5F">
        <w:tc>
          <w:tcPr>
            <w:tcW w:w="5000" w:type="pct"/>
            <w:gridSpan w:val="7"/>
            <w:tcBorders>
              <w:bottom w:val="single" w:sz="4" w:space="0" w:color="auto"/>
            </w:tcBorders>
            <w:shd w:val="clear" w:color="auto" w:fill="auto"/>
            <w:vAlign w:val="center"/>
          </w:tcPr>
          <w:p w14:paraId="1A2EAB80" w14:textId="77777777" w:rsidR="00C775AE" w:rsidRPr="002F733E" w:rsidRDefault="00C775AE" w:rsidP="00C775AE">
            <w:pPr>
              <w:pStyle w:val="In-tableHeading"/>
              <w:rPr>
                <w:lang w:val="en-AU"/>
              </w:rPr>
            </w:pPr>
            <w:r w:rsidRPr="002F733E">
              <w:rPr>
                <w:lang w:val="en-AU"/>
              </w:rPr>
              <w:t>Step 2: Cost per QALY at 1 year, anifrolumab costs, no discounting</w:t>
            </w:r>
          </w:p>
        </w:tc>
      </w:tr>
      <w:tr w:rsidR="00C775AE" w:rsidRPr="002F733E" w14:paraId="6D43D4FC" w14:textId="77777777" w:rsidTr="00EB6544">
        <w:tc>
          <w:tcPr>
            <w:tcW w:w="1491" w:type="pct"/>
            <w:tcBorders>
              <w:top w:val="single" w:sz="4" w:space="0" w:color="auto"/>
              <w:bottom w:val="single" w:sz="4" w:space="0" w:color="auto"/>
            </w:tcBorders>
            <w:vAlign w:val="center"/>
          </w:tcPr>
          <w:p w14:paraId="4A6EF8B7" w14:textId="687A4C4B" w:rsidR="00C775AE" w:rsidRPr="002F733E" w:rsidRDefault="00C775AE" w:rsidP="00C775AE">
            <w:pPr>
              <w:pStyle w:val="TableText0"/>
              <w:rPr>
                <w:rFonts w:ascii="Times" w:hAnsi="Times"/>
              </w:rPr>
            </w:pPr>
            <w:r w:rsidRPr="002F733E">
              <w:t>Costs</w:t>
            </w:r>
            <w:r w:rsidR="00E13FB6">
              <w:t xml:space="preserve"> ($)</w:t>
            </w:r>
          </w:p>
        </w:tc>
        <w:tc>
          <w:tcPr>
            <w:tcW w:w="706" w:type="pct"/>
            <w:tcBorders>
              <w:top w:val="single" w:sz="4" w:space="0" w:color="auto"/>
              <w:bottom w:val="single" w:sz="4" w:space="0" w:color="auto"/>
            </w:tcBorders>
            <w:shd w:val="solid" w:color="000000" w:fill="000000"/>
          </w:tcPr>
          <w:p w14:paraId="1E4859D4" w14:textId="6BE9B9EC" w:rsidR="00C775AE" w:rsidRPr="00EB6544" w:rsidRDefault="00EB6544" w:rsidP="00C775AE">
            <w:pPr>
              <w:pStyle w:val="TableText0"/>
              <w:jc w:val="center"/>
              <w:rPr>
                <w:rFonts w:ascii="Times" w:hAnsi="Times"/>
              </w:rPr>
            </w:pPr>
            <w:r w:rsidRPr="00EB6544">
              <w:rPr>
                <w:color w:val="000000"/>
                <w:spacing w:val="180"/>
                <w:fitText w:val="266" w:id="-1236572920"/>
                <w14:textFill>
                  <w14:solidFill>
                    <w14:srgbClr w14:val="000000">
                      <w14:alpha w14:val="100000"/>
                    </w14:srgbClr>
                  </w14:solidFill>
                </w14:textFill>
              </w:rPr>
              <w:t>|</w:t>
            </w:r>
            <w:r w:rsidRPr="00EB6544">
              <w:rPr>
                <w:color w:val="000000"/>
                <w:fitText w:val="266" w:id="-1236572920"/>
                <w14:textFill>
                  <w14:solidFill>
                    <w14:srgbClr w14:val="000000">
                      <w14:alpha w14:val="100000"/>
                    </w14:srgbClr>
                  </w14:solidFill>
                </w14:textFill>
              </w:rPr>
              <w:t>|</w:t>
            </w:r>
          </w:p>
        </w:tc>
        <w:tc>
          <w:tcPr>
            <w:tcW w:w="534" w:type="pct"/>
            <w:tcBorders>
              <w:top w:val="single" w:sz="4" w:space="0" w:color="auto"/>
              <w:bottom w:val="single" w:sz="4" w:space="0" w:color="auto"/>
            </w:tcBorders>
            <w:shd w:val="clear" w:color="auto" w:fill="C6D9F1" w:themeFill="text2" w:themeFillTint="33"/>
          </w:tcPr>
          <w:p w14:paraId="58AAC938" w14:textId="77777777" w:rsidR="00C775AE" w:rsidRPr="002F733E" w:rsidRDefault="00C775AE" w:rsidP="00C775AE">
            <w:pPr>
              <w:pStyle w:val="TableText0"/>
              <w:jc w:val="center"/>
              <w:rPr>
                <w:rFonts w:ascii="Times" w:hAnsi="Times"/>
              </w:rPr>
            </w:pPr>
            <w:r w:rsidRPr="002F733E">
              <w:t xml:space="preserve">$0 </w:t>
            </w:r>
          </w:p>
        </w:tc>
        <w:tc>
          <w:tcPr>
            <w:tcW w:w="540" w:type="pct"/>
            <w:tcBorders>
              <w:top w:val="single" w:sz="4" w:space="0" w:color="auto"/>
              <w:bottom w:val="single" w:sz="4" w:space="0" w:color="auto"/>
            </w:tcBorders>
            <w:shd w:val="solid" w:color="000000" w:fill="000000"/>
          </w:tcPr>
          <w:p w14:paraId="2AF653D2" w14:textId="1CE156AE" w:rsidR="00C775AE" w:rsidRPr="00EB6544" w:rsidRDefault="00EB6544" w:rsidP="00C775AE">
            <w:pPr>
              <w:pStyle w:val="TableText0"/>
              <w:jc w:val="center"/>
              <w:rPr>
                <w:rFonts w:ascii="Times" w:hAnsi="Times"/>
              </w:rPr>
            </w:pPr>
            <w:r w:rsidRPr="00EB6544">
              <w:rPr>
                <w:color w:val="000000"/>
                <w:spacing w:val="81"/>
                <w:fitText w:val="416" w:id="-1236572919"/>
                <w14:textFill>
                  <w14:solidFill>
                    <w14:srgbClr w14:val="000000">
                      <w14:alpha w14:val="100000"/>
                    </w14:srgbClr>
                  </w14:solidFill>
                </w14:textFill>
              </w:rPr>
              <w:t>|||</w:t>
            </w:r>
            <w:r w:rsidRPr="00EB6544">
              <w:rPr>
                <w:color w:val="000000"/>
                <w:spacing w:val="3"/>
                <w:fitText w:val="416" w:id="-1236572919"/>
                <w14:textFill>
                  <w14:solidFill>
                    <w14:srgbClr w14:val="000000">
                      <w14:alpha w14:val="100000"/>
                    </w14:srgbClr>
                  </w14:solidFill>
                </w14:textFill>
              </w:rPr>
              <w:t>|</w:t>
            </w:r>
          </w:p>
        </w:tc>
        <w:tc>
          <w:tcPr>
            <w:tcW w:w="651" w:type="pct"/>
            <w:tcBorders>
              <w:top w:val="single" w:sz="4" w:space="0" w:color="auto"/>
              <w:bottom w:val="single" w:sz="4" w:space="0" w:color="auto"/>
            </w:tcBorders>
            <w:shd w:val="solid" w:color="000000" w:fill="000000"/>
          </w:tcPr>
          <w:p w14:paraId="46FA5709" w14:textId="2F8D7E65" w:rsidR="00C775AE" w:rsidRPr="00EB6544" w:rsidRDefault="00EB6544" w:rsidP="00C775AE">
            <w:pPr>
              <w:pStyle w:val="TableText0"/>
              <w:jc w:val="center"/>
            </w:pPr>
            <w:r w:rsidRPr="00EB6544">
              <w:rPr>
                <w:color w:val="000000"/>
                <w:spacing w:val="48"/>
                <w:fitText w:val="316" w:id="-1236572918"/>
                <w14:textFill>
                  <w14:solidFill>
                    <w14:srgbClr w14:val="000000">
                      <w14:alpha w14:val="100000"/>
                    </w14:srgbClr>
                  </w14:solidFill>
                </w14:textFill>
              </w:rPr>
              <w:t>|||</w:t>
            </w:r>
            <w:r w:rsidRPr="00EB6544">
              <w:rPr>
                <w:color w:val="000000"/>
                <w:spacing w:val="2"/>
                <w:fitText w:val="316" w:id="-1236572918"/>
                <w14:textFill>
                  <w14:solidFill>
                    <w14:srgbClr w14:val="000000">
                      <w14:alpha w14:val="100000"/>
                    </w14:srgbClr>
                  </w14:solidFill>
                </w14:textFill>
              </w:rPr>
              <w:t>|</w:t>
            </w:r>
          </w:p>
        </w:tc>
        <w:tc>
          <w:tcPr>
            <w:tcW w:w="540" w:type="pct"/>
            <w:tcBorders>
              <w:top w:val="single" w:sz="4" w:space="0" w:color="auto"/>
              <w:bottom w:val="single" w:sz="4" w:space="0" w:color="auto"/>
            </w:tcBorders>
          </w:tcPr>
          <w:p w14:paraId="0CE9D382" w14:textId="77777777" w:rsidR="00C775AE" w:rsidRPr="002F733E" w:rsidRDefault="00C775AE" w:rsidP="00C775AE">
            <w:pPr>
              <w:pStyle w:val="TableText0"/>
              <w:jc w:val="center"/>
            </w:pPr>
            <w:r w:rsidRPr="002F733E">
              <w:t xml:space="preserve">$0 </w:t>
            </w:r>
          </w:p>
        </w:tc>
        <w:tc>
          <w:tcPr>
            <w:tcW w:w="537" w:type="pct"/>
            <w:tcBorders>
              <w:top w:val="single" w:sz="4" w:space="0" w:color="auto"/>
              <w:bottom w:val="single" w:sz="4" w:space="0" w:color="auto"/>
            </w:tcBorders>
            <w:shd w:val="solid" w:color="000000" w:fill="000000"/>
          </w:tcPr>
          <w:p w14:paraId="0163D089" w14:textId="623715F3" w:rsidR="00C775AE" w:rsidRPr="00EB6544" w:rsidRDefault="00EB6544" w:rsidP="00C775AE">
            <w:pPr>
              <w:pStyle w:val="TableText0"/>
              <w:jc w:val="center"/>
            </w:pPr>
            <w:r w:rsidRPr="00EB6544">
              <w:rPr>
                <w:color w:val="000000"/>
                <w:spacing w:val="81"/>
                <w:fitText w:val="416" w:id="-1236572917"/>
                <w14:textFill>
                  <w14:solidFill>
                    <w14:srgbClr w14:val="000000">
                      <w14:alpha w14:val="100000"/>
                    </w14:srgbClr>
                  </w14:solidFill>
                </w14:textFill>
              </w:rPr>
              <w:t>|||</w:t>
            </w:r>
            <w:r w:rsidRPr="00EB6544">
              <w:rPr>
                <w:color w:val="000000"/>
                <w:spacing w:val="3"/>
                <w:fitText w:val="416" w:id="-1236572917"/>
                <w14:textFill>
                  <w14:solidFill>
                    <w14:srgbClr w14:val="000000">
                      <w14:alpha w14:val="100000"/>
                    </w14:srgbClr>
                  </w14:solidFill>
                </w14:textFill>
              </w:rPr>
              <w:t>|</w:t>
            </w:r>
          </w:p>
        </w:tc>
      </w:tr>
      <w:tr w:rsidR="00C775AE" w:rsidRPr="002F733E" w14:paraId="0CBA088E" w14:textId="77777777" w:rsidTr="00BB0C5F">
        <w:tc>
          <w:tcPr>
            <w:tcW w:w="1491" w:type="pct"/>
            <w:tcBorders>
              <w:top w:val="single" w:sz="4" w:space="0" w:color="auto"/>
              <w:bottom w:val="single" w:sz="4" w:space="0" w:color="auto"/>
            </w:tcBorders>
            <w:vAlign w:val="center"/>
          </w:tcPr>
          <w:p w14:paraId="5E4EB0BF" w14:textId="77777777" w:rsidR="00C775AE" w:rsidRPr="002F733E" w:rsidRDefault="00C775AE" w:rsidP="00C775AE">
            <w:pPr>
              <w:pStyle w:val="TableText0"/>
              <w:rPr>
                <w:rFonts w:ascii="Times" w:hAnsi="Times"/>
              </w:rPr>
            </w:pPr>
            <w:r w:rsidRPr="002F733E">
              <w:t>QALYs gained</w:t>
            </w:r>
          </w:p>
        </w:tc>
        <w:tc>
          <w:tcPr>
            <w:tcW w:w="706" w:type="pct"/>
            <w:tcBorders>
              <w:top w:val="single" w:sz="4" w:space="0" w:color="auto"/>
              <w:bottom w:val="single" w:sz="4" w:space="0" w:color="auto"/>
            </w:tcBorders>
            <w:shd w:val="clear" w:color="auto" w:fill="C6D9F1" w:themeFill="text2" w:themeFillTint="33"/>
          </w:tcPr>
          <w:p w14:paraId="0BDF75AB" w14:textId="77777777" w:rsidR="00C775AE" w:rsidRPr="002F733E" w:rsidRDefault="00C775AE" w:rsidP="00C775AE">
            <w:pPr>
              <w:pStyle w:val="TableText0"/>
              <w:jc w:val="center"/>
              <w:rPr>
                <w:rFonts w:ascii="Times" w:hAnsi="Times"/>
              </w:rPr>
            </w:pPr>
            <w:r w:rsidRPr="002F733E">
              <w:t>0.818</w:t>
            </w:r>
          </w:p>
        </w:tc>
        <w:tc>
          <w:tcPr>
            <w:tcW w:w="534" w:type="pct"/>
            <w:tcBorders>
              <w:top w:val="single" w:sz="4" w:space="0" w:color="auto"/>
              <w:bottom w:val="single" w:sz="4" w:space="0" w:color="auto"/>
            </w:tcBorders>
            <w:shd w:val="clear" w:color="auto" w:fill="C6D9F1" w:themeFill="text2" w:themeFillTint="33"/>
          </w:tcPr>
          <w:p w14:paraId="16B1D247" w14:textId="77777777" w:rsidR="00C775AE" w:rsidRPr="002F733E" w:rsidRDefault="00C775AE" w:rsidP="00C775AE">
            <w:pPr>
              <w:pStyle w:val="TableText0"/>
              <w:jc w:val="center"/>
              <w:rPr>
                <w:rFonts w:ascii="Times" w:hAnsi="Times"/>
              </w:rPr>
            </w:pPr>
            <w:r w:rsidRPr="002F733E">
              <w:t>0.785</w:t>
            </w:r>
          </w:p>
        </w:tc>
        <w:tc>
          <w:tcPr>
            <w:tcW w:w="540" w:type="pct"/>
            <w:tcBorders>
              <w:top w:val="single" w:sz="4" w:space="0" w:color="auto"/>
              <w:bottom w:val="single" w:sz="4" w:space="0" w:color="auto"/>
            </w:tcBorders>
            <w:shd w:val="clear" w:color="auto" w:fill="C6D9F1" w:themeFill="text2" w:themeFillTint="33"/>
          </w:tcPr>
          <w:p w14:paraId="3EDCA743" w14:textId="77777777" w:rsidR="00C775AE" w:rsidRPr="002F733E" w:rsidRDefault="00C775AE" w:rsidP="00C775AE">
            <w:pPr>
              <w:pStyle w:val="TableText0"/>
              <w:jc w:val="center"/>
            </w:pPr>
            <w:r w:rsidRPr="002F733E">
              <w:t>0.033</w:t>
            </w:r>
          </w:p>
        </w:tc>
        <w:tc>
          <w:tcPr>
            <w:tcW w:w="651" w:type="pct"/>
            <w:tcBorders>
              <w:top w:val="single" w:sz="4" w:space="0" w:color="auto"/>
              <w:bottom w:val="single" w:sz="4" w:space="0" w:color="auto"/>
            </w:tcBorders>
          </w:tcPr>
          <w:p w14:paraId="32099B65" w14:textId="77777777" w:rsidR="00C775AE" w:rsidRPr="002F733E" w:rsidRDefault="00C775AE" w:rsidP="00C775AE">
            <w:pPr>
              <w:pStyle w:val="TableText0"/>
              <w:jc w:val="center"/>
            </w:pPr>
            <w:r w:rsidRPr="002F733E">
              <w:t>0.597</w:t>
            </w:r>
          </w:p>
        </w:tc>
        <w:tc>
          <w:tcPr>
            <w:tcW w:w="540" w:type="pct"/>
            <w:tcBorders>
              <w:top w:val="single" w:sz="4" w:space="0" w:color="auto"/>
              <w:bottom w:val="single" w:sz="4" w:space="0" w:color="auto"/>
            </w:tcBorders>
          </w:tcPr>
          <w:p w14:paraId="359B344E" w14:textId="77777777" w:rsidR="00C775AE" w:rsidRPr="002F733E" w:rsidRDefault="00C775AE" w:rsidP="00C775AE">
            <w:pPr>
              <w:pStyle w:val="TableText0"/>
              <w:jc w:val="center"/>
            </w:pPr>
            <w:r w:rsidRPr="002F733E">
              <w:t>0.564</w:t>
            </w:r>
          </w:p>
        </w:tc>
        <w:tc>
          <w:tcPr>
            <w:tcW w:w="537" w:type="pct"/>
            <w:tcBorders>
              <w:top w:val="single" w:sz="4" w:space="0" w:color="auto"/>
              <w:bottom w:val="single" w:sz="4" w:space="0" w:color="auto"/>
            </w:tcBorders>
          </w:tcPr>
          <w:p w14:paraId="1E325A2C" w14:textId="77777777" w:rsidR="00C775AE" w:rsidRPr="002F733E" w:rsidRDefault="00C775AE" w:rsidP="00C775AE">
            <w:pPr>
              <w:pStyle w:val="TableText0"/>
              <w:jc w:val="center"/>
            </w:pPr>
            <w:r w:rsidRPr="002F733E">
              <w:t>0.033</w:t>
            </w:r>
          </w:p>
        </w:tc>
      </w:tr>
      <w:tr w:rsidR="00C775AE" w:rsidRPr="002F733E" w14:paraId="6639BFA0" w14:textId="77777777" w:rsidTr="00BB0C5F">
        <w:tc>
          <w:tcPr>
            <w:tcW w:w="2732" w:type="pct"/>
            <w:gridSpan w:val="3"/>
            <w:tcBorders>
              <w:top w:val="single" w:sz="4" w:space="0" w:color="auto"/>
              <w:bottom w:val="single" w:sz="4" w:space="0" w:color="auto"/>
            </w:tcBorders>
            <w:vAlign w:val="center"/>
          </w:tcPr>
          <w:p w14:paraId="57E6D666" w14:textId="77777777" w:rsidR="00C775AE" w:rsidRPr="002F733E" w:rsidRDefault="00C775AE" w:rsidP="00C775AE">
            <w:pPr>
              <w:pStyle w:val="TableText0"/>
              <w:rPr>
                <w:rFonts w:ascii="Times" w:hAnsi="Times"/>
                <w:b/>
              </w:rPr>
            </w:pPr>
            <w:r w:rsidRPr="002F733E">
              <w:rPr>
                <w:b/>
              </w:rPr>
              <w:t>Incremental cost/extra QALY gained</w:t>
            </w:r>
          </w:p>
        </w:tc>
        <w:tc>
          <w:tcPr>
            <w:tcW w:w="540" w:type="pct"/>
            <w:tcBorders>
              <w:top w:val="single" w:sz="4" w:space="0" w:color="auto"/>
              <w:bottom w:val="single" w:sz="4" w:space="0" w:color="auto"/>
            </w:tcBorders>
            <w:shd w:val="clear" w:color="auto" w:fill="C6D9F1" w:themeFill="text2" w:themeFillTint="33"/>
            <w:vAlign w:val="center"/>
          </w:tcPr>
          <w:p w14:paraId="4DBBE457" w14:textId="00B42DFB" w:rsidR="00C775AE" w:rsidRPr="002F733E" w:rsidRDefault="00EB6544" w:rsidP="00C775AE">
            <w:pPr>
              <w:pStyle w:val="TableText0"/>
              <w:jc w:val="center"/>
              <w:rPr>
                <w:rFonts w:ascii="Times" w:hAnsi="Times"/>
                <w:b/>
              </w:rPr>
            </w:pPr>
            <w:r w:rsidRPr="00EB6544">
              <w:rPr>
                <w:b/>
                <w:color w:val="000000"/>
                <w:spacing w:val="48"/>
                <w:shd w:val="solid" w:color="000000" w:fill="000000"/>
                <w:fitText w:val="516" w:id="-1236572672"/>
                <w14:textFill>
                  <w14:solidFill>
                    <w14:srgbClr w14:val="000000">
                      <w14:alpha w14:val="100000"/>
                    </w14:srgbClr>
                  </w14:solidFill>
                </w14:textFill>
              </w:rPr>
              <w:t>|||||</w:t>
            </w:r>
            <w:r w:rsidRPr="00EB6544">
              <w:rPr>
                <w:b/>
                <w:color w:val="000000"/>
                <w:spacing w:val="1"/>
                <w:shd w:val="solid" w:color="000000" w:fill="000000"/>
                <w:fitText w:val="516" w:id="-1236572672"/>
                <w14:textFill>
                  <w14:solidFill>
                    <w14:srgbClr w14:val="000000">
                      <w14:alpha w14:val="100000"/>
                    </w14:srgbClr>
                  </w14:solidFill>
                </w14:textFill>
              </w:rPr>
              <w:t>|</w:t>
            </w:r>
            <w:r w:rsidR="00E13FB6">
              <w:rPr>
                <w:vertAlign w:val="superscript"/>
              </w:rPr>
              <w:t>3</w:t>
            </w:r>
          </w:p>
        </w:tc>
        <w:tc>
          <w:tcPr>
            <w:tcW w:w="651" w:type="pct"/>
            <w:tcBorders>
              <w:top w:val="single" w:sz="4" w:space="0" w:color="auto"/>
              <w:bottom w:val="single" w:sz="4" w:space="0" w:color="auto"/>
            </w:tcBorders>
          </w:tcPr>
          <w:p w14:paraId="3C33BCEA" w14:textId="77777777" w:rsidR="00C775AE" w:rsidRPr="002F733E" w:rsidRDefault="00C775AE" w:rsidP="00C775AE">
            <w:pPr>
              <w:pStyle w:val="TableText0"/>
              <w:jc w:val="center"/>
              <w:rPr>
                <w:b/>
              </w:rPr>
            </w:pPr>
          </w:p>
        </w:tc>
        <w:tc>
          <w:tcPr>
            <w:tcW w:w="540" w:type="pct"/>
            <w:tcBorders>
              <w:top w:val="single" w:sz="4" w:space="0" w:color="auto"/>
              <w:bottom w:val="single" w:sz="4" w:space="0" w:color="auto"/>
            </w:tcBorders>
          </w:tcPr>
          <w:p w14:paraId="27E338A6" w14:textId="77777777" w:rsidR="00C775AE" w:rsidRPr="002F733E" w:rsidRDefault="00C775AE" w:rsidP="00C775AE">
            <w:pPr>
              <w:pStyle w:val="TableText0"/>
              <w:jc w:val="center"/>
              <w:rPr>
                <w:b/>
              </w:rPr>
            </w:pPr>
          </w:p>
        </w:tc>
        <w:tc>
          <w:tcPr>
            <w:tcW w:w="537" w:type="pct"/>
            <w:tcBorders>
              <w:top w:val="single" w:sz="4" w:space="0" w:color="auto"/>
              <w:bottom w:val="single" w:sz="4" w:space="0" w:color="auto"/>
            </w:tcBorders>
          </w:tcPr>
          <w:p w14:paraId="5300F166" w14:textId="2EC7275C" w:rsidR="00C775AE" w:rsidRPr="002F733E" w:rsidRDefault="00EB6544" w:rsidP="00C775AE">
            <w:pPr>
              <w:pStyle w:val="TableText0"/>
              <w:jc w:val="center"/>
              <w:rPr>
                <w:b/>
              </w:rPr>
            </w:pPr>
            <w:r w:rsidRPr="00EB6544">
              <w:rPr>
                <w:b/>
                <w:color w:val="000000"/>
                <w:spacing w:val="48"/>
                <w:shd w:val="solid" w:color="000000" w:fill="000000"/>
                <w:fitText w:val="516" w:id="-1236572671"/>
                <w14:textFill>
                  <w14:solidFill>
                    <w14:srgbClr w14:val="000000">
                      <w14:alpha w14:val="100000"/>
                    </w14:srgbClr>
                  </w14:solidFill>
                </w14:textFill>
              </w:rPr>
              <w:t>|||||</w:t>
            </w:r>
            <w:r w:rsidRPr="00EB6544">
              <w:rPr>
                <w:b/>
                <w:color w:val="000000"/>
                <w:spacing w:val="1"/>
                <w:shd w:val="solid" w:color="000000" w:fill="000000"/>
                <w:fitText w:val="516" w:id="-1236572671"/>
                <w14:textFill>
                  <w14:solidFill>
                    <w14:srgbClr w14:val="000000">
                      <w14:alpha w14:val="100000"/>
                    </w14:srgbClr>
                  </w14:solidFill>
                </w14:textFill>
              </w:rPr>
              <w:t>|</w:t>
            </w:r>
            <w:r w:rsidR="00396C58">
              <w:rPr>
                <w:vertAlign w:val="superscript"/>
              </w:rPr>
              <w:t>6</w:t>
            </w:r>
          </w:p>
        </w:tc>
      </w:tr>
      <w:tr w:rsidR="00C775AE" w:rsidRPr="002F733E" w14:paraId="5A9995B6" w14:textId="77777777" w:rsidTr="00BB0C5F">
        <w:tc>
          <w:tcPr>
            <w:tcW w:w="5000" w:type="pct"/>
            <w:gridSpan w:val="7"/>
            <w:tcBorders>
              <w:bottom w:val="single" w:sz="4" w:space="0" w:color="auto"/>
            </w:tcBorders>
            <w:shd w:val="clear" w:color="auto" w:fill="auto"/>
            <w:vAlign w:val="center"/>
          </w:tcPr>
          <w:p w14:paraId="50795AB4" w14:textId="77777777" w:rsidR="00C775AE" w:rsidRPr="002F733E" w:rsidRDefault="00C775AE" w:rsidP="00C775AE">
            <w:pPr>
              <w:pStyle w:val="In-tableHeading"/>
              <w:rPr>
                <w:lang w:val="en-AU"/>
              </w:rPr>
            </w:pPr>
            <w:r w:rsidRPr="002F733E">
              <w:rPr>
                <w:lang w:val="en-AU"/>
              </w:rPr>
              <w:t>Step 3: ICER at 1 year, all costs, no discounting</w:t>
            </w:r>
          </w:p>
        </w:tc>
      </w:tr>
      <w:tr w:rsidR="00C775AE" w:rsidRPr="002F733E" w14:paraId="5AA62241" w14:textId="77777777" w:rsidTr="00EB6544">
        <w:tc>
          <w:tcPr>
            <w:tcW w:w="1491" w:type="pct"/>
            <w:tcBorders>
              <w:top w:val="single" w:sz="4" w:space="0" w:color="auto"/>
              <w:bottom w:val="single" w:sz="4" w:space="0" w:color="auto"/>
            </w:tcBorders>
            <w:vAlign w:val="center"/>
          </w:tcPr>
          <w:p w14:paraId="51115DA7" w14:textId="0CCD8EC2" w:rsidR="00C775AE" w:rsidRPr="00E13FB6" w:rsidRDefault="00C775AE" w:rsidP="00C775AE">
            <w:pPr>
              <w:pStyle w:val="TableText0"/>
              <w:rPr>
                <w:rFonts w:ascii="Times" w:hAnsi="Times"/>
              </w:rPr>
            </w:pPr>
            <w:r w:rsidRPr="002F733E">
              <w:t>Costs</w:t>
            </w:r>
            <w:r w:rsidRPr="002F733E">
              <w:rPr>
                <w:vertAlign w:val="superscript"/>
              </w:rPr>
              <w:t>b,c</w:t>
            </w:r>
            <w:r w:rsidR="00E13FB6">
              <w:rPr>
                <w:vertAlign w:val="superscript"/>
              </w:rPr>
              <w:t xml:space="preserve"> </w:t>
            </w:r>
            <w:r w:rsidR="00E13FB6">
              <w:t>($)</w:t>
            </w:r>
          </w:p>
        </w:tc>
        <w:tc>
          <w:tcPr>
            <w:tcW w:w="706" w:type="pct"/>
            <w:tcBorders>
              <w:top w:val="single" w:sz="4" w:space="0" w:color="auto"/>
              <w:bottom w:val="single" w:sz="4" w:space="0" w:color="auto"/>
            </w:tcBorders>
            <w:shd w:val="solid" w:color="000000" w:fill="000000"/>
          </w:tcPr>
          <w:p w14:paraId="2242B725" w14:textId="38942997" w:rsidR="00C775AE" w:rsidRPr="00EB6544" w:rsidRDefault="00EB6544" w:rsidP="00C775AE">
            <w:pPr>
              <w:pStyle w:val="TableText0"/>
              <w:jc w:val="center"/>
              <w:rPr>
                <w:rFonts w:ascii="Times" w:hAnsi="Times"/>
              </w:rPr>
            </w:pPr>
            <w:r w:rsidRPr="00EB6544">
              <w:rPr>
                <w:color w:val="000000"/>
                <w:spacing w:val="180"/>
                <w:fitText w:val="266" w:id="-1236572670"/>
                <w14:textFill>
                  <w14:solidFill>
                    <w14:srgbClr w14:val="000000">
                      <w14:alpha w14:val="100000"/>
                    </w14:srgbClr>
                  </w14:solidFill>
                </w14:textFill>
              </w:rPr>
              <w:t>|</w:t>
            </w:r>
            <w:r w:rsidRPr="00EB6544">
              <w:rPr>
                <w:color w:val="000000"/>
                <w:fitText w:val="266" w:id="-1236572670"/>
                <w14:textFill>
                  <w14:solidFill>
                    <w14:srgbClr w14:val="000000">
                      <w14:alpha w14:val="100000"/>
                    </w14:srgbClr>
                  </w14:solidFill>
                </w14:textFill>
              </w:rPr>
              <w:t>|</w:t>
            </w:r>
          </w:p>
        </w:tc>
        <w:tc>
          <w:tcPr>
            <w:tcW w:w="534" w:type="pct"/>
            <w:tcBorders>
              <w:top w:val="single" w:sz="4" w:space="0" w:color="auto"/>
              <w:bottom w:val="single" w:sz="4" w:space="0" w:color="auto"/>
            </w:tcBorders>
            <w:shd w:val="clear" w:color="auto" w:fill="C6D9F1" w:themeFill="text2" w:themeFillTint="33"/>
          </w:tcPr>
          <w:p w14:paraId="7478DA5C" w14:textId="77777777" w:rsidR="00C775AE" w:rsidRPr="002F733E" w:rsidRDefault="00C775AE" w:rsidP="00C775AE">
            <w:pPr>
              <w:pStyle w:val="TableText0"/>
              <w:jc w:val="center"/>
              <w:rPr>
                <w:rFonts w:ascii="Times" w:hAnsi="Times"/>
              </w:rPr>
            </w:pPr>
            <w:r w:rsidRPr="002F733E">
              <w:t xml:space="preserve">$5,530 </w:t>
            </w:r>
          </w:p>
        </w:tc>
        <w:tc>
          <w:tcPr>
            <w:tcW w:w="540" w:type="pct"/>
            <w:tcBorders>
              <w:top w:val="single" w:sz="4" w:space="0" w:color="auto"/>
              <w:bottom w:val="single" w:sz="4" w:space="0" w:color="auto"/>
            </w:tcBorders>
            <w:shd w:val="solid" w:color="000000" w:fill="000000"/>
          </w:tcPr>
          <w:p w14:paraId="5B5DE60B" w14:textId="0E38E1A1" w:rsidR="00C775AE" w:rsidRPr="00EB6544" w:rsidRDefault="00EB6544" w:rsidP="00C775AE">
            <w:pPr>
              <w:pStyle w:val="TableText0"/>
              <w:jc w:val="center"/>
              <w:rPr>
                <w:rFonts w:ascii="Times" w:hAnsi="Times"/>
              </w:rPr>
            </w:pPr>
            <w:r w:rsidRPr="00EB6544">
              <w:rPr>
                <w:color w:val="000000"/>
                <w:spacing w:val="81"/>
                <w:fitText w:val="416" w:id="-1236572669"/>
                <w14:textFill>
                  <w14:solidFill>
                    <w14:srgbClr w14:val="000000">
                      <w14:alpha w14:val="100000"/>
                    </w14:srgbClr>
                  </w14:solidFill>
                </w14:textFill>
              </w:rPr>
              <w:t>|||</w:t>
            </w:r>
            <w:r w:rsidRPr="00EB6544">
              <w:rPr>
                <w:color w:val="000000"/>
                <w:spacing w:val="3"/>
                <w:fitText w:val="416" w:id="-1236572669"/>
                <w14:textFill>
                  <w14:solidFill>
                    <w14:srgbClr w14:val="000000">
                      <w14:alpha w14:val="100000"/>
                    </w14:srgbClr>
                  </w14:solidFill>
                </w14:textFill>
              </w:rPr>
              <w:t>|</w:t>
            </w:r>
          </w:p>
        </w:tc>
        <w:tc>
          <w:tcPr>
            <w:tcW w:w="651" w:type="pct"/>
            <w:tcBorders>
              <w:top w:val="single" w:sz="4" w:space="0" w:color="auto"/>
              <w:bottom w:val="single" w:sz="4" w:space="0" w:color="auto"/>
            </w:tcBorders>
            <w:shd w:val="solid" w:color="000000" w:fill="000000"/>
          </w:tcPr>
          <w:p w14:paraId="3C4F201E" w14:textId="3A3FC910" w:rsidR="00C775AE" w:rsidRPr="00EB6544" w:rsidRDefault="00EB6544" w:rsidP="00C775AE">
            <w:pPr>
              <w:pStyle w:val="TableText0"/>
              <w:jc w:val="center"/>
            </w:pPr>
            <w:r w:rsidRPr="00EB6544">
              <w:rPr>
                <w:color w:val="000000"/>
                <w:spacing w:val="48"/>
                <w:fitText w:val="316" w:id="-1236572668"/>
                <w14:textFill>
                  <w14:solidFill>
                    <w14:srgbClr w14:val="000000">
                      <w14:alpha w14:val="100000"/>
                    </w14:srgbClr>
                  </w14:solidFill>
                </w14:textFill>
              </w:rPr>
              <w:t>|||</w:t>
            </w:r>
            <w:r w:rsidRPr="00EB6544">
              <w:rPr>
                <w:color w:val="000000"/>
                <w:spacing w:val="2"/>
                <w:fitText w:val="316" w:id="-1236572668"/>
                <w14:textFill>
                  <w14:solidFill>
                    <w14:srgbClr w14:val="000000">
                      <w14:alpha w14:val="100000"/>
                    </w14:srgbClr>
                  </w14:solidFill>
                </w14:textFill>
              </w:rPr>
              <w:t>|</w:t>
            </w:r>
          </w:p>
        </w:tc>
        <w:tc>
          <w:tcPr>
            <w:tcW w:w="540" w:type="pct"/>
            <w:tcBorders>
              <w:top w:val="single" w:sz="4" w:space="0" w:color="auto"/>
              <w:bottom w:val="single" w:sz="4" w:space="0" w:color="auto"/>
            </w:tcBorders>
          </w:tcPr>
          <w:p w14:paraId="428FFCDC" w14:textId="77777777" w:rsidR="00C775AE" w:rsidRPr="002F733E" w:rsidRDefault="00C775AE" w:rsidP="00C775AE">
            <w:pPr>
              <w:pStyle w:val="TableText0"/>
              <w:jc w:val="center"/>
            </w:pPr>
            <w:r w:rsidRPr="002F733E">
              <w:t xml:space="preserve">$3,907 </w:t>
            </w:r>
          </w:p>
        </w:tc>
        <w:tc>
          <w:tcPr>
            <w:tcW w:w="537" w:type="pct"/>
            <w:tcBorders>
              <w:top w:val="single" w:sz="4" w:space="0" w:color="auto"/>
              <w:bottom w:val="single" w:sz="4" w:space="0" w:color="auto"/>
            </w:tcBorders>
            <w:shd w:val="solid" w:color="000000" w:fill="000000"/>
          </w:tcPr>
          <w:p w14:paraId="28E45539" w14:textId="18087CC6" w:rsidR="00C775AE" w:rsidRPr="00EB6544" w:rsidRDefault="00EB6544" w:rsidP="00C775AE">
            <w:pPr>
              <w:pStyle w:val="TableText0"/>
              <w:jc w:val="center"/>
            </w:pPr>
            <w:r w:rsidRPr="00EB6544">
              <w:rPr>
                <w:color w:val="000000"/>
                <w:spacing w:val="81"/>
                <w:fitText w:val="416" w:id="-1236572667"/>
                <w14:textFill>
                  <w14:solidFill>
                    <w14:srgbClr w14:val="000000">
                      <w14:alpha w14:val="100000"/>
                    </w14:srgbClr>
                  </w14:solidFill>
                </w14:textFill>
              </w:rPr>
              <w:t>|||</w:t>
            </w:r>
            <w:r w:rsidRPr="00EB6544">
              <w:rPr>
                <w:color w:val="000000"/>
                <w:spacing w:val="3"/>
                <w:fitText w:val="416" w:id="-1236572667"/>
                <w14:textFill>
                  <w14:solidFill>
                    <w14:srgbClr w14:val="000000">
                      <w14:alpha w14:val="100000"/>
                    </w14:srgbClr>
                  </w14:solidFill>
                </w14:textFill>
              </w:rPr>
              <w:t>|</w:t>
            </w:r>
          </w:p>
        </w:tc>
      </w:tr>
      <w:tr w:rsidR="00C775AE" w:rsidRPr="002F733E" w14:paraId="10ACB988" w14:textId="77777777" w:rsidTr="00BB0C5F">
        <w:tc>
          <w:tcPr>
            <w:tcW w:w="1491" w:type="pct"/>
            <w:tcBorders>
              <w:top w:val="single" w:sz="4" w:space="0" w:color="auto"/>
              <w:bottom w:val="single" w:sz="4" w:space="0" w:color="auto"/>
            </w:tcBorders>
            <w:vAlign w:val="center"/>
          </w:tcPr>
          <w:p w14:paraId="327CFA72" w14:textId="77777777" w:rsidR="00C775AE" w:rsidRPr="002F733E" w:rsidRDefault="00C775AE" w:rsidP="00C775AE">
            <w:pPr>
              <w:pStyle w:val="TableText0"/>
            </w:pPr>
            <w:r w:rsidRPr="002F733E">
              <w:t>LYG</w:t>
            </w:r>
          </w:p>
        </w:tc>
        <w:tc>
          <w:tcPr>
            <w:tcW w:w="706" w:type="pct"/>
            <w:tcBorders>
              <w:top w:val="single" w:sz="4" w:space="0" w:color="auto"/>
              <w:bottom w:val="single" w:sz="4" w:space="0" w:color="auto"/>
            </w:tcBorders>
            <w:shd w:val="clear" w:color="auto" w:fill="auto"/>
          </w:tcPr>
          <w:p w14:paraId="7FA0B14A" w14:textId="77777777" w:rsidR="00C775AE" w:rsidRPr="002F733E" w:rsidRDefault="00C775AE" w:rsidP="00C775AE">
            <w:pPr>
              <w:pStyle w:val="TableText0"/>
              <w:jc w:val="center"/>
            </w:pPr>
            <w:r w:rsidRPr="002F733E">
              <w:t>-</w:t>
            </w:r>
          </w:p>
        </w:tc>
        <w:tc>
          <w:tcPr>
            <w:tcW w:w="534" w:type="pct"/>
            <w:tcBorders>
              <w:top w:val="single" w:sz="4" w:space="0" w:color="auto"/>
              <w:bottom w:val="single" w:sz="4" w:space="0" w:color="auto"/>
            </w:tcBorders>
            <w:shd w:val="clear" w:color="auto" w:fill="auto"/>
          </w:tcPr>
          <w:p w14:paraId="52BE67D5" w14:textId="77777777" w:rsidR="00C775AE" w:rsidRPr="002F733E" w:rsidRDefault="00C775AE" w:rsidP="00C775AE">
            <w:pPr>
              <w:pStyle w:val="TableText0"/>
              <w:jc w:val="center"/>
            </w:pPr>
            <w:r w:rsidRPr="002F733E">
              <w:t>-</w:t>
            </w:r>
          </w:p>
        </w:tc>
        <w:tc>
          <w:tcPr>
            <w:tcW w:w="540" w:type="pct"/>
            <w:tcBorders>
              <w:top w:val="single" w:sz="4" w:space="0" w:color="auto"/>
              <w:bottom w:val="single" w:sz="4" w:space="0" w:color="auto"/>
            </w:tcBorders>
            <w:shd w:val="clear" w:color="auto" w:fill="auto"/>
          </w:tcPr>
          <w:p w14:paraId="6DA22B45" w14:textId="77777777" w:rsidR="00C775AE" w:rsidRPr="002F733E" w:rsidRDefault="00C775AE" w:rsidP="00C775AE">
            <w:pPr>
              <w:pStyle w:val="TableText0"/>
              <w:jc w:val="center"/>
            </w:pPr>
            <w:r w:rsidRPr="002F733E">
              <w:t>-</w:t>
            </w:r>
          </w:p>
        </w:tc>
        <w:tc>
          <w:tcPr>
            <w:tcW w:w="651" w:type="pct"/>
            <w:tcBorders>
              <w:top w:val="single" w:sz="4" w:space="0" w:color="auto"/>
              <w:bottom w:val="single" w:sz="4" w:space="0" w:color="auto"/>
            </w:tcBorders>
          </w:tcPr>
          <w:p w14:paraId="0162EE8E" w14:textId="77777777" w:rsidR="00C775AE" w:rsidRPr="002F733E" w:rsidRDefault="00C775AE" w:rsidP="00C775AE">
            <w:pPr>
              <w:pStyle w:val="TableText0"/>
              <w:jc w:val="center"/>
            </w:pPr>
            <w:r w:rsidRPr="002F733E">
              <w:t>0.983</w:t>
            </w:r>
          </w:p>
        </w:tc>
        <w:tc>
          <w:tcPr>
            <w:tcW w:w="540" w:type="pct"/>
            <w:tcBorders>
              <w:top w:val="single" w:sz="4" w:space="0" w:color="auto"/>
              <w:bottom w:val="single" w:sz="4" w:space="0" w:color="auto"/>
            </w:tcBorders>
          </w:tcPr>
          <w:p w14:paraId="4B66740F" w14:textId="77777777" w:rsidR="00C775AE" w:rsidRPr="002F733E" w:rsidRDefault="00C775AE" w:rsidP="00C775AE">
            <w:pPr>
              <w:pStyle w:val="TableText0"/>
              <w:jc w:val="center"/>
            </w:pPr>
            <w:r w:rsidRPr="002F733E">
              <w:t>0.983</w:t>
            </w:r>
          </w:p>
        </w:tc>
        <w:tc>
          <w:tcPr>
            <w:tcW w:w="537" w:type="pct"/>
            <w:tcBorders>
              <w:top w:val="single" w:sz="4" w:space="0" w:color="auto"/>
              <w:bottom w:val="single" w:sz="4" w:space="0" w:color="auto"/>
            </w:tcBorders>
          </w:tcPr>
          <w:p w14:paraId="347F3F50" w14:textId="77777777" w:rsidR="00C775AE" w:rsidRPr="002F733E" w:rsidRDefault="00C775AE" w:rsidP="00C775AE">
            <w:pPr>
              <w:pStyle w:val="TableText0"/>
              <w:jc w:val="center"/>
            </w:pPr>
            <w:r w:rsidRPr="002F733E">
              <w:t>0.0003</w:t>
            </w:r>
          </w:p>
        </w:tc>
      </w:tr>
      <w:tr w:rsidR="00C775AE" w:rsidRPr="002F733E" w14:paraId="68CA9754" w14:textId="77777777" w:rsidTr="00BB0C5F">
        <w:tc>
          <w:tcPr>
            <w:tcW w:w="2732" w:type="pct"/>
            <w:gridSpan w:val="3"/>
            <w:tcBorders>
              <w:top w:val="single" w:sz="4" w:space="0" w:color="auto"/>
              <w:bottom w:val="single" w:sz="4" w:space="0" w:color="auto"/>
            </w:tcBorders>
            <w:vAlign w:val="center"/>
          </w:tcPr>
          <w:p w14:paraId="4D56453C" w14:textId="77777777" w:rsidR="00C775AE" w:rsidRPr="002F733E" w:rsidRDefault="00C775AE" w:rsidP="00C775AE">
            <w:pPr>
              <w:pStyle w:val="TableText0"/>
              <w:rPr>
                <w:b/>
              </w:rPr>
            </w:pPr>
            <w:r w:rsidRPr="002F733E">
              <w:rPr>
                <w:b/>
              </w:rPr>
              <w:t>Incremental cost/LYG</w:t>
            </w:r>
          </w:p>
        </w:tc>
        <w:tc>
          <w:tcPr>
            <w:tcW w:w="540" w:type="pct"/>
            <w:tcBorders>
              <w:top w:val="single" w:sz="4" w:space="0" w:color="auto"/>
              <w:bottom w:val="single" w:sz="4" w:space="0" w:color="auto"/>
            </w:tcBorders>
            <w:shd w:val="clear" w:color="auto" w:fill="auto"/>
          </w:tcPr>
          <w:p w14:paraId="01AAFCCC" w14:textId="77777777" w:rsidR="00C775AE" w:rsidRPr="002F733E" w:rsidRDefault="00C775AE" w:rsidP="00C775AE">
            <w:pPr>
              <w:pStyle w:val="TableText0"/>
              <w:jc w:val="center"/>
              <w:rPr>
                <w:b/>
              </w:rPr>
            </w:pPr>
            <w:r w:rsidRPr="002F733E">
              <w:rPr>
                <w:b/>
              </w:rPr>
              <w:t>-</w:t>
            </w:r>
          </w:p>
        </w:tc>
        <w:tc>
          <w:tcPr>
            <w:tcW w:w="651" w:type="pct"/>
            <w:tcBorders>
              <w:top w:val="single" w:sz="4" w:space="0" w:color="auto"/>
              <w:bottom w:val="single" w:sz="4" w:space="0" w:color="auto"/>
            </w:tcBorders>
          </w:tcPr>
          <w:p w14:paraId="17B0C41A" w14:textId="77777777" w:rsidR="00C775AE" w:rsidRPr="002F733E" w:rsidRDefault="00C775AE" w:rsidP="00C775AE">
            <w:pPr>
              <w:pStyle w:val="TableText0"/>
              <w:jc w:val="center"/>
              <w:rPr>
                <w:b/>
              </w:rPr>
            </w:pPr>
          </w:p>
        </w:tc>
        <w:tc>
          <w:tcPr>
            <w:tcW w:w="540" w:type="pct"/>
            <w:tcBorders>
              <w:top w:val="single" w:sz="4" w:space="0" w:color="auto"/>
              <w:bottom w:val="single" w:sz="4" w:space="0" w:color="auto"/>
            </w:tcBorders>
          </w:tcPr>
          <w:p w14:paraId="735FD071" w14:textId="77777777" w:rsidR="00C775AE" w:rsidRPr="002F733E" w:rsidRDefault="00C775AE" w:rsidP="00C775AE">
            <w:pPr>
              <w:pStyle w:val="TableText0"/>
              <w:jc w:val="center"/>
              <w:rPr>
                <w:b/>
              </w:rPr>
            </w:pPr>
          </w:p>
        </w:tc>
        <w:tc>
          <w:tcPr>
            <w:tcW w:w="537" w:type="pct"/>
            <w:tcBorders>
              <w:top w:val="single" w:sz="4" w:space="0" w:color="auto"/>
              <w:bottom w:val="single" w:sz="4" w:space="0" w:color="auto"/>
            </w:tcBorders>
          </w:tcPr>
          <w:p w14:paraId="3DCC7C55" w14:textId="53EEABC5" w:rsidR="00C775AE" w:rsidRPr="002F733E" w:rsidRDefault="00EB6544" w:rsidP="00C775AE">
            <w:pPr>
              <w:pStyle w:val="TableText0"/>
              <w:jc w:val="center"/>
              <w:rPr>
                <w:b/>
              </w:rPr>
            </w:pPr>
            <w:r w:rsidRPr="00EB6544">
              <w:rPr>
                <w:b/>
                <w:color w:val="000000"/>
                <w:spacing w:val="48"/>
                <w:shd w:val="solid" w:color="000000" w:fill="000000"/>
                <w:fitText w:val="516" w:id="-1236572666"/>
                <w14:textFill>
                  <w14:solidFill>
                    <w14:srgbClr w14:val="000000">
                      <w14:alpha w14:val="100000"/>
                    </w14:srgbClr>
                  </w14:solidFill>
                </w14:textFill>
              </w:rPr>
              <w:t>|||||</w:t>
            </w:r>
            <w:r w:rsidRPr="00EB6544">
              <w:rPr>
                <w:b/>
                <w:color w:val="000000"/>
                <w:spacing w:val="1"/>
                <w:shd w:val="solid" w:color="000000" w:fill="000000"/>
                <w:fitText w:val="516" w:id="-1236572666"/>
                <w14:textFill>
                  <w14:solidFill>
                    <w14:srgbClr w14:val="000000">
                      <w14:alpha w14:val="100000"/>
                    </w14:srgbClr>
                  </w14:solidFill>
                </w14:textFill>
              </w:rPr>
              <w:t>|</w:t>
            </w:r>
            <w:r w:rsidR="00396C58">
              <w:rPr>
                <w:vertAlign w:val="superscript"/>
              </w:rPr>
              <w:t>7</w:t>
            </w:r>
          </w:p>
        </w:tc>
      </w:tr>
      <w:tr w:rsidR="00C775AE" w:rsidRPr="002F733E" w14:paraId="34E23914" w14:textId="77777777" w:rsidTr="00BB0C5F">
        <w:tc>
          <w:tcPr>
            <w:tcW w:w="1491" w:type="pct"/>
            <w:tcBorders>
              <w:top w:val="single" w:sz="4" w:space="0" w:color="auto"/>
              <w:bottom w:val="single" w:sz="4" w:space="0" w:color="auto"/>
            </w:tcBorders>
            <w:vAlign w:val="center"/>
          </w:tcPr>
          <w:p w14:paraId="3F1C522C" w14:textId="77777777" w:rsidR="00C775AE" w:rsidRPr="002F733E" w:rsidRDefault="00C775AE" w:rsidP="00C775AE">
            <w:pPr>
              <w:pStyle w:val="TableText0"/>
              <w:rPr>
                <w:rFonts w:ascii="Times" w:hAnsi="Times"/>
              </w:rPr>
            </w:pPr>
            <w:r w:rsidRPr="002F733E">
              <w:t>QALYs gained</w:t>
            </w:r>
          </w:p>
        </w:tc>
        <w:tc>
          <w:tcPr>
            <w:tcW w:w="706" w:type="pct"/>
            <w:tcBorders>
              <w:top w:val="single" w:sz="4" w:space="0" w:color="auto"/>
              <w:bottom w:val="single" w:sz="4" w:space="0" w:color="auto"/>
            </w:tcBorders>
            <w:shd w:val="clear" w:color="auto" w:fill="C6D9F1" w:themeFill="text2" w:themeFillTint="33"/>
          </w:tcPr>
          <w:p w14:paraId="3C8947F6" w14:textId="77777777" w:rsidR="00C775AE" w:rsidRPr="002F733E" w:rsidRDefault="00C775AE" w:rsidP="00C775AE">
            <w:pPr>
              <w:pStyle w:val="TableText0"/>
              <w:jc w:val="center"/>
              <w:rPr>
                <w:rFonts w:ascii="Times" w:hAnsi="Times"/>
              </w:rPr>
            </w:pPr>
            <w:r w:rsidRPr="002F733E">
              <w:t>0.818</w:t>
            </w:r>
          </w:p>
        </w:tc>
        <w:tc>
          <w:tcPr>
            <w:tcW w:w="534" w:type="pct"/>
            <w:tcBorders>
              <w:top w:val="single" w:sz="4" w:space="0" w:color="auto"/>
              <w:bottom w:val="single" w:sz="4" w:space="0" w:color="auto"/>
            </w:tcBorders>
            <w:shd w:val="clear" w:color="auto" w:fill="C6D9F1" w:themeFill="text2" w:themeFillTint="33"/>
          </w:tcPr>
          <w:p w14:paraId="799A8A5F" w14:textId="77777777" w:rsidR="00C775AE" w:rsidRPr="002F733E" w:rsidRDefault="00C775AE" w:rsidP="00C775AE">
            <w:pPr>
              <w:pStyle w:val="TableText0"/>
              <w:jc w:val="center"/>
              <w:rPr>
                <w:rFonts w:ascii="Times" w:hAnsi="Times"/>
              </w:rPr>
            </w:pPr>
            <w:r w:rsidRPr="002F733E">
              <w:t>0.785</w:t>
            </w:r>
          </w:p>
        </w:tc>
        <w:tc>
          <w:tcPr>
            <w:tcW w:w="540" w:type="pct"/>
            <w:tcBorders>
              <w:top w:val="single" w:sz="4" w:space="0" w:color="auto"/>
              <w:bottom w:val="single" w:sz="4" w:space="0" w:color="auto"/>
            </w:tcBorders>
            <w:shd w:val="clear" w:color="auto" w:fill="C6D9F1" w:themeFill="text2" w:themeFillTint="33"/>
          </w:tcPr>
          <w:p w14:paraId="38BB4ED4" w14:textId="77777777" w:rsidR="00C775AE" w:rsidRPr="002F733E" w:rsidRDefault="00C775AE" w:rsidP="00C775AE">
            <w:pPr>
              <w:pStyle w:val="TableText0"/>
              <w:jc w:val="center"/>
            </w:pPr>
            <w:r w:rsidRPr="002F733E">
              <w:t>0.033</w:t>
            </w:r>
          </w:p>
        </w:tc>
        <w:tc>
          <w:tcPr>
            <w:tcW w:w="651" w:type="pct"/>
            <w:tcBorders>
              <w:top w:val="single" w:sz="4" w:space="0" w:color="auto"/>
              <w:bottom w:val="single" w:sz="4" w:space="0" w:color="auto"/>
            </w:tcBorders>
          </w:tcPr>
          <w:p w14:paraId="04CBFFA6" w14:textId="77777777" w:rsidR="00C775AE" w:rsidRPr="002F733E" w:rsidRDefault="00C775AE" w:rsidP="00C775AE">
            <w:pPr>
              <w:pStyle w:val="TableText0"/>
              <w:jc w:val="center"/>
            </w:pPr>
            <w:r w:rsidRPr="002F733E">
              <w:t>0.597</w:t>
            </w:r>
          </w:p>
        </w:tc>
        <w:tc>
          <w:tcPr>
            <w:tcW w:w="540" w:type="pct"/>
            <w:tcBorders>
              <w:top w:val="single" w:sz="4" w:space="0" w:color="auto"/>
              <w:bottom w:val="single" w:sz="4" w:space="0" w:color="auto"/>
            </w:tcBorders>
          </w:tcPr>
          <w:p w14:paraId="211B349C" w14:textId="77777777" w:rsidR="00C775AE" w:rsidRPr="002F733E" w:rsidRDefault="00C775AE" w:rsidP="00C775AE">
            <w:pPr>
              <w:pStyle w:val="TableText0"/>
              <w:jc w:val="center"/>
            </w:pPr>
            <w:r w:rsidRPr="002F733E">
              <w:t>0.564</w:t>
            </w:r>
          </w:p>
        </w:tc>
        <w:tc>
          <w:tcPr>
            <w:tcW w:w="537" w:type="pct"/>
            <w:tcBorders>
              <w:top w:val="single" w:sz="4" w:space="0" w:color="auto"/>
              <w:bottom w:val="single" w:sz="4" w:space="0" w:color="auto"/>
            </w:tcBorders>
          </w:tcPr>
          <w:p w14:paraId="2BBE0C15" w14:textId="77777777" w:rsidR="00C775AE" w:rsidRPr="002F733E" w:rsidRDefault="00C775AE" w:rsidP="00C775AE">
            <w:pPr>
              <w:pStyle w:val="TableText0"/>
              <w:jc w:val="center"/>
            </w:pPr>
            <w:r w:rsidRPr="002F733E">
              <w:t>0.033</w:t>
            </w:r>
          </w:p>
        </w:tc>
      </w:tr>
      <w:tr w:rsidR="00C775AE" w:rsidRPr="002F733E" w14:paraId="3762F012" w14:textId="77777777" w:rsidTr="00BB0C5F">
        <w:tc>
          <w:tcPr>
            <w:tcW w:w="2732" w:type="pct"/>
            <w:gridSpan w:val="3"/>
            <w:tcBorders>
              <w:top w:val="single" w:sz="4" w:space="0" w:color="auto"/>
              <w:bottom w:val="single" w:sz="4" w:space="0" w:color="auto"/>
            </w:tcBorders>
            <w:vAlign w:val="center"/>
          </w:tcPr>
          <w:p w14:paraId="65B477A0" w14:textId="77777777" w:rsidR="00C775AE" w:rsidRPr="002F733E" w:rsidRDefault="00C775AE" w:rsidP="00C775AE">
            <w:pPr>
              <w:pStyle w:val="TableText0"/>
              <w:rPr>
                <w:rFonts w:ascii="Times" w:hAnsi="Times"/>
                <w:b/>
              </w:rPr>
            </w:pPr>
            <w:r w:rsidRPr="002F733E">
              <w:rPr>
                <w:b/>
              </w:rPr>
              <w:t>Incremental cost/extra QALY gained</w:t>
            </w:r>
          </w:p>
        </w:tc>
        <w:tc>
          <w:tcPr>
            <w:tcW w:w="540" w:type="pct"/>
            <w:tcBorders>
              <w:top w:val="single" w:sz="4" w:space="0" w:color="auto"/>
              <w:bottom w:val="single" w:sz="4" w:space="0" w:color="auto"/>
            </w:tcBorders>
            <w:shd w:val="clear" w:color="auto" w:fill="C6D9F1" w:themeFill="text2" w:themeFillTint="33"/>
            <w:vAlign w:val="center"/>
          </w:tcPr>
          <w:p w14:paraId="575E1A47" w14:textId="5F2861C6" w:rsidR="00C775AE" w:rsidRPr="002F733E" w:rsidRDefault="00EB6544" w:rsidP="00C775AE">
            <w:pPr>
              <w:pStyle w:val="TableText0"/>
              <w:jc w:val="center"/>
              <w:rPr>
                <w:rFonts w:ascii="Times" w:hAnsi="Times"/>
                <w:b/>
              </w:rPr>
            </w:pPr>
            <w:r w:rsidRPr="00EB6544">
              <w:rPr>
                <w:b/>
                <w:color w:val="000000"/>
                <w:spacing w:val="48"/>
                <w:shd w:val="solid" w:color="000000" w:fill="000000"/>
                <w:fitText w:val="516" w:id="-1236572665"/>
                <w14:textFill>
                  <w14:solidFill>
                    <w14:srgbClr w14:val="000000">
                      <w14:alpha w14:val="100000"/>
                    </w14:srgbClr>
                  </w14:solidFill>
                </w14:textFill>
              </w:rPr>
              <w:t>|||||</w:t>
            </w:r>
            <w:r w:rsidRPr="00EB6544">
              <w:rPr>
                <w:b/>
                <w:color w:val="000000"/>
                <w:spacing w:val="1"/>
                <w:shd w:val="solid" w:color="000000" w:fill="000000"/>
                <w:fitText w:val="516" w:id="-1236572665"/>
                <w14:textFill>
                  <w14:solidFill>
                    <w14:srgbClr w14:val="000000">
                      <w14:alpha w14:val="100000"/>
                    </w14:srgbClr>
                  </w14:solidFill>
                </w14:textFill>
              </w:rPr>
              <w:t>|</w:t>
            </w:r>
            <w:r w:rsidR="00E13FB6">
              <w:rPr>
                <w:vertAlign w:val="superscript"/>
              </w:rPr>
              <w:t>3</w:t>
            </w:r>
          </w:p>
        </w:tc>
        <w:tc>
          <w:tcPr>
            <w:tcW w:w="651" w:type="pct"/>
            <w:tcBorders>
              <w:top w:val="single" w:sz="4" w:space="0" w:color="auto"/>
              <w:bottom w:val="single" w:sz="4" w:space="0" w:color="auto"/>
            </w:tcBorders>
          </w:tcPr>
          <w:p w14:paraId="5022F7E0" w14:textId="77777777" w:rsidR="00C775AE" w:rsidRPr="002F733E" w:rsidRDefault="00C775AE" w:rsidP="00C775AE">
            <w:pPr>
              <w:pStyle w:val="TableText0"/>
              <w:jc w:val="center"/>
              <w:rPr>
                <w:b/>
              </w:rPr>
            </w:pPr>
          </w:p>
        </w:tc>
        <w:tc>
          <w:tcPr>
            <w:tcW w:w="540" w:type="pct"/>
            <w:tcBorders>
              <w:top w:val="single" w:sz="4" w:space="0" w:color="auto"/>
              <w:bottom w:val="single" w:sz="4" w:space="0" w:color="auto"/>
            </w:tcBorders>
          </w:tcPr>
          <w:p w14:paraId="688C1D4C" w14:textId="77777777" w:rsidR="00C775AE" w:rsidRPr="002F733E" w:rsidRDefault="00C775AE" w:rsidP="00C775AE">
            <w:pPr>
              <w:pStyle w:val="TableText0"/>
              <w:jc w:val="center"/>
              <w:rPr>
                <w:b/>
              </w:rPr>
            </w:pPr>
          </w:p>
        </w:tc>
        <w:tc>
          <w:tcPr>
            <w:tcW w:w="537" w:type="pct"/>
            <w:tcBorders>
              <w:top w:val="single" w:sz="4" w:space="0" w:color="auto"/>
              <w:bottom w:val="single" w:sz="4" w:space="0" w:color="auto"/>
            </w:tcBorders>
          </w:tcPr>
          <w:p w14:paraId="624CCD0A" w14:textId="0DF0CB32" w:rsidR="00C775AE" w:rsidRPr="002F733E" w:rsidRDefault="00EB6544" w:rsidP="00C775AE">
            <w:pPr>
              <w:pStyle w:val="TableText0"/>
              <w:jc w:val="center"/>
              <w:rPr>
                <w:b/>
              </w:rPr>
            </w:pPr>
            <w:r w:rsidRPr="00EB6544">
              <w:rPr>
                <w:b/>
                <w:color w:val="000000"/>
                <w:spacing w:val="48"/>
                <w:shd w:val="solid" w:color="000000" w:fill="000000"/>
                <w:fitText w:val="516" w:id="-1236572664"/>
                <w14:textFill>
                  <w14:solidFill>
                    <w14:srgbClr w14:val="000000">
                      <w14:alpha w14:val="100000"/>
                    </w14:srgbClr>
                  </w14:solidFill>
                </w14:textFill>
              </w:rPr>
              <w:t>|||||</w:t>
            </w:r>
            <w:r w:rsidRPr="00EB6544">
              <w:rPr>
                <w:b/>
                <w:color w:val="000000"/>
                <w:spacing w:val="1"/>
                <w:shd w:val="solid" w:color="000000" w:fill="000000"/>
                <w:fitText w:val="516" w:id="-1236572664"/>
                <w14:textFill>
                  <w14:solidFill>
                    <w14:srgbClr w14:val="000000">
                      <w14:alpha w14:val="100000"/>
                    </w14:srgbClr>
                  </w14:solidFill>
                </w14:textFill>
              </w:rPr>
              <w:t>|</w:t>
            </w:r>
            <w:r w:rsidR="00396C58">
              <w:rPr>
                <w:vertAlign w:val="superscript"/>
              </w:rPr>
              <w:t>6</w:t>
            </w:r>
          </w:p>
        </w:tc>
      </w:tr>
      <w:tr w:rsidR="00C775AE" w:rsidRPr="002F733E" w14:paraId="53BB85B0" w14:textId="77777777" w:rsidTr="00BB0C5F">
        <w:tc>
          <w:tcPr>
            <w:tcW w:w="5000" w:type="pct"/>
            <w:gridSpan w:val="7"/>
            <w:tcBorders>
              <w:bottom w:val="single" w:sz="4" w:space="0" w:color="auto"/>
            </w:tcBorders>
            <w:vAlign w:val="center"/>
          </w:tcPr>
          <w:p w14:paraId="69A0AA8B" w14:textId="77777777" w:rsidR="00C775AE" w:rsidRPr="002F733E" w:rsidRDefault="00C775AE" w:rsidP="00C775AE">
            <w:pPr>
              <w:pStyle w:val="In-tableHeading"/>
              <w:rPr>
                <w:lang w:val="en-AU"/>
              </w:rPr>
            </w:pPr>
            <w:r w:rsidRPr="002F733E">
              <w:rPr>
                <w:lang w:val="en-AU"/>
              </w:rPr>
              <w:t>Step 4: ICER at 4 years, all costs, 5% discounting for costs and benefits</w:t>
            </w:r>
          </w:p>
        </w:tc>
      </w:tr>
      <w:tr w:rsidR="00C775AE" w:rsidRPr="002F733E" w14:paraId="5506CEE4" w14:textId="77777777" w:rsidTr="00EB6544">
        <w:tc>
          <w:tcPr>
            <w:tcW w:w="1491" w:type="pct"/>
            <w:tcBorders>
              <w:top w:val="single" w:sz="4" w:space="0" w:color="auto"/>
              <w:bottom w:val="single" w:sz="4" w:space="0" w:color="auto"/>
            </w:tcBorders>
            <w:vAlign w:val="center"/>
          </w:tcPr>
          <w:p w14:paraId="5C04A00E" w14:textId="5287449A" w:rsidR="00C775AE" w:rsidRPr="00E13FB6" w:rsidRDefault="00C775AE" w:rsidP="00C775AE">
            <w:pPr>
              <w:pStyle w:val="TableText0"/>
              <w:rPr>
                <w:rFonts w:ascii="Times" w:hAnsi="Times"/>
              </w:rPr>
            </w:pPr>
            <w:r w:rsidRPr="002F733E">
              <w:t>Costs</w:t>
            </w:r>
            <w:r w:rsidRPr="002F733E">
              <w:rPr>
                <w:vertAlign w:val="superscript"/>
              </w:rPr>
              <w:t>b,c</w:t>
            </w:r>
            <w:r w:rsidR="00E13FB6">
              <w:rPr>
                <w:vertAlign w:val="superscript"/>
              </w:rPr>
              <w:t xml:space="preserve"> </w:t>
            </w:r>
            <w:r w:rsidR="00E13FB6">
              <w:t>($)</w:t>
            </w:r>
          </w:p>
        </w:tc>
        <w:tc>
          <w:tcPr>
            <w:tcW w:w="706" w:type="pct"/>
            <w:tcBorders>
              <w:top w:val="single" w:sz="4" w:space="0" w:color="auto"/>
              <w:bottom w:val="single" w:sz="4" w:space="0" w:color="auto"/>
            </w:tcBorders>
          </w:tcPr>
          <w:p w14:paraId="387D213D" w14:textId="77777777" w:rsidR="00C775AE" w:rsidRPr="002F733E" w:rsidRDefault="00C775AE" w:rsidP="00C775AE">
            <w:pPr>
              <w:pStyle w:val="TableText0"/>
              <w:jc w:val="center"/>
              <w:rPr>
                <w:rFonts w:ascii="Times" w:hAnsi="Times"/>
              </w:rPr>
            </w:pPr>
            <w:r w:rsidRPr="002F733E">
              <w:rPr>
                <w:rFonts w:ascii="Times" w:hAnsi="Times"/>
              </w:rPr>
              <w:t>-</w:t>
            </w:r>
          </w:p>
        </w:tc>
        <w:tc>
          <w:tcPr>
            <w:tcW w:w="534" w:type="pct"/>
            <w:tcBorders>
              <w:top w:val="single" w:sz="4" w:space="0" w:color="auto"/>
              <w:bottom w:val="single" w:sz="4" w:space="0" w:color="auto"/>
            </w:tcBorders>
          </w:tcPr>
          <w:p w14:paraId="3370E712" w14:textId="77777777" w:rsidR="00C775AE" w:rsidRPr="002F733E" w:rsidRDefault="00C775AE" w:rsidP="00C775AE">
            <w:pPr>
              <w:pStyle w:val="TableText0"/>
              <w:jc w:val="center"/>
              <w:rPr>
                <w:rFonts w:ascii="Times" w:hAnsi="Times"/>
              </w:rPr>
            </w:pPr>
            <w:r w:rsidRPr="002F733E">
              <w:rPr>
                <w:rFonts w:ascii="Times" w:hAnsi="Times"/>
              </w:rPr>
              <w:t>-</w:t>
            </w:r>
          </w:p>
        </w:tc>
        <w:tc>
          <w:tcPr>
            <w:tcW w:w="540" w:type="pct"/>
            <w:tcBorders>
              <w:top w:val="single" w:sz="4" w:space="0" w:color="auto"/>
              <w:bottom w:val="single" w:sz="4" w:space="0" w:color="auto"/>
            </w:tcBorders>
          </w:tcPr>
          <w:p w14:paraId="0D5D6313" w14:textId="77777777" w:rsidR="00C775AE" w:rsidRPr="002F733E" w:rsidRDefault="00C775AE" w:rsidP="00C775AE">
            <w:pPr>
              <w:pStyle w:val="TableText0"/>
              <w:jc w:val="center"/>
              <w:rPr>
                <w:rFonts w:ascii="Times" w:hAnsi="Times"/>
              </w:rPr>
            </w:pPr>
            <w:r w:rsidRPr="002F733E">
              <w:rPr>
                <w:rFonts w:ascii="Times" w:hAnsi="Times"/>
              </w:rPr>
              <w:t>-</w:t>
            </w:r>
          </w:p>
        </w:tc>
        <w:tc>
          <w:tcPr>
            <w:tcW w:w="651" w:type="pct"/>
            <w:tcBorders>
              <w:top w:val="single" w:sz="4" w:space="0" w:color="auto"/>
              <w:bottom w:val="single" w:sz="4" w:space="0" w:color="auto"/>
            </w:tcBorders>
            <w:shd w:val="solid" w:color="000000" w:fill="000000"/>
          </w:tcPr>
          <w:p w14:paraId="52AE98F5" w14:textId="03695290" w:rsidR="00C775AE" w:rsidRPr="00EB6544" w:rsidRDefault="00EB6544" w:rsidP="00C775AE">
            <w:pPr>
              <w:pStyle w:val="TableText0"/>
              <w:jc w:val="center"/>
            </w:pPr>
            <w:r w:rsidRPr="00EB6544">
              <w:rPr>
                <w:color w:val="000000"/>
                <w:spacing w:val="48"/>
                <w:fitText w:val="316" w:id="-1236572663"/>
                <w14:textFill>
                  <w14:solidFill>
                    <w14:srgbClr w14:val="000000">
                      <w14:alpha w14:val="100000"/>
                    </w14:srgbClr>
                  </w14:solidFill>
                </w14:textFill>
              </w:rPr>
              <w:t>|||</w:t>
            </w:r>
            <w:r w:rsidRPr="00EB6544">
              <w:rPr>
                <w:color w:val="000000"/>
                <w:spacing w:val="2"/>
                <w:fitText w:val="316" w:id="-1236572663"/>
                <w14:textFill>
                  <w14:solidFill>
                    <w14:srgbClr w14:val="000000">
                      <w14:alpha w14:val="100000"/>
                    </w14:srgbClr>
                  </w14:solidFill>
                </w14:textFill>
              </w:rPr>
              <w:t>|</w:t>
            </w:r>
          </w:p>
        </w:tc>
        <w:tc>
          <w:tcPr>
            <w:tcW w:w="540" w:type="pct"/>
            <w:tcBorders>
              <w:top w:val="single" w:sz="4" w:space="0" w:color="auto"/>
              <w:bottom w:val="single" w:sz="4" w:space="0" w:color="auto"/>
            </w:tcBorders>
          </w:tcPr>
          <w:p w14:paraId="0F2ECCAB" w14:textId="77777777" w:rsidR="00C775AE" w:rsidRPr="002F733E" w:rsidRDefault="00C775AE" w:rsidP="00C775AE">
            <w:pPr>
              <w:pStyle w:val="TableText0"/>
              <w:jc w:val="center"/>
            </w:pPr>
            <w:r w:rsidRPr="002F733E">
              <w:t>$15,103</w:t>
            </w:r>
            <w:r w:rsidRPr="002F733E">
              <w:rPr>
                <w:vertAlign w:val="superscript"/>
              </w:rPr>
              <w:t>d</w:t>
            </w:r>
          </w:p>
        </w:tc>
        <w:tc>
          <w:tcPr>
            <w:tcW w:w="537" w:type="pct"/>
            <w:tcBorders>
              <w:top w:val="single" w:sz="4" w:space="0" w:color="auto"/>
              <w:bottom w:val="single" w:sz="4" w:space="0" w:color="auto"/>
            </w:tcBorders>
            <w:shd w:val="solid" w:color="000000" w:fill="000000"/>
          </w:tcPr>
          <w:p w14:paraId="116E718C" w14:textId="3559B570" w:rsidR="00C775AE" w:rsidRPr="00EB6544" w:rsidRDefault="00EB6544" w:rsidP="00C775AE">
            <w:pPr>
              <w:pStyle w:val="TableText0"/>
              <w:jc w:val="center"/>
            </w:pPr>
            <w:r w:rsidRPr="00EB6544">
              <w:rPr>
                <w:color w:val="000000"/>
                <w:spacing w:val="81"/>
                <w:fitText w:val="416" w:id="-1236572662"/>
                <w14:textFill>
                  <w14:solidFill>
                    <w14:srgbClr w14:val="000000">
                      <w14:alpha w14:val="100000"/>
                    </w14:srgbClr>
                  </w14:solidFill>
                </w14:textFill>
              </w:rPr>
              <w:t>|||</w:t>
            </w:r>
            <w:r w:rsidRPr="00EB6544">
              <w:rPr>
                <w:color w:val="000000"/>
                <w:spacing w:val="3"/>
                <w:fitText w:val="416" w:id="-1236572662"/>
                <w14:textFill>
                  <w14:solidFill>
                    <w14:srgbClr w14:val="000000">
                      <w14:alpha w14:val="100000"/>
                    </w14:srgbClr>
                  </w14:solidFill>
                </w14:textFill>
              </w:rPr>
              <w:t>|</w:t>
            </w:r>
          </w:p>
        </w:tc>
      </w:tr>
      <w:tr w:rsidR="00C775AE" w:rsidRPr="002F733E" w14:paraId="7A55EBF0" w14:textId="77777777" w:rsidTr="00BB0C5F">
        <w:tc>
          <w:tcPr>
            <w:tcW w:w="1491" w:type="pct"/>
            <w:tcBorders>
              <w:top w:val="single" w:sz="4" w:space="0" w:color="auto"/>
              <w:bottom w:val="single" w:sz="4" w:space="0" w:color="auto"/>
            </w:tcBorders>
            <w:vAlign w:val="center"/>
          </w:tcPr>
          <w:p w14:paraId="013BE22A" w14:textId="77777777" w:rsidR="00C775AE" w:rsidRPr="002F733E" w:rsidRDefault="00C775AE" w:rsidP="00C775AE">
            <w:pPr>
              <w:pStyle w:val="TableText0"/>
            </w:pPr>
            <w:r w:rsidRPr="002F733E">
              <w:t>LYG</w:t>
            </w:r>
          </w:p>
        </w:tc>
        <w:tc>
          <w:tcPr>
            <w:tcW w:w="706" w:type="pct"/>
            <w:tcBorders>
              <w:top w:val="single" w:sz="4" w:space="0" w:color="auto"/>
              <w:bottom w:val="single" w:sz="4" w:space="0" w:color="auto"/>
            </w:tcBorders>
          </w:tcPr>
          <w:p w14:paraId="716016DC" w14:textId="77777777" w:rsidR="00C775AE" w:rsidRPr="002F733E" w:rsidRDefault="00C775AE" w:rsidP="00C775AE">
            <w:pPr>
              <w:pStyle w:val="TableText0"/>
              <w:jc w:val="center"/>
              <w:rPr>
                <w:rFonts w:ascii="Times" w:hAnsi="Times"/>
              </w:rPr>
            </w:pPr>
            <w:r w:rsidRPr="002F733E">
              <w:rPr>
                <w:rFonts w:ascii="Times" w:hAnsi="Times"/>
              </w:rPr>
              <w:t>-</w:t>
            </w:r>
          </w:p>
        </w:tc>
        <w:tc>
          <w:tcPr>
            <w:tcW w:w="534" w:type="pct"/>
            <w:tcBorders>
              <w:top w:val="single" w:sz="4" w:space="0" w:color="auto"/>
              <w:bottom w:val="single" w:sz="4" w:space="0" w:color="auto"/>
            </w:tcBorders>
          </w:tcPr>
          <w:p w14:paraId="0E59D935" w14:textId="77777777" w:rsidR="00C775AE" w:rsidRPr="002F733E" w:rsidRDefault="00C775AE" w:rsidP="00C775AE">
            <w:pPr>
              <w:pStyle w:val="TableText0"/>
              <w:jc w:val="center"/>
              <w:rPr>
                <w:rFonts w:ascii="Times" w:hAnsi="Times"/>
              </w:rPr>
            </w:pPr>
            <w:r w:rsidRPr="002F733E">
              <w:rPr>
                <w:rFonts w:ascii="Times" w:hAnsi="Times"/>
              </w:rPr>
              <w:t>-</w:t>
            </w:r>
          </w:p>
        </w:tc>
        <w:tc>
          <w:tcPr>
            <w:tcW w:w="540" w:type="pct"/>
            <w:tcBorders>
              <w:top w:val="single" w:sz="4" w:space="0" w:color="auto"/>
              <w:bottom w:val="single" w:sz="4" w:space="0" w:color="auto"/>
            </w:tcBorders>
          </w:tcPr>
          <w:p w14:paraId="27EE78D5" w14:textId="77777777" w:rsidR="00C775AE" w:rsidRPr="002F733E" w:rsidRDefault="00C775AE" w:rsidP="00C775AE">
            <w:pPr>
              <w:pStyle w:val="TableText0"/>
              <w:jc w:val="center"/>
              <w:rPr>
                <w:rFonts w:ascii="Times" w:hAnsi="Times"/>
              </w:rPr>
            </w:pPr>
            <w:r w:rsidRPr="002F733E">
              <w:rPr>
                <w:rFonts w:ascii="Times" w:hAnsi="Times"/>
              </w:rPr>
              <w:t>-</w:t>
            </w:r>
          </w:p>
        </w:tc>
        <w:tc>
          <w:tcPr>
            <w:tcW w:w="651" w:type="pct"/>
            <w:tcBorders>
              <w:top w:val="single" w:sz="4" w:space="0" w:color="auto"/>
              <w:bottom w:val="single" w:sz="4" w:space="0" w:color="auto"/>
            </w:tcBorders>
          </w:tcPr>
          <w:p w14:paraId="029E4E29" w14:textId="77777777" w:rsidR="00C775AE" w:rsidRPr="002F733E" w:rsidRDefault="00C775AE" w:rsidP="00C775AE">
            <w:pPr>
              <w:pStyle w:val="TableText0"/>
              <w:jc w:val="center"/>
            </w:pPr>
            <w:r w:rsidRPr="002F733E">
              <w:t>3.474</w:t>
            </w:r>
          </w:p>
        </w:tc>
        <w:tc>
          <w:tcPr>
            <w:tcW w:w="540" w:type="pct"/>
            <w:tcBorders>
              <w:top w:val="single" w:sz="4" w:space="0" w:color="auto"/>
              <w:bottom w:val="single" w:sz="4" w:space="0" w:color="auto"/>
            </w:tcBorders>
          </w:tcPr>
          <w:p w14:paraId="0E293903" w14:textId="77777777" w:rsidR="00C775AE" w:rsidRPr="002F733E" w:rsidRDefault="00C775AE" w:rsidP="00C775AE">
            <w:pPr>
              <w:pStyle w:val="TableText0"/>
              <w:jc w:val="center"/>
            </w:pPr>
            <w:r w:rsidRPr="002F733E">
              <w:t>3.463</w:t>
            </w:r>
          </w:p>
        </w:tc>
        <w:tc>
          <w:tcPr>
            <w:tcW w:w="537" w:type="pct"/>
            <w:tcBorders>
              <w:top w:val="single" w:sz="4" w:space="0" w:color="auto"/>
              <w:bottom w:val="single" w:sz="4" w:space="0" w:color="auto"/>
            </w:tcBorders>
          </w:tcPr>
          <w:p w14:paraId="5E7CF1D2" w14:textId="77777777" w:rsidR="00C775AE" w:rsidRPr="002F733E" w:rsidRDefault="00C775AE" w:rsidP="00C775AE">
            <w:pPr>
              <w:pStyle w:val="TableText0"/>
              <w:jc w:val="center"/>
            </w:pPr>
            <w:r w:rsidRPr="002F733E">
              <w:t>0.011</w:t>
            </w:r>
          </w:p>
        </w:tc>
      </w:tr>
      <w:tr w:rsidR="00C775AE" w:rsidRPr="002F733E" w14:paraId="5925B432" w14:textId="77777777" w:rsidTr="00EB6544">
        <w:trPr>
          <w:trHeight w:val="2406"/>
        </w:trPr>
        <w:tc>
          <w:tcPr>
            <w:tcW w:w="2732" w:type="pct"/>
            <w:gridSpan w:val="3"/>
            <w:tcBorders>
              <w:top w:val="single" w:sz="4" w:space="0" w:color="auto"/>
              <w:bottom w:val="single" w:sz="4" w:space="0" w:color="auto"/>
            </w:tcBorders>
            <w:vAlign w:val="center"/>
          </w:tcPr>
          <w:p w14:paraId="4D49508B" w14:textId="77777777" w:rsidR="00C775AE" w:rsidRPr="002F733E" w:rsidRDefault="00C775AE" w:rsidP="00C775AE">
            <w:pPr>
              <w:pStyle w:val="TableText0"/>
              <w:rPr>
                <w:rFonts w:ascii="Times" w:hAnsi="Times"/>
                <w:b/>
              </w:rPr>
            </w:pPr>
            <w:r w:rsidRPr="002F733E">
              <w:rPr>
                <w:b/>
              </w:rPr>
              <w:t>Incremental cost/LYG</w:t>
            </w:r>
          </w:p>
        </w:tc>
        <w:tc>
          <w:tcPr>
            <w:tcW w:w="540" w:type="pct"/>
            <w:tcBorders>
              <w:top w:val="single" w:sz="4" w:space="0" w:color="auto"/>
              <w:bottom w:val="single" w:sz="4" w:space="0" w:color="auto"/>
            </w:tcBorders>
          </w:tcPr>
          <w:p w14:paraId="10A3D62A" w14:textId="77777777" w:rsidR="00C775AE" w:rsidRPr="002F733E" w:rsidRDefault="00C775AE" w:rsidP="00C775AE">
            <w:pPr>
              <w:pStyle w:val="TableText0"/>
              <w:jc w:val="center"/>
              <w:rPr>
                <w:rFonts w:ascii="Times" w:hAnsi="Times"/>
                <w:b/>
              </w:rPr>
            </w:pPr>
            <w:r w:rsidRPr="002F733E">
              <w:rPr>
                <w:rFonts w:ascii="Times" w:hAnsi="Times"/>
                <w:b/>
              </w:rPr>
              <w:t>-</w:t>
            </w:r>
          </w:p>
        </w:tc>
        <w:tc>
          <w:tcPr>
            <w:tcW w:w="651" w:type="pct"/>
            <w:tcBorders>
              <w:top w:val="single" w:sz="4" w:space="0" w:color="auto"/>
              <w:bottom w:val="single" w:sz="4" w:space="0" w:color="auto"/>
            </w:tcBorders>
          </w:tcPr>
          <w:p w14:paraId="785BD1C9" w14:textId="77777777" w:rsidR="00C775AE" w:rsidRPr="002F733E" w:rsidRDefault="00C775AE" w:rsidP="00C775AE">
            <w:pPr>
              <w:pStyle w:val="TableText0"/>
              <w:jc w:val="center"/>
              <w:rPr>
                <w:b/>
              </w:rPr>
            </w:pPr>
          </w:p>
        </w:tc>
        <w:tc>
          <w:tcPr>
            <w:tcW w:w="540" w:type="pct"/>
            <w:tcBorders>
              <w:top w:val="single" w:sz="4" w:space="0" w:color="auto"/>
              <w:bottom w:val="single" w:sz="4" w:space="0" w:color="auto"/>
            </w:tcBorders>
          </w:tcPr>
          <w:p w14:paraId="758C05A0" w14:textId="77777777" w:rsidR="00C775AE" w:rsidRPr="002F733E" w:rsidRDefault="00C775AE" w:rsidP="00C775AE">
            <w:pPr>
              <w:pStyle w:val="TableText0"/>
              <w:jc w:val="center"/>
              <w:rPr>
                <w:b/>
              </w:rPr>
            </w:pPr>
          </w:p>
        </w:tc>
        <w:tc>
          <w:tcPr>
            <w:tcW w:w="537" w:type="pct"/>
            <w:tcBorders>
              <w:top w:val="single" w:sz="4" w:space="0" w:color="auto"/>
              <w:bottom w:val="single" w:sz="4" w:space="0" w:color="auto"/>
            </w:tcBorders>
          </w:tcPr>
          <w:p w14:paraId="17C0C3D6" w14:textId="7129E3F0" w:rsidR="00C775AE" w:rsidRPr="002F733E" w:rsidRDefault="00EB6544" w:rsidP="00C775AE">
            <w:pPr>
              <w:pStyle w:val="TableText0"/>
              <w:jc w:val="center"/>
              <w:rPr>
                <w:b/>
              </w:rPr>
            </w:pPr>
            <w:r w:rsidRPr="00EB6544">
              <w:rPr>
                <w:b/>
                <w:color w:val="000000"/>
                <w:spacing w:val="48"/>
                <w:shd w:val="solid" w:color="000000" w:fill="000000"/>
                <w:fitText w:val="516" w:id="-1236572661"/>
                <w14:textFill>
                  <w14:solidFill>
                    <w14:srgbClr w14:val="000000">
                      <w14:alpha w14:val="100000"/>
                    </w14:srgbClr>
                  </w14:solidFill>
                </w14:textFill>
              </w:rPr>
              <w:t>|||||</w:t>
            </w:r>
            <w:r w:rsidRPr="00EB6544">
              <w:rPr>
                <w:b/>
                <w:color w:val="000000"/>
                <w:spacing w:val="1"/>
                <w:shd w:val="solid" w:color="000000" w:fill="000000"/>
                <w:fitText w:val="516" w:id="-1236572661"/>
                <w14:textFill>
                  <w14:solidFill>
                    <w14:srgbClr w14:val="000000">
                      <w14:alpha w14:val="100000"/>
                    </w14:srgbClr>
                  </w14:solidFill>
                </w14:textFill>
              </w:rPr>
              <w:t>|</w:t>
            </w:r>
            <w:r w:rsidR="00396C58">
              <w:rPr>
                <w:vertAlign w:val="superscript"/>
              </w:rPr>
              <w:t>7</w:t>
            </w:r>
          </w:p>
        </w:tc>
      </w:tr>
      <w:tr w:rsidR="00C775AE" w:rsidRPr="002F733E" w14:paraId="4964D327" w14:textId="77777777" w:rsidTr="00BB0C5F">
        <w:tc>
          <w:tcPr>
            <w:tcW w:w="1491" w:type="pct"/>
            <w:tcBorders>
              <w:top w:val="single" w:sz="4" w:space="0" w:color="auto"/>
              <w:bottom w:val="single" w:sz="4" w:space="0" w:color="auto"/>
            </w:tcBorders>
            <w:vAlign w:val="center"/>
          </w:tcPr>
          <w:p w14:paraId="167EB8A2" w14:textId="77777777" w:rsidR="00C775AE" w:rsidRPr="002F733E" w:rsidRDefault="00C775AE" w:rsidP="00C775AE">
            <w:pPr>
              <w:pStyle w:val="TableText0"/>
              <w:rPr>
                <w:rFonts w:ascii="Times" w:hAnsi="Times"/>
              </w:rPr>
            </w:pPr>
            <w:r w:rsidRPr="002F733E">
              <w:t>QALYs gained</w:t>
            </w:r>
          </w:p>
        </w:tc>
        <w:tc>
          <w:tcPr>
            <w:tcW w:w="706" w:type="pct"/>
            <w:tcBorders>
              <w:top w:val="single" w:sz="4" w:space="0" w:color="auto"/>
              <w:bottom w:val="single" w:sz="4" w:space="0" w:color="auto"/>
            </w:tcBorders>
          </w:tcPr>
          <w:p w14:paraId="167DE9DC" w14:textId="77777777" w:rsidR="00C775AE" w:rsidRPr="002F733E" w:rsidRDefault="00C775AE" w:rsidP="00C775AE">
            <w:pPr>
              <w:pStyle w:val="TableText0"/>
              <w:jc w:val="center"/>
              <w:rPr>
                <w:rFonts w:ascii="Times" w:hAnsi="Times"/>
              </w:rPr>
            </w:pPr>
            <w:r w:rsidRPr="002F733E">
              <w:rPr>
                <w:rFonts w:ascii="Times" w:hAnsi="Times"/>
              </w:rPr>
              <w:t>-</w:t>
            </w:r>
          </w:p>
        </w:tc>
        <w:tc>
          <w:tcPr>
            <w:tcW w:w="534" w:type="pct"/>
            <w:tcBorders>
              <w:top w:val="single" w:sz="4" w:space="0" w:color="auto"/>
              <w:bottom w:val="single" w:sz="4" w:space="0" w:color="auto"/>
            </w:tcBorders>
          </w:tcPr>
          <w:p w14:paraId="77814993" w14:textId="77777777" w:rsidR="00C775AE" w:rsidRPr="002F733E" w:rsidRDefault="00C775AE" w:rsidP="00C775AE">
            <w:pPr>
              <w:pStyle w:val="TableText0"/>
              <w:jc w:val="center"/>
              <w:rPr>
                <w:rFonts w:ascii="Times" w:hAnsi="Times"/>
              </w:rPr>
            </w:pPr>
            <w:r w:rsidRPr="002F733E">
              <w:rPr>
                <w:rFonts w:ascii="Times" w:hAnsi="Times"/>
              </w:rPr>
              <w:t>-</w:t>
            </w:r>
          </w:p>
        </w:tc>
        <w:tc>
          <w:tcPr>
            <w:tcW w:w="540" w:type="pct"/>
            <w:tcBorders>
              <w:top w:val="single" w:sz="4" w:space="0" w:color="auto"/>
              <w:bottom w:val="single" w:sz="4" w:space="0" w:color="auto"/>
            </w:tcBorders>
          </w:tcPr>
          <w:p w14:paraId="35F0967F" w14:textId="77777777" w:rsidR="00C775AE" w:rsidRPr="002F733E" w:rsidRDefault="00C775AE" w:rsidP="00C775AE">
            <w:pPr>
              <w:pStyle w:val="TableText0"/>
              <w:jc w:val="center"/>
            </w:pPr>
            <w:r w:rsidRPr="002F733E">
              <w:t>-</w:t>
            </w:r>
          </w:p>
        </w:tc>
        <w:tc>
          <w:tcPr>
            <w:tcW w:w="651" w:type="pct"/>
            <w:tcBorders>
              <w:top w:val="single" w:sz="4" w:space="0" w:color="auto"/>
              <w:bottom w:val="single" w:sz="4" w:space="0" w:color="auto"/>
            </w:tcBorders>
          </w:tcPr>
          <w:p w14:paraId="69CA56FB" w14:textId="77777777" w:rsidR="00C775AE" w:rsidRPr="002F733E" w:rsidRDefault="00C775AE" w:rsidP="00C775AE">
            <w:pPr>
              <w:pStyle w:val="TableText0"/>
              <w:jc w:val="center"/>
            </w:pPr>
            <w:r w:rsidRPr="002F733E">
              <w:t>1.694</w:t>
            </w:r>
          </w:p>
        </w:tc>
        <w:tc>
          <w:tcPr>
            <w:tcW w:w="540" w:type="pct"/>
            <w:tcBorders>
              <w:top w:val="single" w:sz="4" w:space="0" w:color="auto"/>
              <w:bottom w:val="single" w:sz="4" w:space="0" w:color="auto"/>
            </w:tcBorders>
          </w:tcPr>
          <w:p w14:paraId="1277DB04" w14:textId="77777777" w:rsidR="00C775AE" w:rsidRPr="002F733E" w:rsidRDefault="00C775AE" w:rsidP="00C775AE">
            <w:pPr>
              <w:pStyle w:val="TableText0"/>
              <w:jc w:val="center"/>
            </w:pPr>
            <w:r w:rsidRPr="002F733E">
              <w:t>1.481</w:t>
            </w:r>
          </w:p>
        </w:tc>
        <w:tc>
          <w:tcPr>
            <w:tcW w:w="537" w:type="pct"/>
            <w:tcBorders>
              <w:top w:val="single" w:sz="4" w:space="0" w:color="auto"/>
              <w:bottom w:val="single" w:sz="4" w:space="0" w:color="auto"/>
            </w:tcBorders>
          </w:tcPr>
          <w:p w14:paraId="1B19D749" w14:textId="77777777" w:rsidR="00C775AE" w:rsidRPr="002F733E" w:rsidRDefault="00C775AE" w:rsidP="00C775AE">
            <w:pPr>
              <w:pStyle w:val="TableText0"/>
              <w:jc w:val="center"/>
            </w:pPr>
            <w:r w:rsidRPr="002F733E">
              <w:t>0.213</w:t>
            </w:r>
          </w:p>
        </w:tc>
      </w:tr>
      <w:tr w:rsidR="00C775AE" w:rsidRPr="002F733E" w14:paraId="7521C8B2" w14:textId="77777777" w:rsidTr="00BB0C5F">
        <w:tc>
          <w:tcPr>
            <w:tcW w:w="2732" w:type="pct"/>
            <w:gridSpan w:val="3"/>
            <w:tcBorders>
              <w:top w:val="single" w:sz="4" w:space="0" w:color="auto"/>
              <w:bottom w:val="single" w:sz="4" w:space="0" w:color="auto"/>
            </w:tcBorders>
            <w:vAlign w:val="center"/>
          </w:tcPr>
          <w:p w14:paraId="3C054B85" w14:textId="77777777" w:rsidR="00C775AE" w:rsidRPr="002F733E" w:rsidRDefault="00C775AE" w:rsidP="00C775AE">
            <w:pPr>
              <w:pStyle w:val="TableText0"/>
              <w:rPr>
                <w:rFonts w:ascii="Times" w:hAnsi="Times"/>
                <w:b/>
              </w:rPr>
            </w:pPr>
            <w:r w:rsidRPr="002F733E">
              <w:rPr>
                <w:b/>
              </w:rPr>
              <w:t>Incremental cost/extra QALY gained</w:t>
            </w:r>
          </w:p>
        </w:tc>
        <w:tc>
          <w:tcPr>
            <w:tcW w:w="540" w:type="pct"/>
            <w:tcBorders>
              <w:top w:val="single" w:sz="4" w:space="0" w:color="auto"/>
              <w:bottom w:val="single" w:sz="4" w:space="0" w:color="auto"/>
            </w:tcBorders>
            <w:vAlign w:val="center"/>
          </w:tcPr>
          <w:p w14:paraId="322F0AAE" w14:textId="77777777" w:rsidR="00C775AE" w:rsidRPr="002F733E" w:rsidRDefault="00C775AE" w:rsidP="00C775AE">
            <w:pPr>
              <w:pStyle w:val="TableText0"/>
              <w:jc w:val="center"/>
              <w:rPr>
                <w:rFonts w:ascii="Times" w:hAnsi="Times"/>
                <w:b/>
              </w:rPr>
            </w:pPr>
            <w:r w:rsidRPr="002F733E">
              <w:rPr>
                <w:b/>
              </w:rPr>
              <w:t>-</w:t>
            </w:r>
          </w:p>
        </w:tc>
        <w:tc>
          <w:tcPr>
            <w:tcW w:w="651" w:type="pct"/>
            <w:tcBorders>
              <w:top w:val="single" w:sz="4" w:space="0" w:color="auto"/>
              <w:bottom w:val="single" w:sz="4" w:space="0" w:color="auto"/>
            </w:tcBorders>
          </w:tcPr>
          <w:p w14:paraId="51B97520" w14:textId="77777777" w:rsidR="00C775AE" w:rsidRPr="002F733E" w:rsidRDefault="00C775AE" w:rsidP="00C775AE">
            <w:pPr>
              <w:pStyle w:val="TableText0"/>
              <w:jc w:val="center"/>
              <w:rPr>
                <w:b/>
              </w:rPr>
            </w:pPr>
          </w:p>
        </w:tc>
        <w:tc>
          <w:tcPr>
            <w:tcW w:w="540" w:type="pct"/>
            <w:tcBorders>
              <w:top w:val="single" w:sz="4" w:space="0" w:color="auto"/>
              <w:bottom w:val="single" w:sz="4" w:space="0" w:color="auto"/>
            </w:tcBorders>
          </w:tcPr>
          <w:p w14:paraId="52CF2424" w14:textId="77777777" w:rsidR="00C775AE" w:rsidRPr="002F733E" w:rsidRDefault="00C775AE" w:rsidP="00C775AE">
            <w:pPr>
              <w:pStyle w:val="TableText0"/>
              <w:jc w:val="center"/>
              <w:rPr>
                <w:b/>
              </w:rPr>
            </w:pPr>
          </w:p>
        </w:tc>
        <w:tc>
          <w:tcPr>
            <w:tcW w:w="537" w:type="pct"/>
            <w:tcBorders>
              <w:top w:val="single" w:sz="4" w:space="0" w:color="auto"/>
              <w:bottom w:val="single" w:sz="4" w:space="0" w:color="auto"/>
            </w:tcBorders>
          </w:tcPr>
          <w:p w14:paraId="6FAA58E9" w14:textId="465885BA" w:rsidR="00C775AE" w:rsidRPr="002F733E" w:rsidRDefault="00EB6544" w:rsidP="00C775AE">
            <w:pPr>
              <w:pStyle w:val="TableText0"/>
              <w:jc w:val="center"/>
              <w:rPr>
                <w:b/>
              </w:rPr>
            </w:pPr>
            <w:r w:rsidRPr="00EB6544">
              <w:rPr>
                <w:b/>
                <w:color w:val="000000"/>
                <w:spacing w:val="48"/>
                <w:shd w:val="solid" w:color="000000" w:fill="000000"/>
                <w:fitText w:val="516" w:id="-1236572660"/>
                <w14:textFill>
                  <w14:solidFill>
                    <w14:srgbClr w14:val="000000">
                      <w14:alpha w14:val="100000"/>
                    </w14:srgbClr>
                  </w14:solidFill>
                </w14:textFill>
              </w:rPr>
              <w:t>|||||</w:t>
            </w:r>
            <w:r w:rsidRPr="00EB6544">
              <w:rPr>
                <w:b/>
                <w:color w:val="000000"/>
                <w:spacing w:val="1"/>
                <w:shd w:val="solid" w:color="000000" w:fill="000000"/>
                <w:fitText w:val="516" w:id="-1236572660"/>
                <w14:textFill>
                  <w14:solidFill>
                    <w14:srgbClr w14:val="000000">
                      <w14:alpha w14:val="100000"/>
                    </w14:srgbClr>
                  </w14:solidFill>
                </w14:textFill>
              </w:rPr>
              <w:t>|</w:t>
            </w:r>
            <w:r w:rsidR="00396C58">
              <w:rPr>
                <w:vertAlign w:val="superscript"/>
              </w:rPr>
              <w:t>1</w:t>
            </w:r>
          </w:p>
        </w:tc>
      </w:tr>
      <w:tr w:rsidR="00C775AE" w:rsidRPr="002F733E" w14:paraId="78D84239" w14:textId="77777777" w:rsidTr="00BB0C5F">
        <w:tc>
          <w:tcPr>
            <w:tcW w:w="5000" w:type="pct"/>
            <w:gridSpan w:val="7"/>
            <w:tcBorders>
              <w:bottom w:val="single" w:sz="4" w:space="0" w:color="auto"/>
            </w:tcBorders>
            <w:shd w:val="clear" w:color="auto" w:fill="auto"/>
            <w:vAlign w:val="center"/>
          </w:tcPr>
          <w:p w14:paraId="2C1D3DCA" w14:textId="77777777" w:rsidR="00C775AE" w:rsidRPr="002F733E" w:rsidRDefault="00C775AE" w:rsidP="00C775AE">
            <w:pPr>
              <w:pStyle w:val="In-tableHeading"/>
              <w:rPr>
                <w:lang w:val="en-AU"/>
              </w:rPr>
            </w:pPr>
            <w:r w:rsidRPr="002F733E">
              <w:rPr>
                <w:lang w:val="en-AU"/>
              </w:rPr>
              <w:t>Step 5: ICER at 30 years, 5% discounting for costs and benefits (base case)</w:t>
            </w:r>
          </w:p>
        </w:tc>
      </w:tr>
      <w:tr w:rsidR="00C775AE" w:rsidRPr="002F733E" w14:paraId="5434A77E" w14:textId="77777777" w:rsidTr="00EB6544">
        <w:tc>
          <w:tcPr>
            <w:tcW w:w="1491" w:type="pct"/>
            <w:tcBorders>
              <w:top w:val="single" w:sz="4" w:space="0" w:color="auto"/>
              <w:bottom w:val="single" w:sz="4" w:space="0" w:color="auto"/>
            </w:tcBorders>
            <w:vAlign w:val="center"/>
          </w:tcPr>
          <w:p w14:paraId="1B718EBA" w14:textId="4D4F66DE" w:rsidR="00C775AE" w:rsidRPr="00E13FB6" w:rsidRDefault="00C775AE" w:rsidP="00C775AE">
            <w:pPr>
              <w:pStyle w:val="TableText0"/>
              <w:rPr>
                <w:rFonts w:ascii="Times" w:hAnsi="Times"/>
              </w:rPr>
            </w:pPr>
            <w:r w:rsidRPr="002F733E">
              <w:t>Costs</w:t>
            </w:r>
            <w:r w:rsidRPr="002F733E">
              <w:rPr>
                <w:vertAlign w:val="superscript"/>
              </w:rPr>
              <w:t>c</w:t>
            </w:r>
            <w:r w:rsidR="00E13FB6">
              <w:rPr>
                <w:vertAlign w:val="superscript"/>
              </w:rPr>
              <w:t xml:space="preserve"> </w:t>
            </w:r>
            <w:r w:rsidR="00E13FB6">
              <w:t>($)</w:t>
            </w:r>
          </w:p>
        </w:tc>
        <w:tc>
          <w:tcPr>
            <w:tcW w:w="706" w:type="pct"/>
            <w:tcBorders>
              <w:top w:val="single" w:sz="4" w:space="0" w:color="auto"/>
              <w:bottom w:val="single" w:sz="4" w:space="0" w:color="auto"/>
            </w:tcBorders>
            <w:shd w:val="solid" w:color="000000" w:fill="000000"/>
          </w:tcPr>
          <w:p w14:paraId="6E7D3F86" w14:textId="3C61E32F" w:rsidR="00C775AE" w:rsidRPr="00EB6544" w:rsidRDefault="00EB6544" w:rsidP="00C775AE">
            <w:pPr>
              <w:pStyle w:val="TableText0"/>
              <w:jc w:val="center"/>
              <w:rPr>
                <w:rFonts w:ascii="Times" w:hAnsi="Times"/>
              </w:rPr>
            </w:pPr>
            <w:r w:rsidRPr="00EB6544">
              <w:rPr>
                <w:color w:val="000000"/>
                <w:spacing w:val="180"/>
                <w:fitText w:val="266" w:id="-1236572659"/>
                <w14:textFill>
                  <w14:solidFill>
                    <w14:srgbClr w14:val="000000">
                      <w14:alpha w14:val="100000"/>
                    </w14:srgbClr>
                  </w14:solidFill>
                </w14:textFill>
              </w:rPr>
              <w:t>|</w:t>
            </w:r>
            <w:r w:rsidRPr="00EB6544">
              <w:rPr>
                <w:color w:val="000000"/>
                <w:fitText w:val="266" w:id="-1236572659"/>
                <w14:textFill>
                  <w14:solidFill>
                    <w14:srgbClr w14:val="000000">
                      <w14:alpha w14:val="100000"/>
                    </w14:srgbClr>
                  </w14:solidFill>
                </w14:textFill>
              </w:rPr>
              <w:t>|</w:t>
            </w:r>
          </w:p>
        </w:tc>
        <w:tc>
          <w:tcPr>
            <w:tcW w:w="534" w:type="pct"/>
            <w:tcBorders>
              <w:top w:val="single" w:sz="4" w:space="0" w:color="auto"/>
              <w:bottom w:val="single" w:sz="4" w:space="0" w:color="auto"/>
            </w:tcBorders>
            <w:shd w:val="clear" w:color="auto" w:fill="C6D9F1" w:themeFill="text2" w:themeFillTint="33"/>
          </w:tcPr>
          <w:p w14:paraId="55FADC3C" w14:textId="77777777" w:rsidR="00C775AE" w:rsidRPr="002F733E" w:rsidRDefault="00C775AE" w:rsidP="00C775AE">
            <w:pPr>
              <w:pStyle w:val="TableText0"/>
              <w:jc w:val="center"/>
              <w:rPr>
                <w:rFonts w:ascii="Times" w:hAnsi="Times"/>
              </w:rPr>
            </w:pPr>
            <w:r w:rsidRPr="002F733E">
              <w:t xml:space="preserve">$98,456 </w:t>
            </w:r>
          </w:p>
        </w:tc>
        <w:tc>
          <w:tcPr>
            <w:tcW w:w="540" w:type="pct"/>
            <w:tcBorders>
              <w:top w:val="single" w:sz="4" w:space="0" w:color="auto"/>
              <w:bottom w:val="single" w:sz="4" w:space="0" w:color="auto"/>
            </w:tcBorders>
            <w:shd w:val="solid" w:color="000000" w:fill="000000"/>
          </w:tcPr>
          <w:p w14:paraId="13DFBAA6" w14:textId="469426CE" w:rsidR="00C775AE" w:rsidRPr="00EB6544" w:rsidRDefault="00EB6544" w:rsidP="00C775AE">
            <w:pPr>
              <w:pStyle w:val="TableText0"/>
              <w:jc w:val="center"/>
              <w:rPr>
                <w:rFonts w:ascii="Times" w:hAnsi="Times"/>
              </w:rPr>
            </w:pPr>
            <w:r w:rsidRPr="00EB6544">
              <w:rPr>
                <w:color w:val="000000"/>
                <w:spacing w:val="81"/>
                <w:fitText w:val="416" w:id="-1236572658"/>
                <w14:textFill>
                  <w14:solidFill>
                    <w14:srgbClr w14:val="000000">
                      <w14:alpha w14:val="100000"/>
                    </w14:srgbClr>
                  </w14:solidFill>
                </w14:textFill>
              </w:rPr>
              <w:t>|||</w:t>
            </w:r>
            <w:r w:rsidRPr="00EB6544">
              <w:rPr>
                <w:color w:val="000000"/>
                <w:spacing w:val="3"/>
                <w:fitText w:val="416" w:id="-1236572658"/>
                <w14:textFill>
                  <w14:solidFill>
                    <w14:srgbClr w14:val="000000">
                      <w14:alpha w14:val="100000"/>
                    </w14:srgbClr>
                  </w14:solidFill>
                </w14:textFill>
              </w:rPr>
              <w:t>|</w:t>
            </w:r>
          </w:p>
        </w:tc>
        <w:tc>
          <w:tcPr>
            <w:tcW w:w="651" w:type="pct"/>
            <w:tcBorders>
              <w:top w:val="single" w:sz="4" w:space="0" w:color="auto"/>
              <w:bottom w:val="single" w:sz="4" w:space="0" w:color="auto"/>
            </w:tcBorders>
            <w:shd w:val="solid" w:color="000000" w:fill="000000"/>
          </w:tcPr>
          <w:p w14:paraId="09082569" w14:textId="52D4BB06" w:rsidR="00C775AE" w:rsidRPr="00EB6544" w:rsidRDefault="00EB6544" w:rsidP="00C775AE">
            <w:pPr>
              <w:pStyle w:val="TableText0"/>
              <w:jc w:val="center"/>
            </w:pPr>
            <w:r w:rsidRPr="00EB6544">
              <w:rPr>
                <w:color w:val="000000"/>
                <w:spacing w:val="48"/>
                <w:fitText w:val="316" w:id="-1236572657"/>
                <w14:textFill>
                  <w14:solidFill>
                    <w14:srgbClr w14:val="000000">
                      <w14:alpha w14:val="100000"/>
                    </w14:srgbClr>
                  </w14:solidFill>
                </w14:textFill>
              </w:rPr>
              <w:t>|||</w:t>
            </w:r>
            <w:r w:rsidRPr="00EB6544">
              <w:rPr>
                <w:color w:val="000000"/>
                <w:spacing w:val="2"/>
                <w:fitText w:val="316" w:id="-1236572657"/>
                <w14:textFill>
                  <w14:solidFill>
                    <w14:srgbClr w14:val="000000">
                      <w14:alpha w14:val="100000"/>
                    </w14:srgbClr>
                  </w14:solidFill>
                </w14:textFill>
              </w:rPr>
              <w:t>|</w:t>
            </w:r>
          </w:p>
        </w:tc>
        <w:tc>
          <w:tcPr>
            <w:tcW w:w="540" w:type="pct"/>
            <w:tcBorders>
              <w:top w:val="single" w:sz="4" w:space="0" w:color="auto"/>
              <w:bottom w:val="single" w:sz="4" w:space="0" w:color="auto"/>
            </w:tcBorders>
          </w:tcPr>
          <w:p w14:paraId="188FDBFA" w14:textId="77777777" w:rsidR="00C775AE" w:rsidRPr="002F733E" w:rsidRDefault="00C775AE" w:rsidP="00C775AE">
            <w:pPr>
              <w:pStyle w:val="TableText0"/>
              <w:jc w:val="center"/>
            </w:pPr>
            <w:r w:rsidRPr="002F733E">
              <w:t xml:space="preserve">$90,363 </w:t>
            </w:r>
          </w:p>
        </w:tc>
        <w:tc>
          <w:tcPr>
            <w:tcW w:w="537" w:type="pct"/>
            <w:tcBorders>
              <w:top w:val="single" w:sz="4" w:space="0" w:color="auto"/>
              <w:bottom w:val="single" w:sz="4" w:space="0" w:color="auto"/>
            </w:tcBorders>
            <w:shd w:val="solid" w:color="000000" w:fill="000000"/>
          </w:tcPr>
          <w:p w14:paraId="61F6CD73" w14:textId="40FDA2B4" w:rsidR="00C775AE" w:rsidRPr="00EB6544" w:rsidRDefault="00EB6544" w:rsidP="00C775AE">
            <w:pPr>
              <w:pStyle w:val="TableText0"/>
              <w:jc w:val="center"/>
            </w:pPr>
            <w:r w:rsidRPr="00EB6544">
              <w:rPr>
                <w:color w:val="000000"/>
                <w:spacing w:val="81"/>
                <w:fitText w:val="416" w:id="-1236572656"/>
                <w14:textFill>
                  <w14:solidFill>
                    <w14:srgbClr w14:val="000000">
                      <w14:alpha w14:val="100000"/>
                    </w14:srgbClr>
                  </w14:solidFill>
                </w14:textFill>
              </w:rPr>
              <w:t>|||</w:t>
            </w:r>
            <w:r w:rsidRPr="00EB6544">
              <w:rPr>
                <w:color w:val="000000"/>
                <w:spacing w:val="3"/>
                <w:fitText w:val="416" w:id="-1236572656"/>
                <w14:textFill>
                  <w14:solidFill>
                    <w14:srgbClr w14:val="000000">
                      <w14:alpha w14:val="100000"/>
                    </w14:srgbClr>
                  </w14:solidFill>
                </w14:textFill>
              </w:rPr>
              <w:t>|</w:t>
            </w:r>
          </w:p>
        </w:tc>
      </w:tr>
      <w:tr w:rsidR="00C775AE" w:rsidRPr="002F733E" w14:paraId="7DB81106" w14:textId="77777777" w:rsidTr="00BB0C5F">
        <w:tc>
          <w:tcPr>
            <w:tcW w:w="1491" w:type="pct"/>
            <w:tcBorders>
              <w:top w:val="single" w:sz="4" w:space="0" w:color="auto"/>
              <w:bottom w:val="single" w:sz="4" w:space="0" w:color="auto"/>
            </w:tcBorders>
            <w:vAlign w:val="center"/>
          </w:tcPr>
          <w:p w14:paraId="030A6A23" w14:textId="77777777" w:rsidR="00C775AE" w:rsidRPr="002F733E" w:rsidRDefault="00C775AE" w:rsidP="00C775AE">
            <w:pPr>
              <w:pStyle w:val="TableText0"/>
            </w:pPr>
            <w:r w:rsidRPr="002F733E">
              <w:t>LYG</w:t>
            </w:r>
          </w:p>
        </w:tc>
        <w:tc>
          <w:tcPr>
            <w:tcW w:w="706" w:type="pct"/>
            <w:tcBorders>
              <w:top w:val="single" w:sz="4" w:space="0" w:color="auto"/>
              <w:bottom w:val="single" w:sz="4" w:space="0" w:color="auto"/>
            </w:tcBorders>
            <w:shd w:val="clear" w:color="auto" w:fill="C6D9F1" w:themeFill="text2" w:themeFillTint="33"/>
          </w:tcPr>
          <w:p w14:paraId="419680A1" w14:textId="77777777" w:rsidR="00C775AE" w:rsidRPr="002F733E" w:rsidRDefault="00C775AE" w:rsidP="00C775AE">
            <w:pPr>
              <w:pStyle w:val="TableText0"/>
              <w:jc w:val="center"/>
            </w:pPr>
            <w:r w:rsidRPr="002F733E">
              <w:t>13.491</w:t>
            </w:r>
          </w:p>
        </w:tc>
        <w:tc>
          <w:tcPr>
            <w:tcW w:w="534" w:type="pct"/>
            <w:tcBorders>
              <w:top w:val="single" w:sz="4" w:space="0" w:color="auto"/>
              <w:bottom w:val="single" w:sz="4" w:space="0" w:color="auto"/>
            </w:tcBorders>
            <w:shd w:val="clear" w:color="auto" w:fill="C6D9F1" w:themeFill="text2" w:themeFillTint="33"/>
          </w:tcPr>
          <w:p w14:paraId="45D17802" w14:textId="77777777" w:rsidR="00C775AE" w:rsidRPr="002F733E" w:rsidRDefault="00C775AE" w:rsidP="00C775AE">
            <w:pPr>
              <w:pStyle w:val="TableText0"/>
              <w:jc w:val="center"/>
            </w:pPr>
            <w:r w:rsidRPr="002F733E">
              <w:t>12.721</w:t>
            </w:r>
          </w:p>
        </w:tc>
        <w:tc>
          <w:tcPr>
            <w:tcW w:w="540" w:type="pct"/>
            <w:tcBorders>
              <w:top w:val="single" w:sz="4" w:space="0" w:color="auto"/>
              <w:bottom w:val="single" w:sz="4" w:space="0" w:color="auto"/>
            </w:tcBorders>
            <w:shd w:val="clear" w:color="auto" w:fill="C6D9F1" w:themeFill="text2" w:themeFillTint="33"/>
          </w:tcPr>
          <w:p w14:paraId="0FF5B534" w14:textId="77777777" w:rsidR="00C775AE" w:rsidRPr="002F733E" w:rsidRDefault="00C775AE" w:rsidP="00C775AE">
            <w:pPr>
              <w:pStyle w:val="TableText0"/>
              <w:jc w:val="center"/>
            </w:pPr>
            <w:r w:rsidRPr="002F733E">
              <w:t>0.770</w:t>
            </w:r>
          </w:p>
        </w:tc>
        <w:tc>
          <w:tcPr>
            <w:tcW w:w="651" w:type="pct"/>
            <w:tcBorders>
              <w:top w:val="single" w:sz="4" w:space="0" w:color="auto"/>
              <w:bottom w:val="single" w:sz="4" w:space="0" w:color="auto"/>
            </w:tcBorders>
          </w:tcPr>
          <w:p w14:paraId="60354283" w14:textId="77777777" w:rsidR="00C775AE" w:rsidRPr="002F733E" w:rsidRDefault="00C775AE" w:rsidP="00C775AE">
            <w:pPr>
              <w:pStyle w:val="TableText0"/>
              <w:jc w:val="center"/>
            </w:pPr>
            <w:r w:rsidRPr="002F733E">
              <w:t>12.667</w:t>
            </w:r>
          </w:p>
        </w:tc>
        <w:tc>
          <w:tcPr>
            <w:tcW w:w="540" w:type="pct"/>
            <w:tcBorders>
              <w:top w:val="single" w:sz="4" w:space="0" w:color="auto"/>
              <w:bottom w:val="single" w:sz="4" w:space="0" w:color="auto"/>
            </w:tcBorders>
          </w:tcPr>
          <w:p w14:paraId="76458563" w14:textId="77777777" w:rsidR="00C775AE" w:rsidRPr="002F733E" w:rsidRDefault="00C775AE" w:rsidP="00C775AE">
            <w:pPr>
              <w:pStyle w:val="TableText0"/>
              <w:jc w:val="center"/>
            </w:pPr>
            <w:r w:rsidRPr="002F733E">
              <w:t>12.082</w:t>
            </w:r>
          </w:p>
        </w:tc>
        <w:tc>
          <w:tcPr>
            <w:tcW w:w="537" w:type="pct"/>
            <w:tcBorders>
              <w:top w:val="single" w:sz="4" w:space="0" w:color="auto"/>
              <w:bottom w:val="single" w:sz="4" w:space="0" w:color="auto"/>
            </w:tcBorders>
          </w:tcPr>
          <w:p w14:paraId="641B1316" w14:textId="4D4D8D70" w:rsidR="00C775AE" w:rsidRPr="002F733E" w:rsidRDefault="00C775AE" w:rsidP="00C775AE">
            <w:pPr>
              <w:pStyle w:val="TableText0"/>
              <w:jc w:val="center"/>
              <w:rPr>
                <w:vertAlign w:val="superscript"/>
              </w:rPr>
            </w:pPr>
            <w:r w:rsidRPr="002F733E">
              <w:t>0.585</w:t>
            </w:r>
          </w:p>
        </w:tc>
      </w:tr>
      <w:tr w:rsidR="00C775AE" w:rsidRPr="002F733E" w14:paraId="5DAE106F" w14:textId="77777777" w:rsidTr="00BB0C5F">
        <w:tc>
          <w:tcPr>
            <w:tcW w:w="2732" w:type="pct"/>
            <w:gridSpan w:val="3"/>
            <w:tcBorders>
              <w:top w:val="single" w:sz="4" w:space="0" w:color="auto"/>
              <w:bottom w:val="single" w:sz="4" w:space="0" w:color="auto"/>
            </w:tcBorders>
            <w:vAlign w:val="center"/>
          </w:tcPr>
          <w:p w14:paraId="197211D0" w14:textId="77777777" w:rsidR="00C775AE" w:rsidRPr="002F733E" w:rsidRDefault="00C775AE" w:rsidP="00C775AE">
            <w:pPr>
              <w:pStyle w:val="TableText0"/>
              <w:rPr>
                <w:b/>
              </w:rPr>
            </w:pPr>
            <w:r w:rsidRPr="002F733E">
              <w:rPr>
                <w:b/>
              </w:rPr>
              <w:t>Incremental cost/LYG</w:t>
            </w:r>
          </w:p>
        </w:tc>
        <w:tc>
          <w:tcPr>
            <w:tcW w:w="540" w:type="pct"/>
            <w:tcBorders>
              <w:top w:val="single" w:sz="4" w:space="0" w:color="auto"/>
              <w:bottom w:val="single" w:sz="4" w:space="0" w:color="auto"/>
            </w:tcBorders>
            <w:shd w:val="clear" w:color="auto" w:fill="C6D9F1" w:themeFill="text2" w:themeFillTint="33"/>
            <w:vAlign w:val="center"/>
          </w:tcPr>
          <w:p w14:paraId="48220B24" w14:textId="53C80566" w:rsidR="00C775AE" w:rsidRPr="002F733E" w:rsidRDefault="00EB6544" w:rsidP="00C775AE">
            <w:pPr>
              <w:pStyle w:val="TableText0"/>
              <w:jc w:val="center"/>
              <w:rPr>
                <w:b/>
              </w:rPr>
            </w:pPr>
            <w:r w:rsidRPr="00EB6544">
              <w:rPr>
                <w:b/>
                <w:color w:val="000000"/>
                <w:spacing w:val="48"/>
                <w:shd w:val="solid" w:color="000000" w:fill="000000"/>
                <w:fitText w:val="516" w:id="-1236572672"/>
                <w14:textFill>
                  <w14:solidFill>
                    <w14:srgbClr w14:val="000000">
                      <w14:alpha w14:val="100000"/>
                    </w14:srgbClr>
                  </w14:solidFill>
                </w14:textFill>
              </w:rPr>
              <w:t>|||||</w:t>
            </w:r>
            <w:r w:rsidRPr="00EB6544">
              <w:rPr>
                <w:b/>
                <w:color w:val="000000"/>
                <w:spacing w:val="1"/>
                <w:shd w:val="solid" w:color="000000" w:fill="000000"/>
                <w:fitText w:val="516" w:id="-1236572672"/>
                <w14:textFill>
                  <w14:solidFill>
                    <w14:srgbClr w14:val="000000">
                      <w14:alpha w14:val="100000"/>
                    </w14:srgbClr>
                  </w14:solidFill>
                </w14:textFill>
              </w:rPr>
              <w:t>|</w:t>
            </w:r>
            <w:r w:rsidR="00396C58">
              <w:rPr>
                <w:vertAlign w:val="superscript"/>
              </w:rPr>
              <w:t>4</w:t>
            </w:r>
          </w:p>
        </w:tc>
        <w:tc>
          <w:tcPr>
            <w:tcW w:w="651" w:type="pct"/>
            <w:tcBorders>
              <w:top w:val="single" w:sz="4" w:space="0" w:color="auto"/>
              <w:bottom w:val="single" w:sz="4" w:space="0" w:color="auto"/>
            </w:tcBorders>
          </w:tcPr>
          <w:p w14:paraId="5D122EDB" w14:textId="77777777" w:rsidR="00C775AE" w:rsidRPr="002F733E" w:rsidRDefault="00C775AE" w:rsidP="00C775AE">
            <w:pPr>
              <w:pStyle w:val="TableText0"/>
              <w:jc w:val="center"/>
              <w:rPr>
                <w:b/>
              </w:rPr>
            </w:pPr>
          </w:p>
        </w:tc>
        <w:tc>
          <w:tcPr>
            <w:tcW w:w="540" w:type="pct"/>
            <w:tcBorders>
              <w:top w:val="single" w:sz="4" w:space="0" w:color="auto"/>
              <w:bottom w:val="single" w:sz="4" w:space="0" w:color="auto"/>
            </w:tcBorders>
          </w:tcPr>
          <w:p w14:paraId="1D9C6C0A" w14:textId="77777777" w:rsidR="00C775AE" w:rsidRPr="002F733E" w:rsidRDefault="00C775AE" w:rsidP="00C775AE">
            <w:pPr>
              <w:pStyle w:val="TableText0"/>
              <w:jc w:val="center"/>
              <w:rPr>
                <w:b/>
              </w:rPr>
            </w:pPr>
          </w:p>
        </w:tc>
        <w:tc>
          <w:tcPr>
            <w:tcW w:w="537" w:type="pct"/>
            <w:tcBorders>
              <w:top w:val="single" w:sz="4" w:space="0" w:color="auto"/>
              <w:bottom w:val="single" w:sz="4" w:space="0" w:color="auto"/>
            </w:tcBorders>
          </w:tcPr>
          <w:p w14:paraId="14E9855D" w14:textId="0110ABF4" w:rsidR="00C775AE" w:rsidRPr="002F733E" w:rsidRDefault="00EB6544" w:rsidP="00C775AE">
            <w:pPr>
              <w:pStyle w:val="TableText0"/>
              <w:jc w:val="center"/>
              <w:rPr>
                <w:b/>
              </w:rPr>
            </w:pPr>
            <w:r w:rsidRPr="00EB6544">
              <w:rPr>
                <w:b/>
                <w:color w:val="000000"/>
                <w:spacing w:val="48"/>
                <w:shd w:val="solid" w:color="000000" w:fill="000000"/>
                <w:fitText w:val="516" w:id="-1236572671"/>
                <w14:textFill>
                  <w14:solidFill>
                    <w14:srgbClr w14:val="000000">
                      <w14:alpha w14:val="100000"/>
                    </w14:srgbClr>
                  </w14:solidFill>
                </w14:textFill>
              </w:rPr>
              <w:t>|||||</w:t>
            </w:r>
            <w:r w:rsidRPr="00EB6544">
              <w:rPr>
                <w:b/>
                <w:color w:val="000000"/>
                <w:spacing w:val="1"/>
                <w:shd w:val="solid" w:color="000000" w:fill="000000"/>
                <w:fitText w:val="516" w:id="-1236572671"/>
                <w14:textFill>
                  <w14:solidFill>
                    <w14:srgbClr w14:val="000000">
                      <w14:alpha w14:val="100000"/>
                    </w14:srgbClr>
                  </w14:solidFill>
                </w14:textFill>
              </w:rPr>
              <w:t>|</w:t>
            </w:r>
            <w:r w:rsidR="00396C58">
              <w:rPr>
                <w:vertAlign w:val="superscript"/>
              </w:rPr>
              <w:t>4</w:t>
            </w:r>
          </w:p>
        </w:tc>
      </w:tr>
      <w:tr w:rsidR="00C775AE" w:rsidRPr="002F733E" w14:paraId="37ACB174" w14:textId="77777777" w:rsidTr="00BB0C5F">
        <w:tc>
          <w:tcPr>
            <w:tcW w:w="1491" w:type="pct"/>
            <w:tcBorders>
              <w:top w:val="single" w:sz="4" w:space="0" w:color="auto"/>
              <w:bottom w:val="single" w:sz="4" w:space="0" w:color="auto"/>
            </w:tcBorders>
            <w:vAlign w:val="center"/>
          </w:tcPr>
          <w:p w14:paraId="79B94F62" w14:textId="77777777" w:rsidR="00C775AE" w:rsidRPr="002F733E" w:rsidRDefault="00C775AE" w:rsidP="00C775AE">
            <w:pPr>
              <w:pStyle w:val="TableText0"/>
              <w:rPr>
                <w:rFonts w:ascii="Times" w:hAnsi="Times"/>
              </w:rPr>
            </w:pPr>
            <w:r w:rsidRPr="002F733E">
              <w:t>QALYs gained</w:t>
            </w:r>
          </w:p>
        </w:tc>
        <w:tc>
          <w:tcPr>
            <w:tcW w:w="706" w:type="pct"/>
            <w:tcBorders>
              <w:top w:val="single" w:sz="4" w:space="0" w:color="auto"/>
              <w:bottom w:val="single" w:sz="4" w:space="0" w:color="auto"/>
            </w:tcBorders>
            <w:shd w:val="clear" w:color="auto" w:fill="C6D9F1" w:themeFill="text2" w:themeFillTint="33"/>
          </w:tcPr>
          <w:p w14:paraId="5527535E" w14:textId="77777777" w:rsidR="00C775AE" w:rsidRPr="002F733E" w:rsidRDefault="00C775AE" w:rsidP="00C775AE">
            <w:pPr>
              <w:pStyle w:val="TableText0"/>
              <w:jc w:val="center"/>
              <w:rPr>
                <w:rFonts w:ascii="Times" w:hAnsi="Times"/>
              </w:rPr>
            </w:pPr>
            <w:r w:rsidRPr="002F733E">
              <w:t>10.219</w:t>
            </w:r>
          </w:p>
        </w:tc>
        <w:tc>
          <w:tcPr>
            <w:tcW w:w="534" w:type="pct"/>
            <w:tcBorders>
              <w:top w:val="single" w:sz="4" w:space="0" w:color="auto"/>
              <w:bottom w:val="single" w:sz="4" w:space="0" w:color="auto"/>
            </w:tcBorders>
            <w:shd w:val="clear" w:color="auto" w:fill="C6D9F1" w:themeFill="text2" w:themeFillTint="33"/>
          </w:tcPr>
          <w:p w14:paraId="60B62539" w14:textId="77777777" w:rsidR="00C775AE" w:rsidRPr="002F733E" w:rsidRDefault="00C775AE" w:rsidP="00C775AE">
            <w:pPr>
              <w:pStyle w:val="TableText0"/>
              <w:jc w:val="center"/>
              <w:rPr>
                <w:rFonts w:ascii="Times" w:hAnsi="Times"/>
              </w:rPr>
            </w:pPr>
            <w:r w:rsidRPr="002F733E">
              <w:t>9.375</w:t>
            </w:r>
          </w:p>
        </w:tc>
        <w:tc>
          <w:tcPr>
            <w:tcW w:w="540" w:type="pct"/>
            <w:tcBorders>
              <w:top w:val="single" w:sz="4" w:space="0" w:color="auto"/>
              <w:bottom w:val="single" w:sz="4" w:space="0" w:color="auto"/>
            </w:tcBorders>
            <w:shd w:val="clear" w:color="auto" w:fill="C6D9F1" w:themeFill="text2" w:themeFillTint="33"/>
          </w:tcPr>
          <w:p w14:paraId="46BEE103" w14:textId="77777777" w:rsidR="00C775AE" w:rsidRPr="002F733E" w:rsidRDefault="00C775AE" w:rsidP="00C775AE">
            <w:pPr>
              <w:pStyle w:val="TableText0"/>
              <w:jc w:val="center"/>
            </w:pPr>
            <w:r w:rsidRPr="002F733E">
              <w:t>0.844</w:t>
            </w:r>
          </w:p>
        </w:tc>
        <w:tc>
          <w:tcPr>
            <w:tcW w:w="651" w:type="pct"/>
            <w:tcBorders>
              <w:top w:val="single" w:sz="4" w:space="0" w:color="auto"/>
              <w:bottom w:val="single" w:sz="4" w:space="0" w:color="auto"/>
            </w:tcBorders>
          </w:tcPr>
          <w:p w14:paraId="23CAF9BF" w14:textId="77777777" w:rsidR="00C775AE" w:rsidRPr="002F733E" w:rsidRDefault="00C775AE" w:rsidP="00C775AE">
            <w:pPr>
              <w:pStyle w:val="TableText0"/>
              <w:jc w:val="center"/>
            </w:pPr>
            <w:r w:rsidRPr="002F733E">
              <w:t>3.853</w:t>
            </w:r>
          </w:p>
        </w:tc>
        <w:tc>
          <w:tcPr>
            <w:tcW w:w="540" w:type="pct"/>
            <w:tcBorders>
              <w:top w:val="single" w:sz="4" w:space="0" w:color="auto"/>
              <w:bottom w:val="single" w:sz="4" w:space="0" w:color="auto"/>
            </w:tcBorders>
          </w:tcPr>
          <w:p w14:paraId="3CDBDD11" w14:textId="77777777" w:rsidR="00C775AE" w:rsidRPr="002F733E" w:rsidRDefault="00C775AE" w:rsidP="00C775AE">
            <w:pPr>
              <w:pStyle w:val="TableText0"/>
              <w:jc w:val="center"/>
            </w:pPr>
            <w:r w:rsidRPr="002F733E">
              <w:t>3.189</w:t>
            </w:r>
          </w:p>
        </w:tc>
        <w:tc>
          <w:tcPr>
            <w:tcW w:w="537" w:type="pct"/>
            <w:tcBorders>
              <w:top w:val="single" w:sz="4" w:space="0" w:color="auto"/>
              <w:bottom w:val="single" w:sz="4" w:space="0" w:color="auto"/>
            </w:tcBorders>
          </w:tcPr>
          <w:p w14:paraId="59BCB65B" w14:textId="189CAAB4" w:rsidR="00C775AE" w:rsidRPr="002F733E" w:rsidRDefault="00C775AE" w:rsidP="00C775AE">
            <w:pPr>
              <w:pStyle w:val="TableText0"/>
              <w:jc w:val="center"/>
              <w:rPr>
                <w:vertAlign w:val="superscript"/>
              </w:rPr>
            </w:pPr>
            <w:r w:rsidRPr="002F733E">
              <w:t>0.664</w:t>
            </w:r>
          </w:p>
        </w:tc>
      </w:tr>
      <w:tr w:rsidR="00C775AE" w:rsidRPr="002F733E" w14:paraId="5905979A" w14:textId="77777777" w:rsidTr="00BB0C5F">
        <w:tc>
          <w:tcPr>
            <w:tcW w:w="2732" w:type="pct"/>
            <w:gridSpan w:val="3"/>
            <w:tcBorders>
              <w:top w:val="single" w:sz="4" w:space="0" w:color="auto"/>
              <w:left w:val="single" w:sz="4" w:space="0" w:color="auto"/>
              <w:bottom w:val="single" w:sz="4" w:space="0" w:color="auto"/>
            </w:tcBorders>
            <w:vAlign w:val="center"/>
          </w:tcPr>
          <w:p w14:paraId="7720744C" w14:textId="77777777" w:rsidR="00C775AE" w:rsidRPr="002F733E" w:rsidRDefault="00C775AE" w:rsidP="00C775AE">
            <w:pPr>
              <w:pStyle w:val="TableText0"/>
              <w:rPr>
                <w:rFonts w:ascii="Times" w:hAnsi="Times"/>
                <w:b/>
              </w:rPr>
            </w:pPr>
            <w:r w:rsidRPr="002F733E">
              <w:rPr>
                <w:b/>
              </w:rPr>
              <w:t xml:space="preserve">Incremental cost/extra QALY gained (base case) </w:t>
            </w:r>
          </w:p>
        </w:tc>
        <w:tc>
          <w:tcPr>
            <w:tcW w:w="540" w:type="pct"/>
            <w:tcBorders>
              <w:top w:val="single" w:sz="4" w:space="0" w:color="auto"/>
              <w:bottom w:val="single" w:sz="4" w:space="0" w:color="auto"/>
            </w:tcBorders>
            <w:shd w:val="clear" w:color="auto" w:fill="C6D9F1" w:themeFill="text2" w:themeFillTint="33"/>
            <w:vAlign w:val="center"/>
          </w:tcPr>
          <w:p w14:paraId="331A7A8D" w14:textId="6F957EA7" w:rsidR="00C775AE" w:rsidRPr="002F733E" w:rsidRDefault="00EB6544" w:rsidP="00C775AE">
            <w:pPr>
              <w:pStyle w:val="TableText0"/>
              <w:jc w:val="center"/>
              <w:rPr>
                <w:rFonts w:ascii="Times" w:hAnsi="Times"/>
                <w:b/>
              </w:rPr>
            </w:pPr>
            <w:r w:rsidRPr="00EB6544">
              <w:rPr>
                <w:b/>
                <w:color w:val="000000"/>
                <w:spacing w:val="48"/>
                <w:shd w:val="solid" w:color="000000" w:fill="000000"/>
                <w:fitText w:val="516" w:id="-1236572670"/>
                <w14:textFill>
                  <w14:solidFill>
                    <w14:srgbClr w14:val="000000">
                      <w14:alpha w14:val="100000"/>
                    </w14:srgbClr>
                  </w14:solidFill>
                </w14:textFill>
              </w:rPr>
              <w:t>|||||</w:t>
            </w:r>
            <w:r w:rsidRPr="00EB6544">
              <w:rPr>
                <w:b/>
                <w:color w:val="000000"/>
                <w:spacing w:val="1"/>
                <w:shd w:val="solid" w:color="000000" w:fill="000000"/>
                <w:fitText w:val="516" w:id="-1236572670"/>
                <w14:textFill>
                  <w14:solidFill>
                    <w14:srgbClr w14:val="000000">
                      <w14:alpha w14:val="100000"/>
                    </w14:srgbClr>
                  </w14:solidFill>
                </w14:textFill>
              </w:rPr>
              <w:t>|</w:t>
            </w:r>
            <w:r w:rsidR="00396C58">
              <w:rPr>
                <w:vertAlign w:val="superscript"/>
              </w:rPr>
              <w:t>5</w:t>
            </w:r>
            <w:r w:rsidR="00C775AE" w:rsidRPr="002F733E">
              <w:rPr>
                <w:b/>
              </w:rPr>
              <w:t xml:space="preserve"> </w:t>
            </w:r>
          </w:p>
        </w:tc>
        <w:tc>
          <w:tcPr>
            <w:tcW w:w="651" w:type="pct"/>
            <w:tcBorders>
              <w:top w:val="single" w:sz="4" w:space="0" w:color="auto"/>
              <w:bottom w:val="single" w:sz="4" w:space="0" w:color="auto"/>
            </w:tcBorders>
          </w:tcPr>
          <w:p w14:paraId="19DC3F47" w14:textId="77777777" w:rsidR="00C775AE" w:rsidRPr="002F733E" w:rsidRDefault="00C775AE" w:rsidP="00C775AE">
            <w:pPr>
              <w:pStyle w:val="TableText0"/>
              <w:jc w:val="center"/>
              <w:rPr>
                <w:b/>
              </w:rPr>
            </w:pPr>
          </w:p>
        </w:tc>
        <w:tc>
          <w:tcPr>
            <w:tcW w:w="540" w:type="pct"/>
            <w:tcBorders>
              <w:top w:val="single" w:sz="4" w:space="0" w:color="auto"/>
              <w:bottom w:val="single" w:sz="4" w:space="0" w:color="auto"/>
            </w:tcBorders>
          </w:tcPr>
          <w:p w14:paraId="31744848" w14:textId="77777777" w:rsidR="00C775AE" w:rsidRPr="002F733E" w:rsidRDefault="00C775AE" w:rsidP="00C775AE">
            <w:pPr>
              <w:pStyle w:val="TableText0"/>
              <w:jc w:val="center"/>
              <w:rPr>
                <w:b/>
              </w:rPr>
            </w:pPr>
          </w:p>
        </w:tc>
        <w:tc>
          <w:tcPr>
            <w:tcW w:w="537" w:type="pct"/>
            <w:tcBorders>
              <w:top w:val="single" w:sz="4" w:space="0" w:color="auto"/>
              <w:bottom w:val="single" w:sz="4" w:space="0" w:color="auto"/>
              <w:right w:val="single" w:sz="4" w:space="0" w:color="auto"/>
            </w:tcBorders>
          </w:tcPr>
          <w:p w14:paraId="5505C28E" w14:textId="07EC4727" w:rsidR="00C775AE" w:rsidRPr="002F733E" w:rsidRDefault="00EB6544" w:rsidP="00C775AE">
            <w:pPr>
              <w:pStyle w:val="TableText0"/>
              <w:jc w:val="center"/>
              <w:rPr>
                <w:b/>
              </w:rPr>
            </w:pPr>
            <w:r w:rsidRPr="00EB6544">
              <w:rPr>
                <w:b/>
                <w:color w:val="000000"/>
                <w:spacing w:val="48"/>
                <w:shd w:val="solid" w:color="000000" w:fill="000000"/>
                <w:fitText w:val="516" w:id="-1236572669"/>
                <w14:textFill>
                  <w14:solidFill>
                    <w14:srgbClr w14:val="000000">
                      <w14:alpha w14:val="100000"/>
                    </w14:srgbClr>
                  </w14:solidFill>
                </w14:textFill>
              </w:rPr>
              <w:t>|||||</w:t>
            </w:r>
            <w:r w:rsidRPr="00EB6544">
              <w:rPr>
                <w:b/>
                <w:color w:val="000000"/>
                <w:spacing w:val="1"/>
                <w:shd w:val="solid" w:color="000000" w:fill="000000"/>
                <w:fitText w:val="516" w:id="-1236572669"/>
                <w14:textFill>
                  <w14:solidFill>
                    <w14:srgbClr w14:val="000000">
                      <w14:alpha w14:val="100000"/>
                    </w14:srgbClr>
                  </w14:solidFill>
                </w14:textFill>
              </w:rPr>
              <w:t>|</w:t>
            </w:r>
            <w:r w:rsidR="00396C58">
              <w:rPr>
                <w:vertAlign w:val="superscript"/>
              </w:rPr>
              <w:t>4</w:t>
            </w:r>
          </w:p>
        </w:tc>
      </w:tr>
    </w:tbl>
    <w:p w14:paraId="4695DCDD" w14:textId="77777777" w:rsidR="00C775AE" w:rsidRPr="002F733E" w:rsidRDefault="00C775AE" w:rsidP="00C775AE">
      <w:pPr>
        <w:pStyle w:val="TableFigureFooter"/>
      </w:pPr>
      <w:r w:rsidRPr="002F733E">
        <w:rPr>
          <w:rStyle w:val="CommentReference"/>
          <w:b w:val="0"/>
          <w:bCs/>
          <w:sz w:val="16"/>
          <w:shd w:val="clear" w:color="auto" w:fill="B8CCE4" w:themeFill="accent1" w:themeFillTint="66"/>
        </w:rPr>
        <w:t xml:space="preserve">Blue </w:t>
      </w:r>
      <w:r w:rsidRPr="002F733E">
        <w:rPr>
          <w:rStyle w:val="CommentReference"/>
          <w:b w:val="0"/>
          <w:bCs/>
          <w:sz w:val="16"/>
        </w:rPr>
        <w:t>shading indicates data previously seen by the PBAC</w:t>
      </w:r>
    </w:p>
    <w:p w14:paraId="7E46F607" w14:textId="77777777" w:rsidR="00C775AE" w:rsidRPr="002F733E" w:rsidRDefault="00C775AE" w:rsidP="00C775AE">
      <w:pPr>
        <w:pStyle w:val="TableFigureFooter"/>
        <w:rPr>
          <w:iCs/>
        </w:rPr>
      </w:pPr>
      <w:r w:rsidRPr="002F733E">
        <w:t xml:space="preserve">Source: Table 3.8-1 of the submission, Table 3.8-1 of the resubmission and </w:t>
      </w:r>
      <w:r w:rsidRPr="002F733E">
        <w:rPr>
          <w:iCs/>
        </w:rPr>
        <w:t>compiled during the evaluation. LYG have been included in Steps 3-5.</w:t>
      </w:r>
    </w:p>
    <w:p w14:paraId="03597264" w14:textId="0ABD13C7" w:rsidR="00C775AE" w:rsidRPr="002F733E" w:rsidRDefault="0034439E" w:rsidP="00C775AE">
      <w:pPr>
        <w:pStyle w:val="TableFigureFooter"/>
      </w:pPr>
      <w:r w:rsidRPr="002F733E">
        <w:t>ICER=incremental cost-effectiveness ratio, QALY- quality adjusted life year, LYG=life-years gaine</w:t>
      </w:r>
      <w:r w:rsidR="007440CC" w:rsidRPr="002F733E">
        <w:t>d</w:t>
      </w:r>
      <w:r w:rsidRPr="002F733E">
        <w:t>,</w:t>
      </w:r>
      <w:r w:rsidR="00DD3F58" w:rsidRPr="002F733E">
        <w:t xml:space="preserve"> </w:t>
      </w:r>
      <w:r w:rsidRPr="002F733E">
        <w:t>SOC=standard of care</w:t>
      </w:r>
    </w:p>
    <w:p w14:paraId="198625F2" w14:textId="5C94E8BB" w:rsidR="00C775AE" w:rsidRPr="002F733E" w:rsidRDefault="00C775AE" w:rsidP="00A43ACD">
      <w:pPr>
        <w:pStyle w:val="TableFigureFooter"/>
        <w:ind w:left="170" w:hanging="170"/>
      </w:pPr>
      <w:r w:rsidRPr="002F733E">
        <w:rPr>
          <w:vertAlign w:val="superscript"/>
        </w:rPr>
        <w:t>a</w:t>
      </w:r>
      <w:r w:rsidR="00A43ACD" w:rsidRPr="002F733E">
        <w:rPr>
          <w:vertAlign w:val="superscript"/>
        </w:rPr>
        <w:tab/>
      </w:r>
      <w:r w:rsidRPr="002F733E">
        <w:t xml:space="preserve"> Responders were hard coded into the model based on trial results. Response in the SOC arm was not modelled. Costs were based on 6 month estimates in the model.</w:t>
      </w:r>
    </w:p>
    <w:p w14:paraId="4A6A708F" w14:textId="4DE5E6CA" w:rsidR="00C775AE" w:rsidRPr="002F733E" w:rsidRDefault="00C775AE" w:rsidP="00C775AE">
      <w:pPr>
        <w:pStyle w:val="TableFigureFooter"/>
      </w:pPr>
      <w:r w:rsidRPr="002F733E">
        <w:t>b</w:t>
      </w:r>
      <w:r w:rsidR="00A43ACD" w:rsidRPr="002F733E">
        <w:tab/>
      </w:r>
      <w:r w:rsidRPr="002F733E">
        <w:t>Step 3 costs were incorrectly hardcoded in the July 2022 model, and were corrected during the evaluation</w:t>
      </w:r>
    </w:p>
    <w:p w14:paraId="706CE7E7" w14:textId="07D3BE29" w:rsidR="00C775AE" w:rsidRPr="002F733E" w:rsidRDefault="00C775AE" w:rsidP="00C775AE">
      <w:pPr>
        <w:pStyle w:val="TableFigureFooter"/>
      </w:pPr>
      <w:r w:rsidRPr="002F733E">
        <w:t>c</w:t>
      </w:r>
      <w:r w:rsidR="00A43ACD" w:rsidRPr="002F733E">
        <w:tab/>
      </w:r>
      <w:r w:rsidRPr="002F733E">
        <w:t>OCS costs corrected from those reported in Table 3.8-1 of the July 2022 submission</w:t>
      </w:r>
    </w:p>
    <w:p w14:paraId="1D096D79" w14:textId="0C918640" w:rsidR="00C775AE" w:rsidRDefault="00C775AE" w:rsidP="00C775AE">
      <w:pPr>
        <w:pStyle w:val="TableFigureFooter"/>
      </w:pPr>
      <w:r w:rsidRPr="002F733E">
        <w:t>d</w:t>
      </w:r>
      <w:r w:rsidR="00A43ACD" w:rsidRPr="002F733E">
        <w:tab/>
      </w:r>
      <w:r w:rsidRPr="002F733E">
        <w:t>SOC costs were reported at 1 year in the resubmission, corrected to 4 years here.</w:t>
      </w:r>
    </w:p>
    <w:p w14:paraId="45D7FAC0" w14:textId="25ECD907" w:rsidR="00E13FB6" w:rsidRPr="00396C58" w:rsidRDefault="00E13FB6" w:rsidP="00C775AE">
      <w:pPr>
        <w:pStyle w:val="TableFigureFooter"/>
        <w:rPr>
          <w:i/>
          <w:iCs/>
        </w:rPr>
      </w:pPr>
      <w:r w:rsidRPr="00396C58">
        <w:rPr>
          <w:i/>
          <w:iCs/>
        </w:rPr>
        <w:t>The redacted values correspond to the following ranges:</w:t>
      </w:r>
    </w:p>
    <w:p w14:paraId="0A4EABCD" w14:textId="62DB3B01" w:rsidR="00E13FB6" w:rsidRPr="00396C58" w:rsidRDefault="00E13FB6" w:rsidP="00C775AE">
      <w:pPr>
        <w:pStyle w:val="TableFigureFooter"/>
        <w:rPr>
          <w:i/>
          <w:iCs/>
        </w:rPr>
      </w:pPr>
      <w:r w:rsidRPr="00396C58">
        <w:rPr>
          <w:i/>
          <w:iCs/>
          <w:vertAlign w:val="superscript"/>
        </w:rPr>
        <w:t>1</w:t>
      </w:r>
      <w:r w:rsidRPr="00396C58">
        <w:rPr>
          <w:i/>
          <w:iCs/>
        </w:rPr>
        <w:t xml:space="preserve"> $135,000 to &lt; $155,000</w:t>
      </w:r>
    </w:p>
    <w:p w14:paraId="0F737DAB" w14:textId="567DCE3E" w:rsidR="00E13FB6" w:rsidRPr="00396C58" w:rsidRDefault="00E13FB6" w:rsidP="00C775AE">
      <w:pPr>
        <w:pStyle w:val="TableFigureFooter"/>
        <w:rPr>
          <w:i/>
          <w:iCs/>
        </w:rPr>
      </w:pPr>
      <w:r w:rsidRPr="00396C58">
        <w:rPr>
          <w:i/>
          <w:iCs/>
          <w:vertAlign w:val="superscript"/>
        </w:rPr>
        <w:t>2</w:t>
      </w:r>
      <w:r w:rsidRPr="00396C58">
        <w:rPr>
          <w:i/>
          <w:iCs/>
        </w:rPr>
        <w:t xml:space="preserve"> $95,000 to &lt; $115,000</w:t>
      </w:r>
    </w:p>
    <w:p w14:paraId="335E054E" w14:textId="29E7D2D2" w:rsidR="00E13FB6" w:rsidRPr="00396C58" w:rsidRDefault="00E13FB6" w:rsidP="00C775AE">
      <w:pPr>
        <w:pStyle w:val="TableFigureFooter"/>
        <w:rPr>
          <w:i/>
          <w:iCs/>
        </w:rPr>
      </w:pPr>
      <w:r w:rsidRPr="00396C58">
        <w:rPr>
          <w:i/>
          <w:iCs/>
          <w:vertAlign w:val="superscript"/>
        </w:rPr>
        <w:t>3</w:t>
      </w:r>
      <w:r w:rsidRPr="00396C58">
        <w:rPr>
          <w:i/>
          <w:iCs/>
        </w:rPr>
        <w:t xml:space="preserve"> $455,000 to &lt; $555,000</w:t>
      </w:r>
    </w:p>
    <w:p w14:paraId="3D8F8DBE" w14:textId="27E2F854" w:rsidR="00396C58" w:rsidRPr="00396C58" w:rsidRDefault="00396C58" w:rsidP="00C775AE">
      <w:pPr>
        <w:pStyle w:val="TableFigureFooter"/>
        <w:rPr>
          <w:i/>
          <w:iCs/>
        </w:rPr>
      </w:pPr>
      <w:r w:rsidRPr="00396C58">
        <w:rPr>
          <w:i/>
          <w:iCs/>
          <w:vertAlign w:val="superscript"/>
        </w:rPr>
        <w:t>4</w:t>
      </w:r>
      <w:r w:rsidRPr="00396C58">
        <w:rPr>
          <w:i/>
          <w:iCs/>
        </w:rPr>
        <w:t xml:space="preserve"> $75,000 to &lt; $95,000</w:t>
      </w:r>
    </w:p>
    <w:p w14:paraId="495D7A91" w14:textId="18189F34" w:rsidR="00396C58" w:rsidRPr="00396C58" w:rsidRDefault="00396C58" w:rsidP="00C775AE">
      <w:pPr>
        <w:pStyle w:val="TableFigureFooter"/>
        <w:rPr>
          <w:i/>
          <w:iCs/>
        </w:rPr>
      </w:pPr>
      <w:r w:rsidRPr="00396C58">
        <w:rPr>
          <w:i/>
          <w:iCs/>
          <w:vertAlign w:val="superscript"/>
        </w:rPr>
        <w:t>5</w:t>
      </w:r>
      <w:r w:rsidRPr="00396C58">
        <w:rPr>
          <w:i/>
          <w:iCs/>
        </w:rPr>
        <w:t xml:space="preserve"> $55,000 to &lt; $75,000</w:t>
      </w:r>
    </w:p>
    <w:p w14:paraId="03A057C6" w14:textId="07B935F9" w:rsidR="00396C58" w:rsidRPr="00396C58" w:rsidRDefault="00396C58" w:rsidP="00C775AE">
      <w:pPr>
        <w:pStyle w:val="TableFigureFooter"/>
        <w:rPr>
          <w:i/>
          <w:iCs/>
        </w:rPr>
      </w:pPr>
      <w:r w:rsidRPr="00396C58">
        <w:rPr>
          <w:i/>
          <w:iCs/>
          <w:vertAlign w:val="superscript"/>
        </w:rPr>
        <w:t>6</w:t>
      </w:r>
      <w:r w:rsidRPr="00396C58">
        <w:rPr>
          <w:i/>
          <w:iCs/>
        </w:rPr>
        <w:t xml:space="preserve"> $355,000 to &lt; $455,000</w:t>
      </w:r>
    </w:p>
    <w:p w14:paraId="67583E7D" w14:textId="7E668E71" w:rsidR="00396C58" w:rsidRPr="00396C58" w:rsidRDefault="00396C58" w:rsidP="00C775AE">
      <w:pPr>
        <w:pStyle w:val="TableFigureFooter"/>
        <w:rPr>
          <w:i/>
          <w:iCs/>
        </w:rPr>
      </w:pPr>
      <w:r w:rsidRPr="00396C58">
        <w:rPr>
          <w:i/>
          <w:iCs/>
          <w:vertAlign w:val="superscript"/>
        </w:rPr>
        <w:t>7</w:t>
      </w:r>
      <w:r w:rsidRPr="00396C58">
        <w:rPr>
          <w:i/>
          <w:iCs/>
        </w:rPr>
        <w:t xml:space="preserve"> &gt; $1,055,000</w:t>
      </w:r>
    </w:p>
    <w:p w14:paraId="0DB98BCF" w14:textId="6825C039" w:rsidR="00C775AE" w:rsidRPr="002F733E" w:rsidRDefault="00C775AE" w:rsidP="00C775AE">
      <w:pPr>
        <w:pStyle w:val="3-BodyText"/>
      </w:pPr>
      <w:r w:rsidRPr="002F733E">
        <w:t>While low utility affected both arms similarly, (</w:t>
      </w:r>
      <w:r w:rsidR="00EC04A6" w:rsidRPr="002F733E">
        <w:t xml:space="preserve">undiscounted </w:t>
      </w:r>
      <w:r w:rsidRPr="002F733E">
        <w:t>incremental QALYs gained w</w:t>
      </w:r>
      <w:r w:rsidR="007E2392" w:rsidRPr="002F733E">
        <w:t>ere</w:t>
      </w:r>
      <w:r w:rsidRPr="002F733E">
        <w:t xml:space="preserve"> similar to the </w:t>
      </w:r>
      <w:r w:rsidR="00EC04A6" w:rsidRPr="002F733E">
        <w:t xml:space="preserve">undiscounted </w:t>
      </w:r>
      <w:r w:rsidRPr="002F733E">
        <w:t xml:space="preserve">incremental life years gained (1.03 versus 1.45)), when survival was assumed the same in both arms (i.e. incremental life years gained were 0) the </w:t>
      </w:r>
      <w:r w:rsidR="008542B8" w:rsidRPr="002F733E">
        <w:t xml:space="preserve">undiscounted </w:t>
      </w:r>
      <w:r w:rsidRPr="002F733E">
        <w:t xml:space="preserve">incremental QALY gained was still 0.76, demonstrating that utilities were a key driver of the results, compared to the July 2022 submission where survival difference was the key driver. Absolute QALYs in each arm were greatly reduced compared to the July 2022 submission (e.g. anifrolumab arm was expected to accrue 18 undiscounted QALYs in the July 2022 submission, but only 5.8 in the resubmission). </w:t>
      </w:r>
    </w:p>
    <w:p w14:paraId="2235374D" w14:textId="1D1F0698" w:rsidR="00C775AE" w:rsidRPr="002F733E" w:rsidRDefault="00C775AE" w:rsidP="00C775AE">
      <w:pPr>
        <w:pStyle w:val="3-BodyText"/>
      </w:pPr>
      <w:r w:rsidRPr="002F733E">
        <w:t xml:space="preserve">The resubmission also presented the SDI organ damage scores, with an expected reduction of 0.31 in the anifrolumab arm versus the SOC arm (slightly larger than </w:t>
      </w:r>
      <w:r w:rsidR="007E2392" w:rsidRPr="002F733E">
        <w:t xml:space="preserve">the </w:t>
      </w:r>
      <w:r w:rsidRPr="002F733E">
        <w:t xml:space="preserve">0.21 </w:t>
      </w:r>
      <w:r w:rsidR="007E2392" w:rsidRPr="002F733E">
        <w:t xml:space="preserve">reduction </w:t>
      </w:r>
      <w:r w:rsidRPr="002F733E">
        <w:t xml:space="preserve">estimated in the July 2022 submission). No SDI benefit was observed in the TULIP LTE (see Comparative effectiveness). </w:t>
      </w:r>
    </w:p>
    <w:p w14:paraId="6E975A2A" w14:textId="69500DA5" w:rsidR="00C775AE" w:rsidRPr="002F733E" w:rsidRDefault="00C775AE" w:rsidP="00C775AE">
      <w:pPr>
        <w:pStyle w:val="3-BodyText"/>
      </w:pPr>
      <w:r w:rsidRPr="002F733E">
        <w:t>Undiscounted and unadjusted for mortality, the resubmission estimated that the anifrolumab arm would experience 0.61 fewer non-severe flares and 1.78 fewer severe flares than the SOC arm, compared to 7.78 fewer non-severe flares and 4.62 fewer severe flares in the July 2022 submission.</w:t>
      </w:r>
      <w:r w:rsidR="00653E2C" w:rsidRPr="002F733E">
        <w:t xml:space="preserve"> The annual non-severe flare rate</w:t>
      </w:r>
      <w:r w:rsidR="00A84F87" w:rsidRPr="002F733E">
        <w:t>s</w:t>
      </w:r>
      <w:r w:rsidR="00653E2C" w:rsidRPr="002F733E">
        <w:t xml:space="preserve"> estimated in the first 4 years of the model </w:t>
      </w:r>
      <w:r w:rsidR="00A84F87" w:rsidRPr="002F733E">
        <w:t xml:space="preserve">(adjusted for survival) </w:t>
      </w:r>
      <w:r w:rsidR="00653E2C" w:rsidRPr="002F733E">
        <w:t>w</w:t>
      </w:r>
      <w:r w:rsidR="00A84F87" w:rsidRPr="002F733E">
        <w:t>ere</w:t>
      </w:r>
      <w:r w:rsidR="00653E2C" w:rsidRPr="002F733E">
        <w:t xml:space="preserve"> 1.46 in the anifrolumab arm and 1.69 in the SOC arm, compared to 0.1 and 0.2 based on the observed data in the TULIP LTE. Similarly, no severe flares were observed in the TULIP LTE, but 2.12 and 2.98 were estimated in the first 4 years of the model</w:t>
      </w:r>
      <w:r w:rsidR="00A84F87" w:rsidRPr="002F733E">
        <w:t xml:space="preserve"> (adjusted for survival)</w:t>
      </w:r>
      <w:r w:rsidR="00653E2C" w:rsidRPr="002F733E">
        <w:t xml:space="preserve"> for the anifrolumab and SOC arms respectively.</w:t>
      </w:r>
    </w:p>
    <w:p w14:paraId="60BC92BF" w14:textId="292DCCBA" w:rsidR="008542B8" w:rsidRPr="002F733E" w:rsidRDefault="008542B8" w:rsidP="00C775AE">
      <w:pPr>
        <w:pStyle w:val="3-BodyText"/>
      </w:pPr>
      <w:r w:rsidRPr="002F733E">
        <w:t xml:space="preserve">In the previous belimumab submission (Table 14, belimumab PSD, July 2020 PBAC meeting) discounted LYs </w:t>
      </w:r>
      <w:r w:rsidR="00065F74" w:rsidRPr="002F733E">
        <w:t xml:space="preserve">were </w:t>
      </w:r>
      <w:r w:rsidRPr="002F733E">
        <w:t>estimated as 15.60 for belimumab, 15.39 for SOC (0.20 incremental LYG) and discounted QALYs were estimated as 10.49 in the belimumab arm and 9.95 in the SOC arm (0.54 incremental QALYs gained) were accrued across a 60-year time horizon.</w:t>
      </w:r>
      <w:r w:rsidR="00065F74" w:rsidRPr="002F733E">
        <w:t xml:space="preserve"> The PBAC considered that the resulting ICER was likely </w:t>
      </w:r>
      <w:r w:rsidR="00160576" w:rsidRPr="002F733E">
        <w:t>underestimated,</w:t>
      </w:r>
      <w:r w:rsidR="00065F74" w:rsidRPr="002F733E">
        <w:t xml:space="preserve"> and the model assumptions likely favoured belimumab (paragraph 7.6, belimumab PSD, July 2020 PBAC meeting). The incremental life years and QALYs presented in this resubmission exceeded the belimumab, despite a shorter time horizon (30 years).</w:t>
      </w:r>
      <w:r w:rsidRPr="002F733E">
        <w:t xml:space="preserve"> </w:t>
      </w:r>
    </w:p>
    <w:p w14:paraId="792A4881" w14:textId="6E8A069B" w:rsidR="002C5837" w:rsidRPr="002F733E" w:rsidRDefault="002C5837" w:rsidP="00C775AE">
      <w:pPr>
        <w:pStyle w:val="3-BodyText"/>
      </w:pPr>
      <w:r w:rsidRPr="002F733E">
        <w:t xml:space="preserve">Given the high uncertainty of the ICER at 30 years, </w:t>
      </w:r>
      <w:r w:rsidR="004A1B73" w:rsidRPr="002F733E">
        <w:t>Step 4 of the stepped economic evaluation which results in an ICER of $</w:t>
      </w:r>
      <w:r w:rsidR="0010033D">
        <w:t>135,000</w:t>
      </w:r>
      <w:r w:rsidR="00612BA3">
        <w:t> </w:t>
      </w:r>
      <w:r w:rsidR="0010033D">
        <w:t>to</w:t>
      </w:r>
      <w:r w:rsidR="00612BA3">
        <w:t> </w:t>
      </w:r>
      <w:r w:rsidR="0010033D">
        <w:t>&lt;</w:t>
      </w:r>
      <w:r w:rsidR="00612BA3">
        <w:t> </w:t>
      </w:r>
      <w:r w:rsidR="0010033D">
        <w:t>$155,000</w:t>
      </w:r>
      <w:r w:rsidR="008A372F" w:rsidRPr="002F733E">
        <w:t xml:space="preserve"> per </w:t>
      </w:r>
      <w:r w:rsidR="004A1B73" w:rsidRPr="002F733E">
        <w:t>QALY is particularly informative as it is based on</w:t>
      </w:r>
      <w:r w:rsidRPr="002F733E">
        <w:t xml:space="preserve"> the duration of the trial follow up (i.e. 4 years). Furthermore, as the 4 year analysis does not use data directly from the trial (rather it uses average patient characteristics to simulate patients and regression analyses to simulate patient pathways from Time 0), a trial-based cost-effectiveness analysis, using the individual patient data</w:t>
      </w:r>
      <w:r w:rsidR="00874BB8" w:rsidRPr="002F733E">
        <w:t xml:space="preserve"> directly</w:t>
      </w:r>
      <w:r w:rsidRPr="002F733E">
        <w:t xml:space="preserve"> from </w:t>
      </w:r>
      <w:r w:rsidR="00321D9F" w:rsidRPr="002F733E">
        <w:t xml:space="preserve">the </w:t>
      </w:r>
      <w:r w:rsidR="00874BB8" w:rsidRPr="002F733E">
        <w:t>TULIP trial</w:t>
      </w:r>
      <w:r w:rsidR="00321D9F" w:rsidRPr="002F733E">
        <w:t>s</w:t>
      </w:r>
      <w:r w:rsidR="00874BB8" w:rsidRPr="002F733E">
        <w:t xml:space="preserve"> and TULIP LTE </w:t>
      </w:r>
      <w:r w:rsidRPr="002F733E">
        <w:t>may be more robust.</w:t>
      </w:r>
    </w:p>
    <w:p w14:paraId="7E6B262A" w14:textId="4F25F32A" w:rsidR="009A3505" w:rsidRPr="002F733E" w:rsidRDefault="00A35CDF" w:rsidP="009A3505">
      <w:pPr>
        <w:pStyle w:val="3-BodyText"/>
      </w:pPr>
      <w:bookmarkStart w:id="52" w:name="_Ref127280903"/>
      <w:r w:rsidRPr="002F733E">
        <w:t>Overall, the ESC considered that g</w:t>
      </w:r>
      <w:r w:rsidR="009A3505" w:rsidRPr="002F733E">
        <w:t xml:space="preserve">iven the uncertainty within the model, combined with the presence of spurious and clinically implausible findings, a simpler Markov cohort model structure may be more appropriate and would provide greater transparency in the underlying assumptions. </w:t>
      </w:r>
      <w:r w:rsidR="00AD66FF" w:rsidRPr="002F733E">
        <w:t xml:space="preserve">Alternatively, noting the 4-year analysis presented in the paragraph above, the ESC considered that a </w:t>
      </w:r>
      <w:r w:rsidR="0017158E" w:rsidRPr="002F733E">
        <w:t xml:space="preserve">model </w:t>
      </w:r>
      <w:r w:rsidR="00BF3BC9" w:rsidRPr="002F733E">
        <w:t xml:space="preserve">with a substantially shorter time horizon consistent with the available clinical evidence </w:t>
      </w:r>
      <w:r w:rsidR="0017158E" w:rsidRPr="002F733E">
        <w:t xml:space="preserve">would </w:t>
      </w:r>
      <w:r w:rsidR="00E0359A" w:rsidRPr="002F733E">
        <w:t>reduce</w:t>
      </w:r>
      <w:r w:rsidR="0017158E" w:rsidRPr="002F733E">
        <w:t xml:space="preserve"> the </w:t>
      </w:r>
      <w:r w:rsidR="00E0359A" w:rsidRPr="002F733E">
        <w:t>issues</w:t>
      </w:r>
      <w:r w:rsidR="0017158E" w:rsidRPr="002F733E">
        <w:t xml:space="preserve"> associated with extrapolation</w:t>
      </w:r>
      <w:r w:rsidR="00E0359A" w:rsidRPr="002F733E">
        <w:t xml:space="preserve"> over a </w:t>
      </w:r>
      <w:r w:rsidR="00BF3BC9" w:rsidRPr="002F733E">
        <w:t>relatively long period of time</w:t>
      </w:r>
      <w:r w:rsidR="0017158E" w:rsidRPr="002F733E">
        <w:t xml:space="preserve"> and </w:t>
      </w:r>
      <w:r w:rsidR="00BF3BC9" w:rsidRPr="002F733E">
        <w:t>hence</w:t>
      </w:r>
      <w:r w:rsidR="0017158E" w:rsidRPr="002F733E">
        <w:t xml:space="preserve"> the results </w:t>
      </w:r>
      <w:r w:rsidR="00603548" w:rsidRPr="002F733E">
        <w:t xml:space="preserve">may </w:t>
      </w:r>
      <w:r w:rsidR="00BF3BC9" w:rsidRPr="002F733E">
        <w:t xml:space="preserve">be </w:t>
      </w:r>
      <w:r w:rsidR="00E0359A" w:rsidRPr="002F733E">
        <w:t xml:space="preserve">more </w:t>
      </w:r>
      <w:r w:rsidR="0017158E" w:rsidRPr="002F733E">
        <w:t>clinically valid.</w:t>
      </w:r>
      <w:bookmarkEnd w:id="52"/>
      <w:r w:rsidR="001B648B" w:rsidRPr="002F733E">
        <w:t xml:space="preserve"> With either approach, the ESC considered that external model validation should be undertaken to demonstrate the relationship between model findings and evidence from trial and/or registry data.</w:t>
      </w:r>
    </w:p>
    <w:p w14:paraId="3F6AEB41" w14:textId="2F93FF5F" w:rsidR="00C775AE" w:rsidRPr="002F733E" w:rsidRDefault="00C775AE" w:rsidP="00C775AE">
      <w:pPr>
        <w:pStyle w:val="3-BodyText"/>
      </w:pPr>
      <w:r w:rsidRPr="002F733E">
        <w:t xml:space="preserve">A summary of sensitivity analyses is presented in </w:t>
      </w:r>
      <w:r w:rsidR="0090762C">
        <w:fldChar w:fldCharType="begin" w:fldLock="1"/>
      </w:r>
      <w:r w:rsidR="0090762C">
        <w:instrText xml:space="preserve"> REF _Ref121669214  \* MERGEFORMAT </w:instrText>
      </w:r>
      <w:r w:rsidR="0090762C">
        <w:fldChar w:fldCharType="separate"/>
      </w:r>
      <w:r w:rsidR="001316D2" w:rsidRPr="002F733E">
        <w:t>Table 12</w:t>
      </w:r>
      <w:r w:rsidR="0090762C">
        <w:fldChar w:fldCharType="end"/>
      </w:r>
      <w:r w:rsidRPr="002F733E">
        <w:t xml:space="preserve">. The ICER was most sensitive to: flare intercept, treatment effect and duration; SLEDAI-2K regression coefficients; extrapolation of treatment effect; the SLEDAI-2K and treatment coefficients for utility estimates; SLEDAI-2K coefficient for mortality; and organ damage incidence. </w:t>
      </w:r>
    </w:p>
    <w:p w14:paraId="03CFE8F8" w14:textId="43EA72D1" w:rsidR="00C775AE" w:rsidRPr="002F733E" w:rsidRDefault="00C775AE" w:rsidP="00C775AE">
      <w:pPr>
        <w:pStyle w:val="TableFigureHeading"/>
        <w:rPr>
          <w:rStyle w:val="CommentReference"/>
          <w:b/>
          <w:szCs w:val="24"/>
        </w:rPr>
      </w:pPr>
      <w:bookmarkStart w:id="53" w:name="_Ref121669214"/>
      <w:r w:rsidRPr="002F733E">
        <w:t xml:space="preserve">Table </w:t>
      </w:r>
      <w:fldSimple w:instr=" SEQ Table \* ARABIC " w:fldLock="1">
        <w:r w:rsidR="00781A0F" w:rsidRPr="002F733E">
          <w:t>12</w:t>
        </w:r>
      </w:fldSimple>
      <w:bookmarkEnd w:id="53"/>
      <w:r w:rsidRPr="002F733E">
        <w:t>:</w:t>
      </w:r>
      <w:r w:rsidRPr="002F733E">
        <w:rPr>
          <w:rStyle w:val="CommentReference"/>
          <w:b/>
          <w:szCs w:val="24"/>
        </w:rPr>
        <w:t xml:space="preserve"> Results of sensitivity analyses</w:t>
      </w:r>
    </w:p>
    <w:tbl>
      <w:tblP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098"/>
        <w:gridCol w:w="1134"/>
        <w:gridCol w:w="1134"/>
        <w:gridCol w:w="993"/>
        <w:gridCol w:w="731"/>
      </w:tblGrid>
      <w:tr w:rsidR="00C775AE" w:rsidRPr="002F733E" w14:paraId="730D3DC5" w14:textId="77777777" w:rsidTr="00EB6544">
        <w:trPr>
          <w:tblHeader/>
        </w:trPr>
        <w:tc>
          <w:tcPr>
            <w:tcW w:w="5098" w:type="dxa"/>
          </w:tcPr>
          <w:p w14:paraId="5A292917" w14:textId="77777777" w:rsidR="00C775AE" w:rsidRPr="002F733E" w:rsidRDefault="00C775AE" w:rsidP="00C775AE">
            <w:pPr>
              <w:pStyle w:val="In-tableHeading"/>
              <w:rPr>
                <w:lang w:val="en-AU"/>
              </w:rPr>
            </w:pPr>
            <w:r w:rsidRPr="002F733E">
              <w:rPr>
                <w:lang w:val="en-AU"/>
              </w:rPr>
              <w:t>Analyses</w:t>
            </w:r>
          </w:p>
        </w:tc>
        <w:tc>
          <w:tcPr>
            <w:tcW w:w="1134" w:type="dxa"/>
            <w:tcBorders>
              <w:bottom w:val="single" w:sz="4" w:space="0" w:color="auto"/>
            </w:tcBorders>
          </w:tcPr>
          <w:p w14:paraId="781A3DA1" w14:textId="0DFE17A8" w:rsidR="00C775AE" w:rsidRPr="002F733E" w:rsidRDefault="00C775AE" w:rsidP="00C775AE">
            <w:pPr>
              <w:pStyle w:val="In-tableHeading"/>
              <w:jc w:val="center"/>
              <w:rPr>
                <w:lang w:val="en-AU"/>
              </w:rPr>
            </w:pPr>
            <w:r w:rsidRPr="002F733E">
              <w:rPr>
                <w:lang w:val="en-AU"/>
              </w:rPr>
              <w:t>Incremental cost</w:t>
            </w:r>
            <w:r w:rsidR="00396C58">
              <w:rPr>
                <w:lang w:val="en-AU"/>
              </w:rPr>
              <w:t xml:space="preserve"> ($)</w:t>
            </w:r>
          </w:p>
        </w:tc>
        <w:tc>
          <w:tcPr>
            <w:tcW w:w="1134" w:type="dxa"/>
          </w:tcPr>
          <w:p w14:paraId="21BB475F" w14:textId="77777777" w:rsidR="00C775AE" w:rsidRPr="002F733E" w:rsidRDefault="00C775AE" w:rsidP="00C775AE">
            <w:pPr>
              <w:pStyle w:val="In-tableHeading"/>
              <w:jc w:val="center"/>
              <w:rPr>
                <w:lang w:val="en-AU"/>
              </w:rPr>
            </w:pPr>
            <w:r w:rsidRPr="002F733E">
              <w:rPr>
                <w:lang w:val="en-AU"/>
              </w:rPr>
              <w:t>Incremental QALY</w:t>
            </w:r>
          </w:p>
        </w:tc>
        <w:tc>
          <w:tcPr>
            <w:tcW w:w="993" w:type="dxa"/>
          </w:tcPr>
          <w:p w14:paraId="28ADC0FC" w14:textId="77777777" w:rsidR="00C775AE" w:rsidRPr="002F733E" w:rsidRDefault="00C775AE" w:rsidP="00C775AE">
            <w:pPr>
              <w:pStyle w:val="In-tableHeading"/>
              <w:jc w:val="center"/>
              <w:rPr>
                <w:lang w:val="en-AU"/>
              </w:rPr>
            </w:pPr>
            <w:r w:rsidRPr="002F733E">
              <w:rPr>
                <w:lang w:val="en-AU"/>
              </w:rPr>
              <w:t>ICER</w:t>
            </w:r>
          </w:p>
        </w:tc>
        <w:tc>
          <w:tcPr>
            <w:tcW w:w="731" w:type="dxa"/>
          </w:tcPr>
          <w:p w14:paraId="2CD1433D" w14:textId="4C01AD56" w:rsidR="00C775AE" w:rsidRPr="002F733E" w:rsidRDefault="00C775AE" w:rsidP="00C775AE">
            <w:pPr>
              <w:pStyle w:val="In-tableHeading"/>
              <w:jc w:val="center"/>
              <w:rPr>
                <w:lang w:val="en-AU"/>
              </w:rPr>
            </w:pPr>
            <w:r w:rsidRPr="002F733E">
              <w:rPr>
                <w:lang w:val="en-AU"/>
              </w:rPr>
              <w:t>%</w:t>
            </w:r>
            <w:r w:rsidR="00B4682C" w:rsidRPr="002F733E">
              <w:rPr>
                <w:lang w:val="en-AU"/>
              </w:rPr>
              <w:t xml:space="preserve"> </w:t>
            </w:r>
            <w:r w:rsidRPr="002F733E">
              <w:rPr>
                <w:lang w:val="en-AU"/>
              </w:rPr>
              <w:t>change</w:t>
            </w:r>
          </w:p>
        </w:tc>
      </w:tr>
      <w:tr w:rsidR="00C775AE" w:rsidRPr="002F733E" w14:paraId="5B0FA55D" w14:textId="77777777" w:rsidTr="00EB6544">
        <w:trPr>
          <w:tblHeader/>
        </w:trPr>
        <w:tc>
          <w:tcPr>
            <w:tcW w:w="5098" w:type="dxa"/>
          </w:tcPr>
          <w:p w14:paraId="5E079AC3" w14:textId="77777777" w:rsidR="00C775AE" w:rsidRPr="002F733E" w:rsidRDefault="00C775AE" w:rsidP="00C775AE">
            <w:pPr>
              <w:pStyle w:val="TableText0"/>
              <w:keepNext w:val="0"/>
              <w:rPr>
                <w:b/>
              </w:rPr>
            </w:pPr>
            <w:r w:rsidRPr="002F733E">
              <w:rPr>
                <w:b/>
              </w:rPr>
              <w:t>Submitted base case</w:t>
            </w:r>
          </w:p>
        </w:tc>
        <w:tc>
          <w:tcPr>
            <w:tcW w:w="1134" w:type="dxa"/>
            <w:shd w:val="solid" w:color="000000" w:fill="000000"/>
          </w:tcPr>
          <w:p w14:paraId="64C90FC4" w14:textId="6C00CF18" w:rsidR="00C775AE" w:rsidRPr="00EB6544" w:rsidRDefault="00EB6544" w:rsidP="00C775AE">
            <w:pPr>
              <w:pStyle w:val="TableText0"/>
              <w:keepNext w:val="0"/>
              <w:jc w:val="center"/>
              <w:rPr>
                <w:b/>
              </w:rPr>
            </w:pPr>
            <w:r w:rsidRPr="00EB6544">
              <w:rPr>
                <w:color w:val="000000"/>
                <w:spacing w:val="65"/>
                <w:fitText w:val="366" w:id="-1236572668"/>
                <w14:textFill>
                  <w14:solidFill>
                    <w14:srgbClr w14:val="000000">
                      <w14:alpha w14:val="100000"/>
                    </w14:srgbClr>
                  </w14:solidFill>
                </w14:textFill>
              </w:rPr>
              <w:t>|||</w:t>
            </w:r>
            <w:r w:rsidRPr="00EB6544">
              <w:rPr>
                <w:color w:val="000000"/>
                <w:spacing w:val="1"/>
                <w:fitText w:val="366" w:id="-1236572668"/>
                <w14:textFill>
                  <w14:solidFill>
                    <w14:srgbClr w14:val="000000">
                      <w14:alpha w14:val="100000"/>
                    </w14:srgbClr>
                  </w14:solidFill>
                </w14:textFill>
              </w:rPr>
              <w:t>|</w:t>
            </w:r>
          </w:p>
        </w:tc>
        <w:tc>
          <w:tcPr>
            <w:tcW w:w="1134" w:type="dxa"/>
          </w:tcPr>
          <w:p w14:paraId="106EC5BF" w14:textId="77777777" w:rsidR="00C775AE" w:rsidRPr="002F733E" w:rsidRDefault="00C775AE" w:rsidP="00C775AE">
            <w:pPr>
              <w:pStyle w:val="TableText0"/>
              <w:keepNext w:val="0"/>
              <w:jc w:val="center"/>
              <w:rPr>
                <w:b/>
              </w:rPr>
            </w:pPr>
            <w:r w:rsidRPr="002F733E">
              <w:t>0.664</w:t>
            </w:r>
          </w:p>
        </w:tc>
        <w:tc>
          <w:tcPr>
            <w:tcW w:w="993" w:type="dxa"/>
          </w:tcPr>
          <w:p w14:paraId="04A4E750" w14:textId="5B686778" w:rsidR="00C775AE" w:rsidRPr="002F733E" w:rsidRDefault="00EB6544" w:rsidP="00C775AE">
            <w:pPr>
              <w:pStyle w:val="TableText0"/>
              <w:keepNext w:val="0"/>
              <w:jc w:val="center"/>
              <w:rPr>
                <w:b/>
              </w:rPr>
            </w:pPr>
            <w:r w:rsidRPr="00EB6544">
              <w:rPr>
                <w:color w:val="000000"/>
                <w:spacing w:val="42"/>
                <w:shd w:val="solid" w:color="000000" w:fill="000000"/>
                <w:fitText w:val="466" w:id="-1236572667"/>
                <w14:textFill>
                  <w14:solidFill>
                    <w14:srgbClr w14:val="000000">
                      <w14:alpha w14:val="100000"/>
                    </w14:srgbClr>
                  </w14:solidFill>
                </w14:textFill>
              </w:rPr>
              <w:t>|||||</w:t>
            </w:r>
            <w:r w:rsidRPr="00EB6544">
              <w:rPr>
                <w:color w:val="000000"/>
                <w:spacing w:val="1"/>
                <w:shd w:val="solid" w:color="000000" w:fill="000000"/>
                <w:fitText w:val="466" w:id="-1236572667"/>
                <w14:textFill>
                  <w14:solidFill>
                    <w14:srgbClr w14:val="000000">
                      <w14:alpha w14:val="100000"/>
                    </w14:srgbClr>
                  </w14:solidFill>
                </w14:textFill>
              </w:rPr>
              <w:t>|</w:t>
            </w:r>
            <w:r w:rsidR="00396C58">
              <w:rPr>
                <w:vertAlign w:val="superscript"/>
              </w:rPr>
              <w:t>1</w:t>
            </w:r>
          </w:p>
        </w:tc>
        <w:tc>
          <w:tcPr>
            <w:tcW w:w="731" w:type="dxa"/>
          </w:tcPr>
          <w:p w14:paraId="454AA102" w14:textId="77777777" w:rsidR="00C775AE" w:rsidRPr="002F733E" w:rsidRDefault="00C775AE" w:rsidP="00C775AE">
            <w:pPr>
              <w:pStyle w:val="TableText0"/>
              <w:keepNext w:val="0"/>
              <w:jc w:val="center"/>
            </w:pPr>
          </w:p>
        </w:tc>
      </w:tr>
      <w:tr w:rsidR="00C775AE" w:rsidRPr="002F733E" w14:paraId="58364B0B" w14:textId="77777777" w:rsidTr="00396C58">
        <w:tc>
          <w:tcPr>
            <w:tcW w:w="5098" w:type="dxa"/>
          </w:tcPr>
          <w:p w14:paraId="0247C03F" w14:textId="77777777" w:rsidR="00C775AE" w:rsidRPr="002F733E" w:rsidRDefault="00C775AE" w:rsidP="00C775AE">
            <w:pPr>
              <w:pStyle w:val="TableText0"/>
              <w:keepNext w:val="0"/>
            </w:pPr>
            <w:r w:rsidRPr="002F733E">
              <w:t>Discount rate (base case 5% costs and outcomes)</w:t>
            </w:r>
          </w:p>
          <w:p w14:paraId="15A6F41A" w14:textId="77777777" w:rsidR="00C775AE" w:rsidRPr="002F733E" w:rsidRDefault="00C775AE" w:rsidP="00DC7889">
            <w:pPr>
              <w:pStyle w:val="TableText0"/>
              <w:keepNext w:val="0"/>
              <w:numPr>
                <w:ilvl w:val="0"/>
                <w:numId w:val="6"/>
              </w:numPr>
              <w:ind w:left="0" w:firstLine="22"/>
            </w:pPr>
            <w:r w:rsidRPr="002F733E">
              <w:t>0% costs and outcomes</w:t>
            </w:r>
          </w:p>
          <w:p w14:paraId="40EF3A4D" w14:textId="77777777" w:rsidR="00C775AE" w:rsidRPr="002F733E" w:rsidRDefault="00C775AE" w:rsidP="00DC7889">
            <w:pPr>
              <w:pStyle w:val="TableText0"/>
              <w:keepNext w:val="0"/>
              <w:numPr>
                <w:ilvl w:val="0"/>
                <w:numId w:val="6"/>
              </w:numPr>
              <w:ind w:left="22" w:hanging="22"/>
            </w:pPr>
            <w:r w:rsidRPr="002F733E">
              <w:t>3.5% costs and outcomes</w:t>
            </w:r>
          </w:p>
        </w:tc>
        <w:tc>
          <w:tcPr>
            <w:tcW w:w="1134" w:type="dxa"/>
          </w:tcPr>
          <w:p w14:paraId="349C76F0" w14:textId="77777777" w:rsidR="00C775AE" w:rsidRPr="002F733E" w:rsidRDefault="00C775AE" w:rsidP="00C775AE">
            <w:pPr>
              <w:pStyle w:val="TableText0"/>
              <w:keepNext w:val="0"/>
              <w:jc w:val="center"/>
            </w:pPr>
          </w:p>
          <w:p w14:paraId="13F7D18D" w14:textId="638713E8" w:rsidR="00C775AE" w:rsidRPr="00EB6544" w:rsidRDefault="00EB6544" w:rsidP="00C775AE">
            <w:pPr>
              <w:pStyle w:val="TableText0"/>
              <w:keepNext w:val="0"/>
              <w:jc w:val="center"/>
            </w:pPr>
            <w:r w:rsidRPr="00EB6544">
              <w:rPr>
                <w:color w:val="000000"/>
                <w:spacing w:val="65"/>
                <w:shd w:val="solid" w:color="000000" w:fill="000000"/>
                <w:fitText w:val="366" w:id="-1236572666"/>
                <w14:textFill>
                  <w14:solidFill>
                    <w14:srgbClr w14:val="000000">
                      <w14:alpha w14:val="100000"/>
                    </w14:srgbClr>
                  </w14:solidFill>
                </w14:textFill>
              </w:rPr>
              <w:t>|||</w:t>
            </w:r>
            <w:r w:rsidRPr="00EB6544">
              <w:rPr>
                <w:color w:val="000000"/>
                <w:spacing w:val="1"/>
                <w:shd w:val="solid" w:color="000000" w:fill="000000"/>
                <w:fitText w:val="366" w:id="-1236572666"/>
                <w14:textFill>
                  <w14:solidFill>
                    <w14:srgbClr w14:val="000000">
                      <w14:alpha w14:val="100000"/>
                    </w14:srgbClr>
                  </w14:solidFill>
                </w14:textFill>
              </w:rPr>
              <w:t>|</w:t>
            </w:r>
          </w:p>
        </w:tc>
        <w:tc>
          <w:tcPr>
            <w:tcW w:w="1134" w:type="dxa"/>
          </w:tcPr>
          <w:p w14:paraId="252EBBB5" w14:textId="77777777" w:rsidR="00C775AE" w:rsidRPr="002F733E" w:rsidRDefault="00C775AE" w:rsidP="00C775AE">
            <w:pPr>
              <w:pStyle w:val="TableText0"/>
              <w:keepNext w:val="0"/>
              <w:jc w:val="center"/>
            </w:pPr>
          </w:p>
          <w:p w14:paraId="0CE3CC0C" w14:textId="77777777" w:rsidR="00C775AE" w:rsidRPr="002F733E" w:rsidRDefault="00C775AE" w:rsidP="00C775AE">
            <w:pPr>
              <w:pStyle w:val="TableText0"/>
              <w:keepNext w:val="0"/>
              <w:jc w:val="center"/>
            </w:pPr>
            <w:r w:rsidRPr="002F733E">
              <w:t>1.031</w:t>
            </w:r>
          </w:p>
          <w:p w14:paraId="1A17B22B" w14:textId="77777777" w:rsidR="00C775AE" w:rsidRPr="002F733E" w:rsidRDefault="00C775AE" w:rsidP="00C775AE">
            <w:pPr>
              <w:pStyle w:val="TableText0"/>
              <w:keepNext w:val="0"/>
              <w:jc w:val="center"/>
            </w:pPr>
            <w:r w:rsidRPr="002F733E">
              <w:t>0.748</w:t>
            </w:r>
          </w:p>
        </w:tc>
        <w:tc>
          <w:tcPr>
            <w:tcW w:w="993" w:type="dxa"/>
          </w:tcPr>
          <w:p w14:paraId="1A1ACBE1" w14:textId="77777777" w:rsidR="00C775AE" w:rsidRPr="002F733E" w:rsidRDefault="00C775AE" w:rsidP="00C775AE">
            <w:pPr>
              <w:pStyle w:val="TableText0"/>
              <w:keepNext w:val="0"/>
              <w:jc w:val="center"/>
            </w:pPr>
          </w:p>
          <w:p w14:paraId="1A99D335" w14:textId="668270C9" w:rsidR="00C775AE" w:rsidRPr="002F733E" w:rsidRDefault="00EB6544" w:rsidP="00C775AE">
            <w:pPr>
              <w:pStyle w:val="TableText0"/>
              <w:keepNext w:val="0"/>
              <w:jc w:val="center"/>
            </w:pPr>
            <w:r w:rsidRPr="00EB6544">
              <w:rPr>
                <w:color w:val="000000"/>
                <w:spacing w:val="42"/>
                <w:shd w:val="solid" w:color="000000" w:fill="000000"/>
                <w:fitText w:val="466" w:id="-1236572665"/>
                <w14:textFill>
                  <w14:solidFill>
                    <w14:srgbClr w14:val="000000">
                      <w14:alpha w14:val="100000"/>
                    </w14:srgbClr>
                  </w14:solidFill>
                </w14:textFill>
              </w:rPr>
              <w:t>|||||</w:t>
            </w:r>
            <w:r w:rsidRPr="00EB6544">
              <w:rPr>
                <w:color w:val="000000"/>
                <w:spacing w:val="1"/>
                <w:shd w:val="solid" w:color="000000" w:fill="000000"/>
                <w:fitText w:val="466" w:id="-1236572665"/>
                <w14:textFill>
                  <w14:solidFill>
                    <w14:srgbClr w14:val="000000">
                      <w14:alpha w14:val="100000"/>
                    </w14:srgbClr>
                  </w14:solidFill>
                </w14:textFill>
              </w:rPr>
              <w:t>|</w:t>
            </w:r>
            <w:r w:rsidR="00396C58">
              <w:rPr>
                <w:vertAlign w:val="superscript"/>
              </w:rPr>
              <w:t>2</w:t>
            </w:r>
            <w:r>
              <w:rPr>
                <w:vertAlign w:val="superscript"/>
              </w:rPr>
              <w:br/>
            </w:r>
            <w:r w:rsidRPr="00EB6544">
              <w:rPr>
                <w:color w:val="000000"/>
                <w:spacing w:val="42"/>
                <w:shd w:val="solid" w:color="000000" w:fill="000000"/>
                <w:fitText w:val="466" w:id="-1236572664"/>
                <w14:textFill>
                  <w14:solidFill>
                    <w14:srgbClr w14:val="000000">
                      <w14:alpha w14:val="100000"/>
                    </w14:srgbClr>
                  </w14:solidFill>
                </w14:textFill>
              </w:rPr>
              <w:t>|||||</w:t>
            </w:r>
            <w:r w:rsidRPr="00EB6544">
              <w:rPr>
                <w:color w:val="000000"/>
                <w:spacing w:val="1"/>
                <w:shd w:val="solid" w:color="000000" w:fill="000000"/>
                <w:fitText w:val="466" w:id="-1236572664"/>
                <w14:textFill>
                  <w14:solidFill>
                    <w14:srgbClr w14:val="000000">
                      <w14:alpha w14:val="100000"/>
                    </w14:srgbClr>
                  </w14:solidFill>
                </w14:textFill>
              </w:rPr>
              <w:t>|</w:t>
            </w:r>
            <w:r w:rsidR="00396C58">
              <w:rPr>
                <w:vertAlign w:val="superscript"/>
              </w:rPr>
              <w:t>2</w:t>
            </w:r>
          </w:p>
        </w:tc>
        <w:tc>
          <w:tcPr>
            <w:tcW w:w="731" w:type="dxa"/>
          </w:tcPr>
          <w:p w14:paraId="1A48565F" w14:textId="77777777" w:rsidR="00C775AE" w:rsidRPr="002F733E" w:rsidRDefault="00C775AE" w:rsidP="00C775AE">
            <w:pPr>
              <w:pStyle w:val="TableText0"/>
              <w:keepNext w:val="0"/>
              <w:jc w:val="center"/>
            </w:pPr>
          </w:p>
          <w:p w14:paraId="6426443D" w14:textId="77777777" w:rsidR="00C775AE" w:rsidRPr="002F733E" w:rsidRDefault="00C775AE" w:rsidP="00C775AE">
            <w:pPr>
              <w:pStyle w:val="TableText0"/>
              <w:keepNext w:val="0"/>
              <w:jc w:val="center"/>
            </w:pPr>
            <w:r w:rsidRPr="002F733E">
              <w:t>-15.3%</w:t>
            </w:r>
          </w:p>
          <w:p w14:paraId="2B14CE2C" w14:textId="77777777" w:rsidR="00C775AE" w:rsidRPr="002F733E" w:rsidRDefault="00C775AE" w:rsidP="00C775AE">
            <w:pPr>
              <w:pStyle w:val="TableText0"/>
              <w:keepNext w:val="0"/>
              <w:jc w:val="center"/>
            </w:pPr>
            <w:r w:rsidRPr="002F733E">
              <w:t>-4.5%</w:t>
            </w:r>
          </w:p>
        </w:tc>
      </w:tr>
      <w:tr w:rsidR="00C775AE" w:rsidRPr="002F733E" w14:paraId="164EE310" w14:textId="77777777" w:rsidTr="00396C58">
        <w:tc>
          <w:tcPr>
            <w:tcW w:w="5098" w:type="dxa"/>
          </w:tcPr>
          <w:p w14:paraId="35E9D5C4" w14:textId="77777777" w:rsidR="00C775AE" w:rsidRPr="002F733E" w:rsidRDefault="00C775AE" w:rsidP="00C775AE">
            <w:pPr>
              <w:pStyle w:val="TableText0"/>
              <w:keepNext w:val="0"/>
            </w:pPr>
            <w:r w:rsidRPr="002F733E">
              <w:t>Mean age (base case 41 years)</w:t>
            </w:r>
          </w:p>
          <w:p w14:paraId="66BA81D7" w14:textId="77777777" w:rsidR="00C775AE" w:rsidRPr="002F733E" w:rsidRDefault="00C775AE" w:rsidP="00DC7889">
            <w:pPr>
              <w:pStyle w:val="TableText0"/>
              <w:keepNext w:val="0"/>
              <w:numPr>
                <w:ilvl w:val="0"/>
                <w:numId w:val="7"/>
              </w:numPr>
              <w:ind w:left="22" w:hanging="22"/>
            </w:pPr>
            <w:r w:rsidRPr="002F733E">
              <w:t>34.5 years</w:t>
            </w:r>
          </w:p>
          <w:p w14:paraId="1C13F371" w14:textId="77777777" w:rsidR="00C775AE" w:rsidRPr="002F733E" w:rsidRDefault="00C775AE" w:rsidP="00DC7889">
            <w:pPr>
              <w:pStyle w:val="TableText0"/>
              <w:keepNext w:val="0"/>
              <w:numPr>
                <w:ilvl w:val="0"/>
                <w:numId w:val="7"/>
              </w:numPr>
              <w:ind w:left="22" w:hanging="22"/>
            </w:pPr>
            <w:r w:rsidRPr="002F733E">
              <w:t>45 years</w:t>
            </w:r>
          </w:p>
        </w:tc>
        <w:tc>
          <w:tcPr>
            <w:tcW w:w="1134" w:type="dxa"/>
          </w:tcPr>
          <w:p w14:paraId="446F03D4" w14:textId="77777777" w:rsidR="00C775AE" w:rsidRPr="002F733E" w:rsidRDefault="00C775AE" w:rsidP="00C775AE">
            <w:pPr>
              <w:pStyle w:val="TableText0"/>
              <w:keepNext w:val="0"/>
              <w:jc w:val="center"/>
            </w:pPr>
          </w:p>
          <w:p w14:paraId="0496C27F" w14:textId="1BA563CC" w:rsidR="00C775AE" w:rsidRPr="00EB6544" w:rsidRDefault="00EB6544" w:rsidP="00C775AE">
            <w:pPr>
              <w:pStyle w:val="TableText0"/>
              <w:keepNext w:val="0"/>
              <w:jc w:val="center"/>
            </w:pPr>
            <w:r w:rsidRPr="00EB6544">
              <w:rPr>
                <w:color w:val="000000"/>
                <w:spacing w:val="65"/>
                <w:shd w:val="solid" w:color="000000" w:fill="000000"/>
                <w:fitText w:val="366" w:id="-1236572663"/>
                <w14:textFill>
                  <w14:solidFill>
                    <w14:srgbClr w14:val="000000">
                      <w14:alpha w14:val="100000"/>
                    </w14:srgbClr>
                  </w14:solidFill>
                </w14:textFill>
              </w:rPr>
              <w:t>|||</w:t>
            </w:r>
            <w:r w:rsidRPr="00EB6544">
              <w:rPr>
                <w:color w:val="000000"/>
                <w:spacing w:val="1"/>
                <w:shd w:val="solid" w:color="000000" w:fill="000000"/>
                <w:fitText w:val="366" w:id="-1236572663"/>
                <w14:textFill>
                  <w14:solidFill>
                    <w14:srgbClr w14:val="000000">
                      <w14:alpha w14:val="100000"/>
                    </w14:srgbClr>
                  </w14:solidFill>
                </w14:textFill>
              </w:rPr>
              <w:t>|</w:t>
            </w:r>
          </w:p>
        </w:tc>
        <w:tc>
          <w:tcPr>
            <w:tcW w:w="1134" w:type="dxa"/>
          </w:tcPr>
          <w:p w14:paraId="26B03A69" w14:textId="77777777" w:rsidR="00C775AE" w:rsidRPr="002F733E" w:rsidRDefault="00C775AE" w:rsidP="00C775AE">
            <w:pPr>
              <w:pStyle w:val="TableText0"/>
              <w:keepNext w:val="0"/>
              <w:jc w:val="center"/>
            </w:pPr>
          </w:p>
          <w:p w14:paraId="51BD916E" w14:textId="77777777" w:rsidR="00C775AE" w:rsidRPr="002F733E" w:rsidRDefault="00C775AE" w:rsidP="00C775AE">
            <w:pPr>
              <w:pStyle w:val="TableText0"/>
              <w:keepNext w:val="0"/>
              <w:jc w:val="center"/>
            </w:pPr>
            <w:r w:rsidRPr="002F733E">
              <w:t>0.697</w:t>
            </w:r>
          </w:p>
          <w:p w14:paraId="70810725" w14:textId="77777777" w:rsidR="00C775AE" w:rsidRPr="002F733E" w:rsidRDefault="00C775AE" w:rsidP="00C775AE">
            <w:pPr>
              <w:pStyle w:val="TableText0"/>
              <w:keepNext w:val="0"/>
              <w:jc w:val="center"/>
            </w:pPr>
            <w:r w:rsidRPr="002F733E">
              <w:t>0.647</w:t>
            </w:r>
          </w:p>
        </w:tc>
        <w:tc>
          <w:tcPr>
            <w:tcW w:w="993" w:type="dxa"/>
          </w:tcPr>
          <w:p w14:paraId="20FBFCA5" w14:textId="77777777" w:rsidR="00C775AE" w:rsidRPr="002F733E" w:rsidRDefault="00C775AE" w:rsidP="00C775AE">
            <w:pPr>
              <w:pStyle w:val="TableText0"/>
              <w:keepNext w:val="0"/>
              <w:jc w:val="center"/>
            </w:pPr>
          </w:p>
          <w:p w14:paraId="7E18167C" w14:textId="05FAB660" w:rsidR="00C775AE" w:rsidRPr="002F733E" w:rsidRDefault="00EB6544" w:rsidP="00C775AE">
            <w:pPr>
              <w:pStyle w:val="TableText0"/>
              <w:keepNext w:val="0"/>
              <w:jc w:val="center"/>
            </w:pPr>
            <w:r w:rsidRPr="00EB6544">
              <w:rPr>
                <w:color w:val="000000"/>
                <w:spacing w:val="42"/>
                <w:shd w:val="solid" w:color="000000" w:fill="000000"/>
                <w:fitText w:val="466" w:id="-1236572662"/>
                <w14:textFill>
                  <w14:solidFill>
                    <w14:srgbClr w14:val="000000">
                      <w14:alpha w14:val="100000"/>
                    </w14:srgbClr>
                  </w14:solidFill>
                </w14:textFill>
              </w:rPr>
              <w:t>|||||</w:t>
            </w:r>
            <w:r w:rsidRPr="00EB6544">
              <w:rPr>
                <w:color w:val="000000"/>
                <w:spacing w:val="1"/>
                <w:shd w:val="solid" w:color="000000" w:fill="000000"/>
                <w:fitText w:val="466" w:id="-1236572662"/>
                <w14:textFill>
                  <w14:solidFill>
                    <w14:srgbClr w14:val="000000">
                      <w14:alpha w14:val="100000"/>
                    </w14:srgbClr>
                  </w14:solidFill>
                </w14:textFill>
              </w:rPr>
              <w:t>|</w:t>
            </w:r>
            <w:r w:rsidR="00396C58">
              <w:rPr>
                <w:vertAlign w:val="superscript"/>
              </w:rPr>
              <w:t>2</w:t>
            </w:r>
          </w:p>
          <w:p w14:paraId="7D239D5C" w14:textId="54F2A369" w:rsidR="00C775AE" w:rsidRPr="002F733E" w:rsidRDefault="00EB6544" w:rsidP="00C775AE">
            <w:pPr>
              <w:pStyle w:val="TableText0"/>
              <w:keepNext w:val="0"/>
              <w:jc w:val="center"/>
            </w:pPr>
            <w:r w:rsidRPr="00EB6544">
              <w:rPr>
                <w:color w:val="000000"/>
                <w:spacing w:val="42"/>
                <w:shd w:val="solid" w:color="000000" w:fill="000000"/>
                <w:fitText w:val="466" w:id="-1236572661"/>
                <w14:textFill>
                  <w14:solidFill>
                    <w14:srgbClr w14:val="000000">
                      <w14:alpha w14:val="100000"/>
                    </w14:srgbClr>
                  </w14:solidFill>
                </w14:textFill>
              </w:rPr>
              <w:t>|||||</w:t>
            </w:r>
            <w:r w:rsidRPr="00EB6544">
              <w:rPr>
                <w:color w:val="000000"/>
                <w:spacing w:val="1"/>
                <w:shd w:val="solid" w:color="000000" w:fill="000000"/>
                <w:fitText w:val="466" w:id="-1236572661"/>
                <w14:textFill>
                  <w14:solidFill>
                    <w14:srgbClr w14:val="000000">
                      <w14:alpha w14:val="100000"/>
                    </w14:srgbClr>
                  </w14:solidFill>
                </w14:textFill>
              </w:rPr>
              <w:t>|</w:t>
            </w:r>
            <w:r w:rsidR="00396C58">
              <w:rPr>
                <w:vertAlign w:val="superscript"/>
              </w:rPr>
              <w:t>1</w:t>
            </w:r>
          </w:p>
        </w:tc>
        <w:tc>
          <w:tcPr>
            <w:tcW w:w="731" w:type="dxa"/>
          </w:tcPr>
          <w:p w14:paraId="5A58DE9D" w14:textId="77777777" w:rsidR="00C775AE" w:rsidRPr="002F733E" w:rsidRDefault="00C775AE" w:rsidP="00C775AE">
            <w:pPr>
              <w:pStyle w:val="TableText0"/>
              <w:keepNext w:val="0"/>
              <w:jc w:val="center"/>
            </w:pPr>
          </w:p>
          <w:p w14:paraId="1E61012F" w14:textId="77777777" w:rsidR="00C775AE" w:rsidRPr="002F733E" w:rsidRDefault="00C775AE" w:rsidP="00C775AE">
            <w:pPr>
              <w:pStyle w:val="TableText0"/>
              <w:keepNext w:val="0"/>
              <w:jc w:val="center"/>
            </w:pPr>
            <w:r w:rsidRPr="002F733E">
              <w:t>-5.8%</w:t>
            </w:r>
          </w:p>
          <w:p w14:paraId="0A771AE1" w14:textId="77777777" w:rsidR="00C775AE" w:rsidRPr="002F733E" w:rsidRDefault="00C775AE" w:rsidP="00C775AE">
            <w:pPr>
              <w:pStyle w:val="TableText0"/>
              <w:keepNext w:val="0"/>
              <w:jc w:val="center"/>
            </w:pPr>
            <w:r w:rsidRPr="002F733E">
              <w:t>0.3%</w:t>
            </w:r>
          </w:p>
        </w:tc>
      </w:tr>
      <w:tr w:rsidR="00C775AE" w:rsidRPr="002F733E" w14:paraId="32752EDF" w14:textId="77777777" w:rsidTr="00EB6544">
        <w:tc>
          <w:tcPr>
            <w:tcW w:w="5098" w:type="dxa"/>
            <w:tcBorders>
              <w:bottom w:val="nil"/>
            </w:tcBorders>
          </w:tcPr>
          <w:p w14:paraId="6B698E90" w14:textId="77777777" w:rsidR="00C775AE" w:rsidRPr="002F733E" w:rsidRDefault="00C775AE" w:rsidP="00C775AE">
            <w:pPr>
              <w:pStyle w:val="TableText0"/>
              <w:keepNext w:val="0"/>
            </w:pPr>
            <w:r w:rsidRPr="002F733E">
              <w:t>Anifrolumab response rate in first 6 months (base case 55%)</w:t>
            </w:r>
          </w:p>
        </w:tc>
        <w:tc>
          <w:tcPr>
            <w:tcW w:w="1134" w:type="dxa"/>
            <w:tcBorders>
              <w:bottom w:val="nil"/>
            </w:tcBorders>
          </w:tcPr>
          <w:p w14:paraId="4B8F1B87" w14:textId="77777777" w:rsidR="00C775AE" w:rsidRPr="002F733E" w:rsidRDefault="00C775AE" w:rsidP="00C775AE">
            <w:pPr>
              <w:pStyle w:val="TableText0"/>
              <w:keepNext w:val="0"/>
              <w:jc w:val="center"/>
            </w:pPr>
          </w:p>
        </w:tc>
        <w:tc>
          <w:tcPr>
            <w:tcW w:w="1134" w:type="dxa"/>
            <w:tcBorders>
              <w:bottom w:val="nil"/>
            </w:tcBorders>
          </w:tcPr>
          <w:p w14:paraId="4C1FF591" w14:textId="77777777" w:rsidR="00C775AE" w:rsidRPr="002F733E" w:rsidRDefault="00C775AE" w:rsidP="00C775AE">
            <w:pPr>
              <w:pStyle w:val="TableText0"/>
              <w:keepNext w:val="0"/>
              <w:jc w:val="center"/>
            </w:pPr>
          </w:p>
        </w:tc>
        <w:tc>
          <w:tcPr>
            <w:tcW w:w="993" w:type="dxa"/>
            <w:tcBorders>
              <w:bottom w:val="nil"/>
            </w:tcBorders>
          </w:tcPr>
          <w:p w14:paraId="011C8842" w14:textId="77777777" w:rsidR="00C775AE" w:rsidRPr="002F733E" w:rsidRDefault="00C775AE" w:rsidP="00C775AE">
            <w:pPr>
              <w:pStyle w:val="TableText0"/>
              <w:keepNext w:val="0"/>
              <w:jc w:val="center"/>
            </w:pPr>
          </w:p>
        </w:tc>
        <w:tc>
          <w:tcPr>
            <w:tcW w:w="731" w:type="dxa"/>
            <w:tcBorders>
              <w:bottom w:val="nil"/>
            </w:tcBorders>
          </w:tcPr>
          <w:p w14:paraId="3EA3F184" w14:textId="77777777" w:rsidR="00C775AE" w:rsidRPr="002F733E" w:rsidRDefault="00C775AE" w:rsidP="00C775AE">
            <w:pPr>
              <w:pStyle w:val="TableText0"/>
              <w:keepNext w:val="0"/>
              <w:jc w:val="center"/>
            </w:pPr>
          </w:p>
        </w:tc>
      </w:tr>
      <w:tr w:rsidR="00C775AE" w:rsidRPr="002F733E" w14:paraId="22F346E9" w14:textId="77777777" w:rsidTr="00EB6544">
        <w:tc>
          <w:tcPr>
            <w:tcW w:w="5098" w:type="dxa"/>
            <w:tcBorders>
              <w:top w:val="nil"/>
              <w:bottom w:val="nil"/>
            </w:tcBorders>
          </w:tcPr>
          <w:p w14:paraId="5493DEC0" w14:textId="77777777" w:rsidR="00C775AE" w:rsidRPr="002F733E" w:rsidRDefault="00C775AE" w:rsidP="00DC7889">
            <w:pPr>
              <w:pStyle w:val="TableText0"/>
              <w:keepNext w:val="0"/>
              <w:numPr>
                <w:ilvl w:val="0"/>
                <w:numId w:val="7"/>
              </w:numPr>
              <w:ind w:left="22" w:hanging="22"/>
            </w:pPr>
            <w:r w:rsidRPr="002F733E">
              <w:t>44%</w:t>
            </w:r>
          </w:p>
        </w:tc>
        <w:tc>
          <w:tcPr>
            <w:tcW w:w="1134" w:type="dxa"/>
            <w:tcBorders>
              <w:top w:val="nil"/>
              <w:bottom w:val="nil"/>
            </w:tcBorders>
            <w:shd w:val="solid" w:color="000000" w:fill="000000"/>
          </w:tcPr>
          <w:p w14:paraId="47D55F5D" w14:textId="31A187B0" w:rsidR="00C775AE" w:rsidRPr="00EB6544" w:rsidRDefault="00EB6544" w:rsidP="00C775AE">
            <w:pPr>
              <w:pStyle w:val="TableText0"/>
              <w:keepNext w:val="0"/>
              <w:jc w:val="center"/>
            </w:pPr>
            <w:r w:rsidRPr="00EB6544">
              <w:rPr>
                <w:color w:val="000000"/>
                <w:spacing w:val="65"/>
                <w:fitText w:val="366" w:id="-1236572660"/>
                <w14:textFill>
                  <w14:solidFill>
                    <w14:srgbClr w14:val="000000">
                      <w14:alpha w14:val="100000"/>
                    </w14:srgbClr>
                  </w14:solidFill>
                </w14:textFill>
              </w:rPr>
              <w:t>|||</w:t>
            </w:r>
            <w:r w:rsidRPr="00EB6544">
              <w:rPr>
                <w:color w:val="000000"/>
                <w:spacing w:val="1"/>
                <w:fitText w:val="366" w:id="-1236572660"/>
                <w14:textFill>
                  <w14:solidFill>
                    <w14:srgbClr w14:val="000000">
                      <w14:alpha w14:val="100000"/>
                    </w14:srgbClr>
                  </w14:solidFill>
                </w14:textFill>
              </w:rPr>
              <w:t>|</w:t>
            </w:r>
          </w:p>
        </w:tc>
        <w:tc>
          <w:tcPr>
            <w:tcW w:w="1134" w:type="dxa"/>
            <w:tcBorders>
              <w:top w:val="nil"/>
              <w:bottom w:val="nil"/>
            </w:tcBorders>
          </w:tcPr>
          <w:p w14:paraId="5FB8570A" w14:textId="77777777" w:rsidR="00C775AE" w:rsidRPr="002F733E" w:rsidRDefault="00C775AE" w:rsidP="00C775AE">
            <w:pPr>
              <w:pStyle w:val="TableText0"/>
              <w:keepNext w:val="0"/>
              <w:jc w:val="center"/>
            </w:pPr>
            <w:r w:rsidRPr="002F733E">
              <w:t>0.472</w:t>
            </w:r>
          </w:p>
        </w:tc>
        <w:tc>
          <w:tcPr>
            <w:tcW w:w="993" w:type="dxa"/>
            <w:tcBorders>
              <w:top w:val="nil"/>
              <w:bottom w:val="nil"/>
            </w:tcBorders>
          </w:tcPr>
          <w:p w14:paraId="3DEFF5D2" w14:textId="2F3590CE" w:rsidR="00C775AE" w:rsidRPr="002F733E" w:rsidRDefault="00EB6544" w:rsidP="00C775AE">
            <w:pPr>
              <w:pStyle w:val="TableText0"/>
              <w:keepNext w:val="0"/>
              <w:jc w:val="center"/>
            </w:pPr>
            <w:r w:rsidRPr="00EB6544">
              <w:rPr>
                <w:color w:val="000000"/>
                <w:spacing w:val="42"/>
                <w:shd w:val="solid" w:color="000000" w:fill="000000"/>
                <w:fitText w:val="466" w:id="-1236572659"/>
                <w14:textFill>
                  <w14:solidFill>
                    <w14:srgbClr w14:val="000000">
                      <w14:alpha w14:val="100000"/>
                    </w14:srgbClr>
                  </w14:solidFill>
                </w14:textFill>
              </w:rPr>
              <w:t>|||||</w:t>
            </w:r>
            <w:r w:rsidRPr="00EB6544">
              <w:rPr>
                <w:color w:val="000000"/>
                <w:spacing w:val="1"/>
                <w:shd w:val="solid" w:color="000000" w:fill="000000"/>
                <w:fitText w:val="466" w:id="-1236572659"/>
                <w14:textFill>
                  <w14:solidFill>
                    <w14:srgbClr w14:val="000000">
                      <w14:alpha w14:val="100000"/>
                    </w14:srgbClr>
                  </w14:solidFill>
                </w14:textFill>
              </w:rPr>
              <w:t>|</w:t>
            </w:r>
            <w:r w:rsidR="00396C58">
              <w:rPr>
                <w:vertAlign w:val="superscript"/>
              </w:rPr>
              <w:t>1</w:t>
            </w:r>
          </w:p>
        </w:tc>
        <w:tc>
          <w:tcPr>
            <w:tcW w:w="731" w:type="dxa"/>
            <w:tcBorders>
              <w:top w:val="nil"/>
              <w:bottom w:val="nil"/>
            </w:tcBorders>
          </w:tcPr>
          <w:p w14:paraId="39B6554D" w14:textId="77777777" w:rsidR="00C775AE" w:rsidRPr="002F733E" w:rsidRDefault="00C775AE" w:rsidP="00C775AE">
            <w:pPr>
              <w:pStyle w:val="TableText0"/>
              <w:keepNext w:val="0"/>
              <w:jc w:val="center"/>
            </w:pPr>
            <w:r w:rsidRPr="002F733E">
              <w:t>15.8%</w:t>
            </w:r>
          </w:p>
        </w:tc>
      </w:tr>
      <w:tr w:rsidR="00C775AE" w:rsidRPr="002F733E" w14:paraId="33D2C4E2" w14:textId="77777777" w:rsidTr="00EB6544">
        <w:tc>
          <w:tcPr>
            <w:tcW w:w="5098" w:type="dxa"/>
            <w:tcBorders>
              <w:top w:val="nil"/>
            </w:tcBorders>
          </w:tcPr>
          <w:p w14:paraId="69F42D9C" w14:textId="77777777" w:rsidR="00C775AE" w:rsidRPr="002F733E" w:rsidRDefault="00C775AE" w:rsidP="00DC7889">
            <w:pPr>
              <w:pStyle w:val="TableText0"/>
              <w:keepNext w:val="0"/>
              <w:numPr>
                <w:ilvl w:val="0"/>
                <w:numId w:val="7"/>
              </w:numPr>
              <w:ind w:left="22" w:hanging="22"/>
            </w:pPr>
            <w:r w:rsidRPr="002F733E">
              <w:t>66%</w:t>
            </w:r>
          </w:p>
        </w:tc>
        <w:tc>
          <w:tcPr>
            <w:tcW w:w="1134" w:type="dxa"/>
            <w:tcBorders>
              <w:top w:val="nil"/>
            </w:tcBorders>
            <w:shd w:val="solid" w:color="000000" w:fill="000000"/>
          </w:tcPr>
          <w:p w14:paraId="5786B920" w14:textId="56278772" w:rsidR="00C775AE" w:rsidRPr="00EB6544" w:rsidRDefault="00EB6544" w:rsidP="00C775AE">
            <w:pPr>
              <w:pStyle w:val="TableText0"/>
              <w:keepNext w:val="0"/>
              <w:jc w:val="center"/>
            </w:pPr>
            <w:r w:rsidRPr="00EB6544">
              <w:rPr>
                <w:color w:val="000000"/>
                <w:spacing w:val="65"/>
                <w:fitText w:val="366" w:id="-1236572658"/>
                <w14:textFill>
                  <w14:solidFill>
                    <w14:srgbClr w14:val="000000">
                      <w14:alpha w14:val="100000"/>
                    </w14:srgbClr>
                  </w14:solidFill>
                </w14:textFill>
              </w:rPr>
              <w:t>|||</w:t>
            </w:r>
            <w:r w:rsidRPr="00EB6544">
              <w:rPr>
                <w:color w:val="000000"/>
                <w:spacing w:val="1"/>
                <w:fitText w:val="366" w:id="-1236572658"/>
                <w14:textFill>
                  <w14:solidFill>
                    <w14:srgbClr w14:val="000000">
                      <w14:alpha w14:val="100000"/>
                    </w14:srgbClr>
                  </w14:solidFill>
                </w14:textFill>
              </w:rPr>
              <w:t>|</w:t>
            </w:r>
          </w:p>
        </w:tc>
        <w:tc>
          <w:tcPr>
            <w:tcW w:w="1134" w:type="dxa"/>
            <w:tcBorders>
              <w:top w:val="nil"/>
            </w:tcBorders>
          </w:tcPr>
          <w:p w14:paraId="6678D957" w14:textId="77777777" w:rsidR="00C775AE" w:rsidRPr="002F733E" w:rsidRDefault="00C775AE" w:rsidP="00C775AE">
            <w:pPr>
              <w:pStyle w:val="TableText0"/>
              <w:keepNext w:val="0"/>
              <w:jc w:val="center"/>
            </w:pPr>
            <w:r w:rsidRPr="002F733E">
              <w:t>0.838</w:t>
            </w:r>
          </w:p>
        </w:tc>
        <w:tc>
          <w:tcPr>
            <w:tcW w:w="993" w:type="dxa"/>
            <w:tcBorders>
              <w:top w:val="nil"/>
            </w:tcBorders>
          </w:tcPr>
          <w:p w14:paraId="4536BAD8" w14:textId="25657A71" w:rsidR="00C775AE" w:rsidRPr="002F733E" w:rsidRDefault="00EB6544" w:rsidP="00C775AE">
            <w:pPr>
              <w:pStyle w:val="TableText0"/>
              <w:keepNext w:val="0"/>
              <w:jc w:val="center"/>
            </w:pPr>
            <w:r w:rsidRPr="00EB6544">
              <w:rPr>
                <w:color w:val="000000"/>
                <w:spacing w:val="42"/>
                <w:shd w:val="solid" w:color="000000" w:fill="000000"/>
                <w:fitText w:val="466" w:id="-1236572657"/>
                <w14:textFill>
                  <w14:solidFill>
                    <w14:srgbClr w14:val="000000">
                      <w14:alpha w14:val="100000"/>
                    </w14:srgbClr>
                  </w14:solidFill>
                </w14:textFill>
              </w:rPr>
              <w:t>|||||</w:t>
            </w:r>
            <w:r w:rsidRPr="00EB6544">
              <w:rPr>
                <w:color w:val="000000"/>
                <w:spacing w:val="1"/>
                <w:shd w:val="solid" w:color="000000" w:fill="000000"/>
                <w:fitText w:val="466" w:id="-1236572657"/>
                <w14:textFill>
                  <w14:solidFill>
                    <w14:srgbClr w14:val="000000">
                      <w14:alpha w14:val="100000"/>
                    </w14:srgbClr>
                  </w14:solidFill>
                </w14:textFill>
              </w:rPr>
              <w:t>|</w:t>
            </w:r>
            <w:r w:rsidR="00396C58">
              <w:rPr>
                <w:vertAlign w:val="superscript"/>
              </w:rPr>
              <w:t>2</w:t>
            </w:r>
          </w:p>
        </w:tc>
        <w:tc>
          <w:tcPr>
            <w:tcW w:w="731" w:type="dxa"/>
            <w:tcBorders>
              <w:top w:val="nil"/>
            </w:tcBorders>
          </w:tcPr>
          <w:p w14:paraId="5FAABAF2" w14:textId="77777777" w:rsidR="00C775AE" w:rsidRPr="002F733E" w:rsidRDefault="00C775AE" w:rsidP="00C775AE">
            <w:pPr>
              <w:pStyle w:val="TableText0"/>
              <w:keepNext w:val="0"/>
              <w:jc w:val="center"/>
            </w:pPr>
            <w:r w:rsidRPr="002F733E">
              <w:t>-7.7%</w:t>
            </w:r>
          </w:p>
        </w:tc>
      </w:tr>
      <w:tr w:rsidR="00C775AE" w:rsidRPr="002F733E" w14:paraId="76E36160" w14:textId="77777777" w:rsidTr="00EB6544">
        <w:tc>
          <w:tcPr>
            <w:tcW w:w="5098" w:type="dxa"/>
            <w:tcBorders>
              <w:bottom w:val="nil"/>
            </w:tcBorders>
          </w:tcPr>
          <w:p w14:paraId="37D7EC51" w14:textId="323493E6" w:rsidR="00C775AE" w:rsidRPr="002F733E" w:rsidRDefault="00C775AE" w:rsidP="00C775AE">
            <w:pPr>
              <w:pStyle w:val="TableText0"/>
              <w:keepNext w:val="0"/>
            </w:pPr>
            <w:r w:rsidRPr="002F733E">
              <w:t>Non</w:t>
            </w:r>
            <w:r w:rsidR="00B4682C" w:rsidRPr="002F733E">
              <w:t>-</w:t>
            </w:r>
            <w:r w:rsidRPr="002F733E">
              <w:t xml:space="preserve">severe flare intercept </w:t>
            </w:r>
          </w:p>
        </w:tc>
        <w:tc>
          <w:tcPr>
            <w:tcW w:w="1134" w:type="dxa"/>
            <w:tcBorders>
              <w:bottom w:val="nil"/>
            </w:tcBorders>
          </w:tcPr>
          <w:p w14:paraId="7191AD93" w14:textId="77777777" w:rsidR="00C775AE" w:rsidRPr="002F733E" w:rsidRDefault="00C775AE" w:rsidP="00C775AE">
            <w:pPr>
              <w:pStyle w:val="TableText0"/>
              <w:keepNext w:val="0"/>
              <w:jc w:val="center"/>
            </w:pPr>
          </w:p>
        </w:tc>
        <w:tc>
          <w:tcPr>
            <w:tcW w:w="1134" w:type="dxa"/>
            <w:tcBorders>
              <w:bottom w:val="nil"/>
            </w:tcBorders>
          </w:tcPr>
          <w:p w14:paraId="7CBCCB8C" w14:textId="77777777" w:rsidR="00C775AE" w:rsidRPr="002F733E" w:rsidRDefault="00C775AE" w:rsidP="00C775AE">
            <w:pPr>
              <w:pStyle w:val="TableText0"/>
              <w:keepNext w:val="0"/>
              <w:jc w:val="center"/>
            </w:pPr>
          </w:p>
        </w:tc>
        <w:tc>
          <w:tcPr>
            <w:tcW w:w="993" w:type="dxa"/>
            <w:tcBorders>
              <w:bottom w:val="nil"/>
            </w:tcBorders>
          </w:tcPr>
          <w:p w14:paraId="71D9B078" w14:textId="77777777" w:rsidR="00C775AE" w:rsidRPr="002F733E" w:rsidRDefault="00C775AE" w:rsidP="00C775AE">
            <w:pPr>
              <w:pStyle w:val="TableText0"/>
              <w:keepNext w:val="0"/>
              <w:jc w:val="center"/>
            </w:pPr>
          </w:p>
        </w:tc>
        <w:tc>
          <w:tcPr>
            <w:tcW w:w="731" w:type="dxa"/>
            <w:tcBorders>
              <w:bottom w:val="nil"/>
            </w:tcBorders>
          </w:tcPr>
          <w:p w14:paraId="4753DA1D" w14:textId="77777777" w:rsidR="00C775AE" w:rsidRPr="002F733E" w:rsidRDefault="00C775AE" w:rsidP="00C775AE">
            <w:pPr>
              <w:pStyle w:val="TableText0"/>
              <w:keepNext w:val="0"/>
              <w:jc w:val="center"/>
            </w:pPr>
          </w:p>
        </w:tc>
      </w:tr>
      <w:tr w:rsidR="00C775AE" w:rsidRPr="002F733E" w14:paraId="01797E2F" w14:textId="77777777" w:rsidTr="00EB6544">
        <w:tc>
          <w:tcPr>
            <w:tcW w:w="5098" w:type="dxa"/>
            <w:tcBorders>
              <w:top w:val="nil"/>
              <w:bottom w:val="nil"/>
            </w:tcBorders>
          </w:tcPr>
          <w:p w14:paraId="0C1B8DB9" w14:textId="77777777" w:rsidR="00C775AE" w:rsidRPr="002F733E" w:rsidRDefault="00C775AE" w:rsidP="00DC7889">
            <w:pPr>
              <w:pStyle w:val="TableText0"/>
              <w:keepNext w:val="0"/>
              <w:numPr>
                <w:ilvl w:val="0"/>
                <w:numId w:val="7"/>
              </w:numPr>
              <w:ind w:left="22" w:hanging="22"/>
            </w:pPr>
            <w:r w:rsidRPr="002F733E">
              <w:t>Lower 95% CI (NR)</w:t>
            </w:r>
          </w:p>
        </w:tc>
        <w:tc>
          <w:tcPr>
            <w:tcW w:w="1134" w:type="dxa"/>
            <w:tcBorders>
              <w:top w:val="nil"/>
              <w:bottom w:val="nil"/>
            </w:tcBorders>
            <w:shd w:val="solid" w:color="000000" w:fill="000000"/>
          </w:tcPr>
          <w:p w14:paraId="1818B0C6" w14:textId="14423F78" w:rsidR="00C775AE" w:rsidRPr="00EB6544" w:rsidRDefault="00EB6544" w:rsidP="00C775AE">
            <w:pPr>
              <w:pStyle w:val="TableText0"/>
              <w:keepNext w:val="0"/>
              <w:jc w:val="center"/>
            </w:pPr>
            <w:r w:rsidRPr="00EB6544">
              <w:rPr>
                <w:color w:val="000000"/>
                <w:spacing w:val="65"/>
                <w:fitText w:val="366" w:id="-1236572656"/>
                <w14:textFill>
                  <w14:solidFill>
                    <w14:srgbClr w14:val="000000">
                      <w14:alpha w14:val="100000"/>
                    </w14:srgbClr>
                  </w14:solidFill>
                </w14:textFill>
              </w:rPr>
              <w:t>|||</w:t>
            </w:r>
            <w:r w:rsidRPr="00EB6544">
              <w:rPr>
                <w:color w:val="000000"/>
                <w:spacing w:val="1"/>
                <w:fitText w:val="366" w:id="-1236572656"/>
                <w14:textFill>
                  <w14:solidFill>
                    <w14:srgbClr w14:val="000000">
                      <w14:alpha w14:val="100000"/>
                    </w14:srgbClr>
                  </w14:solidFill>
                </w14:textFill>
              </w:rPr>
              <w:t>|</w:t>
            </w:r>
          </w:p>
        </w:tc>
        <w:tc>
          <w:tcPr>
            <w:tcW w:w="1134" w:type="dxa"/>
            <w:tcBorders>
              <w:top w:val="nil"/>
              <w:bottom w:val="nil"/>
            </w:tcBorders>
          </w:tcPr>
          <w:p w14:paraId="0642691C" w14:textId="77777777" w:rsidR="00C775AE" w:rsidRPr="002F733E" w:rsidRDefault="00C775AE" w:rsidP="00C775AE">
            <w:pPr>
              <w:pStyle w:val="TableText0"/>
              <w:keepNext w:val="0"/>
              <w:jc w:val="center"/>
            </w:pPr>
            <w:r w:rsidRPr="002F733E">
              <w:t>0.508</w:t>
            </w:r>
          </w:p>
        </w:tc>
        <w:tc>
          <w:tcPr>
            <w:tcW w:w="993" w:type="dxa"/>
            <w:tcBorders>
              <w:top w:val="nil"/>
              <w:bottom w:val="nil"/>
            </w:tcBorders>
          </w:tcPr>
          <w:p w14:paraId="3CC70E18" w14:textId="0EA3ED76" w:rsidR="00C775AE" w:rsidRPr="002F733E" w:rsidRDefault="00EB6544" w:rsidP="00C775AE">
            <w:pPr>
              <w:pStyle w:val="TableText0"/>
              <w:keepNext w:val="0"/>
              <w:jc w:val="center"/>
            </w:pPr>
            <w:r w:rsidRPr="00EB6544">
              <w:rPr>
                <w:color w:val="000000"/>
                <w:spacing w:val="42"/>
                <w:shd w:val="solid" w:color="000000" w:fill="000000"/>
                <w:fitText w:val="466" w:id="-1236572672"/>
                <w14:textFill>
                  <w14:solidFill>
                    <w14:srgbClr w14:val="000000">
                      <w14:alpha w14:val="100000"/>
                    </w14:srgbClr>
                  </w14:solidFill>
                </w14:textFill>
              </w:rPr>
              <w:t>|||||</w:t>
            </w:r>
            <w:r w:rsidRPr="00EB6544">
              <w:rPr>
                <w:color w:val="000000"/>
                <w:spacing w:val="1"/>
                <w:shd w:val="solid" w:color="000000" w:fill="000000"/>
                <w:fitText w:val="466" w:id="-1236572672"/>
                <w14:textFill>
                  <w14:solidFill>
                    <w14:srgbClr w14:val="000000">
                      <w14:alpha w14:val="100000"/>
                    </w14:srgbClr>
                  </w14:solidFill>
                </w14:textFill>
              </w:rPr>
              <w:t>|</w:t>
            </w:r>
            <w:r w:rsidR="00396C58">
              <w:rPr>
                <w:vertAlign w:val="superscript"/>
              </w:rPr>
              <w:t>3</w:t>
            </w:r>
          </w:p>
        </w:tc>
        <w:tc>
          <w:tcPr>
            <w:tcW w:w="731" w:type="dxa"/>
            <w:tcBorders>
              <w:top w:val="nil"/>
              <w:bottom w:val="nil"/>
            </w:tcBorders>
          </w:tcPr>
          <w:p w14:paraId="3B748E07" w14:textId="77777777" w:rsidR="00C775AE" w:rsidRPr="002F733E" w:rsidRDefault="00C775AE" w:rsidP="00C775AE">
            <w:pPr>
              <w:pStyle w:val="TableText0"/>
              <w:keepNext w:val="0"/>
              <w:jc w:val="center"/>
            </w:pPr>
            <w:r w:rsidRPr="002F733E">
              <w:t>36.4%</w:t>
            </w:r>
          </w:p>
        </w:tc>
      </w:tr>
      <w:tr w:rsidR="00C775AE" w:rsidRPr="002F733E" w14:paraId="49BAB3B4" w14:textId="77777777" w:rsidTr="00EB6544">
        <w:tc>
          <w:tcPr>
            <w:tcW w:w="5098" w:type="dxa"/>
            <w:tcBorders>
              <w:top w:val="nil"/>
            </w:tcBorders>
          </w:tcPr>
          <w:p w14:paraId="2CEA8A2C" w14:textId="77777777" w:rsidR="00C775AE" w:rsidRPr="002F733E" w:rsidRDefault="00C775AE" w:rsidP="00DC7889">
            <w:pPr>
              <w:pStyle w:val="TableText0"/>
              <w:keepNext w:val="0"/>
              <w:numPr>
                <w:ilvl w:val="0"/>
                <w:numId w:val="7"/>
              </w:numPr>
              <w:ind w:left="22" w:hanging="22"/>
            </w:pPr>
            <w:r w:rsidRPr="002F733E">
              <w:t>Upper 95% CI (NR)</w:t>
            </w:r>
          </w:p>
        </w:tc>
        <w:tc>
          <w:tcPr>
            <w:tcW w:w="1134" w:type="dxa"/>
            <w:tcBorders>
              <w:top w:val="nil"/>
            </w:tcBorders>
            <w:shd w:val="solid" w:color="000000" w:fill="000000"/>
          </w:tcPr>
          <w:p w14:paraId="3CC37D32" w14:textId="6AF1772C" w:rsidR="00C775AE" w:rsidRPr="00EB6544" w:rsidRDefault="00EB6544" w:rsidP="00C775AE">
            <w:pPr>
              <w:pStyle w:val="TableText0"/>
              <w:keepNext w:val="0"/>
              <w:jc w:val="center"/>
            </w:pPr>
            <w:r w:rsidRPr="00EB6544">
              <w:rPr>
                <w:color w:val="000000"/>
                <w:spacing w:val="65"/>
                <w:fitText w:val="366" w:id="-1236572671"/>
                <w14:textFill>
                  <w14:solidFill>
                    <w14:srgbClr w14:val="000000">
                      <w14:alpha w14:val="100000"/>
                    </w14:srgbClr>
                  </w14:solidFill>
                </w14:textFill>
              </w:rPr>
              <w:t>|||</w:t>
            </w:r>
            <w:r w:rsidRPr="00EB6544">
              <w:rPr>
                <w:color w:val="000000"/>
                <w:spacing w:val="1"/>
                <w:fitText w:val="366" w:id="-1236572671"/>
                <w14:textFill>
                  <w14:solidFill>
                    <w14:srgbClr w14:val="000000">
                      <w14:alpha w14:val="100000"/>
                    </w14:srgbClr>
                  </w14:solidFill>
                </w14:textFill>
              </w:rPr>
              <w:t>|</w:t>
            </w:r>
          </w:p>
        </w:tc>
        <w:tc>
          <w:tcPr>
            <w:tcW w:w="1134" w:type="dxa"/>
            <w:tcBorders>
              <w:top w:val="nil"/>
            </w:tcBorders>
          </w:tcPr>
          <w:p w14:paraId="32A6C9E2" w14:textId="77777777" w:rsidR="00C775AE" w:rsidRPr="002F733E" w:rsidRDefault="00C775AE" w:rsidP="00C775AE">
            <w:pPr>
              <w:pStyle w:val="TableText0"/>
              <w:keepNext w:val="0"/>
              <w:jc w:val="center"/>
            </w:pPr>
            <w:r w:rsidRPr="002F733E">
              <w:t>0.828</w:t>
            </w:r>
          </w:p>
        </w:tc>
        <w:tc>
          <w:tcPr>
            <w:tcW w:w="993" w:type="dxa"/>
            <w:tcBorders>
              <w:top w:val="nil"/>
            </w:tcBorders>
          </w:tcPr>
          <w:p w14:paraId="439BB5AC" w14:textId="270DE491" w:rsidR="00C775AE" w:rsidRPr="002F733E" w:rsidRDefault="00EB6544" w:rsidP="00C775AE">
            <w:pPr>
              <w:pStyle w:val="TableText0"/>
              <w:keepNext w:val="0"/>
              <w:jc w:val="center"/>
            </w:pPr>
            <w:r w:rsidRPr="00EB6544">
              <w:rPr>
                <w:color w:val="000000"/>
                <w:spacing w:val="42"/>
                <w:shd w:val="solid" w:color="000000" w:fill="000000"/>
                <w:fitText w:val="466" w:id="-1236572670"/>
                <w14:textFill>
                  <w14:solidFill>
                    <w14:srgbClr w14:val="000000">
                      <w14:alpha w14:val="100000"/>
                    </w14:srgbClr>
                  </w14:solidFill>
                </w14:textFill>
              </w:rPr>
              <w:t>|||||</w:t>
            </w:r>
            <w:r w:rsidRPr="00EB6544">
              <w:rPr>
                <w:color w:val="000000"/>
                <w:spacing w:val="1"/>
                <w:shd w:val="solid" w:color="000000" w:fill="000000"/>
                <w:fitText w:val="466" w:id="-1236572670"/>
                <w14:textFill>
                  <w14:solidFill>
                    <w14:srgbClr w14:val="000000">
                      <w14:alpha w14:val="100000"/>
                    </w14:srgbClr>
                  </w14:solidFill>
                </w14:textFill>
              </w:rPr>
              <w:t>|</w:t>
            </w:r>
            <w:r w:rsidR="00396C58">
              <w:rPr>
                <w:vertAlign w:val="superscript"/>
              </w:rPr>
              <w:t>2</w:t>
            </w:r>
          </w:p>
        </w:tc>
        <w:tc>
          <w:tcPr>
            <w:tcW w:w="731" w:type="dxa"/>
            <w:tcBorders>
              <w:top w:val="nil"/>
            </w:tcBorders>
          </w:tcPr>
          <w:p w14:paraId="479567C4" w14:textId="77777777" w:rsidR="00C775AE" w:rsidRPr="002F733E" w:rsidRDefault="00C775AE" w:rsidP="00C775AE">
            <w:pPr>
              <w:pStyle w:val="TableText0"/>
              <w:keepNext w:val="0"/>
              <w:jc w:val="center"/>
            </w:pPr>
            <w:r w:rsidRPr="002F733E">
              <w:t>-18.8%</w:t>
            </w:r>
          </w:p>
        </w:tc>
      </w:tr>
      <w:tr w:rsidR="00C775AE" w:rsidRPr="002F733E" w14:paraId="7DFDE910" w14:textId="77777777" w:rsidTr="00EB6544">
        <w:tc>
          <w:tcPr>
            <w:tcW w:w="5098" w:type="dxa"/>
            <w:tcBorders>
              <w:bottom w:val="nil"/>
            </w:tcBorders>
          </w:tcPr>
          <w:p w14:paraId="1A8CD0A4" w14:textId="77777777" w:rsidR="00C775AE" w:rsidRPr="002F733E" w:rsidRDefault="00C775AE" w:rsidP="00C775AE">
            <w:pPr>
              <w:pStyle w:val="TableText0"/>
              <w:keepNext w:val="0"/>
            </w:pPr>
            <w:r w:rsidRPr="002F733E">
              <w:t xml:space="preserve">Severe flare intercept </w:t>
            </w:r>
          </w:p>
        </w:tc>
        <w:tc>
          <w:tcPr>
            <w:tcW w:w="1134" w:type="dxa"/>
            <w:tcBorders>
              <w:bottom w:val="nil"/>
            </w:tcBorders>
          </w:tcPr>
          <w:p w14:paraId="272CEBA9" w14:textId="77777777" w:rsidR="00C775AE" w:rsidRPr="002F733E" w:rsidRDefault="00C775AE" w:rsidP="00C775AE">
            <w:pPr>
              <w:pStyle w:val="TableText0"/>
              <w:keepNext w:val="0"/>
              <w:jc w:val="center"/>
            </w:pPr>
          </w:p>
        </w:tc>
        <w:tc>
          <w:tcPr>
            <w:tcW w:w="1134" w:type="dxa"/>
            <w:tcBorders>
              <w:bottom w:val="nil"/>
            </w:tcBorders>
          </w:tcPr>
          <w:p w14:paraId="01598233" w14:textId="77777777" w:rsidR="00C775AE" w:rsidRPr="002F733E" w:rsidRDefault="00C775AE" w:rsidP="00C775AE">
            <w:pPr>
              <w:pStyle w:val="TableText0"/>
              <w:keepNext w:val="0"/>
              <w:jc w:val="center"/>
            </w:pPr>
          </w:p>
        </w:tc>
        <w:tc>
          <w:tcPr>
            <w:tcW w:w="993" w:type="dxa"/>
            <w:tcBorders>
              <w:bottom w:val="nil"/>
            </w:tcBorders>
          </w:tcPr>
          <w:p w14:paraId="61E47CCC" w14:textId="77777777" w:rsidR="00C775AE" w:rsidRPr="002F733E" w:rsidRDefault="00C775AE" w:rsidP="00C775AE">
            <w:pPr>
              <w:pStyle w:val="TableText0"/>
              <w:keepNext w:val="0"/>
              <w:jc w:val="center"/>
            </w:pPr>
          </w:p>
        </w:tc>
        <w:tc>
          <w:tcPr>
            <w:tcW w:w="731" w:type="dxa"/>
            <w:tcBorders>
              <w:bottom w:val="nil"/>
            </w:tcBorders>
          </w:tcPr>
          <w:p w14:paraId="159486A3" w14:textId="77777777" w:rsidR="00C775AE" w:rsidRPr="002F733E" w:rsidRDefault="00C775AE" w:rsidP="00C775AE">
            <w:pPr>
              <w:pStyle w:val="TableText0"/>
              <w:keepNext w:val="0"/>
              <w:jc w:val="center"/>
            </w:pPr>
          </w:p>
        </w:tc>
      </w:tr>
      <w:tr w:rsidR="00C775AE" w:rsidRPr="002F733E" w14:paraId="45D7C06B" w14:textId="77777777" w:rsidTr="00EB6544">
        <w:tc>
          <w:tcPr>
            <w:tcW w:w="5098" w:type="dxa"/>
            <w:tcBorders>
              <w:top w:val="nil"/>
              <w:bottom w:val="nil"/>
            </w:tcBorders>
          </w:tcPr>
          <w:p w14:paraId="10E30074" w14:textId="77777777" w:rsidR="00C775AE" w:rsidRPr="002F733E" w:rsidRDefault="00C775AE" w:rsidP="00DC7889">
            <w:pPr>
              <w:pStyle w:val="TableText0"/>
              <w:keepNext w:val="0"/>
              <w:numPr>
                <w:ilvl w:val="0"/>
                <w:numId w:val="7"/>
              </w:numPr>
              <w:ind w:left="22" w:hanging="22"/>
            </w:pPr>
            <w:r w:rsidRPr="002F733E">
              <w:t>Lower 95% CI (NR)</w:t>
            </w:r>
          </w:p>
        </w:tc>
        <w:tc>
          <w:tcPr>
            <w:tcW w:w="1134" w:type="dxa"/>
            <w:tcBorders>
              <w:top w:val="nil"/>
              <w:bottom w:val="nil"/>
            </w:tcBorders>
            <w:shd w:val="solid" w:color="000000" w:fill="000000"/>
          </w:tcPr>
          <w:p w14:paraId="6F951C82" w14:textId="02F90862" w:rsidR="00C775AE" w:rsidRPr="00EB6544" w:rsidRDefault="00EB6544" w:rsidP="00C775AE">
            <w:pPr>
              <w:pStyle w:val="TableText0"/>
              <w:keepNext w:val="0"/>
              <w:jc w:val="center"/>
            </w:pPr>
            <w:r w:rsidRPr="00EB6544">
              <w:rPr>
                <w:color w:val="000000"/>
                <w:spacing w:val="65"/>
                <w:fitText w:val="366" w:id="-1236572669"/>
                <w14:textFill>
                  <w14:solidFill>
                    <w14:srgbClr w14:val="000000">
                      <w14:alpha w14:val="100000"/>
                    </w14:srgbClr>
                  </w14:solidFill>
                </w14:textFill>
              </w:rPr>
              <w:t>|||</w:t>
            </w:r>
            <w:r w:rsidRPr="00EB6544">
              <w:rPr>
                <w:color w:val="000000"/>
                <w:spacing w:val="1"/>
                <w:fitText w:val="366" w:id="-1236572669"/>
                <w14:textFill>
                  <w14:solidFill>
                    <w14:srgbClr w14:val="000000">
                      <w14:alpha w14:val="100000"/>
                    </w14:srgbClr>
                  </w14:solidFill>
                </w14:textFill>
              </w:rPr>
              <w:t>|</w:t>
            </w:r>
          </w:p>
        </w:tc>
        <w:tc>
          <w:tcPr>
            <w:tcW w:w="1134" w:type="dxa"/>
            <w:tcBorders>
              <w:top w:val="nil"/>
              <w:bottom w:val="nil"/>
            </w:tcBorders>
          </w:tcPr>
          <w:p w14:paraId="4673942C" w14:textId="77777777" w:rsidR="00C775AE" w:rsidRPr="002F733E" w:rsidRDefault="00C775AE" w:rsidP="00C775AE">
            <w:pPr>
              <w:pStyle w:val="TableText0"/>
              <w:keepNext w:val="0"/>
              <w:jc w:val="center"/>
            </w:pPr>
            <w:r w:rsidRPr="002F733E">
              <w:t>0.528</w:t>
            </w:r>
          </w:p>
        </w:tc>
        <w:tc>
          <w:tcPr>
            <w:tcW w:w="993" w:type="dxa"/>
            <w:tcBorders>
              <w:top w:val="nil"/>
              <w:bottom w:val="nil"/>
            </w:tcBorders>
          </w:tcPr>
          <w:p w14:paraId="5B083A05" w14:textId="3FDF9DD7" w:rsidR="00C775AE" w:rsidRPr="002F733E" w:rsidRDefault="00EB6544" w:rsidP="00C775AE">
            <w:pPr>
              <w:pStyle w:val="TableText0"/>
              <w:keepNext w:val="0"/>
              <w:jc w:val="center"/>
            </w:pPr>
            <w:r w:rsidRPr="00EB6544">
              <w:rPr>
                <w:color w:val="000000"/>
                <w:spacing w:val="42"/>
                <w:shd w:val="solid" w:color="000000" w:fill="000000"/>
                <w:fitText w:val="466" w:id="-1236572668"/>
                <w14:textFill>
                  <w14:solidFill>
                    <w14:srgbClr w14:val="000000">
                      <w14:alpha w14:val="100000"/>
                    </w14:srgbClr>
                  </w14:solidFill>
                </w14:textFill>
              </w:rPr>
              <w:t>|||||</w:t>
            </w:r>
            <w:r w:rsidRPr="00EB6544">
              <w:rPr>
                <w:color w:val="000000"/>
                <w:spacing w:val="1"/>
                <w:shd w:val="solid" w:color="000000" w:fill="000000"/>
                <w:fitText w:val="466" w:id="-1236572668"/>
                <w14:textFill>
                  <w14:solidFill>
                    <w14:srgbClr w14:val="000000">
                      <w14:alpha w14:val="100000"/>
                    </w14:srgbClr>
                  </w14:solidFill>
                </w14:textFill>
              </w:rPr>
              <w:t>|</w:t>
            </w:r>
            <w:r w:rsidR="00396C58">
              <w:rPr>
                <w:vertAlign w:val="superscript"/>
              </w:rPr>
              <w:t>3</w:t>
            </w:r>
          </w:p>
        </w:tc>
        <w:tc>
          <w:tcPr>
            <w:tcW w:w="731" w:type="dxa"/>
            <w:tcBorders>
              <w:top w:val="nil"/>
              <w:bottom w:val="nil"/>
            </w:tcBorders>
          </w:tcPr>
          <w:p w14:paraId="65A6AA14" w14:textId="77777777" w:rsidR="00C775AE" w:rsidRPr="002F733E" w:rsidRDefault="00C775AE" w:rsidP="00C775AE">
            <w:pPr>
              <w:pStyle w:val="TableText0"/>
              <w:keepNext w:val="0"/>
              <w:jc w:val="center"/>
            </w:pPr>
            <w:r w:rsidRPr="002F733E">
              <w:t>31.5%</w:t>
            </w:r>
          </w:p>
        </w:tc>
      </w:tr>
      <w:tr w:rsidR="00C775AE" w:rsidRPr="002F733E" w14:paraId="528468FB" w14:textId="77777777" w:rsidTr="00EB6544">
        <w:tc>
          <w:tcPr>
            <w:tcW w:w="5098" w:type="dxa"/>
            <w:tcBorders>
              <w:top w:val="nil"/>
            </w:tcBorders>
          </w:tcPr>
          <w:p w14:paraId="00FDAC15" w14:textId="77777777" w:rsidR="00C775AE" w:rsidRPr="002F733E" w:rsidRDefault="00C775AE" w:rsidP="00DC7889">
            <w:pPr>
              <w:pStyle w:val="TableText0"/>
              <w:keepNext w:val="0"/>
              <w:numPr>
                <w:ilvl w:val="0"/>
                <w:numId w:val="7"/>
              </w:numPr>
              <w:ind w:left="22" w:hanging="22"/>
            </w:pPr>
            <w:r w:rsidRPr="002F733E">
              <w:t>Upper 95% CI (NR)</w:t>
            </w:r>
          </w:p>
        </w:tc>
        <w:tc>
          <w:tcPr>
            <w:tcW w:w="1134" w:type="dxa"/>
            <w:tcBorders>
              <w:top w:val="nil"/>
            </w:tcBorders>
            <w:shd w:val="solid" w:color="000000" w:fill="000000"/>
          </w:tcPr>
          <w:p w14:paraId="1EBF41A0" w14:textId="63A7D37D" w:rsidR="00C775AE" w:rsidRPr="00EB6544" w:rsidRDefault="00EB6544" w:rsidP="00C775AE">
            <w:pPr>
              <w:pStyle w:val="TableText0"/>
              <w:keepNext w:val="0"/>
              <w:jc w:val="center"/>
            </w:pPr>
            <w:r w:rsidRPr="00EB6544">
              <w:rPr>
                <w:color w:val="000000"/>
                <w:spacing w:val="65"/>
                <w:fitText w:val="366" w:id="-1236572667"/>
                <w14:textFill>
                  <w14:solidFill>
                    <w14:srgbClr w14:val="000000">
                      <w14:alpha w14:val="100000"/>
                    </w14:srgbClr>
                  </w14:solidFill>
                </w14:textFill>
              </w:rPr>
              <w:t>|||</w:t>
            </w:r>
            <w:r w:rsidRPr="00EB6544">
              <w:rPr>
                <w:color w:val="000000"/>
                <w:spacing w:val="1"/>
                <w:fitText w:val="366" w:id="-1236572667"/>
                <w14:textFill>
                  <w14:solidFill>
                    <w14:srgbClr w14:val="000000">
                      <w14:alpha w14:val="100000"/>
                    </w14:srgbClr>
                  </w14:solidFill>
                </w14:textFill>
              </w:rPr>
              <w:t>|</w:t>
            </w:r>
          </w:p>
        </w:tc>
        <w:tc>
          <w:tcPr>
            <w:tcW w:w="1134" w:type="dxa"/>
            <w:tcBorders>
              <w:top w:val="nil"/>
            </w:tcBorders>
          </w:tcPr>
          <w:p w14:paraId="2A45601C" w14:textId="77777777" w:rsidR="00C775AE" w:rsidRPr="002F733E" w:rsidRDefault="00C775AE" w:rsidP="00C775AE">
            <w:pPr>
              <w:pStyle w:val="TableText0"/>
              <w:keepNext w:val="0"/>
              <w:jc w:val="center"/>
            </w:pPr>
            <w:r w:rsidRPr="002F733E">
              <w:t>0.892</w:t>
            </w:r>
          </w:p>
        </w:tc>
        <w:tc>
          <w:tcPr>
            <w:tcW w:w="993" w:type="dxa"/>
            <w:tcBorders>
              <w:top w:val="nil"/>
            </w:tcBorders>
          </w:tcPr>
          <w:p w14:paraId="4284CE01" w14:textId="08AEE998" w:rsidR="00C775AE" w:rsidRPr="002F733E" w:rsidRDefault="00EB6544" w:rsidP="00C775AE">
            <w:pPr>
              <w:pStyle w:val="TableText0"/>
              <w:keepNext w:val="0"/>
              <w:jc w:val="center"/>
            </w:pPr>
            <w:r w:rsidRPr="00EB6544">
              <w:rPr>
                <w:color w:val="000000"/>
                <w:spacing w:val="42"/>
                <w:shd w:val="solid" w:color="000000" w:fill="000000"/>
                <w:fitText w:val="466" w:id="-1236572666"/>
                <w14:textFill>
                  <w14:solidFill>
                    <w14:srgbClr w14:val="000000">
                      <w14:alpha w14:val="100000"/>
                    </w14:srgbClr>
                  </w14:solidFill>
                </w14:textFill>
              </w:rPr>
              <w:t>|||||</w:t>
            </w:r>
            <w:r w:rsidRPr="00EB6544">
              <w:rPr>
                <w:color w:val="000000"/>
                <w:spacing w:val="1"/>
                <w:shd w:val="solid" w:color="000000" w:fill="000000"/>
                <w:fitText w:val="466" w:id="-1236572666"/>
                <w14:textFill>
                  <w14:solidFill>
                    <w14:srgbClr w14:val="000000">
                      <w14:alpha w14:val="100000"/>
                    </w14:srgbClr>
                  </w14:solidFill>
                </w14:textFill>
              </w:rPr>
              <w:t>|</w:t>
            </w:r>
            <w:r w:rsidR="00396C58">
              <w:rPr>
                <w:vertAlign w:val="superscript"/>
              </w:rPr>
              <w:t>4</w:t>
            </w:r>
          </w:p>
        </w:tc>
        <w:tc>
          <w:tcPr>
            <w:tcW w:w="731" w:type="dxa"/>
            <w:tcBorders>
              <w:top w:val="nil"/>
            </w:tcBorders>
          </w:tcPr>
          <w:p w14:paraId="7BDFC48E" w14:textId="77777777" w:rsidR="00C775AE" w:rsidRPr="002F733E" w:rsidRDefault="00C775AE" w:rsidP="00C775AE">
            <w:pPr>
              <w:pStyle w:val="TableText0"/>
              <w:keepNext w:val="0"/>
              <w:jc w:val="center"/>
            </w:pPr>
            <w:r w:rsidRPr="002F733E">
              <w:t>-30.4%</w:t>
            </w:r>
          </w:p>
        </w:tc>
      </w:tr>
      <w:tr w:rsidR="00C775AE" w:rsidRPr="002F733E" w14:paraId="79F0D833" w14:textId="77777777" w:rsidTr="00EB6544">
        <w:tc>
          <w:tcPr>
            <w:tcW w:w="5098" w:type="dxa"/>
            <w:tcBorders>
              <w:bottom w:val="nil"/>
            </w:tcBorders>
          </w:tcPr>
          <w:p w14:paraId="3CBC4684" w14:textId="77777777" w:rsidR="00C775AE" w:rsidRPr="002F733E" w:rsidRDefault="00C775AE" w:rsidP="00C775AE">
            <w:pPr>
              <w:pStyle w:val="TableText0"/>
              <w:keepNext w:val="0"/>
            </w:pPr>
            <w:r w:rsidRPr="002F733E">
              <w:t>Long term SLEDAI-2K intercept (base 0.31)</w:t>
            </w:r>
          </w:p>
        </w:tc>
        <w:tc>
          <w:tcPr>
            <w:tcW w:w="1134" w:type="dxa"/>
            <w:tcBorders>
              <w:bottom w:val="nil"/>
            </w:tcBorders>
          </w:tcPr>
          <w:p w14:paraId="1DEA0DEC" w14:textId="77777777" w:rsidR="00C775AE" w:rsidRPr="002F733E" w:rsidRDefault="00C775AE" w:rsidP="00C775AE">
            <w:pPr>
              <w:pStyle w:val="TableText0"/>
              <w:keepNext w:val="0"/>
              <w:jc w:val="center"/>
            </w:pPr>
          </w:p>
        </w:tc>
        <w:tc>
          <w:tcPr>
            <w:tcW w:w="1134" w:type="dxa"/>
            <w:tcBorders>
              <w:bottom w:val="nil"/>
            </w:tcBorders>
          </w:tcPr>
          <w:p w14:paraId="3724D3A7" w14:textId="77777777" w:rsidR="00C775AE" w:rsidRPr="002F733E" w:rsidRDefault="00C775AE" w:rsidP="00C775AE">
            <w:pPr>
              <w:pStyle w:val="TableText0"/>
              <w:keepNext w:val="0"/>
              <w:jc w:val="center"/>
            </w:pPr>
          </w:p>
        </w:tc>
        <w:tc>
          <w:tcPr>
            <w:tcW w:w="993" w:type="dxa"/>
            <w:tcBorders>
              <w:bottom w:val="nil"/>
            </w:tcBorders>
          </w:tcPr>
          <w:p w14:paraId="1AD87AFF" w14:textId="77777777" w:rsidR="00C775AE" w:rsidRPr="002F733E" w:rsidRDefault="00C775AE" w:rsidP="00C775AE">
            <w:pPr>
              <w:pStyle w:val="TableText0"/>
              <w:keepNext w:val="0"/>
              <w:jc w:val="center"/>
            </w:pPr>
          </w:p>
        </w:tc>
        <w:tc>
          <w:tcPr>
            <w:tcW w:w="731" w:type="dxa"/>
            <w:tcBorders>
              <w:bottom w:val="nil"/>
            </w:tcBorders>
          </w:tcPr>
          <w:p w14:paraId="7DF34D7E" w14:textId="77777777" w:rsidR="00C775AE" w:rsidRPr="002F733E" w:rsidRDefault="00C775AE" w:rsidP="00C775AE">
            <w:pPr>
              <w:pStyle w:val="TableText0"/>
              <w:keepNext w:val="0"/>
              <w:jc w:val="center"/>
            </w:pPr>
          </w:p>
        </w:tc>
      </w:tr>
      <w:tr w:rsidR="00C775AE" w:rsidRPr="002F733E" w14:paraId="0F960200" w14:textId="77777777" w:rsidTr="00EB6544">
        <w:tc>
          <w:tcPr>
            <w:tcW w:w="5098" w:type="dxa"/>
            <w:tcBorders>
              <w:top w:val="nil"/>
              <w:bottom w:val="nil"/>
            </w:tcBorders>
          </w:tcPr>
          <w:p w14:paraId="27A31F6E" w14:textId="77777777" w:rsidR="00C775AE" w:rsidRPr="002F733E" w:rsidRDefault="00C775AE" w:rsidP="00DC7889">
            <w:pPr>
              <w:pStyle w:val="TableText0"/>
              <w:keepNext w:val="0"/>
              <w:numPr>
                <w:ilvl w:val="0"/>
                <w:numId w:val="7"/>
              </w:numPr>
              <w:ind w:left="22" w:hanging="22"/>
            </w:pPr>
            <w:r w:rsidRPr="002F733E">
              <w:t>3.14 (unadjusted parameter)</w:t>
            </w:r>
          </w:p>
        </w:tc>
        <w:tc>
          <w:tcPr>
            <w:tcW w:w="1134" w:type="dxa"/>
            <w:tcBorders>
              <w:top w:val="nil"/>
              <w:bottom w:val="nil"/>
            </w:tcBorders>
            <w:shd w:val="solid" w:color="000000" w:fill="000000"/>
          </w:tcPr>
          <w:p w14:paraId="37F97F07" w14:textId="425CA717" w:rsidR="00C775AE" w:rsidRPr="00EB6544" w:rsidRDefault="00EB6544" w:rsidP="00C775AE">
            <w:pPr>
              <w:pStyle w:val="TableText0"/>
              <w:keepNext w:val="0"/>
              <w:jc w:val="center"/>
            </w:pPr>
            <w:r w:rsidRPr="00EB6544">
              <w:rPr>
                <w:color w:val="000000"/>
                <w:spacing w:val="65"/>
                <w:fitText w:val="366" w:id="-1236572665"/>
                <w14:textFill>
                  <w14:solidFill>
                    <w14:srgbClr w14:val="000000">
                      <w14:alpha w14:val="100000"/>
                    </w14:srgbClr>
                  </w14:solidFill>
                </w14:textFill>
              </w:rPr>
              <w:t>|||</w:t>
            </w:r>
            <w:r w:rsidRPr="00EB6544">
              <w:rPr>
                <w:color w:val="000000"/>
                <w:spacing w:val="1"/>
                <w:fitText w:val="366" w:id="-1236572665"/>
                <w14:textFill>
                  <w14:solidFill>
                    <w14:srgbClr w14:val="000000">
                      <w14:alpha w14:val="100000"/>
                    </w14:srgbClr>
                  </w14:solidFill>
                </w14:textFill>
              </w:rPr>
              <w:t>|</w:t>
            </w:r>
          </w:p>
        </w:tc>
        <w:tc>
          <w:tcPr>
            <w:tcW w:w="1134" w:type="dxa"/>
            <w:tcBorders>
              <w:top w:val="nil"/>
              <w:bottom w:val="nil"/>
            </w:tcBorders>
          </w:tcPr>
          <w:p w14:paraId="798AEEA1" w14:textId="77777777" w:rsidR="00C775AE" w:rsidRPr="002F733E" w:rsidRDefault="00C775AE" w:rsidP="00C775AE">
            <w:pPr>
              <w:pStyle w:val="TableText0"/>
              <w:keepNext w:val="0"/>
              <w:jc w:val="center"/>
            </w:pPr>
            <w:r w:rsidRPr="002F733E">
              <w:t>0.754</w:t>
            </w:r>
          </w:p>
        </w:tc>
        <w:tc>
          <w:tcPr>
            <w:tcW w:w="993" w:type="dxa"/>
            <w:tcBorders>
              <w:top w:val="nil"/>
              <w:bottom w:val="nil"/>
            </w:tcBorders>
          </w:tcPr>
          <w:p w14:paraId="61F19471" w14:textId="1F889994" w:rsidR="00C775AE" w:rsidRPr="002F733E" w:rsidRDefault="00EB6544" w:rsidP="00C775AE">
            <w:pPr>
              <w:pStyle w:val="TableText0"/>
              <w:keepNext w:val="0"/>
              <w:jc w:val="center"/>
            </w:pPr>
            <w:r w:rsidRPr="00EB6544">
              <w:rPr>
                <w:color w:val="000000"/>
                <w:spacing w:val="42"/>
                <w:shd w:val="solid" w:color="000000" w:fill="000000"/>
                <w:fitText w:val="466" w:id="-1236572664"/>
                <w14:textFill>
                  <w14:solidFill>
                    <w14:srgbClr w14:val="000000">
                      <w14:alpha w14:val="100000"/>
                    </w14:srgbClr>
                  </w14:solidFill>
                </w14:textFill>
              </w:rPr>
              <w:t>|||||</w:t>
            </w:r>
            <w:r w:rsidRPr="00EB6544">
              <w:rPr>
                <w:color w:val="000000"/>
                <w:spacing w:val="1"/>
                <w:shd w:val="solid" w:color="000000" w:fill="000000"/>
                <w:fitText w:val="466" w:id="-1236572664"/>
                <w14:textFill>
                  <w14:solidFill>
                    <w14:srgbClr w14:val="000000">
                      <w14:alpha w14:val="100000"/>
                    </w14:srgbClr>
                  </w14:solidFill>
                </w14:textFill>
              </w:rPr>
              <w:t>|</w:t>
            </w:r>
            <w:r w:rsidR="00396C58">
              <w:rPr>
                <w:vertAlign w:val="superscript"/>
              </w:rPr>
              <w:t>2</w:t>
            </w:r>
          </w:p>
        </w:tc>
        <w:tc>
          <w:tcPr>
            <w:tcW w:w="731" w:type="dxa"/>
            <w:tcBorders>
              <w:top w:val="nil"/>
              <w:bottom w:val="nil"/>
            </w:tcBorders>
          </w:tcPr>
          <w:p w14:paraId="0BD899EE" w14:textId="77777777" w:rsidR="00C775AE" w:rsidRPr="002F733E" w:rsidRDefault="00C775AE" w:rsidP="00C775AE">
            <w:pPr>
              <w:pStyle w:val="TableText0"/>
              <w:keepNext w:val="0"/>
              <w:jc w:val="center"/>
            </w:pPr>
            <w:r w:rsidRPr="002F733E">
              <w:t>-13.5%</w:t>
            </w:r>
          </w:p>
        </w:tc>
      </w:tr>
      <w:tr w:rsidR="00C775AE" w:rsidRPr="002F733E" w14:paraId="20D5A0BB" w14:textId="77777777" w:rsidTr="00EB6544">
        <w:tc>
          <w:tcPr>
            <w:tcW w:w="5098" w:type="dxa"/>
            <w:tcBorders>
              <w:top w:val="nil"/>
            </w:tcBorders>
          </w:tcPr>
          <w:p w14:paraId="08D778DE" w14:textId="77777777" w:rsidR="00C775AE" w:rsidRPr="002F733E" w:rsidRDefault="00C775AE" w:rsidP="00DC7889">
            <w:pPr>
              <w:pStyle w:val="TableText0"/>
              <w:keepNext w:val="0"/>
              <w:numPr>
                <w:ilvl w:val="0"/>
                <w:numId w:val="7"/>
              </w:numPr>
              <w:ind w:left="22" w:hanging="22"/>
            </w:pPr>
            <w:r w:rsidRPr="002F733E">
              <w:t>-3.14</w:t>
            </w:r>
          </w:p>
        </w:tc>
        <w:tc>
          <w:tcPr>
            <w:tcW w:w="1134" w:type="dxa"/>
            <w:tcBorders>
              <w:top w:val="nil"/>
            </w:tcBorders>
            <w:shd w:val="solid" w:color="000000" w:fill="000000"/>
          </w:tcPr>
          <w:p w14:paraId="4D449F56" w14:textId="030F2010" w:rsidR="00C775AE" w:rsidRPr="00EB6544" w:rsidRDefault="00EB6544" w:rsidP="00C775AE">
            <w:pPr>
              <w:pStyle w:val="TableText0"/>
              <w:keepNext w:val="0"/>
              <w:jc w:val="center"/>
            </w:pPr>
            <w:r w:rsidRPr="00EB6544">
              <w:rPr>
                <w:color w:val="000000"/>
                <w:spacing w:val="65"/>
                <w:fitText w:val="366" w:id="-1236572663"/>
                <w14:textFill>
                  <w14:solidFill>
                    <w14:srgbClr w14:val="000000">
                      <w14:alpha w14:val="100000"/>
                    </w14:srgbClr>
                  </w14:solidFill>
                </w14:textFill>
              </w:rPr>
              <w:t>|||</w:t>
            </w:r>
            <w:r w:rsidRPr="00EB6544">
              <w:rPr>
                <w:color w:val="000000"/>
                <w:spacing w:val="1"/>
                <w:fitText w:val="366" w:id="-1236572663"/>
                <w14:textFill>
                  <w14:solidFill>
                    <w14:srgbClr w14:val="000000">
                      <w14:alpha w14:val="100000"/>
                    </w14:srgbClr>
                  </w14:solidFill>
                </w14:textFill>
              </w:rPr>
              <w:t>|</w:t>
            </w:r>
          </w:p>
        </w:tc>
        <w:tc>
          <w:tcPr>
            <w:tcW w:w="1134" w:type="dxa"/>
            <w:tcBorders>
              <w:top w:val="nil"/>
            </w:tcBorders>
          </w:tcPr>
          <w:p w14:paraId="5CA1730B" w14:textId="77777777" w:rsidR="00C775AE" w:rsidRPr="002F733E" w:rsidRDefault="00C775AE" w:rsidP="00C775AE">
            <w:pPr>
              <w:pStyle w:val="TableText0"/>
              <w:keepNext w:val="0"/>
              <w:jc w:val="center"/>
            </w:pPr>
            <w:r w:rsidRPr="002F733E">
              <w:t>0.375</w:t>
            </w:r>
          </w:p>
        </w:tc>
        <w:tc>
          <w:tcPr>
            <w:tcW w:w="993" w:type="dxa"/>
            <w:tcBorders>
              <w:top w:val="nil"/>
            </w:tcBorders>
          </w:tcPr>
          <w:p w14:paraId="38C74DCE" w14:textId="3DD7D957" w:rsidR="00C775AE" w:rsidRPr="002F733E" w:rsidRDefault="00EB6544" w:rsidP="00C775AE">
            <w:pPr>
              <w:pStyle w:val="TableText0"/>
              <w:keepNext w:val="0"/>
              <w:jc w:val="center"/>
            </w:pPr>
            <w:r w:rsidRPr="00EB6544">
              <w:rPr>
                <w:color w:val="000000"/>
                <w:spacing w:val="42"/>
                <w:shd w:val="solid" w:color="000000" w:fill="000000"/>
                <w:fitText w:val="466" w:id="-1236572662"/>
                <w14:textFill>
                  <w14:solidFill>
                    <w14:srgbClr w14:val="000000">
                      <w14:alpha w14:val="100000"/>
                    </w14:srgbClr>
                  </w14:solidFill>
                </w14:textFill>
              </w:rPr>
              <w:t>|||||</w:t>
            </w:r>
            <w:r w:rsidRPr="00EB6544">
              <w:rPr>
                <w:color w:val="000000"/>
                <w:spacing w:val="1"/>
                <w:shd w:val="solid" w:color="000000" w:fill="000000"/>
                <w:fitText w:val="466" w:id="-1236572662"/>
                <w14:textFill>
                  <w14:solidFill>
                    <w14:srgbClr w14:val="000000">
                      <w14:alpha w14:val="100000"/>
                    </w14:srgbClr>
                  </w14:solidFill>
                </w14:textFill>
              </w:rPr>
              <w:t>|</w:t>
            </w:r>
            <w:r w:rsidR="00396C58">
              <w:rPr>
                <w:vertAlign w:val="superscript"/>
              </w:rPr>
              <w:t>5</w:t>
            </w:r>
          </w:p>
        </w:tc>
        <w:tc>
          <w:tcPr>
            <w:tcW w:w="731" w:type="dxa"/>
            <w:tcBorders>
              <w:top w:val="nil"/>
            </w:tcBorders>
          </w:tcPr>
          <w:p w14:paraId="5100A563" w14:textId="77777777" w:rsidR="00C775AE" w:rsidRPr="002F733E" w:rsidRDefault="00C775AE" w:rsidP="00C775AE">
            <w:pPr>
              <w:pStyle w:val="TableText0"/>
              <w:keepNext w:val="0"/>
              <w:jc w:val="center"/>
            </w:pPr>
            <w:r w:rsidRPr="002F733E">
              <w:t>84.6%</w:t>
            </w:r>
          </w:p>
        </w:tc>
      </w:tr>
      <w:tr w:rsidR="00C775AE" w:rsidRPr="002F733E" w14:paraId="2B485C36" w14:textId="77777777" w:rsidTr="00EB6544">
        <w:tc>
          <w:tcPr>
            <w:tcW w:w="5098" w:type="dxa"/>
            <w:tcBorders>
              <w:bottom w:val="nil"/>
            </w:tcBorders>
          </w:tcPr>
          <w:p w14:paraId="3E83F0A3" w14:textId="77777777" w:rsidR="00C775AE" w:rsidRPr="002F733E" w:rsidRDefault="00C775AE" w:rsidP="00C775AE">
            <w:pPr>
              <w:pStyle w:val="TableText0"/>
              <w:keepNext w:val="0"/>
            </w:pPr>
            <w:r w:rsidRPr="002F733E">
              <w:t xml:space="preserve">Non-severe flare treatment effect </w:t>
            </w:r>
          </w:p>
        </w:tc>
        <w:tc>
          <w:tcPr>
            <w:tcW w:w="1134" w:type="dxa"/>
            <w:tcBorders>
              <w:bottom w:val="nil"/>
            </w:tcBorders>
          </w:tcPr>
          <w:p w14:paraId="66B37AB9" w14:textId="77777777" w:rsidR="00C775AE" w:rsidRPr="002F733E" w:rsidRDefault="00C775AE" w:rsidP="00C775AE">
            <w:pPr>
              <w:pStyle w:val="TableText0"/>
              <w:keepNext w:val="0"/>
              <w:jc w:val="center"/>
            </w:pPr>
          </w:p>
        </w:tc>
        <w:tc>
          <w:tcPr>
            <w:tcW w:w="1134" w:type="dxa"/>
            <w:tcBorders>
              <w:bottom w:val="nil"/>
            </w:tcBorders>
          </w:tcPr>
          <w:p w14:paraId="0E77FF6D" w14:textId="77777777" w:rsidR="00C775AE" w:rsidRPr="002F733E" w:rsidRDefault="00C775AE" w:rsidP="00C775AE">
            <w:pPr>
              <w:pStyle w:val="TableText0"/>
              <w:keepNext w:val="0"/>
              <w:jc w:val="center"/>
            </w:pPr>
          </w:p>
        </w:tc>
        <w:tc>
          <w:tcPr>
            <w:tcW w:w="993" w:type="dxa"/>
            <w:tcBorders>
              <w:bottom w:val="nil"/>
            </w:tcBorders>
          </w:tcPr>
          <w:p w14:paraId="2C8EA183" w14:textId="77777777" w:rsidR="00C775AE" w:rsidRPr="002F733E" w:rsidRDefault="00C775AE" w:rsidP="00C775AE">
            <w:pPr>
              <w:pStyle w:val="TableText0"/>
              <w:keepNext w:val="0"/>
              <w:jc w:val="center"/>
            </w:pPr>
          </w:p>
        </w:tc>
        <w:tc>
          <w:tcPr>
            <w:tcW w:w="731" w:type="dxa"/>
            <w:tcBorders>
              <w:bottom w:val="nil"/>
            </w:tcBorders>
          </w:tcPr>
          <w:p w14:paraId="76D6D8CE" w14:textId="77777777" w:rsidR="00C775AE" w:rsidRPr="002F733E" w:rsidRDefault="00C775AE" w:rsidP="00C775AE">
            <w:pPr>
              <w:pStyle w:val="TableText0"/>
              <w:keepNext w:val="0"/>
              <w:jc w:val="center"/>
            </w:pPr>
          </w:p>
        </w:tc>
      </w:tr>
      <w:tr w:rsidR="00C775AE" w:rsidRPr="002F733E" w14:paraId="096572E2" w14:textId="77777777" w:rsidTr="00EB6544">
        <w:tc>
          <w:tcPr>
            <w:tcW w:w="5098" w:type="dxa"/>
            <w:tcBorders>
              <w:top w:val="nil"/>
              <w:bottom w:val="nil"/>
            </w:tcBorders>
          </w:tcPr>
          <w:p w14:paraId="12064362" w14:textId="77777777" w:rsidR="00C775AE" w:rsidRPr="002F733E" w:rsidRDefault="00C775AE" w:rsidP="00DC7889">
            <w:pPr>
              <w:pStyle w:val="TableText0"/>
              <w:keepNext w:val="0"/>
              <w:numPr>
                <w:ilvl w:val="0"/>
                <w:numId w:val="7"/>
              </w:numPr>
              <w:ind w:left="22" w:hanging="22"/>
            </w:pPr>
            <w:r w:rsidRPr="002F733E">
              <w:t>Lower 95% CI (NR)</w:t>
            </w:r>
          </w:p>
        </w:tc>
        <w:tc>
          <w:tcPr>
            <w:tcW w:w="1134" w:type="dxa"/>
            <w:tcBorders>
              <w:top w:val="nil"/>
              <w:bottom w:val="nil"/>
            </w:tcBorders>
            <w:shd w:val="solid" w:color="000000" w:fill="000000"/>
          </w:tcPr>
          <w:p w14:paraId="1553D02F" w14:textId="71D1B44C" w:rsidR="00C775AE" w:rsidRPr="00EB6544" w:rsidRDefault="00EB6544" w:rsidP="00C775AE">
            <w:pPr>
              <w:pStyle w:val="TableText0"/>
              <w:keepNext w:val="0"/>
              <w:jc w:val="center"/>
            </w:pPr>
            <w:r w:rsidRPr="00EB6544">
              <w:rPr>
                <w:color w:val="000000"/>
                <w:spacing w:val="65"/>
                <w:fitText w:val="366" w:id="-1236572661"/>
                <w14:textFill>
                  <w14:solidFill>
                    <w14:srgbClr w14:val="000000">
                      <w14:alpha w14:val="100000"/>
                    </w14:srgbClr>
                  </w14:solidFill>
                </w14:textFill>
              </w:rPr>
              <w:t>|||</w:t>
            </w:r>
            <w:r w:rsidRPr="00EB6544">
              <w:rPr>
                <w:color w:val="000000"/>
                <w:spacing w:val="1"/>
                <w:fitText w:val="366" w:id="-1236572661"/>
                <w14:textFill>
                  <w14:solidFill>
                    <w14:srgbClr w14:val="000000">
                      <w14:alpha w14:val="100000"/>
                    </w14:srgbClr>
                  </w14:solidFill>
                </w14:textFill>
              </w:rPr>
              <w:t>|</w:t>
            </w:r>
          </w:p>
        </w:tc>
        <w:tc>
          <w:tcPr>
            <w:tcW w:w="1134" w:type="dxa"/>
            <w:tcBorders>
              <w:top w:val="nil"/>
              <w:bottom w:val="nil"/>
            </w:tcBorders>
          </w:tcPr>
          <w:p w14:paraId="4B665CC9" w14:textId="77777777" w:rsidR="00C775AE" w:rsidRPr="002F733E" w:rsidRDefault="00C775AE" w:rsidP="00C775AE">
            <w:pPr>
              <w:pStyle w:val="TableText0"/>
              <w:keepNext w:val="0"/>
              <w:jc w:val="center"/>
            </w:pPr>
            <w:r w:rsidRPr="002F733E">
              <w:t>0.782</w:t>
            </w:r>
          </w:p>
        </w:tc>
        <w:tc>
          <w:tcPr>
            <w:tcW w:w="993" w:type="dxa"/>
            <w:tcBorders>
              <w:top w:val="nil"/>
              <w:bottom w:val="nil"/>
            </w:tcBorders>
          </w:tcPr>
          <w:p w14:paraId="31027053" w14:textId="3A2648D0" w:rsidR="00C775AE" w:rsidRPr="002F733E" w:rsidRDefault="00EB6544" w:rsidP="00C775AE">
            <w:pPr>
              <w:pStyle w:val="TableText0"/>
              <w:keepNext w:val="0"/>
              <w:jc w:val="center"/>
            </w:pPr>
            <w:r w:rsidRPr="00EB6544">
              <w:rPr>
                <w:color w:val="000000"/>
                <w:spacing w:val="42"/>
                <w:shd w:val="solid" w:color="000000" w:fill="000000"/>
                <w:fitText w:val="466" w:id="-1236572660"/>
                <w14:textFill>
                  <w14:solidFill>
                    <w14:srgbClr w14:val="000000">
                      <w14:alpha w14:val="100000"/>
                    </w14:srgbClr>
                  </w14:solidFill>
                </w14:textFill>
              </w:rPr>
              <w:t>|||||</w:t>
            </w:r>
            <w:r w:rsidRPr="00EB6544">
              <w:rPr>
                <w:color w:val="000000"/>
                <w:spacing w:val="1"/>
                <w:shd w:val="solid" w:color="000000" w:fill="000000"/>
                <w:fitText w:val="466" w:id="-1236572660"/>
                <w14:textFill>
                  <w14:solidFill>
                    <w14:srgbClr w14:val="000000">
                      <w14:alpha w14:val="100000"/>
                    </w14:srgbClr>
                  </w14:solidFill>
                </w14:textFill>
              </w:rPr>
              <w:t>|</w:t>
            </w:r>
            <w:r w:rsidR="00396C58">
              <w:rPr>
                <w:vertAlign w:val="superscript"/>
              </w:rPr>
              <w:t>2</w:t>
            </w:r>
          </w:p>
        </w:tc>
        <w:tc>
          <w:tcPr>
            <w:tcW w:w="731" w:type="dxa"/>
            <w:tcBorders>
              <w:top w:val="nil"/>
              <w:bottom w:val="nil"/>
            </w:tcBorders>
          </w:tcPr>
          <w:p w14:paraId="459BE9CF" w14:textId="77777777" w:rsidR="00C775AE" w:rsidRPr="002F733E" w:rsidRDefault="00C775AE" w:rsidP="00C775AE">
            <w:pPr>
              <w:pStyle w:val="TableText0"/>
              <w:keepNext w:val="0"/>
              <w:jc w:val="center"/>
            </w:pPr>
            <w:r w:rsidRPr="002F733E">
              <w:t>-14.9%</w:t>
            </w:r>
          </w:p>
        </w:tc>
      </w:tr>
      <w:tr w:rsidR="00C775AE" w:rsidRPr="002F733E" w14:paraId="09A729DB" w14:textId="77777777" w:rsidTr="00EB6544">
        <w:tc>
          <w:tcPr>
            <w:tcW w:w="5098" w:type="dxa"/>
            <w:tcBorders>
              <w:top w:val="nil"/>
            </w:tcBorders>
          </w:tcPr>
          <w:p w14:paraId="13F502EC" w14:textId="77777777" w:rsidR="00C775AE" w:rsidRPr="002F733E" w:rsidRDefault="00C775AE" w:rsidP="00DC7889">
            <w:pPr>
              <w:pStyle w:val="TableText0"/>
              <w:keepNext w:val="0"/>
              <w:numPr>
                <w:ilvl w:val="0"/>
                <w:numId w:val="7"/>
              </w:numPr>
              <w:ind w:left="22" w:hanging="22"/>
            </w:pPr>
            <w:r w:rsidRPr="002F733E">
              <w:t>Upper 95% CI (NR)</w:t>
            </w:r>
          </w:p>
        </w:tc>
        <w:tc>
          <w:tcPr>
            <w:tcW w:w="1134" w:type="dxa"/>
            <w:tcBorders>
              <w:top w:val="nil"/>
            </w:tcBorders>
            <w:shd w:val="solid" w:color="000000" w:fill="000000"/>
          </w:tcPr>
          <w:p w14:paraId="397DE1C4" w14:textId="44DB2AB9" w:rsidR="00C775AE" w:rsidRPr="00EB6544" w:rsidRDefault="00EB6544" w:rsidP="00C775AE">
            <w:pPr>
              <w:pStyle w:val="TableText0"/>
              <w:keepNext w:val="0"/>
              <w:jc w:val="center"/>
            </w:pPr>
            <w:r w:rsidRPr="00EB6544">
              <w:rPr>
                <w:color w:val="000000"/>
                <w:spacing w:val="65"/>
                <w:fitText w:val="366" w:id="-1236572659"/>
                <w14:textFill>
                  <w14:solidFill>
                    <w14:srgbClr w14:val="000000">
                      <w14:alpha w14:val="100000"/>
                    </w14:srgbClr>
                  </w14:solidFill>
                </w14:textFill>
              </w:rPr>
              <w:t>|||</w:t>
            </w:r>
            <w:r w:rsidRPr="00EB6544">
              <w:rPr>
                <w:color w:val="000000"/>
                <w:spacing w:val="1"/>
                <w:fitText w:val="366" w:id="-1236572659"/>
                <w14:textFill>
                  <w14:solidFill>
                    <w14:srgbClr w14:val="000000">
                      <w14:alpha w14:val="100000"/>
                    </w14:srgbClr>
                  </w14:solidFill>
                </w14:textFill>
              </w:rPr>
              <w:t>|</w:t>
            </w:r>
          </w:p>
        </w:tc>
        <w:tc>
          <w:tcPr>
            <w:tcW w:w="1134" w:type="dxa"/>
            <w:tcBorders>
              <w:top w:val="nil"/>
            </w:tcBorders>
          </w:tcPr>
          <w:p w14:paraId="2D4AE15D" w14:textId="77777777" w:rsidR="00C775AE" w:rsidRPr="002F733E" w:rsidRDefault="00C775AE" w:rsidP="00C775AE">
            <w:pPr>
              <w:pStyle w:val="TableText0"/>
              <w:keepNext w:val="0"/>
              <w:jc w:val="center"/>
            </w:pPr>
            <w:r w:rsidRPr="002F733E">
              <w:t>0.505</w:t>
            </w:r>
          </w:p>
        </w:tc>
        <w:tc>
          <w:tcPr>
            <w:tcW w:w="993" w:type="dxa"/>
            <w:tcBorders>
              <w:top w:val="nil"/>
            </w:tcBorders>
          </w:tcPr>
          <w:p w14:paraId="2CB4795D" w14:textId="7E23CD47" w:rsidR="00C775AE" w:rsidRPr="002F733E" w:rsidRDefault="00EB6544" w:rsidP="00C775AE">
            <w:pPr>
              <w:pStyle w:val="TableText0"/>
              <w:keepNext w:val="0"/>
              <w:jc w:val="center"/>
            </w:pPr>
            <w:r w:rsidRPr="00EB6544">
              <w:rPr>
                <w:color w:val="000000"/>
                <w:spacing w:val="42"/>
                <w:shd w:val="solid" w:color="000000" w:fill="000000"/>
                <w:fitText w:val="466" w:id="-1236572658"/>
                <w14:textFill>
                  <w14:solidFill>
                    <w14:srgbClr w14:val="000000">
                      <w14:alpha w14:val="100000"/>
                    </w14:srgbClr>
                  </w14:solidFill>
                </w14:textFill>
              </w:rPr>
              <w:t>|||||</w:t>
            </w:r>
            <w:r w:rsidRPr="00EB6544">
              <w:rPr>
                <w:color w:val="000000"/>
                <w:spacing w:val="1"/>
                <w:shd w:val="solid" w:color="000000" w:fill="000000"/>
                <w:fitText w:val="466" w:id="-1236572658"/>
                <w14:textFill>
                  <w14:solidFill>
                    <w14:srgbClr w14:val="000000">
                      <w14:alpha w14:val="100000"/>
                    </w14:srgbClr>
                  </w14:solidFill>
                </w14:textFill>
              </w:rPr>
              <w:t>|</w:t>
            </w:r>
            <w:r w:rsidR="00396C58">
              <w:rPr>
                <w:vertAlign w:val="superscript"/>
              </w:rPr>
              <w:t>3</w:t>
            </w:r>
          </w:p>
        </w:tc>
        <w:tc>
          <w:tcPr>
            <w:tcW w:w="731" w:type="dxa"/>
            <w:tcBorders>
              <w:top w:val="nil"/>
            </w:tcBorders>
          </w:tcPr>
          <w:p w14:paraId="22A0B0B1" w14:textId="77777777" w:rsidR="00C775AE" w:rsidRPr="002F733E" w:rsidRDefault="00C775AE" w:rsidP="00C775AE">
            <w:pPr>
              <w:pStyle w:val="TableText0"/>
              <w:keepNext w:val="0"/>
              <w:jc w:val="center"/>
            </w:pPr>
            <w:r w:rsidRPr="002F733E">
              <w:t>31.6%</w:t>
            </w:r>
          </w:p>
        </w:tc>
      </w:tr>
      <w:tr w:rsidR="00C775AE" w:rsidRPr="002F733E" w14:paraId="39282D3D" w14:textId="77777777" w:rsidTr="00EB6544">
        <w:tc>
          <w:tcPr>
            <w:tcW w:w="5098" w:type="dxa"/>
            <w:tcBorders>
              <w:bottom w:val="nil"/>
            </w:tcBorders>
          </w:tcPr>
          <w:p w14:paraId="6CFD68D5" w14:textId="77777777" w:rsidR="00C775AE" w:rsidRPr="002F733E" w:rsidRDefault="00C775AE" w:rsidP="00C775AE">
            <w:pPr>
              <w:pStyle w:val="TableText0"/>
              <w:keepNext w:val="0"/>
            </w:pPr>
            <w:r w:rsidRPr="002F733E">
              <w:t>Severe flare treatment effect</w:t>
            </w:r>
          </w:p>
        </w:tc>
        <w:tc>
          <w:tcPr>
            <w:tcW w:w="1134" w:type="dxa"/>
            <w:tcBorders>
              <w:bottom w:val="nil"/>
            </w:tcBorders>
          </w:tcPr>
          <w:p w14:paraId="50ABAF03" w14:textId="77777777" w:rsidR="00C775AE" w:rsidRPr="002F733E" w:rsidRDefault="00C775AE" w:rsidP="00C775AE">
            <w:pPr>
              <w:pStyle w:val="TableText0"/>
              <w:keepNext w:val="0"/>
              <w:jc w:val="center"/>
            </w:pPr>
          </w:p>
        </w:tc>
        <w:tc>
          <w:tcPr>
            <w:tcW w:w="1134" w:type="dxa"/>
            <w:tcBorders>
              <w:bottom w:val="nil"/>
            </w:tcBorders>
          </w:tcPr>
          <w:p w14:paraId="6565D4D6" w14:textId="77777777" w:rsidR="00C775AE" w:rsidRPr="002F733E" w:rsidRDefault="00C775AE" w:rsidP="00C775AE">
            <w:pPr>
              <w:pStyle w:val="TableText0"/>
              <w:keepNext w:val="0"/>
              <w:jc w:val="center"/>
            </w:pPr>
          </w:p>
        </w:tc>
        <w:tc>
          <w:tcPr>
            <w:tcW w:w="993" w:type="dxa"/>
            <w:tcBorders>
              <w:bottom w:val="nil"/>
            </w:tcBorders>
          </w:tcPr>
          <w:p w14:paraId="0EA31247" w14:textId="77777777" w:rsidR="00C775AE" w:rsidRPr="002F733E" w:rsidRDefault="00C775AE" w:rsidP="00C775AE">
            <w:pPr>
              <w:pStyle w:val="TableText0"/>
              <w:keepNext w:val="0"/>
              <w:jc w:val="center"/>
            </w:pPr>
          </w:p>
        </w:tc>
        <w:tc>
          <w:tcPr>
            <w:tcW w:w="731" w:type="dxa"/>
            <w:tcBorders>
              <w:bottom w:val="nil"/>
            </w:tcBorders>
          </w:tcPr>
          <w:p w14:paraId="2100DCED" w14:textId="77777777" w:rsidR="00C775AE" w:rsidRPr="002F733E" w:rsidRDefault="00C775AE" w:rsidP="00C775AE">
            <w:pPr>
              <w:pStyle w:val="TableText0"/>
              <w:keepNext w:val="0"/>
              <w:jc w:val="center"/>
            </w:pPr>
          </w:p>
        </w:tc>
      </w:tr>
      <w:tr w:rsidR="00C775AE" w:rsidRPr="002F733E" w14:paraId="0279C588" w14:textId="77777777" w:rsidTr="00EB6544">
        <w:tc>
          <w:tcPr>
            <w:tcW w:w="5098" w:type="dxa"/>
            <w:tcBorders>
              <w:top w:val="nil"/>
              <w:bottom w:val="nil"/>
            </w:tcBorders>
          </w:tcPr>
          <w:p w14:paraId="555C5F64" w14:textId="77777777" w:rsidR="00C775AE" w:rsidRPr="002F733E" w:rsidRDefault="00C775AE" w:rsidP="00DC7889">
            <w:pPr>
              <w:pStyle w:val="TableText0"/>
              <w:keepNext w:val="0"/>
              <w:numPr>
                <w:ilvl w:val="0"/>
                <w:numId w:val="7"/>
              </w:numPr>
              <w:ind w:left="22" w:hanging="22"/>
            </w:pPr>
            <w:r w:rsidRPr="002F733E">
              <w:t>Lower 95% CI (NR)</w:t>
            </w:r>
          </w:p>
        </w:tc>
        <w:tc>
          <w:tcPr>
            <w:tcW w:w="1134" w:type="dxa"/>
            <w:tcBorders>
              <w:top w:val="nil"/>
              <w:bottom w:val="nil"/>
            </w:tcBorders>
            <w:shd w:val="solid" w:color="000000" w:fill="000000"/>
          </w:tcPr>
          <w:p w14:paraId="53C45E30" w14:textId="24B57431" w:rsidR="00C775AE" w:rsidRPr="00EB6544" w:rsidRDefault="00EB6544" w:rsidP="00C775AE">
            <w:pPr>
              <w:pStyle w:val="TableText0"/>
              <w:keepNext w:val="0"/>
              <w:jc w:val="center"/>
            </w:pPr>
            <w:r w:rsidRPr="00EB6544">
              <w:rPr>
                <w:color w:val="000000"/>
                <w:spacing w:val="65"/>
                <w:fitText w:val="366" w:id="-1236572657"/>
                <w14:textFill>
                  <w14:solidFill>
                    <w14:srgbClr w14:val="000000">
                      <w14:alpha w14:val="100000"/>
                    </w14:srgbClr>
                  </w14:solidFill>
                </w14:textFill>
              </w:rPr>
              <w:t>|||</w:t>
            </w:r>
            <w:r w:rsidRPr="00EB6544">
              <w:rPr>
                <w:color w:val="000000"/>
                <w:spacing w:val="1"/>
                <w:fitText w:val="366" w:id="-1236572657"/>
                <w14:textFill>
                  <w14:solidFill>
                    <w14:srgbClr w14:val="000000">
                      <w14:alpha w14:val="100000"/>
                    </w14:srgbClr>
                  </w14:solidFill>
                </w14:textFill>
              </w:rPr>
              <w:t>|</w:t>
            </w:r>
          </w:p>
        </w:tc>
        <w:tc>
          <w:tcPr>
            <w:tcW w:w="1134" w:type="dxa"/>
            <w:tcBorders>
              <w:top w:val="nil"/>
              <w:bottom w:val="nil"/>
            </w:tcBorders>
          </w:tcPr>
          <w:p w14:paraId="2F5E2FA1" w14:textId="77777777" w:rsidR="00C775AE" w:rsidRPr="002F733E" w:rsidRDefault="00C775AE" w:rsidP="00C775AE">
            <w:pPr>
              <w:pStyle w:val="TableText0"/>
              <w:keepNext w:val="0"/>
              <w:jc w:val="center"/>
            </w:pPr>
            <w:r w:rsidRPr="002F733E">
              <w:t>0.708</w:t>
            </w:r>
          </w:p>
        </w:tc>
        <w:tc>
          <w:tcPr>
            <w:tcW w:w="993" w:type="dxa"/>
            <w:tcBorders>
              <w:top w:val="nil"/>
              <w:bottom w:val="nil"/>
            </w:tcBorders>
          </w:tcPr>
          <w:p w14:paraId="4B56054F" w14:textId="063BA587" w:rsidR="00C775AE" w:rsidRPr="002F733E" w:rsidRDefault="00EB6544" w:rsidP="00C775AE">
            <w:pPr>
              <w:pStyle w:val="TableText0"/>
              <w:keepNext w:val="0"/>
              <w:jc w:val="center"/>
            </w:pPr>
            <w:r w:rsidRPr="00EB6544">
              <w:rPr>
                <w:color w:val="000000"/>
                <w:spacing w:val="42"/>
                <w:shd w:val="solid" w:color="000000" w:fill="000000"/>
                <w:fitText w:val="466" w:id="-1236572656"/>
                <w14:textFill>
                  <w14:solidFill>
                    <w14:srgbClr w14:val="000000">
                      <w14:alpha w14:val="100000"/>
                    </w14:srgbClr>
                  </w14:solidFill>
                </w14:textFill>
              </w:rPr>
              <w:t>|||||</w:t>
            </w:r>
            <w:r w:rsidRPr="00EB6544">
              <w:rPr>
                <w:color w:val="000000"/>
                <w:spacing w:val="1"/>
                <w:shd w:val="solid" w:color="000000" w:fill="000000"/>
                <w:fitText w:val="466" w:id="-1236572656"/>
                <w14:textFill>
                  <w14:solidFill>
                    <w14:srgbClr w14:val="000000">
                      <w14:alpha w14:val="100000"/>
                    </w14:srgbClr>
                  </w14:solidFill>
                </w14:textFill>
              </w:rPr>
              <w:t>|</w:t>
            </w:r>
            <w:r w:rsidR="00396C58">
              <w:rPr>
                <w:vertAlign w:val="superscript"/>
              </w:rPr>
              <w:t>2</w:t>
            </w:r>
          </w:p>
        </w:tc>
        <w:tc>
          <w:tcPr>
            <w:tcW w:w="731" w:type="dxa"/>
            <w:tcBorders>
              <w:top w:val="nil"/>
              <w:bottom w:val="nil"/>
            </w:tcBorders>
          </w:tcPr>
          <w:p w14:paraId="3E168F07" w14:textId="77777777" w:rsidR="00C775AE" w:rsidRPr="002F733E" w:rsidRDefault="00C775AE" w:rsidP="00C775AE">
            <w:pPr>
              <w:pStyle w:val="TableText0"/>
              <w:keepNext w:val="0"/>
              <w:jc w:val="center"/>
            </w:pPr>
            <w:r w:rsidRPr="002F733E">
              <w:t>-6.6%</w:t>
            </w:r>
          </w:p>
        </w:tc>
      </w:tr>
      <w:tr w:rsidR="00C775AE" w:rsidRPr="002F733E" w14:paraId="7E4F0800" w14:textId="77777777" w:rsidTr="00EB6544">
        <w:tc>
          <w:tcPr>
            <w:tcW w:w="5098" w:type="dxa"/>
            <w:tcBorders>
              <w:top w:val="nil"/>
            </w:tcBorders>
          </w:tcPr>
          <w:p w14:paraId="149B988C" w14:textId="77777777" w:rsidR="00C775AE" w:rsidRPr="002F733E" w:rsidRDefault="00C775AE" w:rsidP="00DC7889">
            <w:pPr>
              <w:pStyle w:val="TableText0"/>
              <w:keepNext w:val="0"/>
              <w:numPr>
                <w:ilvl w:val="0"/>
                <w:numId w:val="7"/>
              </w:numPr>
              <w:ind w:left="22" w:hanging="22"/>
            </w:pPr>
            <w:r w:rsidRPr="002F733E">
              <w:t>Upper 95% CI (NR)</w:t>
            </w:r>
          </w:p>
        </w:tc>
        <w:tc>
          <w:tcPr>
            <w:tcW w:w="1134" w:type="dxa"/>
            <w:tcBorders>
              <w:top w:val="nil"/>
            </w:tcBorders>
            <w:shd w:val="solid" w:color="000000" w:fill="000000"/>
          </w:tcPr>
          <w:p w14:paraId="3037F7CC" w14:textId="7DA1013D" w:rsidR="00C775AE" w:rsidRPr="00EB6544" w:rsidRDefault="00EB6544" w:rsidP="00C775AE">
            <w:pPr>
              <w:pStyle w:val="TableText0"/>
              <w:keepNext w:val="0"/>
              <w:jc w:val="center"/>
            </w:pPr>
            <w:r w:rsidRPr="00EB6544">
              <w:rPr>
                <w:color w:val="000000"/>
                <w:spacing w:val="65"/>
                <w:fitText w:val="366" w:id="-1236572672"/>
                <w14:textFill>
                  <w14:solidFill>
                    <w14:srgbClr w14:val="000000">
                      <w14:alpha w14:val="100000"/>
                    </w14:srgbClr>
                  </w14:solidFill>
                </w14:textFill>
              </w:rPr>
              <w:t>|||</w:t>
            </w:r>
            <w:r w:rsidRPr="00EB6544">
              <w:rPr>
                <w:color w:val="000000"/>
                <w:spacing w:val="1"/>
                <w:fitText w:val="366" w:id="-1236572672"/>
                <w14:textFill>
                  <w14:solidFill>
                    <w14:srgbClr w14:val="000000">
                      <w14:alpha w14:val="100000"/>
                    </w14:srgbClr>
                  </w14:solidFill>
                </w14:textFill>
              </w:rPr>
              <w:t>|</w:t>
            </w:r>
          </w:p>
        </w:tc>
        <w:tc>
          <w:tcPr>
            <w:tcW w:w="1134" w:type="dxa"/>
            <w:tcBorders>
              <w:top w:val="nil"/>
            </w:tcBorders>
          </w:tcPr>
          <w:p w14:paraId="6E2A1BC8" w14:textId="77777777" w:rsidR="00C775AE" w:rsidRPr="002F733E" w:rsidRDefault="00C775AE" w:rsidP="00C775AE">
            <w:pPr>
              <w:pStyle w:val="TableText0"/>
              <w:keepNext w:val="0"/>
              <w:jc w:val="center"/>
            </w:pPr>
            <w:r w:rsidRPr="002F733E">
              <w:t>0.588</w:t>
            </w:r>
          </w:p>
        </w:tc>
        <w:tc>
          <w:tcPr>
            <w:tcW w:w="993" w:type="dxa"/>
            <w:tcBorders>
              <w:top w:val="nil"/>
            </w:tcBorders>
          </w:tcPr>
          <w:p w14:paraId="6078BD38" w14:textId="5D47FDBA" w:rsidR="00C775AE" w:rsidRPr="002F733E" w:rsidRDefault="00EB6544" w:rsidP="00C775AE">
            <w:pPr>
              <w:pStyle w:val="TableText0"/>
              <w:keepNext w:val="0"/>
              <w:jc w:val="center"/>
            </w:pPr>
            <w:r w:rsidRPr="00EB6544">
              <w:rPr>
                <w:color w:val="000000"/>
                <w:spacing w:val="42"/>
                <w:shd w:val="solid" w:color="000000" w:fill="000000"/>
                <w:fitText w:val="466" w:id="-1236572671"/>
                <w14:textFill>
                  <w14:solidFill>
                    <w14:srgbClr w14:val="000000">
                      <w14:alpha w14:val="100000"/>
                    </w14:srgbClr>
                  </w14:solidFill>
                </w14:textFill>
              </w:rPr>
              <w:t>|||||</w:t>
            </w:r>
            <w:r w:rsidRPr="00EB6544">
              <w:rPr>
                <w:color w:val="000000"/>
                <w:spacing w:val="1"/>
                <w:shd w:val="solid" w:color="000000" w:fill="000000"/>
                <w:fitText w:val="466" w:id="-1236572671"/>
                <w14:textFill>
                  <w14:solidFill>
                    <w14:srgbClr w14:val="000000">
                      <w14:alpha w14:val="100000"/>
                    </w14:srgbClr>
                  </w14:solidFill>
                </w14:textFill>
              </w:rPr>
              <w:t>|</w:t>
            </w:r>
            <w:r w:rsidR="00396C58">
              <w:rPr>
                <w:vertAlign w:val="superscript"/>
              </w:rPr>
              <w:t>1</w:t>
            </w:r>
          </w:p>
        </w:tc>
        <w:tc>
          <w:tcPr>
            <w:tcW w:w="731" w:type="dxa"/>
            <w:tcBorders>
              <w:top w:val="nil"/>
            </w:tcBorders>
          </w:tcPr>
          <w:p w14:paraId="12FFE709" w14:textId="77777777" w:rsidR="00C775AE" w:rsidRPr="002F733E" w:rsidRDefault="00C775AE" w:rsidP="00C775AE">
            <w:pPr>
              <w:pStyle w:val="TableText0"/>
              <w:keepNext w:val="0"/>
              <w:jc w:val="center"/>
            </w:pPr>
            <w:r w:rsidRPr="002F733E">
              <w:t>14.0%</w:t>
            </w:r>
          </w:p>
        </w:tc>
      </w:tr>
      <w:tr w:rsidR="00C775AE" w:rsidRPr="002F733E" w14:paraId="704A02A7" w14:textId="77777777" w:rsidTr="00EB6544">
        <w:tc>
          <w:tcPr>
            <w:tcW w:w="5098" w:type="dxa"/>
            <w:tcBorders>
              <w:bottom w:val="nil"/>
            </w:tcBorders>
          </w:tcPr>
          <w:p w14:paraId="38F2EFFF" w14:textId="77777777" w:rsidR="00C775AE" w:rsidRPr="002F733E" w:rsidRDefault="00C775AE" w:rsidP="00C775AE">
            <w:pPr>
              <w:pStyle w:val="TableText0"/>
              <w:keepNext w:val="0"/>
            </w:pPr>
            <w:r w:rsidRPr="002F733E">
              <w:t>Change in SLEDAI-2K treatment effect</w:t>
            </w:r>
          </w:p>
        </w:tc>
        <w:tc>
          <w:tcPr>
            <w:tcW w:w="1134" w:type="dxa"/>
            <w:tcBorders>
              <w:bottom w:val="nil"/>
            </w:tcBorders>
          </w:tcPr>
          <w:p w14:paraId="5AEDD730" w14:textId="77777777" w:rsidR="00C775AE" w:rsidRPr="002F733E" w:rsidRDefault="00C775AE" w:rsidP="00C775AE">
            <w:pPr>
              <w:pStyle w:val="TableText0"/>
              <w:keepNext w:val="0"/>
              <w:jc w:val="center"/>
            </w:pPr>
          </w:p>
        </w:tc>
        <w:tc>
          <w:tcPr>
            <w:tcW w:w="1134" w:type="dxa"/>
            <w:tcBorders>
              <w:bottom w:val="nil"/>
            </w:tcBorders>
          </w:tcPr>
          <w:p w14:paraId="71652633" w14:textId="77777777" w:rsidR="00C775AE" w:rsidRPr="002F733E" w:rsidRDefault="00C775AE" w:rsidP="00C775AE">
            <w:pPr>
              <w:pStyle w:val="TableText0"/>
              <w:keepNext w:val="0"/>
              <w:jc w:val="center"/>
            </w:pPr>
          </w:p>
        </w:tc>
        <w:tc>
          <w:tcPr>
            <w:tcW w:w="993" w:type="dxa"/>
            <w:tcBorders>
              <w:bottom w:val="nil"/>
            </w:tcBorders>
          </w:tcPr>
          <w:p w14:paraId="50776398" w14:textId="77777777" w:rsidR="00C775AE" w:rsidRPr="002F733E" w:rsidRDefault="00C775AE" w:rsidP="00C775AE">
            <w:pPr>
              <w:pStyle w:val="TableText0"/>
              <w:keepNext w:val="0"/>
              <w:jc w:val="center"/>
            </w:pPr>
          </w:p>
        </w:tc>
        <w:tc>
          <w:tcPr>
            <w:tcW w:w="731" w:type="dxa"/>
            <w:tcBorders>
              <w:bottom w:val="nil"/>
            </w:tcBorders>
          </w:tcPr>
          <w:p w14:paraId="0F349BCF" w14:textId="77777777" w:rsidR="00C775AE" w:rsidRPr="002F733E" w:rsidRDefault="00C775AE" w:rsidP="00C775AE">
            <w:pPr>
              <w:pStyle w:val="TableText0"/>
              <w:keepNext w:val="0"/>
              <w:jc w:val="center"/>
            </w:pPr>
          </w:p>
        </w:tc>
      </w:tr>
      <w:tr w:rsidR="00C775AE" w:rsidRPr="002F733E" w14:paraId="7260C507" w14:textId="77777777" w:rsidTr="00EB6544">
        <w:tc>
          <w:tcPr>
            <w:tcW w:w="5098" w:type="dxa"/>
            <w:tcBorders>
              <w:top w:val="nil"/>
              <w:bottom w:val="nil"/>
            </w:tcBorders>
            <w:vAlign w:val="center"/>
          </w:tcPr>
          <w:p w14:paraId="6254B22F" w14:textId="77777777" w:rsidR="00C775AE" w:rsidRPr="002F733E" w:rsidRDefault="00C775AE" w:rsidP="00DC7889">
            <w:pPr>
              <w:pStyle w:val="TableText0"/>
              <w:keepNext w:val="0"/>
              <w:numPr>
                <w:ilvl w:val="0"/>
                <w:numId w:val="7"/>
              </w:numPr>
              <w:ind w:left="22" w:hanging="22"/>
            </w:pPr>
            <w:r w:rsidRPr="002F733E">
              <w:t>Assume SLEDAI-2K treatment effect coeffs 0 (anifrolumab affects SLEDAI-2K only through flares)</w:t>
            </w:r>
          </w:p>
        </w:tc>
        <w:tc>
          <w:tcPr>
            <w:tcW w:w="1134" w:type="dxa"/>
            <w:tcBorders>
              <w:top w:val="nil"/>
              <w:bottom w:val="nil"/>
            </w:tcBorders>
            <w:shd w:val="solid" w:color="000000" w:fill="000000"/>
          </w:tcPr>
          <w:p w14:paraId="6644961B" w14:textId="1D86204C" w:rsidR="00C775AE" w:rsidRPr="00EB6544" w:rsidRDefault="00EB6544" w:rsidP="00C775AE">
            <w:pPr>
              <w:pStyle w:val="TableText0"/>
              <w:keepNext w:val="0"/>
              <w:jc w:val="center"/>
            </w:pPr>
            <w:r w:rsidRPr="00EB6544">
              <w:rPr>
                <w:color w:val="000000"/>
                <w:spacing w:val="65"/>
                <w:fitText w:val="366" w:id="-1236572670"/>
                <w14:textFill>
                  <w14:solidFill>
                    <w14:srgbClr w14:val="000000">
                      <w14:alpha w14:val="100000"/>
                    </w14:srgbClr>
                  </w14:solidFill>
                </w14:textFill>
              </w:rPr>
              <w:t>|||</w:t>
            </w:r>
            <w:r w:rsidRPr="00EB6544">
              <w:rPr>
                <w:color w:val="000000"/>
                <w:spacing w:val="1"/>
                <w:fitText w:val="366" w:id="-1236572670"/>
                <w14:textFill>
                  <w14:solidFill>
                    <w14:srgbClr w14:val="000000">
                      <w14:alpha w14:val="100000"/>
                    </w14:srgbClr>
                  </w14:solidFill>
                </w14:textFill>
              </w:rPr>
              <w:t>|</w:t>
            </w:r>
          </w:p>
        </w:tc>
        <w:tc>
          <w:tcPr>
            <w:tcW w:w="1134" w:type="dxa"/>
            <w:tcBorders>
              <w:top w:val="nil"/>
              <w:bottom w:val="nil"/>
            </w:tcBorders>
          </w:tcPr>
          <w:p w14:paraId="703F6C43" w14:textId="77777777" w:rsidR="00C775AE" w:rsidRPr="002F733E" w:rsidRDefault="00C775AE" w:rsidP="00C775AE">
            <w:pPr>
              <w:pStyle w:val="TableText0"/>
              <w:keepNext w:val="0"/>
              <w:jc w:val="center"/>
            </w:pPr>
            <w:r w:rsidRPr="002F733E">
              <w:t>0.618</w:t>
            </w:r>
          </w:p>
        </w:tc>
        <w:tc>
          <w:tcPr>
            <w:tcW w:w="993" w:type="dxa"/>
            <w:tcBorders>
              <w:top w:val="nil"/>
              <w:bottom w:val="nil"/>
            </w:tcBorders>
          </w:tcPr>
          <w:p w14:paraId="4C293A1B" w14:textId="702AB328" w:rsidR="00C775AE" w:rsidRPr="002F733E" w:rsidRDefault="00EB6544" w:rsidP="00C775AE">
            <w:pPr>
              <w:pStyle w:val="TableText0"/>
              <w:keepNext w:val="0"/>
              <w:jc w:val="center"/>
            </w:pPr>
            <w:r w:rsidRPr="00EB6544">
              <w:rPr>
                <w:color w:val="000000"/>
                <w:spacing w:val="42"/>
                <w:shd w:val="solid" w:color="000000" w:fill="000000"/>
                <w:fitText w:val="466" w:id="-1236572669"/>
                <w14:textFill>
                  <w14:solidFill>
                    <w14:srgbClr w14:val="000000">
                      <w14:alpha w14:val="100000"/>
                    </w14:srgbClr>
                  </w14:solidFill>
                </w14:textFill>
              </w:rPr>
              <w:t>|||||</w:t>
            </w:r>
            <w:r w:rsidRPr="00EB6544">
              <w:rPr>
                <w:color w:val="000000"/>
                <w:spacing w:val="1"/>
                <w:shd w:val="solid" w:color="000000" w:fill="000000"/>
                <w:fitText w:val="466" w:id="-1236572669"/>
                <w14:textFill>
                  <w14:solidFill>
                    <w14:srgbClr w14:val="000000">
                      <w14:alpha w14:val="100000"/>
                    </w14:srgbClr>
                  </w14:solidFill>
                </w14:textFill>
              </w:rPr>
              <w:t>|</w:t>
            </w:r>
            <w:r w:rsidR="00396C58">
              <w:rPr>
                <w:vertAlign w:val="superscript"/>
              </w:rPr>
              <w:t>1</w:t>
            </w:r>
          </w:p>
        </w:tc>
        <w:tc>
          <w:tcPr>
            <w:tcW w:w="731" w:type="dxa"/>
            <w:tcBorders>
              <w:top w:val="nil"/>
              <w:bottom w:val="nil"/>
            </w:tcBorders>
          </w:tcPr>
          <w:p w14:paraId="64A6E9B6" w14:textId="77777777" w:rsidR="00C775AE" w:rsidRPr="002F733E" w:rsidRDefault="00C775AE" w:rsidP="00C775AE">
            <w:pPr>
              <w:pStyle w:val="TableText0"/>
              <w:keepNext w:val="0"/>
              <w:jc w:val="center"/>
            </w:pPr>
            <w:r w:rsidRPr="002F733E">
              <w:t>7.8%</w:t>
            </w:r>
          </w:p>
        </w:tc>
      </w:tr>
      <w:tr w:rsidR="00C775AE" w:rsidRPr="002F733E" w14:paraId="084BF73D" w14:textId="77777777" w:rsidTr="00EB6544">
        <w:tc>
          <w:tcPr>
            <w:tcW w:w="5098" w:type="dxa"/>
            <w:tcBorders>
              <w:top w:val="nil"/>
            </w:tcBorders>
            <w:vAlign w:val="center"/>
          </w:tcPr>
          <w:p w14:paraId="05739C8D" w14:textId="77777777" w:rsidR="00C775AE" w:rsidRPr="002F733E" w:rsidRDefault="00C775AE" w:rsidP="00DC7889">
            <w:pPr>
              <w:pStyle w:val="TableText0"/>
              <w:keepNext w:val="0"/>
              <w:numPr>
                <w:ilvl w:val="0"/>
                <w:numId w:val="7"/>
              </w:numPr>
              <w:ind w:left="22" w:hanging="22"/>
            </w:pPr>
            <w:r w:rsidRPr="002F733E">
              <w:t>Assume SLEDAI-2K equal in both arms (set equal to SOC)</w:t>
            </w:r>
          </w:p>
        </w:tc>
        <w:tc>
          <w:tcPr>
            <w:tcW w:w="1134" w:type="dxa"/>
            <w:tcBorders>
              <w:top w:val="nil"/>
            </w:tcBorders>
            <w:shd w:val="solid" w:color="000000" w:fill="000000"/>
          </w:tcPr>
          <w:p w14:paraId="3F497C34" w14:textId="71DFB525" w:rsidR="00C775AE" w:rsidRPr="00EB6544" w:rsidRDefault="00EB6544" w:rsidP="00C775AE">
            <w:pPr>
              <w:pStyle w:val="TableText0"/>
              <w:keepNext w:val="0"/>
              <w:jc w:val="center"/>
            </w:pPr>
            <w:r w:rsidRPr="00EB6544">
              <w:rPr>
                <w:color w:val="000000"/>
                <w:spacing w:val="65"/>
                <w:fitText w:val="366" w:id="-1236572668"/>
                <w14:textFill>
                  <w14:solidFill>
                    <w14:srgbClr w14:val="000000">
                      <w14:alpha w14:val="100000"/>
                    </w14:srgbClr>
                  </w14:solidFill>
                </w14:textFill>
              </w:rPr>
              <w:t>|||</w:t>
            </w:r>
            <w:r w:rsidRPr="00EB6544">
              <w:rPr>
                <w:color w:val="000000"/>
                <w:spacing w:val="1"/>
                <w:fitText w:val="366" w:id="-1236572668"/>
                <w14:textFill>
                  <w14:solidFill>
                    <w14:srgbClr w14:val="000000">
                      <w14:alpha w14:val="100000"/>
                    </w14:srgbClr>
                  </w14:solidFill>
                </w14:textFill>
              </w:rPr>
              <w:t>|</w:t>
            </w:r>
          </w:p>
        </w:tc>
        <w:tc>
          <w:tcPr>
            <w:tcW w:w="1134" w:type="dxa"/>
            <w:tcBorders>
              <w:top w:val="nil"/>
            </w:tcBorders>
          </w:tcPr>
          <w:p w14:paraId="012EAC77" w14:textId="77777777" w:rsidR="00C775AE" w:rsidRPr="002F733E" w:rsidRDefault="00C775AE" w:rsidP="00C775AE">
            <w:pPr>
              <w:pStyle w:val="TableText0"/>
              <w:keepNext w:val="0"/>
              <w:jc w:val="center"/>
            </w:pPr>
            <w:r w:rsidRPr="002F733E">
              <w:t>0.186</w:t>
            </w:r>
            <w:r w:rsidRPr="002F733E">
              <w:rPr>
                <w:vertAlign w:val="superscript"/>
              </w:rPr>
              <w:t>a</w:t>
            </w:r>
          </w:p>
        </w:tc>
        <w:tc>
          <w:tcPr>
            <w:tcW w:w="993" w:type="dxa"/>
            <w:tcBorders>
              <w:top w:val="nil"/>
            </w:tcBorders>
          </w:tcPr>
          <w:p w14:paraId="769AEEF9" w14:textId="673CE7D0" w:rsidR="00C775AE" w:rsidRPr="002F733E" w:rsidRDefault="00EB6544" w:rsidP="00C775AE">
            <w:pPr>
              <w:pStyle w:val="TableText0"/>
              <w:keepNext w:val="0"/>
              <w:jc w:val="center"/>
            </w:pPr>
            <w:r w:rsidRPr="00EB6544">
              <w:rPr>
                <w:color w:val="000000"/>
                <w:spacing w:val="42"/>
                <w:shd w:val="solid" w:color="000000" w:fill="000000"/>
                <w:fitText w:val="466" w:id="-1236572667"/>
                <w14:textFill>
                  <w14:solidFill>
                    <w14:srgbClr w14:val="000000">
                      <w14:alpha w14:val="100000"/>
                    </w14:srgbClr>
                  </w14:solidFill>
                </w14:textFill>
              </w:rPr>
              <w:t>|||||</w:t>
            </w:r>
            <w:r w:rsidRPr="00EB6544">
              <w:rPr>
                <w:color w:val="000000"/>
                <w:spacing w:val="1"/>
                <w:shd w:val="solid" w:color="000000" w:fill="000000"/>
                <w:fitText w:val="466" w:id="-1236572667"/>
                <w14:textFill>
                  <w14:solidFill>
                    <w14:srgbClr w14:val="000000">
                      <w14:alpha w14:val="100000"/>
                    </w14:srgbClr>
                  </w14:solidFill>
                </w14:textFill>
              </w:rPr>
              <w:t>|</w:t>
            </w:r>
            <w:r w:rsidR="00396C58">
              <w:rPr>
                <w:vertAlign w:val="superscript"/>
              </w:rPr>
              <w:t>6</w:t>
            </w:r>
          </w:p>
        </w:tc>
        <w:tc>
          <w:tcPr>
            <w:tcW w:w="731" w:type="dxa"/>
            <w:tcBorders>
              <w:top w:val="nil"/>
            </w:tcBorders>
          </w:tcPr>
          <w:p w14:paraId="30CECAEF" w14:textId="77777777" w:rsidR="00C775AE" w:rsidRPr="002F733E" w:rsidRDefault="00C775AE" w:rsidP="00C775AE">
            <w:pPr>
              <w:pStyle w:val="TableText0"/>
              <w:keepNext w:val="0"/>
              <w:jc w:val="center"/>
            </w:pPr>
            <w:r w:rsidRPr="002F733E">
              <w:t>267.3%</w:t>
            </w:r>
          </w:p>
        </w:tc>
      </w:tr>
      <w:tr w:rsidR="00C775AE" w:rsidRPr="002F733E" w14:paraId="50ADB8AC" w14:textId="77777777" w:rsidTr="00EB6544">
        <w:tc>
          <w:tcPr>
            <w:tcW w:w="5098" w:type="dxa"/>
            <w:tcBorders>
              <w:bottom w:val="nil"/>
            </w:tcBorders>
          </w:tcPr>
          <w:p w14:paraId="65588C6A" w14:textId="77777777" w:rsidR="00C775AE" w:rsidRPr="002F733E" w:rsidRDefault="00C775AE" w:rsidP="00C775AE">
            <w:pPr>
              <w:pStyle w:val="TableText0"/>
              <w:keepNext w:val="0"/>
            </w:pPr>
            <w:r w:rsidRPr="002F733E">
              <w:t>Treatment effect on duration of flares (base case HR=1.76)</w:t>
            </w:r>
          </w:p>
        </w:tc>
        <w:tc>
          <w:tcPr>
            <w:tcW w:w="1134" w:type="dxa"/>
            <w:tcBorders>
              <w:bottom w:val="nil"/>
            </w:tcBorders>
          </w:tcPr>
          <w:p w14:paraId="110FB3A0" w14:textId="77777777" w:rsidR="00C775AE" w:rsidRPr="002F733E" w:rsidRDefault="00C775AE" w:rsidP="00C775AE">
            <w:pPr>
              <w:pStyle w:val="TableText0"/>
              <w:keepNext w:val="0"/>
              <w:jc w:val="center"/>
            </w:pPr>
          </w:p>
        </w:tc>
        <w:tc>
          <w:tcPr>
            <w:tcW w:w="1134" w:type="dxa"/>
            <w:tcBorders>
              <w:bottom w:val="nil"/>
            </w:tcBorders>
          </w:tcPr>
          <w:p w14:paraId="226AB0EE" w14:textId="77777777" w:rsidR="00C775AE" w:rsidRPr="002F733E" w:rsidRDefault="00C775AE" w:rsidP="00C775AE">
            <w:pPr>
              <w:pStyle w:val="TableText0"/>
              <w:keepNext w:val="0"/>
              <w:jc w:val="center"/>
            </w:pPr>
          </w:p>
        </w:tc>
        <w:tc>
          <w:tcPr>
            <w:tcW w:w="993" w:type="dxa"/>
            <w:tcBorders>
              <w:bottom w:val="nil"/>
            </w:tcBorders>
          </w:tcPr>
          <w:p w14:paraId="72126FF4" w14:textId="77777777" w:rsidR="00C775AE" w:rsidRPr="002F733E" w:rsidRDefault="00C775AE" w:rsidP="00C775AE">
            <w:pPr>
              <w:pStyle w:val="TableText0"/>
              <w:keepNext w:val="0"/>
              <w:jc w:val="center"/>
            </w:pPr>
          </w:p>
        </w:tc>
        <w:tc>
          <w:tcPr>
            <w:tcW w:w="731" w:type="dxa"/>
            <w:tcBorders>
              <w:bottom w:val="nil"/>
            </w:tcBorders>
          </w:tcPr>
          <w:p w14:paraId="485DC725" w14:textId="77777777" w:rsidR="00C775AE" w:rsidRPr="002F733E" w:rsidRDefault="00C775AE" w:rsidP="00C775AE">
            <w:pPr>
              <w:pStyle w:val="TableText0"/>
              <w:keepNext w:val="0"/>
              <w:jc w:val="center"/>
            </w:pPr>
          </w:p>
        </w:tc>
      </w:tr>
      <w:tr w:rsidR="00C775AE" w:rsidRPr="002F733E" w14:paraId="7A7FD093" w14:textId="77777777" w:rsidTr="00EB6544">
        <w:tc>
          <w:tcPr>
            <w:tcW w:w="5098" w:type="dxa"/>
            <w:tcBorders>
              <w:top w:val="nil"/>
              <w:bottom w:val="nil"/>
            </w:tcBorders>
          </w:tcPr>
          <w:p w14:paraId="33927D58" w14:textId="77777777" w:rsidR="00C775AE" w:rsidRPr="002F733E" w:rsidRDefault="00C775AE" w:rsidP="00DC7889">
            <w:pPr>
              <w:pStyle w:val="TableText0"/>
              <w:keepNext w:val="0"/>
              <w:numPr>
                <w:ilvl w:val="0"/>
                <w:numId w:val="7"/>
              </w:numPr>
              <w:ind w:left="22" w:hanging="22"/>
            </w:pPr>
            <w:r w:rsidRPr="002F733E">
              <w:t xml:space="preserve">HR=1.35 </w:t>
            </w:r>
          </w:p>
        </w:tc>
        <w:tc>
          <w:tcPr>
            <w:tcW w:w="1134" w:type="dxa"/>
            <w:tcBorders>
              <w:top w:val="nil"/>
              <w:bottom w:val="nil"/>
            </w:tcBorders>
            <w:shd w:val="solid" w:color="000000" w:fill="000000"/>
          </w:tcPr>
          <w:p w14:paraId="15DF712A" w14:textId="57319F00" w:rsidR="00C775AE" w:rsidRPr="00EB6544" w:rsidRDefault="00EB6544" w:rsidP="00C775AE">
            <w:pPr>
              <w:pStyle w:val="TableText0"/>
              <w:keepNext w:val="0"/>
              <w:jc w:val="center"/>
            </w:pPr>
            <w:r w:rsidRPr="00EB6544">
              <w:rPr>
                <w:color w:val="000000"/>
                <w:spacing w:val="65"/>
                <w:fitText w:val="366" w:id="-1236572666"/>
                <w14:textFill>
                  <w14:solidFill>
                    <w14:srgbClr w14:val="000000">
                      <w14:alpha w14:val="100000"/>
                    </w14:srgbClr>
                  </w14:solidFill>
                </w14:textFill>
              </w:rPr>
              <w:t>|||</w:t>
            </w:r>
            <w:r w:rsidRPr="00EB6544">
              <w:rPr>
                <w:color w:val="000000"/>
                <w:spacing w:val="1"/>
                <w:fitText w:val="366" w:id="-1236572666"/>
                <w14:textFill>
                  <w14:solidFill>
                    <w14:srgbClr w14:val="000000">
                      <w14:alpha w14:val="100000"/>
                    </w14:srgbClr>
                  </w14:solidFill>
                </w14:textFill>
              </w:rPr>
              <w:t>|</w:t>
            </w:r>
          </w:p>
        </w:tc>
        <w:tc>
          <w:tcPr>
            <w:tcW w:w="1134" w:type="dxa"/>
            <w:tcBorders>
              <w:top w:val="nil"/>
              <w:bottom w:val="nil"/>
            </w:tcBorders>
          </w:tcPr>
          <w:p w14:paraId="380503B8" w14:textId="77777777" w:rsidR="00C775AE" w:rsidRPr="002F733E" w:rsidRDefault="00C775AE" w:rsidP="00C775AE">
            <w:pPr>
              <w:pStyle w:val="TableText0"/>
              <w:keepNext w:val="0"/>
              <w:jc w:val="center"/>
            </w:pPr>
            <w:r w:rsidRPr="002F733E">
              <w:t>0.5982</w:t>
            </w:r>
          </w:p>
        </w:tc>
        <w:tc>
          <w:tcPr>
            <w:tcW w:w="993" w:type="dxa"/>
            <w:tcBorders>
              <w:top w:val="nil"/>
              <w:bottom w:val="nil"/>
            </w:tcBorders>
          </w:tcPr>
          <w:p w14:paraId="336C6ACF" w14:textId="39707D91" w:rsidR="00C775AE" w:rsidRPr="002F733E" w:rsidRDefault="00EB6544" w:rsidP="00C775AE">
            <w:pPr>
              <w:pStyle w:val="TableText0"/>
              <w:keepNext w:val="0"/>
              <w:jc w:val="center"/>
            </w:pPr>
            <w:r w:rsidRPr="00EB6544">
              <w:rPr>
                <w:color w:val="000000"/>
                <w:spacing w:val="42"/>
                <w:shd w:val="solid" w:color="000000" w:fill="000000"/>
                <w:fitText w:val="466" w:id="-1236572665"/>
                <w14:textFill>
                  <w14:solidFill>
                    <w14:srgbClr w14:val="000000">
                      <w14:alpha w14:val="100000"/>
                    </w14:srgbClr>
                  </w14:solidFill>
                </w14:textFill>
              </w:rPr>
              <w:t>|||||</w:t>
            </w:r>
            <w:r w:rsidRPr="00EB6544">
              <w:rPr>
                <w:color w:val="000000"/>
                <w:spacing w:val="1"/>
                <w:shd w:val="solid" w:color="000000" w:fill="000000"/>
                <w:fitText w:val="466" w:id="-1236572665"/>
                <w14:textFill>
                  <w14:solidFill>
                    <w14:srgbClr w14:val="000000">
                      <w14:alpha w14:val="100000"/>
                    </w14:srgbClr>
                  </w14:solidFill>
                </w14:textFill>
              </w:rPr>
              <w:t>|</w:t>
            </w:r>
            <w:r w:rsidR="00396C58">
              <w:rPr>
                <w:vertAlign w:val="superscript"/>
              </w:rPr>
              <w:t>1</w:t>
            </w:r>
          </w:p>
        </w:tc>
        <w:tc>
          <w:tcPr>
            <w:tcW w:w="731" w:type="dxa"/>
            <w:tcBorders>
              <w:top w:val="nil"/>
              <w:bottom w:val="nil"/>
            </w:tcBorders>
          </w:tcPr>
          <w:p w14:paraId="614A4D2E" w14:textId="77777777" w:rsidR="00C775AE" w:rsidRPr="002F733E" w:rsidRDefault="00C775AE" w:rsidP="00C775AE">
            <w:pPr>
              <w:pStyle w:val="TableText0"/>
              <w:keepNext w:val="0"/>
              <w:jc w:val="center"/>
            </w:pPr>
            <w:r w:rsidRPr="002F733E">
              <w:t>11.2%</w:t>
            </w:r>
          </w:p>
        </w:tc>
      </w:tr>
      <w:tr w:rsidR="00C775AE" w:rsidRPr="002F733E" w14:paraId="34C2389B" w14:textId="77777777" w:rsidTr="00EB6544">
        <w:tc>
          <w:tcPr>
            <w:tcW w:w="5098" w:type="dxa"/>
            <w:tcBorders>
              <w:top w:val="nil"/>
              <w:bottom w:val="single" w:sz="4" w:space="0" w:color="auto"/>
            </w:tcBorders>
          </w:tcPr>
          <w:p w14:paraId="147182B4" w14:textId="77777777" w:rsidR="00C775AE" w:rsidRPr="002F733E" w:rsidRDefault="00C775AE" w:rsidP="00DC7889">
            <w:pPr>
              <w:pStyle w:val="TableText0"/>
              <w:keepNext w:val="0"/>
              <w:numPr>
                <w:ilvl w:val="0"/>
                <w:numId w:val="7"/>
              </w:numPr>
              <w:ind w:left="22" w:hanging="22"/>
            </w:pPr>
            <w:r w:rsidRPr="002F733E">
              <w:t>HR=2.30</w:t>
            </w:r>
          </w:p>
        </w:tc>
        <w:tc>
          <w:tcPr>
            <w:tcW w:w="1134" w:type="dxa"/>
            <w:tcBorders>
              <w:top w:val="nil"/>
              <w:bottom w:val="single" w:sz="4" w:space="0" w:color="auto"/>
            </w:tcBorders>
            <w:shd w:val="solid" w:color="000000" w:fill="000000"/>
          </w:tcPr>
          <w:p w14:paraId="61AFEB10" w14:textId="383FD8EA" w:rsidR="00C775AE" w:rsidRPr="00EB6544" w:rsidRDefault="00EB6544" w:rsidP="00C775AE">
            <w:pPr>
              <w:pStyle w:val="TableText0"/>
              <w:keepNext w:val="0"/>
              <w:jc w:val="center"/>
            </w:pPr>
            <w:r w:rsidRPr="00EB6544">
              <w:rPr>
                <w:color w:val="000000"/>
                <w:spacing w:val="65"/>
                <w:fitText w:val="366" w:id="-1236572664"/>
                <w14:textFill>
                  <w14:solidFill>
                    <w14:srgbClr w14:val="000000">
                      <w14:alpha w14:val="100000"/>
                    </w14:srgbClr>
                  </w14:solidFill>
                </w14:textFill>
              </w:rPr>
              <w:t>|||</w:t>
            </w:r>
            <w:r w:rsidRPr="00EB6544">
              <w:rPr>
                <w:color w:val="000000"/>
                <w:spacing w:val="1"/>
                <w:fitText w:val="366" w:id="-1236572664"/>
                <w14:textFill>
                  <w14:solidFill>
                    <w14:srgbClr w14:val="000000">
                      <w14:alpha w14:val="100000"/>
                    </w14:srgbClr>
                  </w14:solidFill>
                </w14:textFill>
              </w:rPr>
              <w:t>|</w:t>
            </w:r>
          </w:p>
        </w:tc>
        <w:tc>
          <w:tcPr>
            <w:tcW w:w="1134" w:type="dxa"/>
            <w:tcBorders>
              <w:top w:val="nil"/>
              <w:bottom w:val="single" w:sz="4" w:space="0" w:color="auto"/>
            </w:tcBorders>
          </w:tcPr>
          <w:p w14:paraId="34D99D14" w14:textId="77777777" w:rsidR="00C775AE" w:rsidRPr="002F733E" w:rsidRDefault="00C775AE" w:rsidP="00C775AE">
            <w:pPr>
              <w:pStyle w:val="TableText0"/>
              <w:keepNext w:val="0"/>
              <w:jc w:val="center"/>
            </w:pPr>
            <w:r w:rsidRPr="002F733E">
              <w:t>0.7108</w:t>
            </w:r>
          </w:p>
        </w:tc>
        <w:tc>
          <w:tcPr>
            <w:tcW w:w="993" w:type="dxa"/>
            <w:tcBorders>
              <w:top w:val="nil"/>
              <w:bottom w:val="single" w:sz="4" w:space="0" w:color="auto"/>
            </w:tcBorders>
          </w:tcPr>
          <w:p w14:paraId="1B6BE10F" w14:textId="45941D6F" w:rsidR="00C775AE" w:rsidRPr="002F733E" w:rsidRDefault="00EB6544" w:rsidP="00C775AE">
            <w:pPr>
              <w:pStyle w:val="TableText0"/>
              <w:keepNext w:val="0"/>
              <w:jc w:val="center"/>
            </w:pPr>
            <w:r w:rsidRPr="00EB6544">
              <w:rPr>
                <w:color w:val="000000"/>
                <w:spacing w:val="42"/>
                <w:shd w:val="solid" w:color="000000" w:fill="000000"/>
                <w:fitText w:val="466" w:id="-1236572663"/>
                <w14:textFill>
                  <w14:solidFill>
                    <w14:srgbClr w14:val="000000">
                      <w14:alpha w14:val="100000"/>
                    </w14:srgbClr>
                  </w14:solidFill>
                </w14:textFill>
              </w:rPr>
              <w:t>|||||</w:t>
            </w:r>
            <w:r w:rsidRPr="00EB6544">
              <w:rPr>
                <w:color w:val="000000"/>
                <w:spacing w:val="1"/>
                <w:shd w:val="solid" w:color="000000" w:fill="000000"/>
                <w:fitText w:val="466" w:id="-1236572663"/>
                <w14:textFill>
                  <w14:solidFill>
                    <w14:srgbClr w14:val="000000">
                      <w14:alpha w14:val="100000"/>
                    </w14:srgbClr>
                  </w14:solidFill>
                </w14:textFill>
              </w:rPr>
              <w:t>|</w:t>
            </w:r>
            <w:r w:rsidR="00396C58">
              <w:rPr>
                <w:vertAlign w:val="superscript"/>
              </w:rPr>
              <w:t>2</w:t>
            </w:r>
          </w:p>
        </w:tc>
        <w:tc>
          <w:tcPr>
            <w:tcW w:w="731" w:type="dxa"/>
            <w:tcBorders>
              <w:top w:val="nil"/>
              <w:bottom w:val="single" w:sz="4" w:space="0" w:color="auto"/>
            </w:tcBorders>
          </w:tcPr>
          <w:p w14:paraId="14A5B94B" w14:textId="77777777" w:rsidR="00C775AE" w:rsidRPr="002F733E" w:rsidRDefault="00C775AE" w:rsidP="00C775AE">
            <w:pPr>
              <w:pStyle w:val="TableText0"/>
              <w:keepNext w:val="0"/>
              <w:jc w:val="center"/>
            </w:pPr>
            <w:r w:rsidRPr="002F733E">
              <w:t>-7.1%</w:t>
            </w:r>
          </w:p>
        </w:tc>
      </w:tr>
      <w:tr w:rsidR="00C775AE" w:rsidRPr="002F733E" w14:paraId="3EF92E3C" w14:textId="77777777" w:rsidTr="00EB6544">
        <w:tc>
          <w:tcPr>
            <w:tcW w:w="5098" w:type="dxa"/>
            <w:tcBorders>
              <w:bottom w:val="nil"/>
            </w:tcBorders>
          </w:tcPr>
          <w:p w14:paraId="1A025B4B" w14:textId="77777777" w:rsidR="00C775AE" w:rsidRPr="002F733E" w:rsidRDefault="00C775AE" w:rsidP="00C775AE">
            <w:pPr>
              <w:pStyle w:val="TableText0"/>
              <w:keepLines/>
            </w:pPr>
            <w:r w:rsidRPr="002F733E">
              <w:t>Duration of flares (base case 5.3 months non-severe, 2.5 months severe)</w:t>
            </w:r>
          </w:p>
        </w:tc>
        <w:tc>
          <w:tcPr>
            <w:tcW w:w="1134" w:type="dxa"/>
            <w:tcBorders>
              <w:bottom w:val="nil"/>
            </w:tcBorders>
          </w:tcPr>
          <w:p w14:paraId="6774FC93" w14:textId="77777777" w:rsidR="00C775AE" w:rsidRPr="002F733E" w:rsidRDefault="00C775AE" w:rsidP="00C775AE">
            <w:pPr>
              <w:pStyle w:val="TableText0"/>
              <w:keepLines/>
              <w:jc w:val="center"/>
            </w:pPr>
          </w:p>
        </w:tc>
        <w:tc>
          <w:tcPr>
            <w:tcW w:w="1134" w:type="dxa"/>
            <w:tcBorders>
              <w:bottom w:val="nil"/>
            </w:tcBorders>
          </w:tcPr>
          <w:p w14:paraId="0E0A7350" w14:textId="77777777" w:rsidR="00C775AE" w:rsidRPr="002F733E" w:rsidRDefault="00C775AE" w:rsidP="00C775AE">
            <w:pPr>
              <w:pStyle w:val="TableText0"/>
              <w:keepLines/>
              <w:jc w:val="center"/>
            </w:pPr>
          </w:p>
        </w:tc>
        <w:tc>
          <w:tcPr>
            <w:tcW w:w="993" w:type="dxa"/>
            <w:tcBorders>
              <w:bottom w:val="nil"/>
            </w:tcBorders>
          </w:tcPr>
          <w:p w14:paraId="41F68AB8" w14:textId="77777777" w:rsidR="00C775AE" w:rsidRPr="002F733E" w:rsidRDefault="00C775AE" w:rsidP="00C775AE">
            <w:pPr>
              <w:pStyle w:val="TableText0"/>
              <w:keepLines/>
              <w:jc w:val="center"/>
            </w:pPr>
          </w:p>
        </w:tc>
        <w:tc>
          <w:tcPr>
            <w:tcW w:w="731" w:type="dxa"/>
            <w:tcBorders>
              <w:bottom w:val="nil"/>
            </w:tcBorders>
          </w:tcPr>
          <w:p w14:paraId="2A3499B3" w14:textId="77777777" w:rsidR="00C775AE" w:rsidRPr="002F733E" w:rsidRDefault="00C775AE" w:rsidP="00C775AE">
            <w:pPr>
              <w:pStyle w:val="TableText0"/>
              <w:keepLines/>
              <w:jc w:val="center"/>
            </w:pPr>
          </w:p>
        </w:tc>
      </w:tr>
      <w:tr w:rsidR="00C775AE" w:rsidRPr="002F733E" w14:paraId="725AE88C" w14:textId="77777777" w:rsidTr="00EB6544">
        <w:tc>
          <w:tcPr>
            <w:tcW w:w="5098" w:type="dxa"/>
            <w:tcBorders>
              <w:top w:val="nil"/>
              <w:bottom w:val="nil"/>
            </w:tcBorders>
          </w:tcPr>
          <w:p w14:paraId="786F9533" w14:textId="77777777" w:rsidR="00C775AE" w:rsidRPr="002F733E" w:rsidRDefault="00C775AE" w:rsidP="00DC7889">
            <w:pPr>
              <w:pStyle w:val="TableText0"/>
              <w:keepLines/>
              <w:numPr>
                <w:ilvl w:val="0"/>
                <w:numId w:val="7"/>
              </w:numPr>
              <w:ind w:left="22" w:hanging="22"/>
            </w:pPr>
            <w:r w:rsidRPr="002F733E">
              <w:t xml:space="preserve"> 20% shorter </w:t>
            </w:r>
          </w:p>
        </w:tc>
        <w:tc>
          <w:tcPr>
            <w:tcW w:w="1134" w:type="dxa"/>
            <w:tcBorders>
              <w:top w:val="nil"/>
              <w:bottom w:val="nil"/>
            </w:tcBorders>
            <w:shd w:val="solid" w:color="000000" w:fill="000000"/>
          </w:tcPr>
          <w:p w14:paraId="6BBBCAD3" w14:textId="617B70BB" w:rsidR="00C775AE" w:rsidRPr="00EB6544" w:rsidRDefault="00EB6544" w:rsidP="00C775AE">
            <w:pPr>
              <w:pStyle w:val="TableText0"/>
              <w:keepLines/>
              <w:jc w:val="center"/>
            </w:pPr>
            <w:r w:rsidRPr="00EB6544">
              <w:rPr>
                <w:color w:val="000000"/>
                <w:spacing w:val="65"/>
                <w:fitText w:val="366" w:id="-1236572662"/>
                <w14:textFill>
                  <w14:solidFill>
                    <w14:srgbClr w14:val="000000">
                      <w14:alpha w14:val="100000"/>
                    </w14:srgbClr>
                  </w14:solidFill>
                </w14:textFill>
              </w:rPr>
              <w:t>|||</w:t>
            </w:r>
            <w:r w:rsidRPr="00EB6544">
              <w:rPr>
                <w:color w:val="000000"/>
                <w:spacing w:val="1"/>
                <w:fitText w:val="366" w:id="-1236572662"/>
                <w14:textFill>
                  <w14:solidFill>
                    <w14:srgbClr w14:val="000000">
                      <w14:alpha w14:val="100000"/>
                    </w14:srgbClr>
                  </w14:solidFill>
                </w14:textFill>
              </w:rPr>
              <w:t>|</w:t>
            </w:r>
          </w:p>
        </w:tc>
        <w:tc>
          <w:tcPr>
            <w:tcW w:w="1134" w:type="dxa"/>
            <w:tcBorders>
              <w:top w:val="nil"/>
              <w:bottom w:val="nil"/>
            </w:tcBorders>
          </w:tcPr>
          <w:p w14:paraId="1E60DFE3" w14:textId="77777777" w:rsidR="00C775AE" w:rsidRPr="002F733E" w:rsidRDefault="00C775AE" w:rsidP="00C775AE">
            <w:pPr>
              <w:pStyle w:val="TableText0"/>
              <w:keepLines/>
              <w:jc w:val="center"/>
            </w:pPr>
            <w:r w:rsidRPr="002F733E">
              <w:t>0.494</w:t>
            </w:r>
          </w:p>
        </w:tc>
        <w:tc>
          <w:tcPr>
            <w:tcW w:w="993" w:type="dxa"/>
            <w:tcBorders>
              <w:top w:val="nil"/>
              <w:bottom w:val="nil"/>
            </w:tcBorders>
          </w:tcPr>
          <w:p w14:paraId="0579DC36" w14:textId="76B2DFB4" w:rsidR="00C775AE" w:rsidRPr="002F733E" w:rsidRDefault="00EB6544" w:rsidP="00C775AE">
            <w:pPr>
              <w:pStyle w:val="TableText0"/>
              <w:keepLines/>
              <w:jc w:val="center"/>
            </w:pPr>
            <w:r w:rsidRPr="00EB6544">
              <w:rPr>
                <w:color w:val="000000"/>
                <w:spacing w:val="42"/>
                <w:shd w:val="solid" w:color="000000" w:fill="000000"/>
                <w:fitText w:val="466" w:id="-1236572661"/>
                <w14:textFill>
                  <w14:solidFill>
                    <w14:srgbClr w14:val="000000">
                      <w14:alpha w14:val="100000"/>
                    </w14:srgbClr>
                  </w14:solidFill>
                </w14:textFill>
              </w:rPr>
              <w:t>|||||</w:t>
            </w:r>
            <w:r w:rsidRPr="00EB6544">
              <w:rPr>
                <w:color w:val="000000"/>
                <w:spacing w:val="1"/>
                <w:shd w:val="solid" w:color="000000" w:fill="000000"/>
                <w:fitText w:val="466" w:id="-1236572661"/>
                <w14:textFill>
                  <w14:solidFill>
                    <w14:srgbClr w14:val="000000">
                      <w14:alpha w14:val="100000"/>
                    </w14:srgbClr>
                  </w14:solidFill>
                </w14:textFill>
              </w:rPr>
              <w:t>|</w:t>
            </w:r>
            <w:r w:rsidR="00396C58" w:rsidRPr="00396C58">
              <w:rPr>
                <w:vertAlign w:val="superscript"/>
              </w:rPr>
              <w:t>3</w:t>
            </w:r>
          </w:p>
        </w:tc>
        <w:tc>
          <w:tcPr>
            <w:tcW w:w="731" w:type="dxa"/>
            <w:tcBorders>
              <w:top w:val="nil"/>
              <w:bottom w:val="nil"/>
            </w:tcBorders>
          </w:tcPr>
          <w:p w14:paraId="2F01C7CE" w14:textId="77777777" w:rsidR="00C775AE" w:rsidRPr="002F733E" w:rsidRDefault="00C775AE" w:rsidP="00C775AE">
            <w:pPr>
              <w:pStyle w:val="TableText0"/>
              <w:keepLines/>
              <w:jc w:val="center"/>
            </w:pPr>
            <w:r w:rsidRPr="002F733E">
              <w:t>39.8%</w:t>
            </w:r>
          </w:p>
        </w:tc>
      </w:tr>
      <w:tr w:rsidR="00C775AE" w:rsidRPr="002F733E" w14:paraId="04F57857" w14:textId="77777777" w:rsidTr="00EB6544">
        <w:tc>
          <w:tcPr>
            <w:tcW w:w="5098" w:type="dxa"/>
            <w:tcBorders>
              <w:top w:val="nil"/>
              <w:bottom w:val="nil"/>
            </w:tcBorders>
          </w:tcPr>
          <w:p w14:paraId="24984456" w14:textId="77777777" w:rsidR="00C775AE" w:rsidRPr="002F733E" w:rsidRDefault="00C775AE" w:rsidP="00DC7889">
            <w:pPr>
              <w:pStyle w:val="TableText0"/>
              <w:keepLines/>
              <w:numPr>
                <w:ilvl w:val="0"/>
                <w:numId w:val="7"/>
              </w:numPr>
              <w:ind w:left="22" w:hanging="22"/>
            </w:pPr>
            <w:r w:rsidRPr="002F733E">
              <w:t xml:space="preserve"> 20% longer</w:t>
            </w:r>
          </w:p>
        </w:tc>
        <w:tc>
          <w:tcPr>
            <w:tcW w:w="1134" w:type="dxa"/>
            <w:tcBorders>
              <w:top w:val="nil"/>
              <w:bottom w:val="nil"/>
            </w:tcBorders>
            <w:shd w:val="solid" w:color="000000" w:fill="000000"/>
          </w:tcPr>
          <w:p w14:paraId="00826C4A" w14:textId="68FE27AD" w:rsidR="00C775AE" w:rsidRPr="00EB6544" w:rsidRDefault="00EB6544" w:rsidP="00C775AE">
            <w:pPr>
              <w:pStyle w:val="TableText0"/>
              <w:keepLines/>
              <w:jc w:val="center"/>
            </w:pPr>
            <w:r w:rsidRPr="00EB6544">
              <w:rPr>
                <w:color w:val="000000"/>
                <w:spacing w:val="65"/>
                <w:fitText w:val="366" w:id="-1236572660"/>
                <w14:textFill>
                  <w14:solidFill>
                    <w14:srgbClr w14:val="000000">
                      <w14:alpha w14:val="100000"/>
                    </w14:srgbClr>
                  </w14:solidFill>
                </w14:textFill>
              </w:rPr>
              <w:t>|||</w:t>
            </w:r>
            <w:r w:rsidRPr="00EB6544">
              <w:rPr>
                <w:color w:val="000000"/>
                <w:spacing w:val="1"/>
                <w:fitText w:val="366" w:id="-1236572660"/>
                <w14:textFill>
                  <w14:solidFill>
                    <w14:srgbClr w14:val="000000">
                      <w14:alpha w14:val="100000"/>
                    </w14:srgbClr>
                  </w14:solidFill>
                </w14:textFill>
              </w:rPr>
              <w:t>|</w:t>
            </w:r>
          </w:p>
        </w:tc>
        <w:tc>
          <w:tcPr>
            <w:tcW w:w="1134" w:type="dxa"/>
            <w:tcBorders>
              <w:top w:val="nil"/>
              <w:bottom w:val="nil"/>
            </w:tcBorders>
          </w:tcPr>
          <w:p w14:paraId="26810C94" w14:textId="77777777" w:rsidR="00C775AE" w:rsidRPr="002F733E" w:rsidRDefault="00C775AE" w:rsidP="00C775AE">
            <w:pPr>
              <w:pStyle w:val="TableText0"/>
              <w:keepLines/>
              <w:jc w:val="center"/>
            </w:pPr>
            <w:r w:rsidRPr="002F733E">
              <w:t>0.883</w:t>
            </w:r>
          </w:p>
        </w:tc>
        <w:tc>
          <w:tcPr>
            <w:tcW w:w="993" w:type="dxa"/>
            <w:tcBorders>
              <w:top w:val="nil"/>
              <w:bottom w:val="nil"/>
            </w:tcBorders>
          </w:tcPr>
          <w:p w14:paraId="3FCC5E5C" w14:textId="2008073D" w:rsidR="00C775AE" w:rsidRPr="002F733E" w:rsidRDefault="00EB6544" w:rsidP="00C775AE">
            <w:pPr>
              <w:pStyle w:val="TableText0"/>
              <w:keepLines/>
              <w:jc w:val="center"/>
            </w:pPr>
            <w:r w:rsidRPr="00EB6544">
              <w:rPr>
                <w:color w:val="000000"/>
                <w:spacing w:val="42"/>
                <w:shd w:val="solid" w:color="000000" w:fill="000000"/>
                <w:fitText w:val="466" w:id="-1236572659"/>
                <w14:textFill>
                  <w14:solidFill>
                    <w14:srgbClr w14:val="000000">
                      <w14:alpha w14:val="100000"/>
                    </w14:srgbClr>
                  </w14:solidFill>
                </w14:textFill>
              </w:rPr>
              <w:t>|||||</w:t>
            </w:r>
            <w:r w:rsidRPr="00EB6544">
              <w:rPr>
                <w:color w:val="000000"/>
                <w:spacing w:val="1"/>
                <w:shd w:val="solid" w:color="000000" w:fill="000000"/>
                <w:fitText w:val="466" w:id="-1236572659"/>
                <w14:textFill>
                  <w14:solidFill>
                    <w14:srgbClr w14:val="000000">
                      <w14:alpha w14:val="100000"/>
                    </w14:srgbClr>
                  </w14:solidFill>
                </w14:textFill>
              </w:rPr>
              <w:t>|</w:t>
            </w:r>
            <w:r w:rsidR="00396C58" w:rsidRPr="00396C58">
              <w:rPr>
                <w:vertAlign w:val="superscript"/>
              </w:rPr>
              <w:t>2</w:t>
            </w:r>
          </w:p>
        </w:tc>
        <w:tc>
          <w:tcPr>
            <w:tcW w:w="731" w:type="dxa"/>
            <w:tcBorders>
              <w:top w:val="nil"/>
              <w:bottom w:val="nil"/>
            </w:tcBorders>
          </w:tcPr>
          <w:p w14:paraId="1E4CD78A" w14:textId="77777777" w:rsidR="00C775AE" w:rsidRPr="002F733E" w:rsidRDefault="00C775AE" w:rsidP="00C775AE">
            <w:pPr>
              <w:pStyle w:val="TableText0"/>
              <w:keepLines/>
              <w:jc w:val="center"/>
            </w:pPr>
            <w:r w:rsidRPr="002F733E">
              <w:t>-26.4%</w:t>
            </w:r>
          </w:p>
        </w:tc>
      </w:tr>
      <w:tr w:rsidR="00C775AE" w:rsidRPr="002F733E" w14:paraId="30BEA01B" w14:textId="77777777" w:rsidTr="00EB6544">
        <w:tc>
          <w:tcPr>
            <w:tcW w:w="5098" w:type="dxa"/>
            <w:tcBorders>
              <w:top w:val="nil"/>
              <w:bottom w:val="nil"/>
            </w:tcBorders>
          </w:tcPr>
          <w:p w14:paraId="581665B7" w14:textId="77777777" w:rsidR="00C775AE" w:rsidRPr="002F733E" w:rsidRDefault="00C775AE" w:rsidP="00DC7889">
            <w:pPr>
              <w:pStyle w:val="TableText0"/>
              <w:keepLines/>
              <w:numPr>
                <w:ilvl w:val="0"/>
                <w:numId w:val="7"/>
              </w:numPr>
              <w:ind w:left="22" w:hanging="22"/>
            </w:pPr>
            <w:r w:rsidRPr="002F733E">
              <w:t>Low IQR of APLC data (2.8 non-severe, 1.1 severe)</w:t>
            </w:r>
          </w:p>
        </w:tc>
        <w:tc>
          <w:tcPr>
            <w:tcW w:w="1134" w:type="dxa"/>
            <w:tcBorders>
              <w:top w:val="nil"/>
              <w:bottom w:val="nil"/>
            </w:tcBorders>
            <w:shd w:val="solid" w:color="000000" w:fill="000000"/>
          </w:tcPr>
          <w:p w14:paraId="6E48FB97" w14:textId="73A69BF2" w:rsidR="00C775AE" w:rsidRPr="00EB6544" w:rsidRDefault="00EB6544" w:rsidP="00C775AE">
            <w:pPr>
              <w:pStyle w:val="TableText0"/>
              <w:keepLines/>
              <w:jc w:val="center"/>
            </w:pPr>
            <w:r w:rsidRPr="00EB6544">
              <w:rPr>
                <w:color w:val="000000"/>
                <w:spacing w:val="65"/>
                <w:fitText w:val="366" w:id="-1236572658"/>
                <w14:textFill>
                  <w14:solidFill>
                    <w14:srgbClr w14:val="000000">
                      <w14:alpha w14:val="100000"/>
                    </w14:srgbClr>
                  </w14:solidFill>
                </w14:textFill>
              </w:rPr>
              <w:t>|||</w:t>
            </w:r>
            <w:r w:rsidRPr="00EB6544">
              <w:rPr>
                <w:color w:val="000000"/>
                <w:spacing w:val="1"/>
                <w:fitText w:val="366" w:id="-1236572658"/>
                <w14:textFill>
                  <w14:solidFill>
                    <w14:srgbClr w14:val="000000">
                      <w14:alpha w14:val="100000"/>
                    </w14:srgbClr>
                  </w14:solidFill>
                </w14:textFill>
              </w:rPr>
              <w:t>|</w:t>
            </w:r>
          </w:p>
        </w:tc>
        <w:tc>
          <w:tcPr>
            <w:tcW w:w="1134" w:type="dxa"/>
            <w:tcBorders>
              <w:top w:val="nil"/>
              <w:bottom w:val="nil"/>
            </w:tcBorders>
          </w:tcPr>
          <w:p w14:paraId="00E8AF18" w14:textId="77777777" w:rsidR="00C775AE" w:rsidRPr="002F733E" w:rsidRDefault="00C775AE" w:rsidP="00C775AE">
            <w:pPr>
              <w:pStyle w:val="TableText0"/>
              <w:keepLines/>
              <w:jc w:val="center"/>
            </w:pPr>
            <w:r w:rsidRPr="002F733E">
              <w:t>0.351</w:t>
            </w:r>
          </w:p>
        </w:tc>
        <w:tc>
          <w:tcPr>
            <w:tcW w:w="993" w:type="dxa"/>
            <w:tcBorders>
              <w:top w:val="nil"/>
              <w:bottom w:val="nil"/>
            </w:tcBorders>
          </w:tcPr>
          <w:p w14:paraId="7991DA19" w14:textId="206E4735" w:rsidR="00C775AE" w:rsidRPr="00EB6544" w:rsidRDefault="00EB6544" w:rsidP="00C775AE">
            <w:pPr>
              <w:pStyle w:val="TableText0"/>
              <w:keepLines/>
              <w:jc w:val="center"/>
              <w:rPr>
                <w:vertAlign w:val="superscript"/>
              </w:rPr>
            </w:pPr>
            <w:r w:rsidRPr="00EB6544">
              <w:rPr>
                <w:color w:val="000000"/>
                <w:spacing w:val="42"/>
                <w:shd w:val="solid" w:color="000000" w:fill="000000"/>
                <w:fitText w:val="466" w:id="-1236572657"/>
                <w14:textFill>
                  <w14:solidFill>
                    <w14:srgbClr w14:val="000000">
                      <w14:alpha w14:val="100000"/>
                    </w14:srgbClr>
                  </w14:solidFill>
                </w14:textFill>
              </w:rPr>
              <w:t>|||||</w:t>
            </w:r>
            <w:r w:rsidRPr="00EB6544">
              <w:rPr>
                <w:color w:val="000000"/>
                <w:spacing w:val="1"/>
                <w:shd w:val="solid" w:color="000000" w:fill="000000"/>
                <w:fitText w:val="466" w:id="-1236572657"/>
                <w14:textFill>
                  <w14:solidFill>
                    <w14:srgbClr w14:val="000000">
                      <w14:alpha w14:val="100000"/>
                    </w14:srgbClr>
                  </w14:solidFill>
                </w14:textFill>
              </w:rPr>
              <w:t>|</w:t>
            </w:r>
            <w:r>
              <w:rPr>
                <w:vertAlign w:val="superscript"/>
              </w:rPr>
              <w:t>5</w:t>
            </w:r>
          </w:p>
        </w:tc>
        <w:tc>
          <w:tcPr>
            <w:tcW w:w="731" w:type="dxa"/>
            <w:tcBorders>
              <w:top w:val="nil"/>
              <w:bottom w:val="nil"/>
            </w:tcBorders>
          </w:tcPr>
          <w:p w14:paraId="6B68DBA1" w14:textId="77777777" w:rsidR="00C775AE" w:rsidRPr="002F733E" w:rsidRDefault="00C775AE" w:rsidP="00C775AE">
            <w:pPr>
              <w:pStyle w:val="TableText0"/>
              <w:keepLines/>
              <w:jc w:val="center"/>
            </w:pPr>
            <w:r w:rsidRPr="002F733E">
              <w:t>102.3%</w:t>
            </w:r>
          </w:p>
        </w:tc>
      </w:tr>
      <w:tr w:rsidR="00C775AE" w:rsidRPr="002F733E" w14:paraId="77B1234F" w14:textId="77777777" w:rsidTr="00EB6544">
        <w:tc>
          <w:tcPr>
            <w:tcW w:w="5098" w:type="dxa"/>
            <w:tcBorders>
              <w:top w:val="nil"/>
              <w:bottom w:val="nil"/>
            </w:tcBorders>
          </w:tcPr>
          <w:p w14:paraId="1C1105F3" w14:textId="77777777" w:rsidR="00C775AE" w:rsidRPr="002F733E" w:rsidRDefault="00C775AE" w:rsidP="00DC7889">
            <w:pPr>
              <w:pStyle w:val="TableText0"/>
              <w:keepLines/>
              <w:numPr>
                <w:ilvl w:val="0"/>
                <w:numId w:val="7"/>
              </w:numPr>
              <w:ind w:left="22" w:hanging="22"/>
            </w:pPr>
            <w:r w:rsidRPr="002F733E">
              <w:t>High IQR of APLC data (11.5 non-severe, 5.3 severe)</w:t>
            </w:r>
          </w:p>
        </w:tc>
        <w:tc>
          <w:tcPr>
            <w:tcW w:w="1134" w:type="dxa"/>
            <w:tcBorders>
              <w:top w:val="nil"/>
              <w:bottom w:val="nil"/>
            </w:tcBorders>
            <w:shd w:val="solid" w:color="000000" w:fill="000000"/>
          </w:tcPr>
          <w:p w14:paraId="541E0275" w14:textId="0F0B4CB7" w:rsidR="00C775AE" w:rsidRPr="00EB6544" w:rsidRDefault="00EB6544" w:rsidP="00C775AE">
            <w:pPr>
              <w:pStyle w:val="TableText0"/>
              <w:keepLines/>
              <w:jc w:val="center"/>
            </w:pPr>
            <w:r w:rsidRPr="00EB6544">
              <w:rPr>
                <w:color w:val="000000"/>
                <w:spacing w:val="65"/>
                <w:fitText w:val="366" w:id="-1236572656"/>
                <w14:textFill>
                  <w14:solidFill>
                    <w14:srgbClr w14:val="000000">
                      <w14:alpha w14:val="100000"/>
                    </w14:srgbClr>
                  </w14:solidFill>
                </w14:textFill>
              </w:rPr>
              <w:t>|||</w:t>
            </w:r>
            <w:r w:rsidRPr="00EB6544">
              <w:rPr>
                <w:color w:val="000000"/>
                <w:spacing w:val="1"/>
                <w:fitText w:val="366" w:id="-1236572656"/>
                <w14:textFill>
                  <w14:solidFill>
                    <w14:srgbClr w14:val="000000">
                      <w14:alpha w14:val="100000"/>
                    </w14:srgbClr>
                  </w14:solidFill>
                </w14:textFill>
              </w:rPr>
              <w:t>|</w:t>
            </w:r>
          </w:p>
        </w:tc>
        <w:tc>
          <w:tcPr>
            <w:tcW w:w="1134" w:type="dxa"/>
            <w:tcBorders>
              <w:top w:val="nil"/>
              <w:bottom w:val="nil"/>
            </w:tcBorders>
          </w:tcPr>
          <w:p w14:paraId="1E5131C6" w14:textId="77777777" w:rsidR="00C775AE" w:rsidRPr="002F733E" w:rsidRDefault="00C775AE" w:rsidP="00C775AE">
            <w:pPr>
              <w:pStyle w:val="TableText0"/>
              <w:keepLines/>
              <w:jc w:val="center"/>
            </w:pPr>
            <w:r w:rsidRPr="002F733E">
              <w:t>0.902</w:t>
            </w:r>
          </w:p>
        </w:tc>
        <w:tc>
          <w:tcPr>
            <w:tcW w:w="993" w:type="dxa"/>
            <w:tcBorders>
              <w:top w:val="nil"/>
              <w:bottom w:val="nil"/>
            </w:tcBorders>
          </w:tcPr>
          <w:p w14:paraId="2BEF48A8" w14:textId="049D7C57" w:rsidR="00C775AE" w:rsidRPr="002F733E" w:rsidRDefault="00EB6544" w:rsidP="00C775AE">
            <w:pPr>
              <w:pStyle w:val="TableText0"/>
              <w:keepLines/>
              <w:jc w:val="center"/>
            </w:pPr>
            <w:r w:rsidRPr="00EB6544">
              <w:rPr>
                <w:color w:val="000000"/>
                <w:spacing w:val="42"/>
                <w:shd w:val="solid" w:color="000000" w:fill="000000"/>
                <w:fitText w:val="466" w:id="-1236572672"/>
                <w14:textFill>
                  <w14:solidFill>
                    <w14:srgbClr w14:val="000000">
                      <w14:alpha w14:val="100000"/>
                    </w14:srgbClr>
                  </w14:solidFill>
                </w14:textFill>
              </w:rPr>
              <w:t>|||||</w:t>
            </w:r>
            <w:r w:rsidRPr="00EB6544">
              <w:rPr>
                <w:color w:val="000000"/>
                <w:spacing w:val="1"/>
                <w:shd w:val="solid" w:color="000000" w:fill="000000"/>
                <w:fitText w:val="466" w:id="-1236572672"/>
                <w14:textFill>
                  <w14:solidFill>
                    <w14:srgbClr w14:val="000000">
                      <w14:alpha w14:val="100000"/>
                    </w14:srgbClr>
                  </w14:solidFill>
                </w14:textFill>
              </w:rPr>
              <w:t>|</w:t>
            </w:r>
            <w:r w:rsidR="00396C58" w:rsidRPr="00396C58">
              <w:rPr>
                <w:vertAlign w:val="superscript"/>
              </w:rPr>
              <w:t>2</w:t>
            </w:r>
          </w:p>
        </w:tc>
        <w:tc>
          <w:tcPr>
            <w:tcW w:w="731" w:type="dxa"/>
            <w:tcBorders>
              <w:top w:val="nil"/>
              <w:bottom w:val="nil"/>
            </w:tcBorders>
          </w:tcPr>
          <w:p w14:paraId="15C312B3" w14:textId="77777777" w:rsidR="00C775AE" w:rsidRPr="002F733E" w:rsidRDefault="00C775AE" w:rsidP="00C775AE">
            <w:pPr>
              <w:pStyle w:val="TableText0"/>
              <w:keepLines/>
              <w:jc w:val="center"/>
            </w:pPr>
            <w:r w:rsidRPr="002F733E">
              <w:t>-23.5%</w:t>
            </w:r>
          </w:p>
        </w:tc>
      </w:tr>
      <w:tr w:rsidR="00C775AE" w:rsidRPr="002F733E" w14:paraId="4C84B321" w14:textId="77777777" w:rsidTr="00EB6544">
        <w:tc>
          <w:tcPr>
            <w:tcW w:w="5098" w:type="dxa"/>
            <w:tcBorders>
              <w:top w:val="nil"/>
              <w:bottom w:val="single" w:sz="4" w:space="0" w:color="auto"/>
            </w:tcBorders>
          </w:tcPr>
          <w:p w14:paraId="61A47613" w14:textId="77777777" w:rsidR="00C775AE" w:rsidRPr="002F733E" w:rsidRDefault="00C775AE" w:rsidP="00DC7889">
            <w:pPr>
              <w:pStyle w:val="TableText0"/>
              <w:keepLines/>
              <w:numPr>
                <w:ilvl w:val="0"/>
                <w:numId w:val="7"/>
              </w:numPr>
              <w:ind w:left="22" w:hanging="22"/>
            </w:pPr>
            <w:r w:rsidRPr="002F733E">
              <w:t>3.9 months for all flares</w:t>
            </w:r>
          </w:p>
        </w:tc>
        <w:tc>
          <w:tcPr>
            <w:tcW w:w="1134" w:type="dxa"/>
            <w:tcBorders>
              <w:top w:val="nil"/>
              <w:bottom w:val="single" w:sz="4" w:space="0" w:color="auto"/>
            </w:tcBorders>
            <w:shd w:val="solid" w:color="000000" w:fill="000000"/>
          </w:tcPr>
          <w:p w14:paraId="7D5291C9" w14:textId="2A535766" w:rsidR="00C775AE" w:rsidRPr="00EB6544" w:rsidRDefault="00EB6544" w:rsidP="00C775AE">
            <w:pPr>
              <w:pStyle w:val="TableText0"/>
              <w:keepLines/>
              <w:jc w:val="center"/>
            </w:pPr>
            <w:r w:rsidRPr="00EB6544">
              <w:rPr>
                <w:color w:val="000000"/>
                <w:spacing w:val="65"/>
                <w:fitText w:val="366" w:id="-1236572671"/>
                <w14:textFill>
                  <w14:solidFill>
                    <w14:srgbClr w14:val="000000">
                      <w14:alpha w14:val="100000"/>
                    </w14:srgbClr>
                  </w14:solidFill>
                </w14:textFill>
              </w:rPr>
              <w:t>|||</w:t>
            </w:r>
            <w:r w:rsidRPr="00EB6544">
              <w:rPr>
                <w:color w:val="000000"/>
                <w:spacing w:val="1"/>
                <w:fitText w:val="366" w:id="-1236572671"/>
                <w14:textFill>
                  <w14:solidFill>
                    <w14:srgbClr w14:val="000000">
                      <w14:alpha w14:val="100000"/>
                    </w14:srgbClr>
                  </w14:solidFill>
                </w14:textFill>
              </w:rPr>
              <w:t>|</w:t>
            </w:r>
          </w:p>
        </w:tc>
        <w:tc>
          <w:tcPr>
            <w:tcW w:w="1134" w:type="dxa"/>
            <w:tcBorders>
              <w:top w:val="nil"/>
              <w:bottom w:val="single" w:sz="4" w:space="0" w:color="auto"/>
            </w:tcBorders>
          </w:tcPr>
          <w:p w14:paraId="63AFD8E2" w14:textId="77777777" w:rsidR="00C775AE" w:rsidRPr="002F733E" w:rsidRDefault="00C775AE" w:rsidP="00C775AE">
            <w:pPr>
              <w:pStyle w:val="TableText0"/>
              <w:keepLines/>
              <w:jc w:val="center"/>
            </w:pPr>
            <w:r w:rsidRPr="002F733E">
              <w:t>0.731</w:t>
            </w:r>
          </w:p>
        </w:tc>
        <w:tc>
          <w:tcPr>
            <w:tcW w:w="993" w:type="dxa"/>
            <w:tcBorders>
              <w:top w:val="nil"/>
              <w:bottom w:val="single" w:sz="4" w:space="0" w:color="auto"/>
            </w:tcBorders>
          </w:tcPr>
          <w:p w14:paraId="6C204285" w14:textId="56BFBAA4" w:rsidR="00C775AE" w:rsidRPr="002F733E" w:rsidRDefault="00EB6544" w:rsidP="00C775AE">
            <w:pPr>
              <w:pStyle w:val="TableText0"/>
              <w:keepLines/>
              <w:jc w:val="center"/>
            </w:pPr>
            <w:r w:rsidRPr="00EB6544">
              <w:rPr>
                <w:color w:val="000000"/>
                <w:spacing w:val="42"/>
                <w:shd w:val="solid" w:color="000000" w:fill="000000"/>
                <w:fitText w:val="466" w:id="-1236572670"/>
                <w14:textFill>
                  <w14:solidFill>
                    <w14:srgbClr w14:val="000000">
                      <w14:alpha w14:val="100000"/>
                    </w14:srgbClr>
                  </w14:solidFill>
                </w14:textFill>
              </w:rPr>
              <w:t>|||||</w:t>
            </w:r>
            <w:r w:rsidRPr="00EB6544">
              <w:rPr>
                <w:color w:val="000000"/>
                <w:spacing w:val="1"/>
                <w:shd w:val="solid" w:color="000000" w:fill="000000"/>
                <w:fitText w:val="466" w:id="-1236572670"/>
                <w14:textFill>
                  <w14:solidFill>
                    <w14:srgbClr w14:val="000000">
                      <w14:alpha w14:val="100000"/>
                    </w14:srgbClr>
                  </w14:solidFill>
                </w14:textFill>
              </w:rPr>
              <w:t>|</w:t>
            </w:r>
            <w:r w:rsidR="00396C58" w:rsidRPr="00396C58">
              <w:rPr>
                <w:vertAlign w:val="superscript"/>
              </w:rPr>
              <w:t>2</w:t>
            </w:r>
          </w:p>
        </w:tc>
        <w:tc>
          <w:tcPr>
            <w:tcW w:w="731" w:type="dxa"/>
            <w:tcBorders>
              <w:top w:val="nil"/>
              <w:bottom w:val="single" w:sz="4" w:space="0" w:color="auto"/>
            </w:tcBorders>
          </w:tcPr>
          <w:p w14:paraId="2CA4E227" w14:textId="77777777" w:rsidR="00C775AE" w:rsidRPr="002F733E" w:rsidRDefault="00C775AE" w:rsidP="00C775AE">
            <w:pPr>
              <w:pStyle w:val="TableText0"/>
              <w:keepLines/>
              <w:jc w:val="center"/>
            </w:pPr>
            <w:r w:rsidRPr="002F733E">
              <w:t>-9.6%</w:t>
            </w:r>
          </w:p>
        </w:tc>
      </w:tr>
      <w:tr w:rsidR="00C775AE" w:rsidRPr="002F733E" w14:paraId="00AD612A" w14:textId="77777777" w:rsidTr="00EB6544">
        <w:tc>
          <w:tcPr>
            <w:tcW w:w="5098" w:type="dxa"/>
            <w:tcBorders>
              <w:top w:val="single" w:sz="4" w:space="0" w:color="auto"/>
              <w:bottom w:val="nil"/>
            </w:tcBorders>
          </w:tcPr>
          <w:p w14:paraId="19D8E556" w14:textId="77777777" w:rsidR="00C775AE" w:rsidRPr="002F733E" w:rsidRDefault="00C775AE" w:rsidP="00C775AE">
            <w:pPr>
              <w:pStyle w:val="TableText0"/>
              <w:keepLines/>
              <w:ind w:left="22"/>
            </w:pPr>
            <w:r w:rsidRPr="002F733E">
              <w:t>Effect of flares on SLEDAI-2K (+4.3 for non-severe, +9.7 for severe)</w:t>
            </w:r>
          </w:p>
        </w:tc>
        <w:tc>
          <w:tcPr>
            <w:tcW w:w="1134" w:type="dxa"/>
            <w:tcBorders>
              <w:top w:val="single" w:sz="4" w:space="0" w:color="auto"/>
              <w:bottom w:val="nil"/>
            </w:tcBorders>
          </w:tcPr>
          <w:p w14:paraId="30E2E0BF" w14:textId="77777777" w:rsidR="00C775AE" w:rsidRPr="002F733E" w:rsidRDefault="00C775AE" w:rsidP="00C775AE">
            <w:pPr>
              <w:pStyle w:val="TableText0"/>
              <w:keepLines/>
              <w:jc w:val="center"/>
            </w:pPr>
          </w:p>
        </w:tc>
        <w:tc>
          <w:tcPr>
            <w:tcW w:w="1134" w:type="dxa"/>
            <w:tcBorders>
              <w:top w:val="single" w:sz="4" w:space="0" w:color="auto"/>
              <w:bottom w:val="nil"/>
            </w:tcBorders>
          </w:tcPr>
          <w:p w14:paraId="0AD4C453" w14:textId="77777777" w:rsidR="00C775AE" w:rsidRPr="002F733E" w:rsidRDefault="00C775AE" w:rsidP="00C775AE">
            <w:pPr>
              <w:pStyle w:val="TableText0"/>
              <w:keepLines/>
              <w:jc w:val="center"/>
            </w:pPr>
          </w:p>
        </w:tc>
        <w:tc>
          <w:tcPr>
            <w:tcW w:w="993" w:type="dxa"/>
            <w:tcBorders>
              <w:top w:val="single" w:sz="4" w:space="0" w:color="auto"/>
              <w:bottom w:val="nil"/>
            </w:tcBorders>
          </w:tcPr>
          <w:p w14:paraId="1F7C5BD4" w14:textId="77777777" w:rsidR="00C775AE" w:rsidRPr="002F733E" w:rsidRDefault="00C775AE" w:rsidP="00C775AE">
            <w:pPr>
              <w:pStyle w:val="TableText0"/>
              <w:keepLines/>
              <w:jc w:val="center"/>
            </w:pPr>
          </w:p>
        </w:tc>
        <w:tc>
          <w:tcPr>
            <w:tcW w:w="731" w:type="dxa"/>
            <w:tcBorders>
              <w:top w:val="single" w:sz="4" w:space="0" w:color="auto"/>
              <w:bottom w:val="nil"/>
            </w:tcBorders>
          </w:tcPr>
          <w:p w14:paraId="00DB85EC" w14:textId="77777777" w:rsidR="00C775AE" w:rsidRPr="002F733E" w:rsidRDefault="00C775AE" w:rsidP="00C775AE">
            <w:pPr>
              <w:pStyle w:val="TableText0"/>
              <w:keepLines/>
              <w:jc w:val="center"/>
            </w:pPr>
          </w:p>
        </w:tc>
      </w:tr>
      <w:tr w:rsidR="00C775AE" w:rsidRPr="002F733E" w14:paraId="7465F23F" w14:textId="77777777" w:rsidTr="00EB6544">
        <w:tc>
          <w:tcPr>
            <w:tcW w:w="5098" w:type="dxa"/>
            <w:tcBorders>
              <w:top w:val="nil"/>
              <w:bottom w:val="nil"/>
            </w:tcBorders>
          </w:tcPr>
          <w:p w14:paraId="1675451B" w14:textId="77777777" w:rsidR="00C775AE" w:rsidRPr="002F733E" w:rsidRDefault="00C775AE" w:rsidP="00DC7889">
            <w:pPr>
              <w:pStyle w:val="TableText0"/>
              <w:keepLines/>
              <w:numPr>
                <w:ilvl w:val="0"/>
                <w:numId w:val="7"/>
              </w:numPr>
              <w:ind w:left="22" w:hanging="22"/>
            </w:pPr>
            <w:r w:rsidRPr="002F733E">
              <w:t>Low 95% CI</w:t>
            </w:r>
            <w:r w:rsidRPr="002F733E">
              <w:rPr>
                <w:vertAlign w:val="superscript"/>
              </w:rPr>
              <w:t>b</w:t>
            </w:r>
            <w:r w:rsidRPr="002F733E">
              <w:t xml:space="preserve"> (+4.2 for non-severe, +9.3 for severe)</w:t>
            </w:r>
          </w:p>
        </w:tc>
        <w:tc>
          <w:tcPr>
            <w:tcW w:w="1134" w:type="dxa"/>
            <w:tcBorders>
              <w:top w:val="nil"/>
              <w:bottom w:val="nil"/>
            </w:tcBorders>
            <w:shd w:val="solid" w:color="000000" w:fill="000000"/>
          </w:tcPr>
          <w:p w14:paraId="2BE8C84E" w14:textId="4785CB6C" w:rsidR="00C775AE" w:rsidRPr="00EB6544" w:rsidRDefault="00EB6544" w:rsidP="00C775AE">
            <w:pPr>
              <w:pStyle w:val="TableText0"/>
              <w:keepLines/>
              <w:jc w:val="center"/>
            </w:pPr>
            <w:r w:rsidRPr="00EB6544">
              <w:rPr>
                <w:color w:val="000000"/>
                <w:spacing w:val="65"/>
                <w:fitText w:val="366" w:id="-1236572669"/>
                <w14:textFill>
                  <w14:solidFill>
                    <w14:srgbClr w14:val="000000">
                      <w14:alpha w14:val="100000"/>
                    </w14:srgbClr>
                  </w14:solidFill>
                </w14:textFill>
              </w:rPr>
              <w:t>|||</w:t>
            </w:r>
            <w:r w:rsidRPr="00EB6544">
              <w:rPr>
                <w:color w:val="000000"/>
                <w:spacing w:val="1"/>
                <w:fitText w:val="366" w:id="-1236572669"/>
                <w14:textFill>
                  <w14:solidFill>
                    <w14:srgbClr w14:val="000000">
                      <w14:alpha w14:val="100000"/>
                    </w14:srgbClr>
                  </w14:solidFill>
                </w14:textFill>
              </w:rPr>
              <w:t>|</w:t>
            </w:r>
          </w:p>
        </w:tc>
        <w:tc>
          <w:tcPr>
            <w:tcW w:w="1134" w:type="dxa"/>
            <w:tcBorders>
              <w:top w:val="nil"/>
              <w:bottom w:val="nil"/>
            </w:tcBorders>
          </w:tcPr>
          <w:p w14:paraId="1C5918F7" w14:textId="77777777" w:rsidR="00C775AE" w:rsidRPr="002F733E" w:rsidRDefault="00C775AE" w:rsidP="00C775AE">
            <w:pPr>
              <w:pStyle w:val="TableText0"/>
              <w:keepLines/>
              <w:jc w:val="center"/>
            </w:pPr>
            <w:r w:rsidRPr="002F733E">
              <w:t>0.638</w:t>
            </w:r>
          </w:p>
        </w:tc>
        <w:tc>
          <w:tcPr>
            <w:tcW w:w="993" w:type="dxa"/>
            <w:tcBorders>
              <w:top w:val="nil"/>
              <w:bottom w:val="nil"/>
            </w:tcBorders>
          </w:tcPr>
          <w:p w14:paraId="211F758A" w14:textId="383C6F8F" w:rsidR="00C775AE" w:rsidRPr="002F733E" w:rsidRDefault="00EB6544" w:rsidP="00C775AE">
            <w:pPr>
              <w:pStyle w:val="TableText0"/>
              <w:keepLines/>
              <w:jc w:val="center"/>
            </w:pPr>
            <w:r w:rsidRPr="00EB6544">
              <w:rPr>
                <w:color w:val="000000"/>
                <w:spacing w:val="42"/>
                <w:shd w:val="solid" w:color="000000" w:fill="000000"/>
                <w:fitText w:val="466" w:id="-1236572668"/>
                <w14:textFill>
                  <w14:solidFill>
                    <w14:srgbClr w14:val="000000">
                      <w14:alpha w14:val="100000"/>
                    </w14:srgbClr>
                  </w14:solidFill>
                </w14:textFill>
              </w:rPr>
              <w:t>|||||</w:t>
            </w:r>
            <w:r w:rsidRPr="00EB6544">
              <w:rPr>
                <w:color w:val="000000"/>
                <w:spacing w:val="1"/>
                <w:shd w:val="solid" w:color="000000" w:fill="000000"/>
                <w:fitText w:val="466" w:id="-1236572668"/>
                <w14:textFill>
                  <w14:solidFill>
                    <w14:srgbClr w14:val="000000">
                      <w14:alpha w14:val="100000"/>
                    </w14:srgbClr>
                  </w14:solidFill>
                </w14:textFill>
              </w:rPr>
              <w:t>|</w:t>
            </w:r>
            <w:r w:rsidR="00396C58" w:rsidRPr="00396C58">
              <w:rPr>
                <w:vertAlign w:val="superscript"/>
              </w:rPr>
              <w:t>1</w:t>
            </w:r>
          </w:p>
        </w:tc>
        <w:tc>
          <w:tcPr>
            <w:tcW w:w="731" w:type="dxa"/>
            <w:tcBorders>
              <w:top w:val="nil"/>
              <w:bottom w:val="nil"/>
            </w:tcBorders>
          </w:tcPr>
          <w:p w14:paraId="4EECFAFF" w14:textId="77777777" w:rsidR="00C775AE" w:rsidRPr="002F733E" w:rsidRDefault="00C775AE" w:rsidP="00C775AE">
            <w:pPr>
              <w:pStyle w:val="TableText0"/>
              <w:keepLines/>
              <w:jc w:val="center"/>
            </w:pPr>
            <w:r w:rsidRPr="002F733E">
              <w:t>5.2%</w:t>
            </w:r>
          </w:p>
        </w:tc>
      </w:tr>
      <w:tr w:rsidR="00C775AE" w:rsidRPr="002F733E" w14:paraId="2D56A7BE" w14:textId="77777777" w:rsidTr="00EB6544">
        <w:tc>
          <w:tcPr>
            <w:tcW w:w="5098" w:type="dxa"/>
            <w:tcBorders>
              <w:top w:val="nil"/>
              <w:bottom w:val="nil"/>
            </w:tcBorders>
          </w:tcPr>
          <w:p w14:paraId="060B48BC" w14:textId="77777777" w:rsidR="00C775AE" w:rsidRPr="002F733E" w:rsidRDefault="00C775AE" w:rsidP="00DC7889">
            <w:pPr>
              <w:pStyle w:val="TableText0"/>
              <w:keepLines/>
              <w:numPr>
                <w:ilvl w:val="0"/>
                <w:numId w:val="7"/>
              </w:numPr>
              <w:ind w:left="22" w:hanging="22"/>
            </w:pPr>
            <w:r w:rsidRPr="002F733E">
              <w:t>High 95% CI</w:t>
            </w:r>
            <w:r w:rsidRPr="002F733E">
              <w:rPr>
                <w:vertAlign w:val="superscript"/>
              </w:rPr>
              <w:t>b</w:t>
            </w:r>
            <w:r w:rsidRPr="002F733E">
              <w:t xml:space="preserve"> (+4.4 for non-severe, +10.1 for severe)</w:t>
            </w:r>
          </w:p>
        </w:tc>
        <w:tc>
          <w:tcPr>
            <w:tcW w:w="1134" w:type="dxa"/>
            <w:tcBorders>
              <w:top w:val="nil"/>
              <w:bottom w:val="nil"/>
            </w:tcBorders>
            <w:shd w:val="solid" w:color="000000" w:fill="000000"/>
          </w:tcPr>
          <w:p w14:paraId="79F212DC" w14:textId="14194B6D" w:rsidR="00C775AE" w:rsidRPr="00EB6544" w:rsidRDefault="00EB6544" w:rsidP="00C775AE">
            <w:pPr>
              <w:pStyle w:val="TableText0"/>
              <w:keepLines/>
              <w:jc w:val="center"/>
            </w:pPr>
            <w:r w:rsidRPr="00EB6544">
              <w:rPr>
                <w:color w:val="000000"/>
                <w:spacing w:val="65"/>
                <w:fitText w:val="366" w:id="-1236572667"/>
                <w14:textFill>
                  <w14:solidFill>
                    <w14:srgbClr w14:val="000000">
                      <w14:alpha w14:val="100000"/>
                    </w14:srgbClr>
                  </w14:solidFill>
                </w14:textFill>
              </w:rPr>
              <w:t>|||</w:t>
            </w:r>
            <w:r w:rsidRPr="00EB6544">
              <w:rPr>
                <w:color w:val="000000"/>
                <w:spacing w:val="1"/>
                <w:fitText w:val="366" w:id="-1236572667"/>
                <w14:textFill>
                  <w14:solidFill>
                    <w14:srgbClr w14:val="000000">
                      <w14:alpha w14:val="100000"/>
                    </w14:srgbClr>
                  </w14:solidFill>
                </w14:textFill>
              </w:rPr>
              <w:t>|</w:t>
            </w:r>
          </w:p>
        </w:tc>
        <w:tc>
          <w:tcPr>
            <w:tcW w:w="1134" w:type="dxa"/>
            <w:tcBorders>
              <w:top w:val="nil"/>
              <w:bottom w:val="nil"/>
            </w:tcBorders>
          </w:tcPr>
          <w:p w14:paraId="56CA7576" w14:textId="77777777" w:rsidR="00C775AE" w:rsidRPr="002F733E" w:rsidRDefault="00C775AE" w:rsidP="00C775AE">
            <w:pPr>
              <w:pStyle w:val="TableText0"/>
              <w:keepLines/>
              <w:jc w:val="center"/>
            </w:pPr>
            <w:r w:rsidRPr="002F733E">
              <w:t>0.693</w:t>
            </w:r>
          </w:p>
        </w:tc>
        <w:tc>
          <w:tcPr>
            <w:tcW w:w="993" w:type="dxa"/>
            <w:tcBorders>
              <w:top w:val="nil"/>
              <w:bottom w:val="nil"/>
            </w:tcBorders>
          </w:tcPr>
          <w:p w14:paraId="30090D4E" w14:textId="037FD46B" w:rsidR="00C775AE" w:rsidRPr="002F733E" w:rsidRDefault="00EB6544" w:rsidP="00C775AE">
            <w:pPr>
              <w:pStyle w:val="TableText0"/>
              <w:keepLines/>
              <w:jc w:val="center"/>
            </w:pPr>
            <w:r w:rsidRPr="00EB6544">
              <w:rPr>
                <w:color w:val="000000"/>
                <w:spacing w:val="42"/>
                <w:shd w:val="solid" w:color="000000" w:fill="000000"/>
                <w:fitText w:val="466" w:id="-1236572666"/>
                <w14:textFill>
                  <w14:solidFill>
                    <w14:srgbClr w14:val="000000">
                      <w14:alpha w14:val="100000"/>
                    </w14:srgbClr>
                  </w14:solidFill>
                </w14:textFill>
              </w:rPr>
              <w:t>|||||</w:t>
            </w:r>
            <w:r w:rsidRPr="00EB6544">
              <w:rPr>
                <w:color w:val="000000"/>
                <w:spacing w:val="1"/>
                <w:shd w:val="solid" w:color="000000" w:fill="000000"/>
                <w:fitText w:val="466" w:id="-1236572666"/>
                <w14:textFill>
                  <w14:solidFill>
                    <w14:srgbClr w14:val="000000">
                      <w14:alpha w14:val="100000"/>
                    </w14:srgbClr>
                  </w14:solidFill>
                </w14:textFill>
              </w:rPr>
              <w:t>|</w:t>
            </w:r>
            <w:r w:rsidR="00396C58" w:rsidRPr="00396C58">
              <w:rPr>
                <w:vertAlign w:val="superscript"/>
              </w:rPr>
              <w:t>2</w:t>
            </w:r>
          </w:p>
        </w:tc>
        <w:tc>
          <w:tcPr>
            <w:tcW w:w="731" w:type="dxa"/>
            <w:tcBorders>
              <w:top w:val="nil"/>
              <w:bottom w:val="nil"/>
            </w:tcBorders>
          </w:tcPr>
          <w:p w14:paraId="66503037" w14:textId="77777777" w:rsidR="00C775AE" w:rsidRPr="002F733E" w:rsidRDefault="00C775AE" w:rsidP="00C775AE">
            <w:pPr>
              <w:pStyle w:val="TableText0"/>
              <w:keepLines/>
              <w:jc w:val="center"/>
            </w:pPr>
            <w:r w:rsidRPr="002F733E">
              <w:t>-3.7%</w:t>
            </w:r>
          </w:p>
        </w:tc>
      </w:tr>
      <w:tr w:rsidR="00C775AE" w:rsidRPr="002F733E" w14:paraId="238EFDC2" w14:textId="77777777" w:rsidTr="00EB6544">
        <w:tc>
          <w:tcPr>
            <w:tcW w:w="5098" w:type="dxa"/>
            <w:tcBorders>
              <w:top w:val="nil"/>
            </w:tcBorders>
          </w:tcPr>
          <w:p w14:paraId="706DDDDE" w14:textId="77777777" w:rsidR="00C775AE" w:rsidRPr="002F733E" w:rsidRDefault="00C775AE" w:rsidP="00DC7889">
            <w:pPr>
              <w:pStyle w:val="TableText0"/>
              <w:keepLines/>
              <w:numPr>
                <w:ilvl w:val="0"/>
                <w:numId w:val="7"/>
              </w:numPr>
              <w:ind w:left="22" w:hanging="22"/>
            </w:pPr>
            <w:r w:rsidRPr="002F733E">
              <w:t>Minimum definition (+3 for non-severe, +7 for severe)</w:t>
            </w:r>
          </w:p>
        </w:tc>
        <w:tc>
          <w:tcPr>
            <w:tcW w:w="1134" w:type="dxa"/>
            <w:tcBorders>
              <w:top w:val="nil"/>
            </w:tcBorders>
            <w:shd w:val="solid" w:color="000000" w:fill="000000"/>
          </w:tcPr>
          <w:p w14:paraId="41E5702E" w14:textId="69950C20" w:rsidR="00C775AE" w:rsidRPr="00EB6544" w:rsidRDefault="00EB6544" w:rsidP="00C775AE">
            <w:pPr>
              <w:pStyle w:val="TableText0"/>
              <w:keepLines/>
              <w:jc w:val="center"/>
            </w:pPr>
            <w:r w:rsidRPr="00EB6544">
              <w:rPr>
                <w:color w:val="000000"/>
                <w:spacing w:val="65"/>
                <w:fitText w:val="366" w:id="-1236572665"/>
                <w14:textFill>
                  <w14:solidFill>
                    <w14:srgbClr w14:val="000000">
                      <w14:alpha w14:val="100000"/>
                    </w14:srgbClr>
                  </w14:solidFill>
                </w14:textFill>
              </w:rPr>
              <w:t>|||</w:t>
            </w:r>
            <w:r w:rsidRPr="00EB6544">
              <w:rPr>
                <w:color w:val="000000"/>
                <w:spacing w:val="1"/>
                <w:fitText w:val="366" w:id="-1236572665"/>
                <w14:textFill>
                  <w14:solidFill>
                    <w14:srgbClr w14:val="000000">
                      <w14:alpha w14:val="100000"/>
                    </w14:srgbClr>
                  </w14:solidFill>
                </w14:textFill>
              </w:rPr>
              <w:t>|</w:t>
            </w:r>
          </w:p>
        </w:tc>
        <w:tc>
          <w:tcPr>
            <w:tcW w:w="1134" w:type="dxa"/>
            <w:tcBorders>
              <w:top w:val="nil"/>
            </w:tcBorders>
          </w:tcPr>
          <w:p w14:paraId="1A0D6928" w14:textId="77777777" w:rsidR="00C775AE" w:rsidRPr="002F733E" w:rsidRDefault="00C775AE" w:rsidP="00C775AE">
            <w:pPr>
              <w:pStyle w:val="TableText0"/>
              <w:keepLines/>
              <w:jc w:val="center"/>
            </w:pPr>
            <w:r w:rsidRPr="002F733E">
              <w:t>0.432</w:t>
            </w:r>
          </w:p>
        </w:tc>
        <w:tc>
          <w:tcPr>
            <w:tcW w:w="993" w:type="dxa"/>
            <w:tcBorders>
              <w:top w:val="nil"/>
            </w:tcBorders>
          </w:tcPr>
          <w:p w14:paraId="0F87F236" w14:textId="2CBCE482" w:rsidR="00C775AE" w:rsidRPr="002F733E" w:rsidRDefault="00EB6544" w:rsidP="00C775AE">
            <w:pPr>
              <w:pStyle w:val="TableText0"/>
              <w:keepLines/>
              <w:jc w:val="center"/>
            </w:pPr>
            <w:r w:rsidRPr="00EB6544">
              <w:rPr>
                <w:color w:val="000000"/>
                <w:spacing w:val="42"/>
                <w:shd w:val="solid" w:color="000000" w:fill="000000"/>
                <w:fitText w:val="466" w:id="-1236572664"/>
                <w14:textFill>
                  <w14:solidFill>
                    <w14:srgbClr w14:val="000000">
                      <w14:alpha w14:val="100000"/>
                    </w14:srgbClr>
                  </w14:solidFill>
                </w14:textFill>
              </w:rPr>
              <w:t>|||||</w:t>
            </w:r>
            <w:r w:rsidRPr="00EB6544">
              <w:rPr>
                <w:color w:val="000000"/>
                <w:spacing w:val="1"/>
                <w:shd w:val="solid" w:color="000000" w:fill="000000"/>
                <w:fitText w:val="466" w:id="-1236572664"/>
                <w14:textFill>
                  <w14:solidFill>
                    <w14:srgbClr w14:val="000000">
                      <w14:alpha w14:val="100000"/>
                    </w14:srgbClr>
                  </w14:solidFill>
                </w14:textFill>
              </w:rPr>
              <w:t>|</w:t>
            </w:r>
            <w:r w:rsidR="00396C58">
              <w:rPr>
                <w:vertAlign w:val="superscript"/>
              </w:rPr>
              <w:t>7</w:t>
            </w:r>
          </w:p>
        </w:tc>
        <w:tc>
          <w:tcPr>
            <w:tcW w:w="731" w:type="dxa"/>
            <w:tcBorders>
              <w:top w:val="nil"/>
            </w:tcBorders>
          </w:tcPr>
          <w:p w14:paraId="6D63AA73" w14:textId="77777777" w:rsidR="00C775AE" w:rsidRPr="002F733E" w:rsidRDefault="00C775AE" w:rsidP="00C775AE">
            <w:pPr>
              <w:pStyle w:val="TableText0"/>
              <w:keepLines/>
              <w:jc w:val="center"/>
            </w:pPr>
            <w:r w:rsidRPr="002F733E">
              <w:t>61.6%</w:t>
            </w:r>
          </w:p>
        </w:tc>
      </w:tr>
      <w:tr w:rsidR="00C775AE" w:rsidRPr="002F733E" w14:paraId="4794EF2F" w14:textId="77777777" w:rsidTr="00EB6544">
        <w:tc>
          <w:tcPr>
            <w:tcW w:w="5098" w:type="dxa"/>
            <w:tcBorders>
              <w:bottom w:val="nil"/>
            </w:tcBorders>
          </w:tcPr>
          <w:p w14:paraId="3FA9B83E" w14:textId="77777777" w:rsidR="00C775AE" w:rsidRPr="002F733E" w:rsidRDefault="00C775AE" w:rsidP="00C775AE">
            <w:pPr>
              <w:pStyle w:val="TableText0"/>
              <w:keepNext w:val="0"/>
            </w:pPr>
            <w:r w:rsidRPr="002F733E">
              <w:t>Treatment effect for entire time horizon</w:t>
            </w:r>
          </w:p>
        </w:tc>
        <w:tc>
          <w:tcPr>
            <w:tcW w:w="1134" w:type="dxa"/>
            <w:tcBorders>
              <w:bottom w:val="nil"/>
            </w:tcBorders>
          </w:tcPr>
          <w:p w14:paraId="6D0E0846" w14:textId="77777777" w:rsidR="00C775AE" w:rsidRPr="002F733E" w:rsidRDefault="00C775AE" w:rsidP="00C775AE">
            <w:pPr>
              <w:pStyle w:val="TableText0"/>
              <w:keepNext w:val="0"/>
              <w:jc w:val="center"/>
            </w:pPr>
          </w:p>
        </w:tc>
        <w:tc>
          <w:tcPr>
            <w:tcW w:w="1134" w:type="dxa"/>
            <w:tcBorders>
              <w:bottom w:val="nil"/>
            </w:tcBorders>
          </w:tcPr>
          <w:p w14:paraId="4E6058E5" w14:textId="77777777" w:rsidR="00C775AE" w:rsidRPr="002F733E" w:rsidRDefault="00C775AE" w:rsidP="00C775AE">
            <w:pPr>
              <w:pStyle w:val="TableText0"/>
              <w:keepNext w:val="0"/>
              <w:jc w:val="center"/>
            </w:pPr>
          </w:p>
        </w:tc>
        <w:tc>
          <w:tcPr>
            <w:tcW w:w="993" w:type="dxa"/>
            <w:tcBorders>
              <w:bottom w:val="nil"/>
            </w:tcBorders>
          </w:tcPr>
          <w:p w14:paraId="613F1F95" w14:textId="77777777" w:rsidR="00C775AE" w:rsidRPr="002F733E" w:rsidRDefault="00C775AE" w:rsidP="00C775AE">
            <w:pPr>
              <w:pStyle w:val="TableText0"/>
              <w:keepNext w:val="0"/>
              <w:jc w:val="center"/>
            </w:pPr>
          </w:p>
        </w:tc>
        <w:tc>
          <w:tcPr>
            <w:tcW w:w="731" w:type="dxa"/>
            <w:tcBorders>
              <w:bottom w:val="nil"/>
            </w:tcBorders>
          </w:tcPr>
          <w:p w14:paraId="4DAB8187" w14:textId="77777777" w:rsidR="00C775AE" w:rsidRPr="002F733E" w:rsidRDefault="00C775AE" w:rsidP="00C775AE">
            <w:pPr>
              <w:pStyle w:val="TableText0"/>
              <w:keepNext w:val="0"/>
              <w:jc w:val="center"/>
            </w:pPr>
          </w:p>
        </w:tc>
      </w:tr>
      <w:tr w:rsidR="00C775AE" w:rsidRPr="002F733E" w14:paraId="216541E8" w14:textId="77777777" w:rsidTr="00EB6544">
        <w:tc>
          <w:tcPr>
            <w:tcW w:w="5098" w:type="dxa"/>
            <w:tcBorders>
              <w:top w:val="nil"/>
            </w:tcBorders>
          </w:tcPr>
          <w:p w14:paraId="37A8C16E" w14:textId="77777777" w:rsidR="00C775AE" w:rsidRPr="002F733E" w:rsidRDefault="00C775AE" w:rsidP="00DC7889">
            <w:pPr>
              <w:pStyle w:val="TableText0"/>
              <w:keepNext w:val="0"/>
              <w:numPr>
                <w:ilvl w:val="0"/>
                <w:numId w:val="7"/>
              </w:numPr>
              <w:ind w:left="22" w:hanging="22"/>
            </w:pPr>
            <w:r w:rsidRPr="002F733E">
              <w:t>Remove treatment effect from year 5. Affects flares, OCS, SLEDAI-2K and utility regressions.</w:t>
            </w:r>
          </w:p>
        </w:tc>
        <w:tc>
          <w:tcPr>
            <w:tcW w:w="1134" w:type="dxa"/>
            <w:tcBorders>
              <w:top w:val="nil"/>
              <w:bottom w:val="single" w:sz="4" w:space="0" w:color="auto"/>
            </w:tcBorders>
            <w:shd w:val="solid" w:color="000000" w:fill="000000"/>
          </w:tcPr>
          <w:p w14:paraId="60116D41" w14:textId="51D7B5B3" w:rsidR="00C775AE" w:rsidRPr="00EB6544" w:rsidRDefault="00EB6544" w:rsidP="00C775AE">
            <w:pPr>
              <w:pStyle w:val="TableText0"/>
              <w:keepNext w:val="0"/>
              <w:jc w:val="center"/>
            </w:pPr>
            <w:r w:rsidRPr="00EB6544">
              <w:rPr>
                <w:color w:val="000000"/>
                <w:spacing w:val="65"/>
                <w:fitText w:val="366" w:id="-1236572663"/>
                <w14:textFill>
                  <w14:solidFill>
                    <w14:srgbClr w14:val="000000">
                      <w14:alpha w14:val="100000"/>
                    </w14:srgbClr>
                  </w14:solidFill>
                </w14:textFill>
              </w:rPr>
              <w:t>|||</w:t>
            </w:r>
            <w:r w:rsidRPr="00EB6544">
              <w:rPr>
                <w:color w:val="000000"/>
                <w:spacing w:val="1"/>
                <w:fitText w:val="366" w:id="-1236572663"/>
                <w14:textFill>
                  <w14:solidFill>
                    <w14:srgbClr w14:val="000000">
                      <w14:alpha w14:val="100000"/>
                    </w14:srgbClr>
                  </w14:solidFill>
                </w14:textFill>
              </w:rPr>
              <w:t>|</w:t>
            </w:r>
          </w:p>
        </w:tc>
        <w:tc>
          <w:tcPr>
            <w:tcW w:w="1134" w:type="dxa"/>
            <w:tcBorders>
              <w:top w:val="nil"/>
            </w:tcBorders>
          </w:tcPr>
          <w:p w14:paraId="17993DB8" w14:textId="77777777" w:rsidR="00C775AE" w:rsidRPr="002F733E" w:rsidRDefault="00C775AE" w:rsidP="00C775AE">
            <w:pPr>
              <w:pStyle w:val="TableText0"/>
              <w:keepNext w:val="0"/>
              <w:jc w:val="center"/>
            </w:pPr>
            <w:r w:rsidRPr="002F733E">
              <w:t>0.441</w:t>
            </w:r>
          </w:p>
        </w:tc>
        <w:tc>
          <w:tcPr>
            <w:tcW w:w="993" w:type="dxa"/>
            <w:tcBorders>
              <w:top w:val="nil"/>
            </w:tcBorders>
          </w:tcPr>
          <w:p w14:paraId="6CE16CEB" w14:textId="08675128" w:rsidR="00C775AE" w:rsidRPr="002F733E" w:rsidRDefault="00EB6544" w:rsidP="00C775AE">
            <w:pPr>
              <w:pStyle w:val="TableText0"/>
              <w:keepNext w:val="0"/>
              <w:jc w:val="center"/>
            </w:pPr>
            <w:r w:rsidRPr="00EB6544">
              <w:rPr>
                <w:color w:val="000000"/>
                <w:spacing w:val="42"/>
                <w:shd w:val="solid" w:color="000000" w:fill="000000"/>
                <w:fitText w:val="466" w:id="-1236572662"/>
                <w14:textFill>
                  <w14:solidFill>
                    <w14:srgbClr w14:val="000000">
                      <w14:alpha w14:val="100000"/>
                    </w14:srgbClr>
                  </w14:solidFill>
                </w14:textFill>
              </w:rPr>
              <w:t>|||||</w:t>
            </w:r>
            <w:r w:rsidRPr="00EB6544">
              <w:rPr>
                <w:color w:val="000000"/>
                <w:spacing w:val="1"/>
                <w:shd w:val="solid" w:color="000000" w:fill="000000"/>
                <w:fitText w:val="466" w:id="-1236572662"/>
                <w14:textFill>
                  <w14:solidFill>
                    <w14:srgbClr w14:val="000000">
                      <w14:alpha w14:val="100000"/>
                    </w14:srgbClr>
                  </w14:solidFill>
                </w14:textFill>
              </w:rPr>
              <w:t>|</w:t>
            </w:r>
            <w:r w:rsidR="00396C58" w:rsidRPr="00396C58">
              <w:rPr>
                <w:vertAlign w:val="superscript"/>
              </w:rPr>
              <w:t>3</w:t>
            </w:r>
          </w:p>
        </w:tc>
        <w:tc>
          <w:tcPr>
            <w:tcW w:w="731" w:type="dxa"/>
            <w:tcBorders>
              <w:top w:val="nil"/>
            </w:tcBorders>
          </w:tcPr>
          <w:p w14:paraId="1F1C729A" w14:textId="77777777" w:rsidR="00C775AE" w:rsidRPr="002F733E" w:rsidRDefault="00C775AE" w:rsidP="00C775AE">
            <w:pPr>
              <w:pStyle w:val="TableText0"/>
              <w:keepNext w:val="0"/>
              <w:jc w:val="center"/>
            </w:pPr>
            <w:r w:rsidRPr="002F733E">
              <w:t>51.7%</w:t>
            </w:r>
          </w:p>
        </w:tc>
      </w:tr>
      <w:tr w:rsidR="00C775AE" w:rsidRPr="002F733E" w14:paraId="29CDBDC6" w14:textId="77777777" w:rsidTr="00EB6544">
        <w:tc>
          <w:tcPr>
            <w:tcW w:w="5098" w:type="dxa"/>
            <w:tcBorders>
              <w:top w:val="nil"/>
            </w:tcBorders>
          </w:tcPr>
          <w:p w14:paraId="449E3174" w14:textId="77777777" w:rsidR="00C775AE" w:rsidRPr="002F733E" w:rsidRDefault="00C775AE" w:rsidP="00C775AE">
            <w:pPr>
              <w:pStyle w:val="TableText0"/>
              <w:keepNext w:val="0"/>
            </w:pPr>
            <w:r w:rsidRPr="002F733E">
              <w:t xml:space="preserve">Assume no mortality benefit for anifrolumab </w:t>
            </w:r>
          </w:p>
        </w:tc>
        <w:tc>
          <w:tcPr>
            <w:tcW w:w="1134" w:type="dxa"/>
            <w:tcBorders>
              <w:top w:val="single" w:sz="4" w:space="0" w:color="auto"/>
            </w:tcBorders>
            <w:shd w:val="solid" w:color="000000" w:fill="000000"/>
          </w:tcPr>
          <w:p w14:paraId="03DC169F" w14:textId="6B1A90A6" w:rsidR="00C775AE" w:rsidRPr="00EB6544" w:rsidRDefault="00EB6544" w:rsidP="00C775AE">
            <w:pPr>
              <w:pStyle w:val="TableText0"/>
              <w:keepNext w:val="0"/>
              <w:jc w:val="center"/>
            </w:pPr>
            <w:r w:rsidRPr="00EB6544">
              <w:rPr>
                <w:color w:val="000000"/>
                <w:spacing w:val="65"/>
                <w:fitText w:val="366" w:id="-1236572661"/>
                <w14:textFill>
                  <w14:solidFill>
                    <w14:srgbClr w14:val="000000">
                      <w14:alpha w14:val="100000"/>
                    </w14:srgbClr>
                  </w14:solidFill>
                </w14:textFill>
              </w:rPr>
              <w:t>|||</w:t>
            </w:r>
            <w:r w:rsidRPr="00EB6544">
              <w:rPr>
                <w:color w:val="000000"/>
                <w:spacing w:val="1"/>
                <w:fitText w:val="366" w:id="-1236572661"/>
                <w14:textFill>
                  <w14:solidFill>
                    <w14:srgbClr w14:val="000000">
                      <w14:alpha w14:val="100000"/>
                    </w14:srgbClr>
                  </w14:solidFill>
                </w14:textFill>
              </w:rPr>
              <w:t>|</w:t>
            </w:r>
          </w:p>
        </w:tc>
        <w:tc>
          <w:tcPr>
            <w:tcW w:w="1134" w:type="dxa"/>
            <w:tcBorders>
              <w:top w:val="nil"/>
            </w:tcBorders>
          </w:tcPr>
          <w:p w14:paraId="2D5C7F52" w14:textId="77777777" w:rsidR="00C775AE" w:rsidRPr="002F733E" w:rsidRDefault="00C775AE" w:rsidP="00C775AE">
            <w:pPr>
              <w:pStyle w:val="TableText0"/>
              <w:keepNext w:val="0"/>
              <w:jc w:val="center"/>
            </w:pPr>
            <w:r w:rsidRPr="002F733E">
              <w:t>0.537</w:t>
            </w:r>
          </w:p>
        </w:tc>
        <w:tc>
          <w:tcPr>
            <w:tcW w:w="993" w:type="dxa"/>
            <w:tcBorders>
              <w:top w:val="nil"/>
            </w:tcBorders>
          </w:tcPr>
          <w:p w14:paraId="508D310C" w14:textId="7C172076" w:rsidR="00C775AE" w:rsidRPr="002F733E" w:rsidRDefault="00EB6544" w:rsidP="00C775AE">
            <w:pPr>
              <w:pStyle w:val="TableText0"/>
              <w:keepNext w:val="0"/>
              <w:jc w:val="center"/>
            </w:pPr>
            <w:r w:rsidRPr="00EB6544">
              <w:rPr>
                <w:color w:val="000000"/>
                <w:spacing w:val="42"/>
                <w:shd w:val="solid" w:color="000000" w:fill="000000"/>
                <w:fitText w:val="466" w:id="-1236572660"/>
                <w14:textFill>
                  <w14:solidFill>
                    <w14:srgbClr w14:val="000000">
                      <w14:alpha w14:val="100000"/>
                    </w14:srgbClr>
                  </w14:solidFill>
                </w14:textFill>
              </w:rPr>
              <w:t>|||||</w:t>
            </w:r>
            <w:r w:rsidRPr="00EB6544">
              <w:rPr>
                <w:color w:val="000000"/>
                <w:spacing w:val="1"/>
                <w:shd w:val="solid" w:color="000000" w:fill="000000"/>
                <w:fitText w:val="466" w:id="-1236572660"/>
                <w14:textFill>
                  <w14:solidFill>
                    <w14:srgbClr w14:val="000000">
                      <w14:alpha w14:val="100000"/>
                    </w14:srgbClr>
                  </w14:solidFill>
                </w14:textFill>
              </w:rPr>
              <w:t>|</w:t>
            </w:r>
            <w:r w:rsidR="00396C58" w:rsidRPr="00396C58">
              <w:rPr>
                <w:vertAlign w:val="superscript"/>
              </w:rPr>
              <w:t>1</w:t>
            </w:r>
          </w:p>
        </w:tc>
        <w:tc>
          <w:tcPr>
            <w:tcW w:w="731" w:type="dxa"/>
            <w:tcBorders>
              <w:top w:val="nil"/>
            </w:tcBorders>
          </w:tcPr>
          <w:p w14:paraId="539F8568" w14:textId="77777777" w:rsidR="00C775AE" w:rsidRPr="002F733E" w:rsidRDefault="00C775AE" w:rsidP="00C775AE">
            <w:pPr>
              <w:pStyle w:val="TableText0"/>
              <w:keepNext w:val="0"/>
              <w:jc w:val="center"/>
            </w:pPr>
            <w:r w:rsidRPr="002F733E">
              <w:t>4.8%</w:t>
            </w:r>
          </w:p>
        </w:tc>
      </w:tr>
      <w:tr w:rsidR="00C775AE" w:rsidRPr="002F733E" w14:paraId="02C374DF" w14:textId="77777777" w:rsidTr="00C775AE">
        <w:trPr>
          <w:trHeight w:val="199"/>
        </w:trPr>
        <w:tc>
          <w:tcPr>
            <w:tcW w:w="9090" w:type="dxa"/>
            <w:gridSpan w:val="5"/>
            <w:tcBorders>
              <w:top w:val="single" w:sz="4" w:space="0" w:color="auto"/>
              <w:bottom w:val="nil"/>
            </w:tcBorders>
          </w:tcPr>
          <w:p w14:paraId="54F62A59" w14:textId="77777777" w:rsidR="00C775AE" w:rsidRPr="002F733E" w:rsidRDefault="00C775AE" w:rsidP="00C775AE">
            <w:pPr>
              <w:pStyle w:val="TableText0"/>
              <w:keepNext w:val="0"/>
            </w:pPr>
            <w:r w:rsidRPr="002F733E">
              <w:t>Utility regression coefficients (base: anifrolumab responder 0.076, anifrolumab non-responder -0.029, AMS -0.009)</w:t>
            </w:r>
          </w:p>
        </w:tc>
      </w:tr>
      <w:tr w:rsidR="00C775AE" w:rsidRPr="002F733E" w14:paraId="61F8226D" w14:textId="77777777" w:rsidTr="00EB6544">
        <w:trPr>
          <w:trHeight w:val="199"/>
        </w:trPr>
        <w:tc>
          <w:tcPr>
            <w:tcW w:w="5098" w:type="dxa"/>
            <w:tcBorders>
              <w:top w:val="nil"/>
              <w:bottom w:val="nil"/>
            </w:tcBorders>
          </w:tcPr>
          <w:p w14:paraId="1F674F01" w14:textId="77777777" w:rsidR="00C775AE" w:rsidRPr="002F733E" w:rsidRDefault="00C775AE" w:rsidP="00DC7889">
            <w:pPr>
              <w:pStyle w:val="TableText0"/>
              <w:keepNext w:val="0"/>
              <w:numPr>
                <w:ilvl w:val="0"/>
                <w:numId w:val="7"/>
              </w:numPr>
              <w:ind w:left="22" w:hanging="22"/>
            </w:pPr>
            <w:r w:rsidRPr="002F733E">
              <w:t>No treatment effect (anifrolumab responder and non-responder 0)</w:t>
            </w:r>
          </w:p>
        </w:tc>
        <w:tc>
          <w:tcPr>
            <w:tcW w:w="1134" w:type="dxa"/>
            <w:tcBorders>
              <w:top w:val="nil"/>
              <w:bottom w:val="nil"/>
            </w:tcBorders>
            <w:shd w:val="solid" w:color="000000" w:fill="000000"/>
          </w:tcPr>
          <w:p w14:paraId="594E917C" w14:textId="4BF13B3F" w:rsidR="00C775AE" w:rsidRPr="00EB6544" w:rsidRDefault="00EB6544" w:rsidP="00C775AE">
            <w:pPr>
              <w:pStyle w:val="TableText0"/>
              <w:keepNext w:val="0"/>
              <w:jc w:val="center"/>
            </w:pPr>
            <w:r w:rsidRPr="00EB6544">
              <w:rPr>
                <w:color w:val="000000"/>
                <w:spacing w:val="65"/>
                <w:fitText w:val="366" w:id="-1236572659"/>
                <w14:textFill>
                  <w14:solidFill>
                    <w14:srgbClr w14:val="000000">
                      <w14:alpha w14:val="100000"/>
                    </w14:srgbClr>
                  </w14:solidFill>
                </w14:textFill>
              </w:rPr>
              <w:t>|||</w:t>
            </w:r>
            <w:r w:rsidRPr="00EB6544">
              <w:rPr>
                <w:color w:val="000000"/>
                <w:spacing w:val="1"/>
                <w:fitText w:val="366" w:id="-1236572659"/>
                <w14:textFill>
                  <w14:solidFill>
                    <w14:srgbClr w14:val="000000">
                      <w14:alpha w14:val="100000"/>
                    </w14:srgbClr>
                  </w14:solidFill>
                </w14:textFill>
              </w:rPr>
              <w:t>|</w:t>
            </w:r>
          </w:p>
        </w:tc>
        <w:tc>
          <w:tcPr>
            <w:tcW w:w="1134" w:type="dxa"/>
            <w:tcBorders>
              <w:top w:val="nil"/>
              <w:bottom w:val="nil"/>
            </w:tcBorders>
          </w:tcPr>
          <w:p w14:paraId="363034C3" w14:textId="77777777" w:rsidR="00C775AE" w:rsidRPr="002F733E" w:rsidRDefault="00C775AE" w:rsidP="00C775AE">
            <w:pPr>
              <w:pStyle w:val="TableText0"/>
              <w:keepNext w:val="0"/>
              <w:jc w:val="center"/>
            </w:pPr>
            <w:r w:rsidRPr="002F733E">
              <w:t>0.582</w:t>
            </w:r>
          </w:p>
        </w:tc>
        <w:tc>
          <w:tcPr>
            <w:tcW w:w="993" w:type="dxa"/>
            <w:tcBorders>
              <w:top w:val="nil"/>
              <w:bottom w:val="nil"/>
            </w:tcBorders>
          </w:tcPr>
          <w:p w14:paraId="7264FA33" w14:textId="0308494C" w:rsidR="00C775AE" w:rsidRPr="002F733E" w:rsidRDefault="00EB6544" w:rsidP="00C775AE">
            <w:pPr>
              <w:pStyle w:val="TableText0"/>
              <w:keepNext w:val="0"/>
              <w:jc w:val="center"/>
            </w:pPr>
            <w:r w:rsidRPr="00EB6544">
              <w:rPr>
                <w:color w:val="000000"/>
                <w:spacing w:val="42"/>
                <w:shd w:val="solid" w:color="000000" w:fill="000000"/>
                <w:fitText w:val="466" w:id="-1236572658"/>
                <w14:textFill>
                  <w14:solidFill>
                    <w14:srgbClr w14:val="000000">
                      <w14:alpha w14:val="100000"/>
                    </w14:srgbClr>
                  </w14:solidFill>
                </w14:textFill>
              </w:rPr>
              <w:t>|||||</w:t>
            </w:r>
            <w:r w:rsidRPr="00EB6544">
              <w:rPr>
                <w:color w:val="000000"/>
                <w:spacing w:val="1"/>
                <w:shd w:val="solid" w:color="000000" w:fill="000000"/>
                <w:fitText w:val="466" w:id="-1236572658"/>
                <w14:textFill>
                  <w14:solidFill>
                    <w14:srgbClr w14:val="000000">
                      <w14:alpha w14:val="100000"/>
                    </w14:srgbClr>
                  </w14:solidFill>
                </w14:textFill>
              </w:rPr>
              <w:t>|</w:t>
            </w:r>
            <w:r w:rsidR="00396C58" w:rsidRPr="00396C58">
              <w:rPr>
                <w:vertAlign w:val="superscript"/>
              </w:rPr>
              <w:t>1</w:t>
            </w:r>
          </w:p>
        </w:tc>
        <w:tc>
          <w:tcPr>
            <w:tcW w:w="731" w:type="dxa"/>
            <w:tcBorders>
              <w:top w:val="nil"/>
              <w:bottom w:val="nil"/>
            </w:tcBorders>
          </w:tcPr>
          <w:p w14:paraId="26DF5CCE" w14:textId="77777777" w:rsidR="00C775AE" w:rsidRPr="002F733E" w:rsidRDefault="00C775AE" w:rsidP="00C775AE">
            <w:pPr>
              <w:pStyle w:val="TableText0"/>
              <w:keepNext w:val="0"/>
              <w:jc w:val="center"/>
            </w:pPr>
            <w:r w:rsidRPr="002F733E">
              <w:t>14.0%</w:t>
            </w:r>
          </w:p>
        </w:tc>
      </w:tr>
      <w:tr w:rsidR="00C775AE" w:rsidRPr="002F733E" w14:paraId="584DA881" w14:textId="77777777" w:rsidTr="00EB6544">
        <w:trPr>
          <w:trHeight w:val="199"/>
        </w:trPr>
        <w:tc>
          <w:tcPr>
            <w:tcW w:w="5098" w:type="dxa"/>
            <w:tcBorders>
              <w:top w:val="nil"/>
            </w:tcBorders>
          </w:tcPr>
          <w:p w14:paraId="074D9667" w14:textId="77777777" w:rsidR="00C775AE" w:rsidRPr="002F733E" w:rsidRDefault="00C775AE" w:rsidP="00DC7889">
            <w:pPr>
              <w:pStyle w:val="TableText0"/>
              <w:keepNext w:val="0"/>
              <w:numPr>
                <w:ilvl w:val="0"/>
                <w:numId w:val="7"/>
              </w:numPr>
              <w:ind w:left="22" w:hanging="22"/>
            </w:pPr>
            <w:r w:rsidRPr="002F733E">
              <w:t>No SLEDAI-2K effect (AMS 0)</w:t>
            </w:r>
          </w:p>
        </w:tc>
        <w:tc>
          <w:tcPr>
            <w:tcW w:w="1134" w:type="dxa"/>
            <w:tcBorders>
              <w:top w:val="nil"/>
            </w:tcBorders>
            <w:shd w:val="solid" w:color="000000" w:fill="000000"/>
          </w:tcPr>
          <w:p w14:paraId="468FA8FC" w14:textId="62CC7ED0" w:rsidR="00C775AE" w:rsidRPr="00EB6544" w:rsidRDefault="00EB6544" w:rsidP="00C775AE">
            <w:pPr>
              <w:pStyle w:val="TableText0"/>
              <w:keepNext w:val="0"/>
              <w:jc w:val="center"/>
            </w:pPr>
            <w:r w:rsidRPr="00EB6544">
              <w:rPr>
                <w:color w:val="000000"/>
                <w:spacing w:val="65"/>
                <w:fitText w:val="366" w:id="-1236572657"/>
                <w14:textFill>
                  <w14:solidFill>
                    <w14:srgbClr w14:val="000000">
                      <w14:alpha w14:val="100000"/>
                    </w14:srgbClr>
                  </w14:solidFill>
                </w14:textFill>
              </w:rPr>
              <w:t>|||</w:t>
            </w:r>
            <w:r w:rsidRPr="00EB6544">
              <w:rPr>
                <w:color w:val="000000"/>
                <w:spacing w:val="1"/>
                <w:fitText w:val="366" w:id="-1236572657"/>
                <w14:textFill>
                  <w14:solidFill>
                    <w14:srgbClr w14:val="000000">
                      <w14:alpha w14:val="100000"/>
                    </w14:srgbClr>
                  </w14:solidFill>
                </w14:textFill>
              </w:rPr>
              <w:t>|</w:t>
            </w:r>
          </w:p>
        </w:tc>
        <w:tc>
          <w:tcPr>
            <w:tcW w:w="1134" w:type="dxa"/>
            <w:tcBorders>
              <w:top w:val="nil"/>
            </w:tcBorders>
          </w:tcPr>
          <w:p w14:paraId="1052B4E6" w14:textId="77777777" w:rsidR="00C775AE" w:rsidRPr="002F733E" w:rsidRDefault="00C775AE" w:rsidP="00C775AE">
            <w:pPr>
              <w:pStyle w:val="TableText0"/>
              <w:keepNext w:val="0"/>
              <w:jc w:val="center"/>
            </w:pPr>
            <w:r w:rsidRPr="002F733E">
              <w:t>0.581</w:t>
            </w:r>
          </w:p>
        </w:tc>
        <w:tc>
          <w:tcPr>
            <w:tcW w:w="993" w:type="dxa"/>
            <w:tcBorders>
              <w:top w:val="nil"/>
            </w:tcBorders>
          </w:tcPr>
          <w:p w14:paraId="4FF29DDE" w14:textId="2B849DF9" w:rsidR="00C775AE" w:rsidRPr="002F733E" w:rsidRDefault="00EB6544" w:rsidP="00C775AE">
            <w:pPr>
              <w:pStyle w:val="TableText0"/>
              <w:keepNext w:val="0"/>
              <w:jc w:val="center"/>
            </w:pPr>
            <w:r w:rsidRPr="00EB6544">
              <w:rPr>
                <w:color w:val="000000"/>
                <w:spacing w:val="42"/>
                <w:shd w:val="solid" w:color="000000" w:fill="000000"/>
                <w:fitText w:val="466" w:id="-1236572656"/>
                <w14:textFill>
                  <w14:solidFill>
                    <w14:srgbClr w14:val="000000">
                      <w14:alpha w14:val="100000"/>
                    </w14:srgbClr>
                  </w14:solidFill>
                </w14:textFill>
              </w:rPr>
              <w:t>|||||</w:t>
            </w:r>
            <w:r w:rsidRPr="00EB6544">
              <w:rPr>
                <w:color w:val="000000"/>
                <w:spacing w:val="1"/>
                <w:shd w:val="solid" w:color="000000" w:fill="000000"/>
                <w:fitText w:val="466" w:id="-1236572656"/>
                <w14:textFill>
                  <w14:solidFill>
                    <w14:srgbClr w14:val="000000">
                      <w14:alpha w14:val="100000"/>
                    </w14:srgbClr>
                  </w14:solidFill>
                </w14:textFill>
              </w:rPr>
              <w:t>|</w:t>
            </w:r>
            <w:r w:rsidR="00396C58" w:rsidRPr="00396C58">
              <w:rPr>
                <w:vertAlign w:val="superscript"/>
              </w:rPr>
              <w:t>1</w:t>
            </w:r>
          </w:p>
        </w:tc>
        <w:tc>
          <w:tcPr>
            <w:tcW w:w="731" w:type="dxa"/>
            <w:tcBorders>
              <w:top w:val="nil"/>
            </w:tcBorders>
          </w:tcPr>
          <w:p w14:paraId="299F1DF9" w14:textId="77777777" w:rsidR="00C775AE" w:rsidRPr="002F733E" w:rsidRDefault="00C775AE" w:rsidP="00C775AE">
            <w:pPr>
              <w:pStyle w:val="TableText0"/>
              <w:keepNext w:val="0"/>
              <w:jc w:val="center"/>
            </w:pPr>
            <w:r w:rsidRPr="002F733E">
              <w:t>14.3%</w:t>
            </w:r>
          </w:p>
        </w:tc>
      </w:tr>
      <w:tr w:rsidR="00C775AE" w:rsidRPr="002F733E" w14:paraId="67E73493" w14:textId="77777777" w:rsidTr="00EB6544">
        <w:trPr>
          <w:trHeight w:val="199"/>
        </w:trPr>
        <w:tc>
          <w:tcPr>
            <w:tcW w:w="5098" w:type="dxa"/>
            <w:tcBorders>
              <w:top w:val="nil"/>
              <w:bottom w:val="nil"/>
            </w:tcBorders>
          </w:tcPr>
          <w:p w14:paraId="36464EE8" w14:textId="77777777" w:rsidR="00C775AE" w:rsidRPr="002F733E" w:rsidRDefault="00C775AE" w:rsidP="00C775AE">
            <w:pPr>
              <w:pStyle w:val="TableText0"/>
              <w:keepNext w:val="0"/>
              <w:ind w:left="22"/>
            </w:pPr>
            <w:r w:rsidRPr="002F733E">
              <w:t>Mortality regression AMS coefficient (base: 0.214)</w:t>
            </w:r>
          </w:p>
        </w:tc>
        <w:tc>
          <w:tcPr>
            <w:tcW w:w="1134" w:type="dxa"/>
            <w:tcBorders>
              <w:top w:val="nil"/>
              <w:bottom w:val="nil"/>
            </w:tcBorders>
          </w:tcPr>
          <w:p w14:paraId="424DDF4A" w14:textId="77777777" w:rsidR="00C775AE" w:rsidRPr="002F733E" w:rsidRDefault="00C775AE" w:rsidP="00C775AE">
            <w:pPr>
              <w:pStyle w:val="TableText0"/>
              <w:keepNext w:val="0"/>
              <w:jc w:val="center"/>
            </w:pPr>
          </w:p>
        </w:tc>
        <w:tc>
          <w:tcPr>
            <w:tcW w:w="1134" w:type="dxa"/>
            <w:tcBorders>
              <w:top w:val="nil"/>
              <w:bottom w:val="nil"/>
            </w:tcBorders>
          </w:tcPr>
          <w:p w14:paraId="407BFEE3" w14:textId="77777777" w:rsidR="00C775AE" w:rsidRPr="002F733E" w:rsidRDefault="00C775AE" w:rsidP="00C775AE">
            <w:pPr>
              <w:pStyle w:val="TableText0"/>
              <w:keepNext w:val="0"/>
              <w:jc w:val="center"/>
            </w:pPr>
          </w:p>
        </w:tc>
        <w:tc>
          <w:tcPr>
            <w:tcW w:w="993" w:type="dxa"/>
            <w:tcBorders>
              <w:top w:val="nil"/>
              <w:bottom w:val="nil"/>
            </w:tcBorders>
          </w:tcPr>
          <w:p w14:paraId="6FEE1E9B" w14:textId="77777777" w:rsidR="00C775AE" w:rsidRPr="002F733E" w:rsidRDefault="00C775AE" w:rsidP="00C775AE">
            <w:pPr>
              <w:pStyle w:val="TableText0"/>
              <w:keepNext w:val="0"/>
              <w:jc w:val="center"/>
            </w:pPr>
          </w:p>
        </w:tc>
        <w:tc>
          <w:tcPr>
            <w:tcW w:w="731" w:type="dxa"/>
            <w:tcBorders>
              <w:top w:val="nil"/>
              <w:bottom w:val="nil"/>
            </w:tcBorders>
          </w:tcPr>
          <w:p w14:paraId="1D191FD7" w14:textId="77777777" w:rsidR="00C775AE" w:rsidRPr="002F733E" w:rsidRDefault="00C775AE" w:rsidP="00C775AE">
            <w:pPr>
              <w:pStyle w:val="TableText0"/>
              <w:keepNext w:val="0"/>
              <w:jc w:val="center"/>
            </w:pPr>
          </w:p>
        </w:tc>
      </w:tr>
      <w:tr w:rsidR="00C775AE" w:rsidRPr="002F733E" w14:paraId="0D24B128" w14:textId="77777777" w:rsidTr="00EB6544">
        <w:trPr>
          <w:trHeight w:val="199"/>
        </w:trPr>
        <w:tc>
          <w:tcPr>
            <w:tcW w:w="5098" w:type="dxa"/>
            <w:tcBorders>
              <w:top w:val="nil"/>
              <w:bottom w:val="single" w:sz="4" w:space="0" w:color="auto"/>
            </w:tcBorders>
          </w:tcPr>
          <w:p w14:paraId="2BD8D175" w14:textId="77777777" w:rsidR="00C775AE" w:rsidRPr="002F733E" w:rsidRDefault="00C775AE" w:rsidP="00DC7889">
            <w:pPr>
              <w:pStyle w:val="TableText0"/>
              <w:keepNext w:val="0"/>
              <w:numPr>
                <w:ilvl w:val="0"/>
                <w:numId w:val="7"/>
              </w:numPr>
              <w:ind w:left="22" w:hanging="22"/>
            </w:pPr>
            <w:r w:rsidRPr="002F733E">
              <w:t>AMS coefficient 0</w:t>
            </w:r>
          </w:p>
        </w:tc>
        <w:tc>
          <w:tcPr>
            <w:tcW w:w="1134" w:type="dxa"/>
            <w:tcBorders>
              <w:top w:val="nil"/>
              <w:bottom w:val="single" w:sz="4" w:space="0" w:color="auto"/>
            </w:tcBorders>
            <w:shd w:val="solid" w:color="000000" w:fill="000000"/>
          </w:tcPr>
          <w:p w14:paraId="37E8381E" w14:textId="4B5AEE9A" w:rsidR="00C775AE" w:rsidRPr="00EB6544" w:rsidRDefault="00EB6544" w:rsidP="00C775AE">
            <w:pPr>
              <w:pStyle w:val="TableText0"/>
              <w:keepNext w:val="0"/>
              <w:jc w:val="center"/>
            </w:pPr>
            <w:r w:rsidRPr="00EB6544">
              <w:rPr>
                <w:color w:val="000000"/>
                <w:spacing w:val="65"/>
                <w:fitText w:val="366" w:id="-1236572672"/>
                <w14:textFill>
                  <w14:solidFill>
                    <w14:srgbClr w14:val="000000">
                      <w14:alpha w14:val="100000"/>
                    </w14:srgbClr>
                  </w14:solidFill>
                </w14:textFill>
              </w:rPr>
              <w:t>|||</w:t>
            </w:r>
            <w:r w:rsidRPr="00EB6544">
              <w:rPr>
                <w:color w:val="000000"/>
                <w:spacing w:val="1"/>
                <w:fitText w:val="366" w:id="-1236572672"/>
                <w14:textFill>
                  <w14:solidFill>
                    <w14:srgbClr w14:val="000000">
                      <w14:alpha w14:val="100000"/>
                    </w14:srgbClr>
                  </w14:solidFill>
                </w14:textFill>
              </w:rPr>
              <w:t>|</w:t>
            </w:r>
          </w:p>
        </w:tc>
        <w:tc>
          <w:tcPr>
            <w:tcW w:w="1134" w:type="dxa"/>
            <w:tcBorders>
              <w:top w:val="nil"/>
              <w:bottom w:val="single" w:sz="4" w:space="0" w:color="auto"/>
            </w:tcBorders>
          </w:tcPr>
          <w:p w14:paraId="62BD9CBB" w14:textId="77777777" w:rsidR="00C775AE" w:rsidRPr="002F733E" w:rsidRDefault="00C775AE" w:rsidP="00C775AE">
            <w:pPr>
              <w:pStyle w:val="TableText0"/>
              <w:keepNext w:val="0"/>
              <w:jc w:val="center"/>
            </w:pPr>
            <w:r w:rsidRPr="002F733E">
              <w:t>0.625</w:t>
            </w:r>
          </w:p>
        </w:tc>
        <w:tc>
          <w:tcPr>
            <w:tcW w:w="993" w:type="dxa"/>
            <w:tcBorders>
              <w:top w:val="nil"/>
              <w:bottom w:val="single" w:sz="4" w:space="0" w:color="auto"/>
            </w:tcBorders>
          </w:tcPr>
          <w:p w14:paraId="1F3296DD" w14:textId="5AC99684" w:rsidR="00C775AE" w:rsidRPr="002F733E" w:rsidRDefault="00EB6544" w:rsidP="00C775AE">
            <w:pPr>
              <w:pStyle w:val="TableText0"/>
              <w:keepNext w:val="0"/>
              <w:jc w:val="center"/>
            </w:pPr>
            <w:r w:rsidRPr="00EB6544">
              <w:rPr>
                <w:color w:val="000000"/>
                <w:spacing w:val="42"/>
                <w:shd w:val="solid" w:color="000000" w:fill="000000"/>
                <w:fitText w:val="466" w:id="-1236572671"/>
                <w14:textFill>
                  <w14:solidFill>
                    <w14:srgbClr w14:val="000000">
                      <w14:alpha w14:val="100000"/>
                    </w14:srgbClr>
                  </w14:solidFill>
                </w14:textFill>
              </w:rPr>
              <w:t>|||||</w:t>
            </w:r>
            <w:r w:rsidRPr="00EB6544">
              <w:rPr>
                <w:color w:val="000000"/>
                <w:spacing w:val="1"/>
                <w:shd w:val="solid" w:color="000000" w:fill="000000"/>
                <w:fitText w:val="466" w:id="-1236572671"/>
                <w14:textFill>
                  <w14:solidFill>
                    <w14:srgbClr w14:val="000000">
                      <w14:alpha w14:val="100000"/>
                    </w14:srgbClr>
                  </w14:solidFill>
                </w14:textFill>
              </w:rPr>
              <w:t>|</w:t>
            </w:r>
            <w:r w:rsidR="00396C58" w:rsidRPr="00396C58">
              <w:rPr>
                <w:vertAlign w:val="superscript"/>
              </w:rPr>
              <w:t>2</w:t>
            </w:r>
          </w:p>
        </w:tc>
        <w:tc>
          <w:tcPr>
            <w:tcW w:w="731" w:type="dxa"/>
            <w:tcBorders>
              <w:top w:val="nil"/>
              <w:bottom w:val="single" w:sz="4" w:space="0" w:color="auto"/>
            </w:tcBorders>
          </w:tcPr>
          <w:p w14:paraId="72D26975" w14:textId="77777777" w:rsidR="00C775AE" w:rsidRPr="002F733E" w:rsidRDefault="00C775AE" w:rsidP="00C775AE">
            <w:pPr>
              <w:pStyle w:val="TableText0"/>
              <w:keepNext w:val="0"/>
              <w:jc w:val="center"/>
            </w:pPr>
            <w:r w:rsidRPr="002F733E">
              <w:t>-14.8%</w:t>
            </w:r>
          </w:p>
        </w:tc>
      </w:tr>
      <w:tr w:rsidR="00C775AE" w:rsidRPr="002F733E" w14:paraId="22BA98AD" w14:textId="77777777" w:rsidTr="00EB6544">
        <w:trPr>
          <w:trHeight w:val="199"/>
        </w:trPr>
        <w:tc>
          <w:tcPr>
            <w:tcW w:w="5098" w:type="dxa"/>
            <w:tcBorders>
              <w:top w:val="single" w:sz="2" w:space="0" w:color="auto"/>
            </w:tcBorders>
          </w:tcPr>
          <w:p w14:paraId="53AD048D" w14:textId="77777777" w:rsidR="00C775AE" w:rsidRPr="002F733E" w:rsidRDefault="00C775AE" w:rsidP="00C775AE">
            <w:pPr>
              <w:pStyle w:val="TableText0"/>
              <w:keepNext w:val="0"/>
              <w:ind w:left="22"/>
            </w:pPr>
            <w:bookmarkStart w:id="54" w:name="_Hlk102985013"/>
            <w:r w:rsidRPr="002F733E">
              <w:t>Organ damage incidence, set AMS coeffs to 0</w:t>
            </w:r>
          </w:p>
        </w:tc>
        <w:tc>
          <w:tcPr>
            <w:tcW w:w="1134" w:type="dxa"/>
            <w:tcBorders>
              <w:top w:val="single" w:sz="4" w:space="0" w:color="auto"/>
            </w:tcBorders>
            <w:shd w:val="solid" w:color="000000" w:fill="000000"/>
          </w:tcPr>
          <w:p w14:paraId="2F9477D4" w14:textId="0F67567F" w:rsidR="00C775AE" w:rsidRPr="00EB6544" w:rsidRDefault="00EB6544" w:rsidP="00C775AE">
            <w:pPr>
              <w:pStyle w:val="TableText0"/>
              <w:keepNext w:val="0"/>
              <w:jc w:val="center"/>
            </w:pPr>
            <w:r w:rsidRPr="00EB6544">
              <w:rPr>
                <w:color w:val="000000"/>
                <w:spacing w:val="65"/>
                <w:fitText w:val="366" w:id="-1236572670"/>
                <w14:textFill>
                  <w14:solidFill>
                    <w14:srgbClr w14:val="000000">
                      <w14:alpha w14:val="100000"/>
                    </w14:srgbClr>
                  </w14:solidFill>
                </w14:textFill>
              </w:rPr>
              <w:t>|||</w:t>
            </w:r>
            <w:r w:rsidRPr="00EB6544">
              <w:rPr>
                <w:color w:val="000000"/>
                <w:spacing w:val="1"/>
                <w:fitText w:val="366" w:id="-1236572670"/>
                <w14:textFill>
                  <w14:solidFill>
                    <w14:srgbClr w14:val="000000">
                      <w14:alpha w14:val="100000"/>
                    </w14:srgbClr>
                  </w14:solidFill>
                </w14:textFill>
              </w:rPr>
              <w:t>|</w:t>
            </w:r>
          </w:p>
        </w:tc>
        <w:tc>
          <w:tcPr>
            <w:tcW w:w="1134" w:type="dxa"/>
            <w:tcBorders>
              <w:top w:val="single" w:sz="2" w:space="0" w:color="auto"/>
            </w:tcBorders>
          </w:tcPr>
          <w:p w14:paraId="6DC5DB5A" w14:textId="77777777" w:rsidR="00C775AE" w:rsidRPr="002F733E" w:rsidRDefault="00C775AE" w:rsidP="00C775AE">
            <w:pPr>
              <w:pStyle w:val="TableText0"/>
              <w:keepNext w:val="0"/>
              <w:jc w:val="center"/>
            </w:pPr>
            <w:r w:rsidRPr="002F733E">
              <w:t>0.646</w:t>
            </w:r>
          </w:p>
        </w:tc>
        <w:tc>
          <w:tcPr>
            <w:tcW w:w="993" w:type="dxa"/>
            <w:tcBorders>
              <w:top w:val="single" w:sz="2" w:space="0" w:color="auto"/>
            </w:tcBorders>
          </w:tcPr>
          <w:p w14:paraId="5A7CF5A5" w14:textId="0F7794A3" w:rsidR="00C775AE" w:rsidRPr="002F733E" w:rsidRDefault="00EB6544" w:rsidP="00C775AE">
            <w:pPr>
              <w:pStyle w:val="TableText0"/>
              <w:keepNext w:val="0"/>
              <w:jc w:val="center"/>
            </w:pPr>
            <w:r w:rsidRPr="00EB6544">
              <w:rPr>
                <w:color w:val="000000"/>
                <w:spacing w:val="42"/>
                <w:shd w:val="solid" w:color="000000" w:fill="000000"/>
                <w:fitText w:val="466" w:id="-1236572669"/>
                <w14:textFill>
                  <w14:solidFill>
                    <w14:srgbClr w14:val="000000">
                      <w14:alpha w14:val="100000"/>
                    </w14:srgbClr>
                  </w14:solidFill>
                </w14:textFill>
              </w:rPr>
              <w:t>|||||</w:t>
            </w:r>
            <w:r w:rsidRPr="00EB6544">
              <w:rPr>
                <w:color w:val="000000"/>
                <w:spacing w:val="1"/>
                <w:shd w:val="solid" w:color="000000" w:fill="000000"/>
                <w:fitText w:val="466" w:id="-1236572669"/>
                <w14:textFill>
                  <w14:solidFill>
                    <w14:srgbClr w14:val="000000">
                      <w14:alpha w14:val="100000"/>
                    </w14:srgbClr>
                  </w14:solidFill>
                </w14:textFill>
              </w:rPr>
              <w:t>|</w:t>
            </w:r>
            <w:r w:rsidR="00396C58" w:rsidRPr="00396C58">
              <w:rPr>
                <w:vertAlign w:val="superscript"/>
              </w:rPr>
              <w:t>1</w:t>
            </w:r>
          </w:p>
        </w:tc>
        <w:tc>
          <w:tcPr>
            <w:tcW w:w="731" w:type="dxa"/>
            <w:tcBorders>
              <w:top w:val="single" w:sz="2" w:space="0" w:color="auto"/>
            </w:tcBorders>
          </w:tcPr>
          <w:p w14:paraId="06E88ECA" w14:textId="77777777" w:rsidR="00C775AE" w:rsidRPr="002F733E" w:rsidRDefault="00C775AE" w:rsidP="00C775AE">
            <w:pPr>
              <w:pStyle w:val="TableText0"/>
              <w:keepNext w:val="0"/>
              <w:jc w:val="center"/>
            </w:pPr>
            <w:r w:rsidRPr="002F733E">
              <w:t>17.2%</w:t>
            </w:r>
          </w:p>
        </w:tc>
      </w:tr>
    </w:tbl>
    <w:bookmarkEnd w:id="54"/>
    <w:p w14:paraId="6B7FEEA6" w14:textId="77777777" w:rsidR="00C775AE" w:rsidRPr="002F733E" w:rsidRDefault="00C775AE" w:rsidP="00C775AE">
      <w:pPr>
        <w:pStyle w:val="TableFigureFooter"/>
        <w:rPr>
          <w:i/>
        </w:rPr>
      </w:pPr>
      <w:r w:rsidRPr="002F733E">
        <w:t xml:space="preserve">Source: Table 3.9-1 of the submission and </w:t>
      </w:r>
      <w:r w:rsidRPr="002F733E">
        <w:rPr>
          <w:i/>
        </w:rPr>
        <w:t>compiled during the evaluation</w:t>
      </w:r>
    </w:p>
    <w:p w14:paraId="25F35349" w14:textId="5D13D03D" w:rsidR="00C775AE" w:rsidRPr="002F733E" w:rsidRDefault="00C775AE" w:rsidP="00C775AE">
      <w:pPr>
        <w:pStyle w:val="TableFigureFooter"/>
      </w:pPr>
      <w:r w:rsidRPr="002F733E">
        <w:t>AMS = adjusted mean SLEDAI; APLC=Asia-Pacific Lupus Collaboration; OCS = oral corticosteroids; HR = hazard ratio; CI = confidence interval; NR = not reported; IQR=inter-quartile range; LOS = length of stay; LY=life year; yr = year; SOC = standard of care; QALY = quality adjusted life year; ICER = incremental cost-effectiveness ratio; SLEDAI-2K=Systemic Lupus Erythematosus Disease Activity Index 2000</w:t>
      </w:r>
    </w:p>
    <w:p w14:paraId="02CEF077" w14:textId="77777777" w:rsidR="00C775AE" w:rsidRPr="002F733E" w:rsidRDefault="00C775AE" w:rsidP="00C775AE">
      <w:pPr>
        <w:pStyle w:val="TableFigureFooter"/>
      </w:pPr>
      <w:r w:rsidRPr="002F733E">
        <w:t>a</w:t>
      </w:r>
      <w:r w:rsidRPr="002F733E">
        <w:tab/>
        <w:t>due to random mortality estimation each cycle, the anifrolumab arm had fewer LYs than the SOC arm (-0.005), but still had more QALYs.</w:t>
      </w:r>
    </w:p>
    <w:p w14:paraId="57EBA9A5" w14:textId="5399CC73" w:rsidR="00C775AE" w:rsidRDefault="00C775AE" w:rsidP="00C775AE">
      <w:pPr>
        <w:pStyle w:val="TableFigureFooter"/>
        <w:ind w:left="165" w:hanging="165"/>
      </w:pPr>
      <w:r w:rsidRPr="002F733E">
        <w:t>b</w:t>
      </w:r>
      <w:r w:rsidRPr="002F733E">
        <w:tab/>
        <w:t>95% CIs estimated from standard errors calculated as standard deviations reported from APLC divided by square root of the number of flares (802 non-severe, 204 severe).</w:t>
      </w:r>
    </w:p>
    <w:p w14:paraId="4E452DA5" w14:textId="23059E70" w:rsidR="00396C58" w:rsidRPr="00396C58" w:rsidRDefault="00396C58" w:rsidP="00C775AE">
      <w:pPr>
        <w:pStyle w:val="TableFigureFooter"/>
        <w:ind w:left="165" w:hanging="165"/>
        <w:rPr>
          <w:i/>
          <w:iCs/>
        </w:rPr>
      </w:pPr>
      <w:r w:rsidRPr="00396C58">
        <w:rPr>
          <w:i/>
          <w:iCs/>
        </w:rPr>
        <w:t>The redacted values correspond to the following ranges:</w:t>
      </w:r>
    </w:p>
    <w:p w14:paraId="299BEE14" w14:textId="2F1C7B06" w:rsidR="00396C58" w:rsidRPr="00396C58" w:rsidRDefault="00396C58" w:rsidP="00C775AE">
      <w:pPr>
        <w:pStyle w:val="TableFigureFooter"/>
        <w:ind w:left="165" w:hanging="165"/>
        <w:rPr>
          <w:i/>
          <w:iCs/>
        </w:rPr>
      </w:pPr>
      <w:r w:rsidRPr="00396C58">
        <w:rPr>
          <w:i/>
          <w:iCs/>
          <w:vertAlign w:val="superscript"/>
        </w:rPr>
        <w:t xml:space="preserve">1 </w:t>
      </w:r>
      <w:r w:rsidRPr="00396C58">
        <w:rPr>
          <w:i/>
          <w:iCs/>
        </w:rPr>
        <w:t>$75,000 to &lt; $95,000</w:t>
      </w:r>
    </w:p>
    <w:p w14:paraId="059AEF65" w14:textId="67C6192E" w:rsidR="00396C58" w:rsidRPr="00396C58" w:rsidRDefault="00396C58" w:rsidP="00C775AE">
      <w:pPr>
        <w:pStyle w:val="TableFigureFooter"/>
        <w:ind w:left="165" w:hanging="165"/>
        <w:rPr>
          <w:i/>
          <w:iCs/>
        </w:rPr>
      </w:pPr>
      <w:r w:rsidRPr="00396C58">
        <w:rPr>
          <w:i/>
          <w:iCs/>
          <w:vertAlign w:val="superscript"/>
        </w:rPr>
        <w:t>2</w:t>
      </w:r>
      <w:r w:rsidRPr="00396C58">
        <w:rPr>
          <w:i/>
          <w:iCs/>
        </w:rPr>
        <w:t xml:space="preserve"> $55,000 to &lt; $75,000</w:t>
      </w:r>
    </w:p>
    <w:p w14:paraId="35C0E024" w14:textId="70CF1041" w:rsidR="00396C58" w:rsidRPr="00396C58" w:rsidRDefault="00396C58" w:rsidP="00C775AE">
      <w:pPr>
        <w:pStyle w:val="TableFigureFooter"/>
        <w:ind w:left="165" w:hanging="165"/>
        <w:rPr>
          <w:i/>
          <w:iCs/>
        </w:rPr>
      </w:pPr>
      <w:r w:rsidRPr="00396C58">
        <w:rPr>
          <w:i/>
          <w:iCs/>
          <w:vertAlign w:val="superscript"/>
        </w:rPr>
        <w:t>3</w:t>
      </w:r>
      <w:r w:rsidRPr="00396C58">
        <w:rPr>
          <w:i/>
          <w:iCs/>
        </w:rPr>
        <w:t xml:space="preserve"> $95,000 to &lt; $115,000</w:t>
      </w:r>
    </w:p>
    <w:p w14:paraId="52AF6E6B" w14:textId="0EF36710" w:rsidR="00396C58" w:rsidRPr="00396C58" w:rsidRDefault="00396C58" w:rsidP="00C775AE">
      <w:pPr>
        <w:pStyle w:val="TableFigureFooter"/>
        <w:ind w:left="165" w:hanging="165"/>
        <w:rPr>
          <w:i/>
          <w:iCs/>
        </w:rPr>
      </w:pPr>
      <w:r w:rsidRPr="00396C58">
        <w:rPr>
          <w:i/>
          <w:iCs/>
          <w:vertAlign w:val="superscript"/>
        </w:rPr>
        <w:t>4</w:t>
      </w:r>
      <w:r w:rsidRPr="00396C58">
        <w:rPr>
          <w:i/>
          <w:iCs/>
        </w:rPr>
        <w:t xml:space="preserve"> $45,000 to &lt; $55,000</w:t>
      </w:r>
    </w:p>
    <w:p w14:paraId="2AC57B4C" w14:textId="568CB028" w:rsidR="00396C58" w:rsidRPr="00396C58" w:rsidRDefault="00396C58" w:rsidP="00C775AE">
      <w:pPr>
        <w:pStyle w:val="TableFigureFooter"/>
        <w:ind w:left="165" w:hanging="165"/>
        <w:rPr>
          <w:i/>
          <w:iCs/>
        </w:rPr>
      </w:pPr>
      <w:r w:rsidRPr="00396C58">
        <w:rPr>
          <w:i/>
          <w:iCs/>
          <w:vertAlign w:val="superscript"/>
        </w:rPr>
        <w:t>5</w:t>
      </w:r>
      <w:r w:rsidRPr="00396C58">
        <w:rPr>
          <w:i/>
          <w:iCs/>
        </w:rPr>
        <w:t xml:space="preserve"> $135,000 to &lt; $155,000</w:t>
      </w:r>
    </w:p>
    <w:p w14:paraId="6E4ED28F" w14:textId="597E2753" w:rsidR="00396C58" w:rsidRPr="00396C58" w:rsidRDefault="00396C58" w:rsidP="00C775AE">
      <w:pPr>
        <w:pStyle w:val="TableFigureFooter"/>
        <w:ind w:left="165" w:hanging="165"/>
        <w:rPr>
          <w:i/>
          <w:iCs/>
        </w:rPr>
      </w:pPr>
      <w:r w:rsidRPr="00396C58">
        <w:rPr>
          <w:i/>
          <w:iCs/>
          <w:vertAlign w:val="superscript"/>
        </w:rPr>
        <w:t>6</w:t>
      </w:r>
      <w:r w:rsidRPr="00396C58">
        <w:rPr>
          <w:i/>
          <w:iCs/>
        </w:rPr>
        <w:t xml:space="preserve"> $255,000 to &lt; $355,000</w:t>
      </w:r>
    </w:p>
    <w:p w14:paraId="57B78ADF" w14:textId="102D5CA6" w:rsidR="00396C58" w:rsidRPr="00396C58" w:rsidRDefault="00396C58" w:rsidP="00C775AE">
      <w:pPr>
        <w:pStyle w:val="TableFigureFooter"/>
        <w:ind w:left="165" w:hanging="165"/>
        <w:rPr>
          <w:i/>
          <w:iCs/>
        </w:rPr>
      </w:pPr>
      <w:r w:rsidRPr="00396C58">
        <w:rPr>
          <w:i/>
          <w:iCs/>
          <w:vertAlign w:val="superscript"/>
        </w:rPr>
        <w:t>7</w:t>
      </w:r>
      <w:r w:rsidRPr="00396C58">
        <w:rPr>
          <w:i/>
          <w:iCs/>
        </w:rPr>
        <w:t xml:space="preserve"> $115,000 to &lt; $135,000</w:t>
      </w:r>
    </w:p>
    <w:p w14:paraId="146E8D51" w14:textId="0A320130" w:rsidR="00B56D66" w:rsidRPr="002F733E" w:rsidRDefault="003451DF" w:rsidP="003451DF">
      <w:pPr>
        <w:pStyle w:val="3-BodyText"/>
      </w:pPr>
      <w:bookmarkStart w:id="55" w:name="_Ref131429683"/>
      <w:r w:rsidRPr="002F733E">
        <w:t xml:space="preserve">The pre-PBAC response offered a lower effective DPMQ </w:t>
      </w:r>
      <w:r w:rsidR="00DD325E">
        <w:t xml:space="preserve">for anifrolumab </w:t>
      </w:r>
      <w:r w:rsidRPr="002F733E">
        <w:t>of $</w:t>
      </w:r>
      <w:r w:rsidR="00EB6544" w:rsidRPr="00EB6544">
        <w:rPr>
          <w:color w:val="000000"/>
          <w:w w:val="55"/>
          <w:shd w:val="solid" w:color="000000" w:fill="000000"/>
          <w:fitText w:val="796" w:id="-1236572668"/>
          <w14:textFill>
            <w14:solidFill>
              <w14:srgbClr w14:val="000000">
                <w14:alpha w14:val="100000"/>
              </w14:srgbClr>
            </w14:solidFill>
          </w14:textFill>
        </w:rPr>
        <w:t>||||||  |||||</w:t>
      </w:r>
      <w:r w:rsidR="00EB6544" w:rsidRPr="00EB6544">
        <w:rPr>
          <w:color w:val="000000"/>
          <w:spacing w:val="8"/>
          <w:w w:val="55"/>
          <w:shd w:val="solid" w:color="000000" w:fill="000000"/>
          <w:fitText w:val="796" w:id="-1236572668"/>
          <w14:textFill>
            <w14:solidFill>
              <w14:srgbClr w14:val="000000">
                <w14:alpha w14:val="100000"/>
              </w14:srgbClr>
            </w14:solidFill>
          </w14:textFill>
        </w:rPr>
        <w:t>|</w:t>
      </w:r>
      <w:r w:rsidRPr="002F733E">
        <w:t xml:space="preserve"> (public), which corresponded to an ICER of $</w:t>
      </w:r>
      <w:r w:rsidR="00396C58">
        <w:t>55,000</w:t>
      </w:r>
      <w:r w:rsidR="00612BA3">
        <w:t> </w:t>
      </w:r>
      <w:r w:rsidR="00396C58">
        <w:t>to</w:t>
      </w:r>
      <w:r w:rsidR="00612BA3">
        <w:t> </w:t>
      </w:r>
      <w:r w:rsidR="00396C58">
        <w:t>&lt;</w:t>
      </w:r>
      <w:r w:rsidR="00612BA3">
        <w:t> </w:t>
      </w:r>
      <w:r w:rsidR="00396C58">
        <w:t>$75,000</w:t>
      </w:r>
      <w:r w:rsidRPr="002F733E">
        <w:t xml:space="preserve"> per </w:t>
      </w:r>
      <w:r w:rsidR="00B56D66" w:rsidRPr="002F733E">
        <w:t>QALY gained compared to $</w:t>
      </w:r>
      <w:r w:rsidR="00396C58">
        <w:t>75,000</w:t>
      </w:r>
      <w:r w:rsidR="00612BA3">
        <w:t> </w:t>
      </w:r>
      <w:r w:rsidR="00396C58">
        <w:t>to</w:t>
      </w:r>
      <w:r w:rsidR="00612BA3">
        <w:t> </w:t>
      </w:r>
      <w:r w:rsidR="00396C58">
        <w:t>&lt;</w:t>
      </w:r>
      <w:r w:rsidR="00612BA3">
        <w:t> </w:t>
      </w:r>
      <w:r w:rsidR="00396C58">
        <w:t>$95,000</w:t>
      </w:r>
      <w:r w:rsidR="00B56D66" w:rsidRPr="002F733E">
        <w:t xml:space="preserve">per QALY gained in the </w:t>
      </w:r>
      <w:r w:rsidRPr="002F733E">
        <w:t>res</w:t>
      </w:r>
      <w:r w:rsidR="00B56D66" w:rsidRPr="002F733E">
        <w:t>ubmission</w:t>
      </w:r>
      <w:r w:rsidRPr="002F733E">
        <w:t xml:space="preserve"> base case</w:t>
      </w:r>
      <w:r w:rsidR="00B56D66" w:rsidRPr="002F733E">
        <w:t>.</w:t>
      </w:r>
      <w:bookmarkEnd w:id="55"/>
      <w:r w:rsidR="00B56D66" w:rsidRPr="002F733E">
        <w:t xml:space="preserve"> </w:t>
      </w:r>
    </w:p>
    <w:p w14:paraId="06D8036D" w14:textId="67980D63" w:rsidR="00C775AE" w:rsidRPr="002F733E" w:rsidRDefault="00C775AE" w:rsidP="00C775AE">
      <w:pPr>
        <w:pStyle w:val="4-SubsectionHeading"/>
      </w:pPr>
      <w:bookmarkStart w:id="56" w:name="_Toc102831368"/>
      <w:bookmarkStart w:id="57" w:name="_Toc103015539"/>
      <w:bookmarkStart w:id="58" w:name="_Toc121668138"/>
      <w:bookmarkStart w:id="59" w:name="_Toc124521453"/>
      <w:r w:rsidRPr="002F733E">
        <w:t>Anifrolumab cost/patient/year</w:t>
      </w:r>
      <w:bookmarkEnd w:id="56"/>
      <w:bookmarkEnd w:id="57"/>
      <w:bookmarkEnd w:id="58"/>
      <w:bookmarkEnd w:id="59"/>
    </w:p>
    <w:p w14:paraId="4F468068" w14:textId="78E8D226" w:rsidR="003B485E" w:rsidRPr="002F733E" w:rsidRDefault="003B485E" w:rsidP="003B485E">
      <w:pPr>
        <w:pStyle w:val="3-BodyText"/>
      </w:pPr>
      <w:r w:rsidRPr="002F733E">
        <w:fldChar w:fldCharType="begin" w:fldLock="1"/>
      </w:r>
      <w:r w:rsidRPr="002F733E">
        <w:instrText xml:space="preserve"> REF _Ref131430975 \h </w:instrText>
      </w:r>
      <w:r w:rsidRPr="002F733E">
        <w:fldChar w:fldCharType="separate"/>
      </w:r>
      <w:r w:rsidRPr="002F733E">
        <w:t>Table 13</w:t>
      </w:r>
      <w:r w:rsidRPr="002F733E">
        <w:fldChar w:fldCharType="end"/>
      </w:r>
      <w:r w:rsidRPr="002F733E">
        <w:t xml:space="preserve"> presents the drug cost per patient for anifrolumab based on the price proposed in the submission. </w:t>
      </w:r>
      <w:r w:rsidR="005648FF">
        <w:t>T</w:t>
      </w:r>
      <w:r w:rsidRPr="002F733E">
        <w:t>he pre-PBAC response proposed a lower price.</w:t>
      </w:r>
    </w:p>
    <w:p w14:paraId="280826F8" w14:textId="192EEF54" w:rsidR="00C775AE" w:rsidRPr="002F733E" w:rsidRDefault="00C775AE" w:rsidP="00C775AE">
      <w:pPr>
        <w:pStyle w:val="TableFigureHeading"/>
        <w:rPr>
          <w:rStyle w:val="CommentReference"/>
          <w:b/>
          <w:szCs w:val="24"/>
        </w:rPr>
      </w:pPr>
      <w:bookmarkStart w:id="60" w:name="_Ref131430975"/>
      <w:r w:rsidRPr="002F733E">
        <w:t xml:space="preserve">Table </w:t>
      </w:r>
      <w:fldSimple w:instr=" SEQ Table \* ARABIC " w:fldLock="1">
        <w:r w:rsidR="00781A0F" w:rsidRPr="002F733E">
          <w:t>13</w:t>
        </w:r>
      </w:fldSimple>
      <w:bookmarkEnd w:id="60"/>
      <w:r w:rsidRPr="002F733E">
        <w:t>:</w:t>
      </w:r>
      <w:r w:rsidRPr="002F733E">
        <w:rPr>
          <w:rStyle w:val="CommentReference"/>
          <w:b/>
          <w:szCs w:val="24"/>
        </w:rPr>
        <w:t xml:space="preserve"> Drug cost per patient for anifrolumab </w:t>
      </w:r>
    </w:p>
    <w:tbl>
      <w:tblPr>
        <w:tblW w:w="500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30"/>
        <w:gridCol w:w="1134"/>
        <w:gridCol w:w="1276"/>
        <w:gridCol w:w="1276"/>
        <w:gridCol w:w="1276"/>
        <w:gridCol w:w="1229"/>
      </w:tblGrid>
      <w:tr w:rsidR="00B4682C" w:rsidRPr="002F733E" w14:paraId="0919A611" w14:textId="77777777" w:rsidTr="00B4682C">
        <w:trPr>
          <w:cantSplit/>
          <w:tblHeader/>
          <w:jc w:val="center"/>
        </w:trPr>
        <w:tc>
          <w:tcPr>
            <w:tcW w:w="1569" w:type="pct"/>
            <w:vMerge w:val="restart"/>
            <w:shd w:val="clear" w:color="auto" w:fill="auto"/>
            <w:vAlign w:val="center"/>
          </w:tcPr>
          <w:p w14:paraId="5BCBBEAD" w14:textId="77777777" w:rsidR="00B4682C" w:rsidRPr="002F733E" w:rsidRDefault="00B4682C" w:rsidP="00C775AE">
            <w:pPr>
              <w:pStyle w:val="In-tableHeading"/>
              <w:jc w:val="center"/>
              <w:rPr>
                <w:lang w:val="en-AU"/>
              </w:rPr>
            </w:pPr>
          </w:p>
        </w:tc>
        <w:tc>
          <w:tcPr>
            <w:tcW w:w="629" w:type="pct"/>
            <w:vMerge w:val="restart"/>
            <w:shd w:val="clear" w:color="auto" w:fill="auto"/>
            <w:vAlign w:val="center"/>
          </w:tcPr>
          <w:p w14:paraId="325ED0BC" w14:textId="77777777" w:rsidR="00B4682C" w:rsidRPr="002F733E" w:rsidRDefault="00B4682C" w:rsidP="00C775AE">
            <w:pPr>
              <w:pStyle w:val="In-tableHeading"/>
              <w:jc w:val="center"/>
              <w:rPr>
                <w:lang w:val="en-AU"/>
              </w:rPr>
            </w:pPr>
            <w:r w:rsidRPr="002F733E">
              <w:rPr>
                <w:lang w:val="en-AU"/>
              </w:rPr>
              <w:t>Trial dose and duration</w:t>
            </w:r>
          </w:p>
        </w:tc>
        <w:tc>
          <w:tcPr>
            <w:tcW w:w="1414" w:type="pct"/>
            <w:gridSpan w:val="2"/>
          </w:tcPr>
          <w:p w14:paraId="7A7A869F" w14:textId="77777777" w:rsidR="00B4682C" w:rsidRPr="002F733E" w:rsidRDefault="00B4682C" w:rsidP="00C775AE">
            <w:pPr>
              <w:pStyle w:val="In-tableHeading"/>
              <w:jc w:val="center"/>
              <w:rPr>
                <w:lang w:val="en-AU"/>
              </w:rPr>
            </w:pPr>
            <w:r w:rsidRPr="002F733E">
              <w:rPr>
                <w:lang w:val="en-AU"/>
              </w:rPr>
              <w:t>Model</w:t>
            </w:r>
          </w:p>
        </w:tc>
        <w:tc>
          <w:tcPr>
            <w:tcW w:w="1388" w:type="pct"/>
            <w:gridSpan w:val="2"/>
            <w:shd w:val="clear" w:color="auto" w:fill="auto"/>
            <w:vAlign w:val="center"/>
          </w:tcPr>
          <w:p w14:paraId="498B8928" w14:textId="77777777" w:rsidR="00B4682C" w:rsidRPr="002F733E" w:rsidRDefault="00B4682C" w:rsidP="00C775AE">
            <w:pPr>
              <w:pStyle w:val="In-tableHeading"/>
              <w:jc w:val="center"/>
              <w:rPr>
                <w:lang w:val="en-AU"/>
              </w:rPr>
            </w:pPr>
            <w:r w:rsidRPr="002F733E">
              <w:rPr>
                <w:lang w:val="en-AU"/>
              </w:rPr>
              <w:t>Financial estimates</w:t>
            </w:r>
          </w:p>
        </w:tc>
      </w:tr>
      <w:tr w:rsidR="00B4682C" w:rsidRPr="002F733E" w14:paraId="6A34C25A" w14:textId="77777777" w:rsidTr="00B4682C">
        <w:trPr>
          <w:cantSplit/>
          <w:tblHeader/>
          <w:jc w:val="center"/>
        </w:trPr>
        <w:tc>
          <w:tcPr>
            <w:tcW w:w="1569" w:type="pct"/>
            <w:vMerge/>
            <w:shd w:val="clear" w:color="auto" w:fill="auto"/>
            <w:vAlign w:val="center"/>
          </w:tcPr>
          <w:p w14:paraId="3804882F" w14:textId="77777777" w:rsidR="00B4682C" w:rsidRPr="002F733E" w:rsidRDefault="00B4682C" w:rsidP="00C775AE">
            <w:pPr>
              <w:pStyle w:val="In-tableHeading"/>
              <w:jc w:val="center"/>
              <w:rPr>
                <w:lang w:val="en-AU"/>
              </w:rPr>
            </w:pPr>
          </w:p>
        </w:tc>
        <w:tc>
          <w:tcPr>
            <w:tcW w:w="629" w:type="pct"/>
            <w:vMerge/>
            <w:shd w:val="clear" w:color="auto" w:fill="auto"/>
            <w:vAlign w:val="center"/>
          </w:tcPr>
          <w:p w14:paraId="20E93AC8" w14:textId="77777777" w:rsidR="00B4682C" w:rsidRPr="002F733E" w:rsidRDefault="00B4682C" w:rsidP="00C775AE">
            <w:pPr>
              <w:pStyle w:val="In-tableHeading"/>
              <w:jc w:val="center"/>
              <w:rPr>
                <w:lang w:val="en-AU"/>
              </w:rPr>
            </w:pPr>
          </w:p>
        </w:tc>
        <w:tc>
          <w:tcPr>
            <w:tcW w:w="707" w:type="pct"/>
            <w:shd w:val="clear" w:color="auto" w:fill="C6D9F1" w:themeFill="text2" w:themeFillTint="33"/>
          </w:tcPr>
          <w:p w14:paraId="2E80DDFA" w14:textId="77777777" w:rsidR="00B4682C" w:rsidRPr="002F733E" w:rsidRDefault="00B4682C" w:rsidP="00C775AE">
            <w:pPr>
              <w:pStyle w:val="In-tableHeading"/>
              <w:jc w:val="center"/>
              <w:rPr>
                <w:lang w:val="en-AU"/>
              </w:rPr>
            </w:pPr>
            <w:r w:rsidRPr="002F733E">
              <w:rPr>
                <w:lang w:val="en-AU"/>
              </w:rPr>
              <w:t>July 2022</w:t>
            </w:r>
          </w:p>
        </w:tc>
        <w:tc>
          <w:tcPr>
            <w:tcW w:w="707" w:type="pct"/>
            <w:vAlign w:val="center"/>
          </w:tcPr>
          <w:p w14:paraId="20D09910" w14:textId="77777777" w:rsidR="00B4682C" w:rsidRPr="002F733E" w:rsidRDefault="00B4682C" w:rsidP="00C775AE">
            <w:pPr>
              <w:pStyle w:val="In-tableHeading"/>
              <w:jc w:val="center"/>
              <w:rPr>
                <w:lang w:val="en-AU"/>
              </w:rPr>
            </w:pPr>
            <w:r w:rsidRPr="002F733E">
              <w:rPr>
                <w:lang w:val="en-AU"/>
              </w:rPr>
              <w:t>Resubmission</w:t>
            </w:r>
          </w:p>
        </w:tc>
        <w:tc>
          <w:tcPr>
            <w:tcW w:w="707" w:type="pct"/>
            <w:shd w:val="clear" w:color="auto" w:fill="C6D9F1" w:themeFill="text2" w:themeFillTint="33"/>
          </w:tcPr>
          <w:p w14:paraId="7D8CBB19" w14:textId="77777777" w:rsidR="00B4682C" w:rsidRPr="002F733E" w:rsidRDefault="00B4682C" w:rsidP="00C775AE">
            <w:pPr>
              <w:pStyle w:val="In-tableHeading"/>
              <w:jc w:val="center"/>
              <w:rPr>
                <w:lang w:val="en-AU"/>
              </w:rPr>
            </w:pPr>
            <w:r w:rsidRPr="002F733E">
              <w:rPr>
                <w:lang w:val="en-AU"/>
              </w:rPr>
              <w:t>July 2022</w:t>
            </w:r>
          </w:p>
        </w:tc>
        <w:tc>
          <w:tcPr>
            <w:tcW w:w="681" w:type="pct"/>
            <w:vAlign w:val="center"/>
          </w:tcPr>
          <w:p w14:paraId="1AF2A871" w14:textId="77777777" w:rsidR="00B4682C" w:rsidRPr="002F733E" w:rsidRDefault="00B4682C" w:rsidP="00C775AE">
            <w:pPr>
              <w:pStyle w:val="In-tableHeading"/>
              <w:jc w:val="center"/>
              <w:rPr>
                <w:lang w:val="en-AU"/>
              </w:rPr>
            </w:pPr>
            <w:r w:rsidRPr="002F733E">
              <w:rPr>
                <w:lang w:val="en-AU"/>
              </w:rPr>
              <w:t>Resubmission</w:t>
            </w:r>
          </w:p>
        </w:tc>
      </w:tr>
      <w:tr w:rsidR="00B4682C" w:rsidRPr="002F733E" w14:paraId="7779013F" w14:textId="77777777" w:rsidTr="00B4682C">
        <w:trPr>
          <w:cantSplit/>
          <w:jc w:val="center"/>
        </w:trPr>
        <w:tc>
          <w:tcPr>
            <w:tcW w:w="1569" w:type="pct"/>
            <w:shd w:val="clear" w:color="auto" w:fill="auto"/>
            <w:vAlign w:val="center"/>
          </w:tcPr>
          <w:p w14:paraId="0510E598" w14:textId="77777777" w:rsidR="00C775AE" w:rsidRPr="002F733E" w:rsidRDefault="00C775AE" w:rsidP="00C775AE">
            <w:pPr>
              <w:pStyle w:val="TableText0"/>
            </w:pPr>
            <w:r w:rsidRPr="002F733E">
              <w:t>Mean dose anifrolumab</w:t>
            </w:r>
          </w:p>
        </w:tc>
        <w:tc>
          <w:tcPr>
            <w:tcW w:w="629" w:type="pct"/>
            <w:shd w:val="clear" w:color="auto" w:fill="auto"/>
            <w:vAlign w:val="center"/>
          </w:tcPr>
          <w:p w14:paraId="7444A519" w14:textId="77777777" w:rsidR="00C775AE" w:rsidRPr="002F733E" w:rsidRDefault="00C775AE" w:rsidP="00C775AE">
            <w:pPr>
              <w:pStyle w:val="TableText0"/>
              <w:jc w:val="center"/>
            </w:pPr>
            <w:r w:rsidRPr="002F733E">
              <w:t>300mg</w:t>
            </w:r>
          </w:p>
        </w:tc>
        <w:tc>
          <w:tcPr>
            <w:tcW w:w="707" w:type="pct"/>
            <w:shd w:val="clear" w:color="auto" w:fill="C6D9F1" w:themeFill="text2" w:themeFillTint="33"/>
            <w:vAlign w:val="center"/>
          </w:tcPr>
          <w:p w14:paraId="087EA8B8" w14:textId="77777777" w:rsidR="00C775AE" w:rsidRPr="002F733E" w:rsidRDefault="00C775AE" w:rsidP="00C775AE">
            <w:pPr>
              <w:pStyle w:val="TableText0"/>
              <w:jc w:val="center"/>
            </w:pPr>
            <w:r w:rsidRPr="002F733E">
              <w:t>300mg</w:t>
            </w:r>
          </w:p>
        </w:tc>
        <w:tc>
          <w:tcPr>
            <w:tcW w:w="707" w:type="pct"/>
            <w:vAlign w:val="center"/>
          </w:tcPr>
          <w:p w14:paraId="7E1B5F66" w14:textId="77777777" w:rsidR="00C775AE" w:rsidRPr="002F733E" w:rsidRDefault="00C775AE" w:rsidP="00C775AE">
            <w:pPr>
              <w:pStyle w:val="TableText0"/>
              <w:jc w:val="center"/>
            </w:pPr>
            <w:r w:rsidRPr="002F733E">
              <w:t xml:space="preserve">300mg </w:t>
            </w:r>
          </w:p>
        </w:tc>
        <w:tc>
          <w:tcPr>
            <w:tcW w:w="707" w:type="pct"/>
            <w:shd w:val="clear" w:color="auto" w:fill="C6D9F1" w:themeFill="text2" w:themeFillTint="33"/>
            <w:vAlign w:val="center"/>
          </w:tcPr>
          <w:p w14:paraId="7B27D3F9" w14:textId="77777777" w:rsidR="00C775AE" w:rsidRPr="002F733E" w:rsidRDefault="00C775AE" w:rsidP="00C775AE">
            <w:pPr>
              <w:pStyle w:val="TableText0"/>
              <w:jc w:val="center"/>
            </w:pPr>
            <w:r w:rsidRPr="002F733E">
              <w:t>300mg</w:t>
            </w:r>
          </w:p>
        </w:tc>
        <w:tc>
          <w:tcPr>
            <w:tcW w:w="681" w:type="pct"/>
            <w:vAlign w:val="center"/>
          </w:tcPr>
          <w:p w14:paraId="41FBE47A" w14:textId="77777777" w:rsidR="00C775AE" w:rsidRPr="002F733E" w:rsidRDefault="00C775AE" w:rsidP="00C775AE">
            <w:pPr>
              <w:pStyle w:val="TableText0"/>
              <w:jc w:val="center"/>
            </w:pPr>
            <w:r w:rsidRPr="002F733E">
              <w:t>300mg</w:t>
            </w:r>
          </w:p>
        </w:tc>
      </w:tr>
      <w:tr w:rsidR="00B4682C" w:rsidRPr="002F733E" w14:paraId="1CD05B93" w14:textId="77777777" w:rsidTr="00B4682C">
        <w:trPr>
          <w:cantSplit/>
          <w:jc w:val="center"/>
        </w:trPr>
        <w:tc>
          <w:tcPr>
            <w:tcW w:w="1569" w:type="pct"/>
            <w:shd w:val="clear" w:color="auto" w:fill="auto"/>
            <w:vAlign w:val="center"/>
          </w:tcPr>
          <w:p w14:paraId="7831C16C" w14:textId="5D94C8EA" w:rsidR="00C775AE" w:rsidRPr="002F733E" w:rsidRDefault="00C775AE" w:rsidP="00C775AE">
            <w:pPr>
              <w:pStyle w:val="TableText0"/>
            </w:pPr>
            <w:r w:rsidRPr="002F733E">
              <w:t>Mean number of administrations</w:t>
            </w:r>
            <w:r w:rsidR="00B4682C" w:rsidRPr="002F733E">
              <w:t>/</w:t>
            </w:r>
            <w:r w:rsidRPr="002F733E">
              <w:t>year</w:t>
            </w:r>
          </w:p>
        </w:tc>
        <w:tc>
          <w:tcPr>
            <w:tcW w:w="629" w:type="pct"/>
            <w:shd w:val="clear" w:color="auto" w:fill="auto"/>
            <w:vAlign w:val="center"/>
          </w:tcPr>
          <w:p w14:paraId="27D65009" w14:textId="77777777" w:rsidR="00C775AE" w:rsidRPr="002F733E" w:rsidRDefault="00C775AE" w:rsidP="00C775AE">
            <w:pPr>
              <w:pStyle w:val="TableText0"/>
              <w:jc w:val="center"/>
            </w:pPr>
            <w:r w:rsidRPr="002F733E">
              <w:t>13.04</w:t>
            </w:r>
          </w:p>
        </w:tc>
        <w:tc>
          <w:tcPr>
            <w:tcW w:w="707" w:type="pct"/>
            <w:shd w:val="clear" w:color="auto" w:fill="C6D9F1" w:themeFill="text2" w:themeFillTint="33"/>
            <w:vAlign w:val="center"/>
          </w:tcPr>
          <w:p w14:paraId="63C9303A" w14:textId="77777777" w:rsidR="00C775AE" w:rsidRPr="002F733E" w:rsidRDefault="00C775AE" w:rsidP="00C775AE">
            <w:pPr>
              <w:pStyle w:val="TableText0"/>
              <w:jc w:val="center"/>
            </w:pPr>
            <w:r w:rsidRPr="002F733E">
              <w:t>13.00</w:t>
            </w:r>
          </w:p>
        </w:tc>
        <w:tc>
          <w:tcPr>
            <w:tcW w:w="707" w:type="pct"/>
            <w:vAlign w:val="center"/>
          </w:tcPr>
          <w:p w14:paraId="384BFB6F" w14:textId="77777777" w:rsidR="00C775AE" w:rsidRPr="002F733E" w:rsidRDefault="00C775AE" w:rsidP="00C775AE">
            <w:pPr>
              <w:pStyle w:val="TableText0"/>
              <w:jc w:val="center"/>
            </w:pPr>
            <w:r w:rsidRPr="002F733E">
              <w:t>13.00</w:t>
            </w:r>
          </w:p>
        </w:tc>
        <w:tc>
          <w:tcPr>
            <w:tcW w:w="707" w:type="pct"/>
            <w:shd w:val="clear" w:color="auto" w:fill="C6D9F1" w:themeFill="text2" w:themeFillTint="33"/>
            <w:vAlign w:val="center"/>
          </w:tcPr>
          <w:p w14:paraId="55F9AD69" w14:textId="77777777" w:rsidR="00C775AE" w:rsidRPr="002F733E" w:rsidRDefault="00C775AE" w:rsidP="00C775AE">
            <w:pPr>
              <w:pStyle w:val="TableText0"/>
              <w:jc w:val="center"/>
            </w:pPr>
            <w:r w:rsidRPr="002F733E">
              <w:t>13.04</w:t>
            </w:r>
          </w:p>
        </w:tc>
        <w:tc>
          <w:tcPr>
            <w:tcW w:w="681" w:type="pct"/>
            <w:vAlign w:val="center"/>
          </w:tcPr>
          <w:p w14:paraId="667E780C" w14:textId="38438FE3" w:rsidR="00C775AE" w:rsidRPr="002F733E" w:rsidRDefault="00C775AE" w:rsidP="00C775AE">
            <w:pPr>
              <w:pStyle w:val="TableText0"/>
              <w:jc w:val="center"/>
            </w:pPr>
            <w:r w:rsidRPr="002F733E">
              <w:t>12.39</w:t>
            </w:r>
            <w:r w:rsidR="003E7884" w:rsidRPr="002F733E">
              <w:t>*</w:t>
            </w:r>
          </w:p>
        </w:tc>
      </w:tr>
      <w:tr w:rsidR="00B4682C" w:rsidRPr="002F733E" w14:paraId="128F9ED2" w14:textId="77777777" w:rsidTr="00EB6544">
        <w:trPr>
          <w:cantSplit/>
          <w:jc w:val="center"/>
        </w:trPr>
        <w:tc>
          <w:tcPr>
            <w:tcW w:w="1569" w:type="pct"/>
            <w:shd w:val="clear" w:color="auto" w:fill="auto"/>
            <w:vAlign w:val="center"/>
          </w:tcPr>
          <w:p w14:paraId="0055C982" w14:textId="77777777" w:rsidR="00C775AE" w:rsidRPr="002F733E" w:rsidRDefault="00C775AE" w:rsidP="00C775AE">
            <w:pPr>
              <w:pStyle w:val="TableText0"/>
            </w:pPr>
            <w:r w:rsidRPr="002F733E">
              <w:t>Mean duration anifrolumab</w:t>
            </w:r>
          </w:p>
        </w:tc>
        <w:tc>
          <w:tcPr>
            <w:tcW w:w="629" w:type="pct"/>
            <w:shd w:val="clear" w:color="auto" w:fill="auto"/>
            <w:vAlign w:val="center"/>
          </w:tcPr>
          <w:p w14:paraId="76202F0E" w14:textId="77777777" w:rsidR="00C775AE" w:rsidRPr="002F733E" w:rsidRDefault="00C775AE" w:rsidP="00C775AE">
            <w:pPr>
              <w:pStyle w:val="TableText0"/>
              <w:jc w:val="center"/>
            </w:pPr>
            <w:r w:rsidRPr="002F733E">
              <w:t>NR#</w:t>
            </w:r>
          </w:p>
        </w:tc>
        <w:tc>
          <w:tcPr>
            <w:tcW w:w="707" w:type="pct"/>
            <w:tcBorders>
              <w:bottom w:val="single" w:sz="4" w:space="0" w:color="auto"/>
            </w:tcBorders>
            <w:shd w:val="clear" w:color="auto" w:fill="C6D9F1" w:themeFill="text2" w:themeFillTint="33"/>
            <w:vAlign w:val="center"/>
          </w:tcPr>
          <w:p w14:paraId="4BBA1A15" w14:textId="77777777" w:rsidR="00C775AE" w:rsidRPr="002F733E" w:rsidRDefault="00C775AE" w:rsidP="00C775AE">
            <w:pPr>
              <w:pStyle w:val="TableText0"/>
              <w:jc w:val="center"/>
            </w:pPr>
            <w:r w:rsidRPr="002F733E">
              <w:t>4.21 years</w:t>
            </w:r>
          </w:p>
          <w:p w14:paraId="3D87725E" w14:textId="77777777" w:rsidR="00C775AE" w:rsidRPr="002F733E" w:rsidRDefault="00C775AE" w:rsidP="00C775AE">
            <w:pPr>
              <w:pStyle w:val="TableText0"/>
              <w:jc w:val="center"/>
            </w:pPr>
            <w:r w:rsidRPr="002F733E">
              <w:t>(30 year time horizon)</w:t>
            </w:r>
          </w:p>
        </w:tc>
        <w:tc>
          <w:tcPr>
            <w:tcW w:w="707" w:type="pct"/>
            <w:tcBorders>
              <w:bottom w:val="single" w:sz="4" w:space="0" w:color="auto"/>
            </w:tcBorders>
            <w:vAlign w:val="center"/>
          </w:tcPr>
          <w:p w14:paraId="103B58B8" w14:textId="77777777" w:rsidR="00C775AE" w:rsidRPr="002F733E" w:rsidRDefault="00C775AE" w:rsidP="00C775AE">
            <w:pPr>
              <w:pStyle w:val="TableText0"/>
              <w:jc w:val="center"/>
            </w:pPr>
            <w:r w:rsidRPr="002F733E">
              <w:t>4.88 years</w:t>
            </w:r>
          </w:p>
          <w:p w14:paraId="4FC732C8" w14:textId="77777777" w:rsidR="00C775AE" w:rsidRPr="002F733E" w:rsidRDefault="00C775AE" w:rsidP="00C775AE">
            <w:pPr>
              <w:pStyle w:val="TableText0"/>
              <w:jc w:val="center"/>
            </w:pPr>
            <w:r w:rsidRPr="002F733E">
              <w:t>(30 year time horizon)</w:t>
            </w:r>
          </w:p>
        </w:tc>
        <w:tc>
          <w:tcPr>
            <w:tcW w:w="707" w:type="pct"/>
            <w:tcBorders>
              <w:bottom w:val="single" w:sz="4" w:space="0" w:color="auto"/>
            </w:tcBorders>
            <w:shd w:val="clear" w:color="auto" w:fill="C6D9F1" w:themeFill="text2" w:themeFillTint="33"/>
            <w:vAlign w:val="center"/>
          </w:tcPr>
          <w:p w14:paraId="27F3F561" w14:textId="77777777" w:rsidR="00C775AE" w:rsidRPr="002F733E" w:rsidRDefault="00C775AE" w:rsidP="00C775AE">
            <w:pPr>
              <w:pStyle w:val="TableText0"/>
              <w:jc w:val="center"/>
            </w:pPr>
            <w:r w:rsidRPr="002F733E">
              <w:t>3.14 years</w:t>
            </w:r>
          </w:p>
          <w:p w14:paraId="55195218" w14:textId="77777777" w:rsidR="00C775AE" w:rsidRPr="002F733E" w:rsidRDefault="00C775AE" w:rsidP="00C775AE">
            <w:pPr>
              <w:pStyle w:val="TableText0"/>
              <w:jc w:val="center"/>
            </w:pPr>
            <w:r w:rsidRPr="002F733E">
              <w:t>(6 year time horizon)</w:t>
            </w:r>
          </w:p>
        </w:tc>
        <w:tc>
          <w:tcPr>
            <w:tcW w:w="681" w:type="pct"/>
            <w:tcBorders>
              <w:bottom w:val="single" w:sz="4" w:space="0" w:color="auto"/>
            </w:tcBorders>
            <w:vAlign w:val="center"/>
          </w:tcPr>
          <w:p w14:paraId="476F43FA" w14:textId="56E45F03" w:rsidR="00C775AE" w:rsidRPr="002F733E" w:rsidRDefault="00C775AE" w:rsidP="00C775AE">
            <w:pPr>
              <w:pStyle w:val="TableText0"/>
              <w:jc w:val="center"/>
            </w:pPr>
            <w:r w:rsidRPr="002F733E">
              <w:t xml:space="preserve">NE </w:t>
            </w:r>
          </w:p>
        </w:tc>
      </w:tr>
      <w:tr w:rsidR="00B4682C" w:rsidRPr="002F733E" w14:paraId="00BC6059" w14:textId="77777777" w:rsidTr="00EB6544">
        <w:trPr>
          <w:cantSplit/>
          <w:jc w:val="center"/>
        </w:trPr>
        <w:tc>
          <w:tcPr>
            <w:tcW w:w="1569" w:type="pct"/>
            <w:shd w:val="clear" w:color="auto" w:fill="auto"/>
            <w:vAlign w:val="center"/>
          </w:tcPr>
          <w:p w14:paraId="2ACC9F54" w14:textId="4BC58D8D" w:rsidR="00C775AE" w:rsidRPr="002F733E" w:rsidRDefault="00C775AE" w:rsidP="00C775AE">
            <w:pPr>
              <w:pStyle w:val="TableText0"/>
            </w:pPr>
            <w:r w:rsidRPr="002F733E">
              <w:t>Cost/patient/month</w:t>
            </w:r>
            <w:r w:rsidR="00396C58">
              <w:t xml:space="preserve"> ($)</w:t>
            </w:r>
          </w:p>
        </w:tc>
        <w:tc>
          <w:tcPr>
            <w:tcW w:w="629" w:type="pct"/>
            <w:shd w:val="clear" w:color="auto" w:fill="auto"/>
            <w:vAlign w:val="center"/>
          </w:tcPr>
          <w:p w14:paraId="07092679" w14:textId="77777777" w:rsidR="00C775AE" w:rsidRPr="002F733E" w:rsidRDefault="00C775AE" w:rsidP="00C775AE">
            <w:pPr>
              <w:pStyle w:val="TableText0"/>
              <w:jc w:val="center"/>
            </w:pPr>
            <w:r w:rsidRPr="002F733E">
              <w:t>NA</w:t>
            </w:r>
          </w:p>
        </w:tc>
        <w:tc>
          <w:tcPr>
            <w:tcW w:w="707" w:type="pct"/>
            <w:tcBorders>
              <w:bottom w:val="single" w:sz="4" w:space="0" w:color="auto"/>
            </w:tcBorders>
            <w:shd w:val="solid" w:color="000000" w:fill="000000"/>
            <w:vAlign w:val="center"/>
          </w:tcPr>
          <w:p w14:paraId="051591FA" w14:textId="4980ABE3" w:rsidR="00C775AE" w:rsidRPr="00EB6544" w:rsidRDefault="00EB6544" w:rsidP="00C775AE">
            <w:pPr>
              <w:pStyle w:val="TableText0"/>
              <w:jc w:val="center"/>
            </w:pPr>
            <w:r w:rsidRPr="00EB6544">
              <w:rPr>
                <w:color w:val="000000"/>
                <w:spacing w:val="180"/>
                <w:fitText w:val="266" w:id="-1236572667"/>
                <w14:textFill>
                  <w14:solidFill>
                    <w14:srgbClr w14:val="000000">
                      <w14:alpha w14:val="100000"/>
                    </w14:srgbClr>
                  </w14:solidFill>
                </w14:textFill>
              </w:rPr>
              <w:t>|</w:t>
            </w:r>
            <w:r w:rsidRPr="00EB6544">
              <w:rPr>
                <w:color w:val="000000"/>
                <w:fitText w:val="266" w:id="-1236572667"/>
                <w14:textFill>
                  <w14:solidFill>
                    <w14:srgbClr w14:val="000000">
                      <w14:alpha w14:val="100000"/>
                    </w14:srgbClr>
                  </w14:solidFill>
                </w14:textFill>
              </w:rPr>
              <w:t>|</w:t>
            </w:r>
          </w:p>
        </w:tc>
        <w:tc>
          <w:tcPr>
            <w:tcW w:w="707" w:type="pct"/>
            <w:tcBorders>
              <w:bottom w:val="single" w:sz="4" w:space="0" w:color="auto"/>
            </w:tcBorders>
            <w:shd w:val="solid" w:color="000000" w:fill="000000"/>
            <w:vAlign w:val="center"/>
          </w:tcPr>
          <w:p w14:paraId="278DE921" w14:textId="52C92A2A" w:rsidR="00C775AE" w:rsidRPr="00EB6544" w:rsidRDefault="00EB6544" w:rsidP="00C775AE">
            <w:pPr>
              <w:pStyle w:val="TableText0"/>
              <w:jc w:val="center"/>
            </w:pPr>
            <w:r w:rsidRPr="00EB6544">
              <w:rPr>
                <w:color w:val="000000"/>
                <w:spacing w:val="180"/>
                <w:fitText w:val="266" w:id="-1236572666"/>
                <w14:textFill>
                  <w14:solidFill>
                    <w14:srgbClr w14:val="000000">
                      <w14:alpha w14:val="100000"/>
                    </w14:srgbClr>
                  </w14:solidFill>
                </w14:textFill>
              </w:rPr>
              <w:t>|</w:t>
            </w:r>
            <w:r w:rsidRPr="00EB6544">
              <w:rPr>
                <w:color w:val="000000"/>
                <w:fitText w:val="266" w:id="-1236572666"/>
                <w14:textFill>
                  <w14:solidFill>
                    <w14:srgbClr w14:val="000000">
                      <w14:alpha w14:val="100000"/>
                    </w14:srgbClr>
                  </w14:solidFill>
                </w14:textFill>
              </w:rPr>
              <w:t>|</w:t>
            </w:r>
          </w:p>
        </w:tc>
        <w:tc>
          <w:tcPr>
            <w:tcW w:w="707" w:type="pct"/>
            <w:tcBorders>
              <w:bottom w:val="single" w:sz="4" w:space="0" w:color="auto"/>
            </w:tcBorders>
            <w:shd w:val="solid" w:color="000000" w:fill="000000"/>
            <w:vAlign w:val="center"/>
          </w:tcPr>
          <w:p w14:paraId="0A357181" w14:textId="15782BC9" w:rsidR="00C775AE" w:rsidRPr="00EB6544" w:rsidRDefault="00EB6544" w:rsidP="00C775AE">
            <w:pPr>
              <w:pStyle w:val="TableText0"/>
              <w:jc w:val="center"/>
            </w:pPr>
            <w:r w:rsidRPr="00EB6544">
              <w:rPr>
                <w:color w:val="000000"/>
                <w:spacing w:val="180"/>
                <w:fitText w:val="266" w:id="-1236572665"/>
                <w14:textFill>
                  <w14:solidFill>
                    <w14:srgbClr w14:val="000000">
                      <w14:alpha w14:val="100000"/>
                    </w14:srgbClr>
                  </w14:solidFill>
                </w14:textFill>
              </w:rPr>
              <w:t>|</w:t>
            </w:r>
            <w:r w:rsidRPr="00EB6544">
              <w:rPr>
                <w:color w:val="000000"/>
                <w:fitText w:val="266" w:id="-1236572665"/>
                <w14:textFill>
                  <w14:solidFill>
                    <w14:srgbClr w14:val="000000">
                      <w14:alpha w14:val="100000"/>
                    </w14:srgbClr>
                  </w14:solidFill>
                </w14:textFill>
              </w:rPr>
              <w:t>|</w:t>
            </w:r>
          </w:p>
        </w:tc>
        <w:tc>
          <w:tcPr>
            <w:tcW w:w="681" w:type="pct"/>
            <w:tcBorders>
              <w:bottom w:val="single" w:sz="4" w:space="0" w:color="auto"/>
            </w:tcBorders>
            <w:shd w:val="solid" w:color="000000" w:fill="000000"/>
            <w:vAlign w:val="center"/>
          </w:tcPr>
          <w:p w14:paraId="3F502586" w14:textId="4CDEDE47" w:rsidR="00C775AE" w:rsidRPr="00EB6544" w:rsidRDefault="00EB6544" w:rsidP="00C775AE">
            <w:pPr>
              <w:pStyle w:val="TableText0"/>
              <w:jc w:val="center"/>
            </w:pPr>
            <w:r w:rsidRPr="00EB6544">
              <w:rPr>
                <w:color w:val="000000"/>
                <w:spacing w:val="205"/>
                <w:fitText w:val="291" w:id="-1236572664"/>
                <w14:textFill>
                  <w14:solidFill>
                    <w14:srgbClr w14:val="000000">
                      <w14:alpha w14:val="100000"/>
                    </w14:srgbClr>
                  </w14:solidFill>
                </w14:textFill>
              </w:rPr>
              <w:t>|</w:t>
            </w:r>
            <w:r w:rsidRPr="00EB6544">
              <w:rPr>
                <w:color w:val="000000"/>
                <w:fitText w:val="291" w:id="-1236572664"/>
                <w14:textFill>
                  <w14:solidFill>
                    <w14:srgbClr w14:val="000000">
                      <w14:alpha w14:val="100000"/>
                    </w14:srgbClr>
                  </w14:solidFill>
                </w14:textFill>
              </w:rPr>
              <w:t>|</w:t>
            </w:r>
          </w:p>
        </w:tc>
      </w:tr>
      <w:tr w:rsidR="00B4682C" w:rsidRPr="002F733E" w14:paraId="4A30F3AB" w14:textId="77777777" w:rsidTr="00EB6544">
        <w:trPr>
          <w:cantSplit/>
          <w:trHeight w:val="70"/>
          <w:jc w:val="center"/>
        </w:trPr>
        <w:tc>
          <w:tcPr>
            <w:tcW w:w="1569" w:type="pct"/>
            <w:shd w:val="clear" w:color="auto" w:fill="auto"/>
            <w:vAlign w:val="center"/>
          </w:tcPr>
          <w:p w14:paraId="55C8E191" w14:textId="4D6FEB28" w:rsidR="00C775AE" w:rsidRPr="002F733E" w:rsidRDefault="00C775AE" w:rsidP="00C775AE">
            <w:pPr>
              <w:pStyle w:val="TableText0"/>
            </w:pPr>
            <w:r w:rsidRPr="002F733E">
              <w:t>Cost/patient/year</w:t>
            </w:r>
            <w:r w:rsidR="00396C58">
              <w:t xml:space="preserve"> ($)</w:t>
            </w:r>
          </w:p>
        </w:tc>
        <w:tc>
          <w:tcPr>
            <w:tcW w:w="629" w:type="pct"/>
            <w:shd w:val="clear" w:color="auto" w:fill="auto"/>
            <w:vAlign w:val="center"/>
          </w:tcPr>
          <w:p w14:paraId="16824A1A" w14:textId="77777777" w:rsidR="00C775AE" w:rsidRPr="002F733E" w:rsidRDefault="00C775AE" w:rsidP="00C775AE">
            <w:pPr>
              <w:pStyle w:val="TableText0"/>
              <w:jc w:val="center"/>
            </w:pPr>
            <w:r w:rsidRPr="002F733E">
              <w:t>NA</w:t>
            </w:r>
          </w:p>
        </w:tc>
        <w:tc>
          <w:tcPr>
            <w:tcW w:w="707" w:type="pct"/>
            <w:shd w:val="solid" w:color="000000" w:fill="000000"/>
            <w:vAlign w:val="center"/>
          </w:tcPr>
          <w:p w14:paraId="1F617EE5" w14:textId="31A469C5" w:rsidR="00C775AE" w:rsidRPr="00EB6544" w:rsidRDefault="00EB6544" w:rsidP="00C775AE">
            <w:pPr>
              <w:pStyle w:val="TableText0"/>
              <w:jc w:val="center"/>
            </w:pPr>
            <w:r w:rsidRPr="00EB6544">
              <w:rPr>
                <w:color w:val="000000"/>
                <w:spacing w:val="180"/>
                <w:fitText w:val="266" w:id="-1236572663"/>
                <w14:textFill>
                  <w14:solidFill>
                    <w14:srgbClr w14:val="000000">
                      <w14:alpha w14:val="100000"/>
                    </w14:srgbClr>
                  </w14:solidFill>
                </w14:textFill>
              </w:rPr>
              <w:t>|</w:t>
            </w:r>
            <w:r w:rsidRPr="00EB6544">
              <w:rPr>
                <w:color w:val="000000"/>
                <w:fitText w:val="266" w:id="-1236572663"/>
                <w14:textFill>
                  <w14:solidFill>
                    <w14:srgbClr w14:val="000000">
                      <w14:alpha w14:val="100000"/>
                    </w14:srgbClr>
                  </w14:solidFill>
                </w14:textFill>
              </w:rPr>
              <w:t>|</w:t>
            </w:r>
          </w:p>
        </w:tc>
        <w:tc>
          <w:tcPr>
            <w:tcW w:w="707" w:type="pct"/>
            <w:shd w:val="solid" w:color="000000" w:fill="000000"/>
            <w:vAlign w:val="center"/>
          </w:tcPr>
          <w:p w14:paraId="7A4DDA8C" w14:textId="2AD19831" w:rsidR="00C775AE" w:rsidRPr="00EB6544" w:rsidRDefault="00EB6544" w:rsidP="00C775AE">
            <w:pPr>
              <w:pStyle w:val="TableText0"/>
              <w:jc w:val="center"/>
            </w:pPr>
            <w:r w:rsidRPr="00EB6544">
              <w:rPr>
                <w:color w:val="000000"/>
                <w:spacing w:val="180"/>
                <w:fitText w:val="266" w:id="-1236572662"/>
                <w14:textFill>
                  <w14:solidFill>
                    <w14:srgbClr w14:val="000000">
                      <w14:alpha w14:val="100000"/>
                    </w14:srgbClr>
                  </w14:solidFill>
                </w14:textFill>
              </w:rPr>
              <w:t>|</w:t>
            </w:r>
            <w:r w:rsidRPr="00EB6544">
              <w:rPr>
                <w:color w:val="000000"/>
                <w:fitText w:val="266" w:id="-1236572662"/>
                <w14:textFill>
                  <w14:solidFill>
                    <w14:srgbClr w14:val="000000">
                      <w14:alpha w14:val="100000"/>
                    </w14:srgbClr>
                  </w14:solidFill>
                </w14:textFill>
              </w:rPr>
              <w:t>|</w:t>
            </w:r>
          </w:p>
        </w:tc>
        <w:tc>
          <w:tcPr>
            <w:tcW w:w="707" w:type="pct"/>
            <w:shd w:val="solid" w:color="000000" w:fill="000000"/>
            <w:vAlign w:val="center"/>
          </w:tcPr>
          <w:p w14:paraId="17C63861" w14:textId="4827C06C" w:rsidR="00C775AE" w:rsidRPr="00EB6544" w:rsidRDefault="00EB6544" w:rsidP="00C775AE">
            <w:pPr>
              <w:pStyle w:val="TableText0"/>
              <w:jc w:val="center"/>
            </w:pPr>
            <w:r w:rsidRPr="00EB6544">
              <w:rPr>
                <w:color w:val="000000"/>
                <w:spacing w:val="180"/>
                <w:fitText w:val="266" w:id="-1236572661"/>
                <w14:textFill>
                  <w14:solidFill>
                    <w14:srgbClr w14:val="000000">
                      <w14:alpha w14:val="100000"/>
                    </w14:srgbClr>
                  </w14:solidFill>
                </w14:textFill>
              </w:rPr>
              <w:t>|</w:t>
            </w:r>
            <w:r w:rsidRPr="00EB6544">
              <w:rPr>
                <w:color w:val="000000"/>
                <w:fitText w:val="266" w:id="-1236572661"/>
                <w14:textFill>
                  <w14:solidFill>
                    <w14:srgbClr w14:val="000000">
                      <w14:alpha w14:val="100000"/>
                    </w14:srgbClr>
                  </w14:solidFill>
                </w14:textFill>
              </w:rPr>
              <w:t>|</w:t>
            </w:r>
          </w:p>
        </w:tc>
        <w:tc>
          <w:tcPr>
            <w:tcW w:w="681" w:type="pct"/>
            <w:shd w:val="solid" w:color="000000" w:fill="000000"/>
            <w:vAlign w:val="center"/>
          </w:tcPr>
          <w:p w14:paraId="2A6D9D1C" w14:textId="10005DAA" w:rsidR="00C775AE" w:rsidRPr="00EB6544" w:rsidRDefault="00EB6544" w:rsidP="00C775AE">
            <w:pPr>
              <w:pStyle w:val="TableText0"/>
              <w:jc w:val="center"/>
            </w:pPr>
            <w:r w:rsidRPr="00EB6544">
              <w:rPr>
                <w:color w:val="000000"/>
                <w:spacing w:val="205"/>
                <w:fitText w:val="291" w:id="-1236572660"/>
                <w14:textFill>
                  <w14:solidFill>
                    <w14:srgbClr w14:val="000000">
                      <w14:alpha w14:val="100000"/>
                    </w14:srgbClr>
                  </w14:solidFill>
                </w14:textFill>
              </w:rPr>
              <w:t>|</w:t>
            </w:r>
            <w:r w:rsidRPr="00EB6544">
              <w:rPr>
                <w:color w:val="000000"/>
                <w:fitText w:val="291" w:id="-1236572660"/>
                <w14:textFill>
                  <w14:solidFill>
                    <w14:srgbClr w14:val="000000">
                      <w14:alpha w14:val="100000"/>
                    </w14:srgbClr>
                  </w14:solidFill>
                </w14:textFill>
              </w:rPr>
              <w:t>|</w:t>
            </w:r>
          </w:p>
        </w:tc>
      </w:tr>
    </w:tbl>
    <w:p w14:paraId="5300BF50" w14:textId="77777777" w:rsidR="00C775AE" w:rsidRPr="002F733E" w:rsidRDefault="00C775AE" w:rsidP="00C775AE">
      <w:pPr>
        <w:pStyle w:val="TableFigureFooter"/>
      </w:pPr>
      <w:r w:rsidRPr="002F733E">
        <w:t>Source: compiled during the evaluation</w:t>
      </w:r>
    </w:p>
    <w:p w14:paraId="5EB831E2" w14:textId="77777777" w:rsidR="00C775AE" w:rsidRPr="002F733E" w:rsidRDefault="00C775AE" w:rsidP="00C775AE">
      <w:pPr>
        <w:pStyle w:val="TableFigureFooter"/>
      </w:pPr>
      <w:r w:rsidRPr="002F733E">
        <w:t>NA=not applicable, NE=not estimable, NR=not reported</w:t>
      </w:r>
    </w:p>
    <w:p w14:paraId="5B5E926D" w14:textId="77777777" w:rsidR="00C775AE" w:rsidRPr="002F733E" w:rsidRDefault="00C775AE" w:rsidP="00C775AE">
      <w:pPr>
        <w:pStyle w:val="TableFigureFooter"/>
      </w:pPr>
      <w:r w:rsidRPr="002F733E">
        <w:t>SOC costs not included as anifrolumab used in addition to SOC. In the financial estimates no SOC costs were included. In the model OCS costs differed between the anifrolumab and SOC arms but was not vastly different</w:t>
      </w:r>
    </w:p>
    <w:p w14:paraId="56244BF1" w14:textId="77777777" w:rsidR="00C775AE" w:rsidRPr="002F733E" w:rsidRDefault="00C775AE" w:rsidP="00C775AE">
      <w:pPr>
        <w:pStyle w:val="TableFigureFooter"/>
      </w:pPr>
      <w:r w:rsidRPr="002F733E">
        <w:t xml:space="preserve">Financial estimates used weighted public/private cost. </w:t>
      </w:r>
    </w:p>
    <w:p w14:paraId="49824F6A" w14:textId="77777777" w:rsidR="00C775AE" w:rsidRPr="002F733E" w:rsidRDefault="00C775AE" w:rsidP="00C775AE">
      <w:pPr>
        <w:pStyle w:val="TableFigureFooter"/>
      </w:pPr>
      <w:r w:rsidRPr="002F733E">
        <w:t>Mean duration multiplied by per year cost does not give total cost reported in the model as model assumed half a cycle treatment costs for patients who discontinued treatment during that cycle.</w:t>
      </w:r>
    </w:p>
    <w:p w14:paraId="4DFB9F46" w14:textId="5C2897BD" w:rsidR="003C3FE4" w:rsidRPr="002F733E" w:rsidRDefault="00C775AE" w:rsidP="003C3FE4">
      <w:pPr>
        <w:pStyle w:val="TableFigureFooter"/>
      </w:pPr>
      <w:r w:rsidRPr="002F733E">
        <w:t>#</w:t>
      </w:r>
      <w:r w:rsidRPr="002F733E">
        <w:tab/>
        <w:t>The proportion of patients with at least 48 weeks of treatment was 81.1% in TULIP-1, 85.6% in TULIP-2 and 87.9% in MUSE.</w:t>
      </w:r>
      <w:bookmarkEnd w:id="39"/>
    </w:p>
    <w:p w14:paraId="3345AB18" w14:textId="613F3A62" w:rsidR="003E7884" w:rsidRPr="002F733E" w:rsidRDefault="003E7884" w:rsidP="003E7884">
      <w:pPr>
        <w:pStyle w:val="TableFigureFooter"/>
      </w:pPr>
      <w:r w:rsidRPr="002F733E">
        <w:t>*</w:t>
      </w:r>
      <w:r w:rsidRPr="002F733E">
        <w:tab/>
      </w:r>
      <w:r w:rsidR="00FD673E" w:rsidRPr="002F733E">
        <w:t>A</w:t>
      </w:r>
      <w:r w:rsidRPr="002F733E">
        <w:t>ssuming 95% compliance (13.04</w:t>
      </w:r>
      <w:r w:rsidR="00FD673E" w:rsidRPr="002F733E">
        <w:t xml:space="preserve"> </w:t>
      </w:r>
      <w:r w:rsidRPr="002F733E">
        <w:t>x</w:t>
      </w:r>
      <w:r w:rsidR="00FD673E" w:rsidRPr="002F733E">
        <w:t xml:space="preserve"> </w:t>
      </w:r>
      <w:r w:rsidRPr="002F733E">
        <w:t>0.95).</w:t>
      </w:r>
    </w:p>
    <w:p w14:paraId="268768EF" w14:textId="147715DB" w:rsidR="00B60939" w:rsidRPr="002F733E" w:rsidRDefault="00B60939" w:rsidP="002B05A1">
      <w:pPr>
        <w:pStyle w:val="4-SubsectionHeading"/>
      </w:pPr>
      <w:bookmarkStart w:id="61" w:name="_Toc22897647"/>
      <w:bookmarkStart w:id="62" w:name="_Toc124521454"/>
      <w:r w:rsidRPr="002F733E">
        <w:t>Estimated PBS usage &amp; financial implications</w:t>
      </w:r>
      <w:bookmarkEnd w:id="61"/>
      <w:bookmarkEnd w:id="62"/>
    </w:p>
    <w:p w14:paraId="54657E22" w14:textId="5E74B42E" w:rsidR="00BE3361" w:rsidRPr="002F733E" w:rsidRDefault="00C25D9C" w:rsidP="00BE3361">
      <w:pPr>
        <w:pStyle w:val="3-BodyText"/>
      </w:pPr>
      <w:r w:rsidRPr="002F733E">
        <w:t xml:space="preserve">This </w:t>
      </w:r>
      <w:r w:rsidR="00151C80" w:rsidRPr="002F733E">
        <w:t>re</w:t>
      </w:r>
      <w:r w:rsidRPr="002F733E">
        <w:t xml:space="preserve">submission </w:t>
      </w:r>
      <w:r w:rsidR="00196A1A" w:rsidRPr="002F733E">
        <w:t>was not</w:t>
      </w:r>
      <w:r w:rsidR="00D23D11" w:rsidRPr="002F733E">
        <w:t xml:space="preserve"> </w:t>
      </w:r>
      <w:r w:rsidRPr="002F733E">
        <w:t>considered by DUSC.</w:t>
      </w:r>
      <w:r w:rsidR="00BC591F" w:rsidRPr="002F733E">
        <w:t xml:space="preserve"> </w:t>
      </w:r>
      <w:bookmarkStart w:id="63" w:name="_Ref104805262"/>
      <w:r w:rsidR="00BE3361" w:rsidRPr="002F733E">
        <w:t xml:space="preserve">As for the July 2022 submission, the resubmission used an epidemiological approach to estimate the financial impact of listing anifrolumab on the PBS. DUSC had considered the July 2022 estimates to be significantly overestimated due to overestimations </w:t>
      </w:r>
      <w:r w:rsidR="00B4682C" w:rsidRPr="002F733E">
        <w:t xml:space="preserve">in </w:t>
      </w:r>
      <w:r w:rsidR="00BE3361" w:rsidRPr="002F733E">
        <w:t>the proportion of eligible patients (32.12% was nominated</w:t>
      </w:r>
      <w:r w:rsidR="00B4682C" w:rsidRPr="002F733E">
        <w:t>;</w:t>
      </w:r>
      <w:r w:rsidR="00BE3361" w:rsidRPr="002F733E">
        <w:t xml:space="preserve"> however</w:t>
      </w:r>
      <w:r w:rsidR="00B4682C" w:rsidRPr="002F733E">
        <w:t>,</w:t>
      </w:r>
      <w:r w:rsidR="00BE3361" w:rsidRPr="002F733E">
        <w:t xml:space="preserve"> DUSC consider</w:t>
      </w:r>
      <w:r w:rsidR="00C231F8" w:rsidRPr="002F733E">
        <w:t>ed</w:t>
      </w:r>
      <w:r w:rsidR="00BE3361" w:rsidRPr="002F733E">
        <w:t xml:space="preserve"> a value of &lt;16% to be more appropriate), and significant double counting in the prevalent population due to inclusion of those treated in previous years. DUSC also considered a static uptake of 50% beyond Year 3 to be unlikely. The resubmission made </w:t>
      </w:r>
      <w:r w:rsidR="00894ACF" w:rsidRPr="002F733E">
        <w:t>r</w:t>
      </w:r>
      <w:r w:rsidR="00BE3361" w:rsidRPr="002F733E">
        <w:t xml:space="preserve">evisions </w:t>
      </w:r>
      <w:r w:rsidR="00894ACF" w:rsidRPr="002F733E">
        <w:t xml:space="preserve">to the estimates </w:t>
      </w:r>
      <w:r w:rsidR="00BE3361" w:rsidRPr="002F733E">
        <w:t xml:space="preserve">based on </w:t>
      </w:r>
      <w:r w:rsidR="00894ACF" w:rsidRPr="002F733E">
        <w:t xml:space="preserve">the </w:t>
      </w:r>
      <w:r w:rsidR="00BE3361" w:rsidRPr="002F733E">
        <w:t>PBAC and DUSC</w:t>
      </w:r>
      <w:r w:rsidR="00894ACF" w:rsidRPr="002F733E">
        <w:t>’s</w:t>
      </w:r>
      <w:r w:rsidR="00BE3361" w:rsidRPr="002F733E">
        <w:t xml:space="preserve"> </w:t>
      </w:r>
      <w:r w:rsidR="00894ACF" w:rsidRPr="002F733E">
        <w:t xml:space="preserve">feedback. </w:t>
      </w:r>
      <w:r w:rsidR="00894ACF" w:rsidRPr="002F733E">
        <w:fldChar w:fldCharType="begin" w:fldLock="1"/>
      </w:r>
      <w:r w:rsidR="00894ACF" w:rsidRPr="002F733E">
        <w:instrText xml:space="preserve"> REF _Ref121661035 \h  \* MERGEFORMAT </w:instrText>
      </w:r>
      <w:r w:rsidR="00894ACF" w:rsidRPr="002F733E">
        <w:fldChar w:fldCharType="separate"/>
      </w:r>
      <w:r w:rsidR="001316D2" w:rsidRPr="002F733E">
        <w:t>Table 14</w:t>
      </w:r>
      <w:r w:rsidR="00894ACF" w:rsidRPr="002F733E">
        <w:fldChar w:fldCharType="end"/>
      </w:r>
      <w:r w:rsidR="00894ACF" w:rsidRPr="002F733E">
        <w:t xml:space="preserve"> summarises the sources of data and assumptions used in the financial estimates including changes versus the July 2022 submission.</w:t>
      </w:r>
    </w:p>
    <w:p w14:paraId="3393BCE7" w14:textId="160410E1" w:rsidR="00E42F73" w:rsidRPr="002F733E" w:rsidRDefault="00E16AD8" w:rsidP="00E04E96">
      <w:pPr>
        <w:pStyle w:val="3-BodyText"/>
        <w:keepNext/>
        <w:numPr>
          <w:ilvl w:val="0"/>
          <w:numId w:val="0"/>
        </w:numPr>
        <w:spacing w:after="0"/>
        <w:rPr>
          <w:rStyle w:val="CommentReference"/>
          <w:szCs w:val="20"/>
        </w:rPr>
      </w:pPr>
      <w:bookmarkStart w:id="64" w:name="_Ref121661035"/>
      <w:r w:rsidRPr="002F733E">
        <w:rPr>
          <w:rFonts w:ascii="Arial Narrow" w:hAnsi="Arial Narrow"/>
          <w:b/>
          <w:bCs/>
          <w:sz w:val="20"/>
          <w:szCs w:val="20"/>
        </w:rPr>
        <w:t xml:space="preserve">Table </w:t>
      </w:r>
      <w:r w:rsidR="00CE2328" w:rsidRPr="002F733E">
        <w:rPr>
          <w:rFonts w:ascii="Arial Narrow" w:hAnsi="Arial Narrow"/>
          <w:b/>
          <w:bCs/>
          <w:sz w:val="20"/>
          <w:szCs w:val="20"/>
        </w:rPr>
        <w:fldChar w:fldCharType="begin" w:fldLock="1"/>
      </w:r>
      <w:r w:rsidR="00CE2328" w:rsidRPr="002F733E">
        <w:rPr>
          <w:rFonts w:ascii="Arial Narrow" w:hAnsi="Arial Narrow"/>
          <w:b/>
          <w:bCs/>
          <w:sz w:val="20"/>
          <w:szCs w:val="20"/>
        </w:rPr>
        <w:instrText xml:space="preserve"> SEQ Table \* ARABIC </w:instrText>
      </w:r>
      <w:r w:rsidR="00CE2328" w:rsidRPr="002F733E">
        <w:rPr>
          <w:rFonts w:ascii="Arial Narrow" w:hAnsi="Arial Narrow"/>
          <w:b/>
          <w:bCs/>
          <w:sz w:val="20"/>
          <w:szCs w:val="20"/>
        </w:rPr>
        <w:fldChar w:fldCharType="separate"/>
      </w:r>
      <w:r w:rsidR="00781A0F" w:rsidRPr="002F733E">
        <w:rPr>
          <w:rFonts w:ascii="Arial Narrow" w:hAnsi="Arial Narrow"/>
          <w:b/>
          <w:bCs/>
          <w:sz w:val="20"/>
          <w:szCs w:val="20"/>
        </w:rPr>
        <w:t>14</w:t>
      </w:r>
      <w:r w:rsidR="00CE2328" w:rsidRPr="002F733E">
        <w:rPr>
          <w:rFonts w:ascii="Arial Narrow" w:hAnsi="Arial Narrow"/>
          <w:b/>
          <w:bCs/>
          <w:sz w:val="20"/>
          <w:szCs w:val="20"/>
        </w:rPr>
        <w:fldChar w:fldCharType="end"/>
      </w:r>
      <w:bookmarkEnd w:id="63"/>
      <w:bookmarkEnd w:id="64"/>
      <w:r w:rsidRPr="002F733E">
        <w:rPr>
          <w:rFonts w:ascii="Arial Narrow" w:hAnsi="Arial Narrow"/>
          <w:b/>
          <w:bCs/>
          <w:sz w:val="20"/>
          <w:szCs w:val="20"/>
        </w:rPr>
        <w:t>:</w:t>
      </w:r>
      <w:r w:rsidR="00E42F73" w:rsidRPr="002F733E">
        <w:rPr>
          <w:rStyle w:val="CommentReference"/>
          <w:b w:val="0"/>
          <w:bCs/>
          <w:szCs w:val="20"/>
        </w:rPr>
        <w:t xml:space="preserve"> </w:t>
      </w:r>
      <w:r w:rsidR="00E42F73" w:rsidRPr="002F733E">
        <w:rPr>
          <w:rStyle w:val="CommentReference"/>
          <w:szCs w:val="20"/>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14"/>
        <w:gridCol w:w="3701"/>
        <w:gridCol w:w="4202"/>
      </w:tblGrid>
      <w:tr w:rsidR="002F3E80" w:rsidRPr="002F733E" w14:paraId="399AE1FE" w14:textId="77777777" w:rsidTr="00E04E96">
        <w:trPr>
          <w:cantSplit/>
          <w:tblHeader/>
        </w:trPr>
        <w:tc>
          <w:tcPr>
            <w:tcW w:w="618" w:type="pct"/>
            <w:vAlign w:val="center"/>
          </w:tcPr>
          <w:p w14:paraId="5F96C8FA" w14:textId="77777777" w:rsidR="002F3E80" w:rsidRPr="002F733E" w:rsidRDefault="002F3E80" w:rsidP="00E04E96">
            <w:pPr>
              <w:pStyle w:val="In-tableHeading"/>
              <w:jc w:val="center"/>
              <w:rPr>
                <w:lang w:val="en-AU"/>
              </w:rPr>
            </w:pPr>
            <w:r w:rsidRPr="002F733E">
              <w:rPr>
                <w:lang w:val="en-AU"/>
              </w:rPr>
              <w:t>Data</w:t>
            </w:r>
          </w:p>
        </w:tc>
        <w:tc>
          <w:tcPr>
            <w:tcW w:w="2052" w:type="pct"/>
            <w:vAlign w:val="center"/>
          </w:tcPr>
          <w:p w14:paraId="33A54795" w14:textId="77777777" w:rsidR="002F3E80" w:rsidRPr="002F733E" w:rsidRDefault="002F3E80" w:rsidP="00E04E96">
            <w:pPr>
              <w:pStyle w:val="In-tableHeading"/>
              <w:jc w:val="center"/>
              <w:rPr>
                <w:lang w:val="en-AU"/>
              </w:rPr>
            </w:pPr>
            <w:r w:rsidRPr="002F733E">
              <w:rPr>
                <w:lang w:val="en-AU"/>
              </w:rPr>
              <w:t>Source</w:t>
            </w:r>
          </w:p>
        </w:tc>
        <w:tc>
          <w:tcPr>
            <w:tcW w:w="2330" w:type="pct"/>
            <w:vAlign w:val="center"/>
          </w:tcPr>
          <w:p w14:paraId="66B7F0B9" w14:textId="77777777" w:rsidR="002F3E80" w:rsidRPr="002F733E" w:rsidRDefault="002F3E80" w:rsidP="00E04E96">
            <w:pPr>
              <w:pStyle w:val="In-tableHeading"/>
              <w:jc w:val="center"/>
              <w:rPr>
                <w:lang w:val="en-AU"/>
              </w:rPr>
            </w:pPr>
            <w:r w:rsidRPr="002F733E">
              <w:rPr>
                <w:lang w:val="en-AU"/>
              </w:rPr>
              <w:t>Comment</w:t>
            </w:r>
          </w:p>
        </w:tc>
      </w:tr>
      <w:tr w:rsidR="002F3E80" w:rsidRPr="002F733E" w14:paraId="58F168DC" w14:textId="77777777" w:rsidTr="00E04E96">
        <w:trPr>
          <w:cantSplit/>
        </w:trPr>
        <w:tc>
          <w:tcPr>
            <w:tcW w:w="5000" w:type="pct"/>
            <w:gridSpan w:val="3"/>
            <w:shd w:val="clear" w:color="auto" w:fill="auto"/>
            <w:vAlign w:val="center"/>
          </w:tcPr>
          <w:p w14:paraId="06006A0F" w14:textId="48043CA1" w:rsidR="002F3E80" w:rsidRPr="002F733E" w:rsidRDefault="002F3E80" w:rsidP="00E04E96">
            <w:pPr>
              <w:pStyle w:val="TableText0"/>
              <w:rPr>
                <w:b/>
                <w:bCs w:val="0"/>
              </w:rPr>
            </w:pPr>
            <w:r w:rsidRPr="002F733E">
              <w:rPr>
                <w:b/>
                <w:bCs w:val="0"/>
              </w:rPr>
              <w:t>Eligible population</w:t>
            </w:r>
          </w:p>
        </w:tc>
      </w:tr>
      <w:tr w:rsidR="002F3E80" w:rsidRPr="002F733E" w14:paraId="490071D9" w14:textId="77777777" w:rsidTr="00E04E96">
        <w:trPr>
          <w:cantSplit/>
        </w:trPr>
        <w:tc>
          <w:tcPr>
            <w:tcW w:w="618" w:type="pct"/>
            <w:shd w:val="clear" w:color="auto" w:fill="C6D9F1" w:themeFill="text2" w:themeFillTint="33"/>
            <w:vAlign w:val="center"/>
          </w:tcPr>
          <w:p w14:paraId="0395CE95" w14:textId="77777777" w:rsidR="002F3E80" w:rsidRPr="002F733E" w:rsidRDefault="002F3E80" w:rsidP="00E04E96">
            <w:pPr>
              <w:pStyle w:val="TableText0"/>
            </w:pPr>
            <w:r w:rsidRPr="002F733E">
              <w:t>Prevalent patients with SLE</w:t>
            </w:r>
          </w:p>
        </w:tc>
        <w:tc>
          <w:tcPr>
            <w:tcW w:w="2052" w:type="pct"/>
            <w:shd w:val="clear" w:color="auto" w:fill="C6D9F1" w:themeFill="text2" w:themeFillTint="33"/>
            <w:vAlign w:val="center"/>
          </w:tcPr>
          <w:p w14:paraId="2C95E572" w14:textId="77777777" w:rsidR="002F3E80" w:rsidRPr="002F733E" w:rsidRDefault="002F3E80" w:rsidP="00E04E96">
            <w:pPr>
              <w:pStyle w:val="TableText0"/>
            </w:pPr>
            <w:r w:rsidRPr="002F733E">
              <w:t xml:space="preserve">Australian adult population estimates (2023-2028) multiplied by prevalence of 94.33 in 100,000 based on Australian estimates. </w:t>
            </w:r>
          </w:p>
        </w:tc>
        <w:tc>
          <w:tcPr>
            <w:tcW w:w="2330" w:type="pct"/>
            <w:shd w:val="clear" w:color="auto" w:fill="C6D9F1" w:themeFill="text2" w:themeFillTint="33"/>
            <w:vAlign w:val="center"/>
          </w:tcPr>
          <w:p w14:paraId="0D90225B" w14:textId="77777777" w:rsidR="002F3E80" w:rsidRPr="002F733E" w:rsidRDefault="002F3E80" w:rsidP="00E04E96">
            <w:pPr>
              <w:pStyle w:val="TableText0"/>
            </w:pPr>
            <w:r w:rsidRPr="002F733E">
              <w:t>Unchanged from previous submission.</w:t>
            </w:r>
          </w:p>
          <w:p w14:paraId="6D82ABA9" w14:textId="77777777" w:rsidR="002F3E80" w:rsidRPr="002F733E" w:rsidRDefault="002F3E80" w:rsidP="00E04E96">
            <w:pPr>
              <w:pStyle w:val="TableText0"/>
            </w:pPr>
            <w:r w:rsidRPr="002F733E">
              <w:t>DUSC considered this estimate to be appropriate.</w:t>
            </w:r>
          </w:p>
        </w:tc>
      </w:tr>
      <w:tr w:rsidR="002F3E80" w:rsidRPr="002F733E" w14:paraId="26DA22F1" w14:textId="77777777" w:rsidTr="00E04E96">
        <w:trPr>
          <w:cantSplit/>
        </w:trPr>
        <w:tc>
          <w:tcPr>
            <w:tcW w:w="618" w:type="pct"/>
            <w:vAlign w:val="center"/>
          </w:tcPr>
          <w:p w14:paraId="311C6AA0" w14:textId="77777777" w:rsidR="002F3E80" w:rsidRPr="002F733E" w:rsidRDefault="002F3E80" w:rsidP="00E04E96">
            <w:pPr>
              <w:pStyle w:val="TableText0"/>
            </w:pPr>
            <w:r w:rsidRPr="002F733E">
              <w:t>Eligible population: patients with SLEDAI-2K≥10</w:t>
            </w:r>
          </w:p>
        </w:tc>
        <w:tc>
          <w:tcPr>
            <w:tcW w:w="2052" w:type="pct"/>
            <w:vAlign w:val="center"/>
          </w:tcPr>
          <w:p w14:paraId="29942AC6" w14:textId="53FEBFAA" w:rsidR="002F3E80" w:rsidRPr="002F733E" w:rsidRDefault="002F3E80" w:rsidP="00E04E96">
            <w:pPr>
              <w:pStyle w:val="TableText0"/>
            </w:pPr>
            <w:r w:rsidRPr="002F733E">
              <w:t>Prevalent patients multiplied by 15.83% to represent patients with SLEDAI-2K</w:t>
            </w:r>
            <w:r w:rsidRPr="002F733E">
              <w:rPr>
                <w:rFonts w:ascii="Symbol" w:eastAsia="Symbol" w:hAnsi="Symbol" w:cs="Symbol"/>
              </w:rPr>
              <w:sym w:font="Symbol" w:char="F0B3"/>
            </w:r>
            <w:r w:rsidRPr="002F733E">
              <w:t xml:space="preserve"> 10 whilst on triple therapy. Adapted from the 2022 IQVIA report commissioned by the sponsor</w:t>
            </w:r>
            <w:r w:rsidR="00333B9E" w:rsidRPr="002F733E">
              <w:t>.</w:t>
            </w:r>
          </w:p>
        </w:tc>
        <w:tc>
          <w:tcPr>
            <w:tcW w:w="2330" w:type="pct"/>
            <w:vAlign w:val="center"/>
          </w:tcPr>
          <w:p w14:paraId="3439C227" w14:textId="16D30261" w:rsidR="002F3E80" w:rsidRPr="002F733E" w:rsidRDefault="002F3E80" w:rsidP="00E04E96">
            <w:pPr>
              <w:pStyle w:val="TableText0"/>
            </w:pPr>
            <w:r w:rsidRPr="002F733E">
              <w:t xml:space="preserve">DUSC had considered </w:t>
            </w:r>
            <w:r w:rsidR="00B4682C" w:rsidRPr="002F733E">
              <w:t xml:space="preserve">a </w:t>
            </w:r>
            <w:r w:rsidRPr="002F733E">
              <w:t>value of &lt;16% to be more appropriate (Anifrolumab July 2022, DUSC advice).</w:t>
            </w:r>
          </w:p>
        </w:tc>
      </w:tr>
      <w:tr w:rsidR="002F3E80" w:rsidRPr="002F733E" w14:paraId="031E21C1" w14:textId="77777777" w:rsidTr="00E04E96">
        <w:trPr>
          <w:cantSplit/>
        </w:trPr>
        <w:tc>
          <w:tcPr>
            <w:tcW w:w="618" w:type="pct"/>
            <w:vAlign w:val="center"/>
          </w:tcPr>
          <w:p w14:paraId="197B4A0D" w14:textId="77777777" w:rsidR="002F3E80" w:rsidRPr="002F733E" w:rsidRDefault="002F3E80" w:rsidP="006A7AE4">
            <w:pPr>
              <w:pStyle w:val="TableText0"/>
              <w:keepNext w:val="0"/>
            </w:pPr>
            <w:r w:rsidRPr="002F733E">
              <w:t>Grandfathered patients</w:t>
            </w:r>
          </w:p>
        </w:tc>
        <w:tc>
          <w:tcPr>
            <w:tcW w:w="2052" w:type="pct"/>
            <w:vAlign w:val="center"/>
          </w:tcPr>
          <w:p w14:paraId="2F613EAF" w14:textId="77777777" w:rsidR="002F3E80" w:rsidRPr="002F733E" w:rsidRDefault="002F3E80" w:rsidP="006A7AE4">
            <w:pPr>
              <w:pStyle w:val="TableText0"/>
              <w:keepNext w:val="0"/>
            </w:pPr>
            <w:r w:rsidRPr="002F733E">
              <w:t>Estimated number of patients to be enrolled into a patient access program prior to PBS listing.</w:t>
            </w:r>
          </w:p>
        </w:tc>
        <w:tc>
          <w:tcPr>
            <w:tcW w:w="2330" w:type="pct"/>
            <w:vAlign w:val="center"/>
          </w:tcPr>
          <w:p w14:paraId="40AE8B2D" w14:textId="021AE9DF" w:rsidR="002F3E80" w:rsidRPr="002F733E" w:rsidRDefault="002F3E80" w:rsidP="006A7AE4">
            <w:pPr>
              <w:pStyle w:val="TableText0"/>
              <w:keepNext w:val="0"/>
            </w:pPr>
            <w:r w:rsidRPr="002F733E">
              <w:t xml:space="preserve">This was increased from 0 in the previous submission and </w:t>
            </w:r>
            <w:r w:rsidR="00EB6544" w:rsidRPr="00EB6544">
              <w:rPr>
                <w:color w:val="000000"/>
                <w:spacing w:val="29"/>
                <w:shd w:val="solid" w:color="000000" w:fill="000000"/>
                <w:fitText w:val="549" w:id="-1236572659"/>
                <w14:textFill>
                  <w14:solidFill>
                    <w14:srgbClr w14:val="000000">
                      <w14:alpha w14:val="100000"/>
                    </w14:srgbClr>
                  </w14:solidFill>
                </w14:textFill>
              </w:rPr>
              <w:t>|||||||</w:t>
            </w:r>
            <w:r w:rsidR="00EB6544" w:rsidRPr="00EB6544">
              <w:rPr>
                <w:color w:val="000000"/>
                <w:spacing w:val="6"/>
                <w:shd w:val="solid" w:color="000000" w:fill="000000"/>
                <w:fitText w:val="549" w:id="-1236572659"/>
                <w14:textFill>
                  <w14:solidFill>
                    <w14:srgbClr w14:val="000000">
                      <w14:alpha w14:val="100000"/>
                    </w14:srgbClr>
                  </w14:solidFill>
                </w14:textFill>
              </w:rPr>
              <w:t>|</w:t>
            </w:r>
            <w:r w:rsidR="00396C58">
              <w:rPr>
                <w:vertAlign w:val="superscript"/>
              </w:rPr>
              <w:t>1</w:t>
            </w:r>
            <w:r w:rsidRPr="002F733E">
              <w:t xml:space="preserve"> in the pre-PBAC response to the July 2022 submission to </w:t>
            </w:r>
            <w:r w:rsidR="00EB6544" w:rsidRPr="00EB6544">
              <w:rPr>
                <w:color w:val="000000"/>
                <w:spacing w:val="29"/>
                <w:shd w:val="solid" w:color="000000" w:fill="000000"/>
                <w:fitText w:val="550" w:id="-1236572658"/>
                <w14:textFill>
                  <w14:solidFill>
                    <w14:srgbClr w14:val="000000">
                      <w14:alpha w14:val="100000"/>
                    </w14:srgbClr>
                  </w14:solidFill>
                </w14:textFill>
              </w:rPr>
              <w:t>|||||||</w:t>
            </w:r>
            <w:r w:rsidR="00EB6544" w:rsidRPr="00EB6544">
              <w:rPr>
                <w:color w:val="000000"/>
                <w:spacing w:val="7"/>
                <w:shd w:val="solid" w:color="000000" w:fill="000000"/>
                <w:fitText w:val="550" w:id="-1236572658"/>
                <w14:textFill>
                  <w14:solidFill>
                    <w14:srgbClr w14:val="000000">
                      <w14:alpha w14:val="100000"/>
                    </w14:srgbClr>
                  </w14:solidFill>
                </w14:textFill>
              </w:rPr>
              <w:t>|</w:t>
            </w:r>
            <w:r w:rsidR="00396C58">
              <w:rPr>
                <w:vertAlign w:val="superscript"/>
              </w:rPr>
              <w:t>1</w:t>
            </w:r>
            <w:r w:rsidRPr="002F733E">
              <w:t>. The PAP was yet to enrol any patients at time of the resubmission.</w:t>
            </w:r>
            <w:r w:rsidR="0022383E" w:rsidRPr="002F733E">
              <w:t xml:space="preserve"> As grandfathered patients were not deducted from the prevalent pool of eligible patients, there may be double counting in Year 1.</w:t>
            </w:r>
            <w:r w:rsidR="00F17591" w:rsidRPr="002F733E">
              <w:t xml:space="preserve"> The number of grandfather patients was reduced to </w:t>
            </w:r>
            <w:r w:rsidR="00EB6544" w:rsidRPr="00EB6544">
              <w:rPr>
                <w:color w:val="000000"/>
                <w:spacing w:val="29"/>
                <w:shd w:val="solid" w:color="000000" w:fill="000000"/>
                <w:fitText w:val="549" w:id="-1236572657"/>
                <w14:textFill>
                  <w14:solidFill>
                    <w14:srgbClr w14:val="000000">
                      <w14:alpha w14:val="100000"/>
                    </w14:srgbClr>
                  </w14:solidFill>
                </w14:textFill>
              </w:rPr>
              <w:t>|||||||</w:t>
            </w:r>
            <w:r w:rsidR="00EB6544" w:rsidRPr="00EB6544">
              <w:rPr>
                <w:color w:val="000000"/>
                <w:spacing w:val="6"/>
                <w:shd w:val="solid" w:color="000000" w:fill="000000"/>
                <w:fitText w:val="549" w:id="-1236572657"/>
                <w14:textFill>
                  <w14:solidFill>
                    <w14:srgbClr w14:val="000000">
                      <w14:alpha w14:val="100000"/>
                    </w14:srgbClr>
                  </w14:solidFill>
                </w14:textFill>
              </w:rPr>
              <w:t>|</w:t>
            </w:r>
            <w:r w:rsidR="00965F66">
              <w:rPr>
                <w:vertAlign w:val="superscript"/>
              </w:rPr>
              <w:t>1</w:t>
            </w:r>
            <w:r w:rsidR="00F17591" w:rsidRPr="002F733E">
              <w:t xml:space="preserve"> in revised estimates presented in the PSCR.</w:t>
            </w:r>
          </w:p>
        </w:tc>
      </w:tr>
      <w:tr w:rsidR="002F3E80" w:rsidRPr="002F733E" w14:paraId="6EADBC4A" w14:textId="77777777" w:rsidTr="00E04E96">
        <w:trPr>
          <w:cantSplit/>
        </w:trPr>
        <w:tc>
          <w:tcPr>
            <w:tcW w:w="5000" w:type="pct"/>
            <w:gridSpan w:val="3"/>
            <w:vAlign w:val="center"/>
          </w:tcPr>
          <w:p w14:paraId="3946DD8A" w14:textId="337FCBFC" w:rsidR="002F3E80" w:rsidRPr="002F733E" w:rsidRDefault="002F3E80" w:rsidP="006A7AE4">
            <w:pPr>
              <w:pStyle w:val="TableText0"/>
              <w:keepNext w:val="0"/>
            </w:pPr>
            <w:r w:rsidRPr="002F733E">
              <w:rPr>
                <w:b/>
                <w:bCs w:val="0"/>
              </w:rPr>
              <w:t>Treatment utilisation</w:t>
            </w:r>
          </w:p>
        </w:tc>
      </w:tr>
      <w:tr w:rsidR="002F3E80" w:rsidRPr="002F733E" w14:paraId="180CA60E" w14:textId="77777777" w:rsidTr="00E04E96">
        <w:trPr>
          <w:cantSplit/>
        </w:trPr>
        <w:tc>
          <w:tcPr>
            <w:tcW w:w="618" w:type="pct"/>
            <w:vAlign w:val="center"/>
          </w:tcPr>
          <w:p w14:paraId="15797322" w14:textId="77777777" w:rsidR="002F3E80" w:rsidRPr="002F733E" w:rsidRDefault="002F3E80" w:rsidP="006A7AE4">
            <w:pPr>
              <w:pStyle w:val="TableText0"/>
              <w:keepNext w:val="0"/>
            </w:pPr>
            <w:r w:rsidRPr="002F733E">
              <w:t>Uptake rate</w:t>
            </w:r>
          </w:p>
        </w:tc>
        <w:tc>
          <w:tcPr>
            <w:tcW w:w="2052" w:type="pct"/>
            <w:vAlign w:val="center"/>
          </w:tcPr>
          <w:p w14:paraId="6002F806" w14:textId="19B393E9" w:rsidR="002F3E80" w:rsidRPr="002F733E" w:rsidRDefault="002F3E80" w:rsidP="006A7AE4">
            <w:pPr>
              <w:pStyle w:val="TableText0"/>
              <w:keepNext w:val="0"/>
            </w:pPr>
            <w:r w:rsidRPr="002F733E">
              <w:t xml:space="preserve">Assumption. Increasing from 57% in Yr1, then 10% per year to Yr 3 then increasing </w:t>
            </w:r>
            <w:r w:rsidR="007735B1" w:rsidRPr="002F733E">
              <w:t>to 8</w:t>
            </w:r>
            <w:r w:rsidRPr="002F733E">
              <w:t>5%</w:t>
            </w:r>
            <w:r w:rsidR="007735B1" w:rsidRPr="002F733E">
              <w:t>, 95% and 95% in Yrs 4, 5 and 6</w:t>
            </w:r>
            <w:r w:rsidRPr="002F733E">
              <w:t>. This was significantly higher than rates in the July 2022 submission which were 25% in Yr1 to 50% in Yr6 (based on uptake rates suggested in para 6.72, belimumab PSD, July 2020). The new uptake rates however were identical to the rates proposed in the July 2022 pre-PBAC response.</w:t>
            </w:r>
          </w:p>
        </w:tc>
        <w:tc>
          <w:tcPr>
            <w:tcW w:w="2330" w:type="pct"/>
            <w:vAlign w:val="center"/>
          </w:tcPr>
          <w:p w14:paraId="6CF1EC8C" w14:textId="70B0B24E" w:rsidR="002F3E80" w:rsidRPr="002F733E" w:rsidRDefault="002F3E80" w:rsidP="006A7AE4">
            <w:pPr>
              <w:pStyle w:val="TableText0"/>
              <w:keepNext w:val="0"/>
            </w:pPr>
            <w:r w:rsidRPr="002F733E">
              <w:t>DUSC considered the rates from the July 2022 were likely to rise due to clinical need if recommended. However</w:t>
            </w:r>
            <w:r w:rsidR="0022383E" w:rsidRPr="002F733E">
              <w:t>,</w:t>
            </w:r>
            <w:r w:rsidR="007C1D7C" w:rsidRPr="002F733E">
              <w:t xml:space="preserve"> </w:t>
            </w:r>
            <w:r w:rsidRPr="002F733E">
              <w:t>given the modest clinical benefit of anifrolumab these estimates may be high, a lower uptake assumption may be more appropriate.</w:t>
            </w:r>
            <w:r w:rsidR="00874BB8" w:rsidRPr="002F733E">
              <w:t xml:space="preserve"> The PBAC also considered that the uptake rates applied in the pre-PBAC response (57% in Year 1 increasing to 95% in Year 6) may have been overestimated in the later years (para 7.12, anifrolumab PSD,</w:t>
            </w:r>
            <w:r w:rsidR="005E4B3B" w:rsidRPr="002F733E">
              <w:t xml:space="preserve"> July 2022</w:t>
            </w:r>
            <w:r w:rsidR="00874BB8" w:rsidRPr="002F733E">
              <w:t>).</w:t>
            </w:r>
            <w:r w:rsidR="00F17591" w:rsidRPr="002F733E">
              <w:t xml:space="preserve"> The uptake rate was capped at 77% from Year 3 onwards in revised estimates presented in the PSCR.</w:t>
            </w:r>
            <w:r w:rsidR="00DC7889">
              <w:t xml:space="preserve"> The pre-PBAC response further revised the uptake rates to 30% in Year 1, increasing by 5% per year to 55% in Year 6.</w:t>
            </w:r>
          </w:p>
        </w:tc>
      </w:tr>
      <w:tr w:rsidR="002F3E80" w:rsidRPr="002F733E" w14:paraId="7A7454C8" w14:textId="77777777" w:rsidTr="00E04E96">
        <w:trPr>
          <w:cantSplit/>
        </w:trPr>
        <w:tc>
          <w:tcPr>
            <w:tcW w:w="618" w:type="pct"/>
            <w:vAlign w:val="center"/>
          </w:tcPr>
          <w:p w14:paraId="384B2FD8" w14:textId="40ED8E37" w:rsidR="002F3E80" w:rsidRPr="002F733E" w:rsidRDefault="002F3E80" w:rsidP="006A7AE4">
            <w:pPr>
              <w:pStyle w:val="TableText0"/>
              <w:keepNext w:val="0"/>
            </w:pPr>
            <w:r w:rsidRPr="002F733E">
              <w:t>Initiating patients</w:t>
            </w:r>
          </w:p>
        </w:tc>
        <w:tc>
          <w:tcPr>
            <w:tcW w:w="2052" w:type="pct"/>
            <w:vAlign w:val="center"/>
          </w:tcPr>
          <w:p w14:paraId="20FA3A2B" w14:textId="77777777" w:rsidR="002F3E80" w:rsidRPr="002F733E" w:rsidRDefault="002F3E80" w:rsidP="006A7AE4">
            <w:pPr>
              <w:pStyle w:val="TableText0"/>
              <w:keepNext w:val="0"/>
            </w:pPr>
            <w:r w:rsidRPr="002F733E">
              <w:rPr>
                <w:shd w:val="clear" w:color="auto" w:fill="C6D9F1" w:themeFill="text2" w:themeFillTint="33"/>
              </w:rPr>
              <w:t>Eligible population x uptake rate</w:t>
            </w:r>
            <w:r w:rsidRPr="002F733E">
              <w:t xml:space="preserve">. </w:t>
            </w:r>
          </w:p>
          <w:p w14:paraId="3A9639A5" w14:textId="407B8158" w:rsidR="002F3E80" w:rsidRPr="002F733E" w:rsidRDefault="002F3E80" w:rsidP="006A7AE4">
            <w:pPr>
              <w:pStyle w:val="TableText0"/>
              <w:keepNext w:val="0"/>
            </w:pPr>
            <w:r w:rsidRPr="002F733E">
              <w:t xml:space="preserve">Plus </w:t>
            </w:r>
            <w:r w:rsidR="00EB6544" w:rsidRPr="00EB6544">
              <w:rPr>
                <w:color w:val="000000"/>
                <w:spacing w:val="29"/>
                <w:shd w:val="solid" w:color="000000" w:fill="000000"/>
                <w:fitText w:val="549" w:id="-1236572656"/>
                <w14:textFill>
                  <w14:solidFill>
                    <w14:srgbClr w14:val="000000">
                      <w14:alpha w14:val="100000"/>
                    </w14:srgbClr>
                  </w14:solidFill>
                </w14:textFill>
              </w:rPr>
              <w:t>|||||||</w:t>
            </w:r>
            <w:r w:rsidR="00EB6544" w:rsidRPr="00EB6544">
              <w:rPr>
                <w:color w:val="000000"/>
                <w:spacing w:val="6"/>
                <w:shd w:val="solid" w:color="000000" w:fill="000000"/>
                <w:fitText w:val="549" w:id="-1236572656"/>
                <w14:textFill>
                  <w14:solidFill>
                    <w14:srgbClr w14:val="000000">
                      <w14:alpha w14:val="100000"/>
                    </w14:srgbClr>
                  </w14:solidFill>
                </w14:textFill>
              </w:rPr>
              <w:t>|</w:t>
            </w:r>
            <w:r w:rsidR="00396C58">
              <w:rPr>
                <w:vertAlign w:val="superscript"/>
              </w:rPr>
              <w:t>1</w:t>
            </w:r>
            <w:r w:rsidRPr="002F733E">
              <w:t xml:space="preserve"> grandfathered patients in Yr 1.</w:t>
            </w:r>
          </w:p>
        </w:tc>
        <w:tc>
          <w:tcPr>
            <w:tcW w:w="2330" w:type="pct"/>
            <w:vAlign w:val="center"/>
          </w:tcPr>
          <w:p w14:paraId="302E475C" w14:textId="77777777" w:rsidR="002F3E80" w:rsidRPr="002F733E" w:rsidRDefault="002F3E80" w:rsidP="006A7AE4">
            <w:pPr>
              <w:pStyle w:val="TableText0"/>
              <w:keepNext w:val="0"/>
            </w:pPr>
            <w:r w:rsidRPr="002F733E">
              <w:t>Appropriate calculation.</w:t>
            </w:r>
          </w:p>
        </w:tc>
      </w:tr>
      <w:tr w:rsidR="002F3E80" w:rsidRPr="002F733E" w14:paraId="4FC5E5F2" w14:textId="77777777" w:rsidTr="00E04E96">
        <w:trPr>
          <w:cantSplit/>
        </w:trPr>
        <w:tc>
          <w:tcPr>
            <w:tcW w:w="618" w:type="pct"/>
            <w:vAlign w:val="center"/>
          </w:tcPr>
          <w:p w14:paraId="5BE57DFB" w14:textId="3C0BA6D0" w:rsidR="002F3E80" w:rsidRPr="002F733E" w:rsidRDefault="002F3E80" w:rsidP="006A7AE4">
            <w:pPr>
              <w:pStyle w:val="TableText0"/>
              <w:keepNext w:val="0"/>
            </w:pPr>
            <w:r w:rsidRPr="002F733E">
              <w:t>Continuing patients</w:t>
            </w:r>
          </w:p>
        </w:tc>
        <w:tc>
          <w:tcPr>
            <w:tcW w:w="2052" w:type="pct"/>
            <w:vAlign w:val="center"/>
          </w:tcPr>
          <w:p w14:paraId="345D1CE6" w14:textId="50BC18A4" w:rsidR="002F3E80" w:rsidRPr="002F733E" w:rsidRDefault="005E4B3B" w:rsidP="006A7AE4">
            <w:pPr>
              <w:pStyle w:val="TableText0"/>
              <w:keepNext w:val="0"/>
            </w:pPr>
            <w:r w:rsidRPr="002F733E">
              <w:t xml:space="preserve">The submission assumed a </w:t>
            </w:r>
            <w:r w:rsidR="002F3E80" w:rsidRPr="002F733E">
              <w:t xml:space="preserve">continuation rate of 86.1% </w:t>
            </w:r>
            <w:r w:rsidRPr="002F733E">
              <w:t xml:space="preserve"> for those that initiate </w:t>
            </w:r>
            <w:r w:rsidR="00EC7B7D" w:rsidRPr="002F733E">
              <w:t xml:space="preserve">anifrolumab </w:t>
            </w:r>
            <w:r w:rsidR="00B33A1C" w:rsidRPr="002F733E">
              <w:t xml:space="preserve">each year </w:t>
            </w:r>
            <w:r w:rsidR="002F3E80" w:rsidRPr="002F733E">
              <w:t xml:space="preserve">based on data from MUSE LTE, plus 258 grandfathered continuing patients in Yr 1. This was a revised approach as per DUSC advise (assuming </w:t>
            </w:r>
            <w:r w:rsidR="00286FC2" w:rsidRPr="002F733E">
              <w:t>those</w:t>
            </w:r>
            <w:r w:rsidR="00B33A1C" w:rsidRPr="002F733E">
              <w:t xml:space="preserve"> stopping treatment will </w:t>
            </w:r>
            <w:r w:rsidR="00286FC2" w:rsidRPr="002F733E">
              <w:t xml:space="preserve">do so after </w:t>
            </w:r>
            <w:r w:rsidR="002F3E80" w:rsidRPr="002F733E">
              <w:t>6mth)</w:t>
            </w:r>
            <w:r w:rsidR="00B33A1C" w:rsidRPr="002F733E">
              <w:t>.</w:t>
            </w:r>
            <w:r w:rsidR="002F3E80" w:rsidRPr="002F733E">
              <w:t xml:space="preserve"> </w:t>
            </w:r>
            <w:r w:rsidR="003E7884" w:rsidRPr="002F733E">
              <w:t>The</w:t>
            </w:r>
            <w:r w:rsidR="001D0A62" w:rsidRPr="002F733E">
              <w:t xml:space="preserve"> submissions’ approach doesn’t follow patients past the initiation year and </w:t>
            </w:r>
            <w:r w:rsidR="003E7884" w:rsidRPr="002F733E">
              <w:t xml:space="preserve">implicitly allowed for retrials of anifrolumab, which was reasonable and permitted based on the requested restrictions. </w:t>
            </w:r>
            <w:r w:rsidR="002F3E80" w:rsidRPr="002F733E">
              <w:t>In the July 2022 submission the prevalent population each year was not adjusted for the number of prevalent patients in the previous year who had already received/were still receiving anifrolumab. As such some patients were likely double-counted in the financial estimates (para 6.62, anifrolumab PSD, July 2022).</w:t>
            </w:r>
          </w:p>
        </w:tc>
        <w:tc>
          <w:tcPr>
            <w:tcW w:w="2330" w:type="pct"/>
            <w:vAlign w:val="center"/>
          </w:tcPr>
          <w:p w14:paraId="3F2DA7F8" w14:textId="32580E5B" w:rsidR="002F3E80" w:rsidRPr="002F733E" w:rsidRDefault="003E7884" w:rsidP="006A7AE4">
            <w:pPr>
              <w:pStyle w:val="TableText0"/>
              <w:keepNext w:val="0"/>
            </w:pPr>
            <w:r w:rsidRPr="002F733E">
              <w:t>As grandfathered patients were drawn from the prevalent population, they may be double counted in the estimates.</w:t>
            </w:r>
          </w:p>
          <w:p w14:paraId="772B7AFE" w14:textId="77777777" w:rsidR="003E7884" w:rsidRPr="002F733E" w:rsidRDefault="003E7884" w:rsidP="006A7AE4">
            <w:pPr>
              <w:pStyle w:val="TableText0"/>
              <w:keepNext w:val="0"/>
            </w:pPr>
          </w:p>
          <w:p w14:paraId="5591A724" w14:textId="19852F0E" w:rsidR="002F3E80" w:rsidRPr="002F733E" w:rsidRDefault="002F3E80" w:rsidP="006A7AE4">
            <w:pPr>
              <w:pStyle w:val="TableText0"/>
              <w:keepNext w:val="0"/>
            </w:pPr>
            <w:r w:rsidRPr="002F733E">
              <w:t>The proportions of anifrolumab treated patients achieving SLEDAI</w:t>
            </w:r>
            <w:r w:rsidR="0059051D" w:rsidRPr="002F733E">
              <w:t>-2K</w:t>
            </w:r>
            <w:r w:rsidRPr="002F733E">
              <w:t xml:space="preserve"> reduction </w:t>
            </w:r>
            <w:r w:rsidRPr="002F733E">
              <w:rPr>
                <w:rFonts w:ascii="Symbol" w:eastAsia="Symbol" w:hAnsi="Symbol" w:cs="Symbol"/>
              </w:rPr>
              <w:sym w:font="Symbol" w:char="F0B3"/>
            </w:r>
            <w:r w:rsidRPr="002F733E">
              <w:t>4 at 24 weeks in the included trials was between 41.1% and 58.3% (See Table 2.5.2 of Anifrolumab July 2022 COM). Using the lower response rate would estimate a lower continuation rate as per DUSC methodology of 70.55% (ie,41.1% + 58.9%/2 =70.55%).</w:t>
            </w:r>
            <w:r w:rsidR="00F17591" w:rsidRPr="002F733E">
              <w:t xml:space="preserve"> A continuation rate of 70.55% was applied in revised estimates presented in the PSCR.</w:t>
            </w:r>
            <w:r w:rsidR="00DC7889">
              <w:t xml:space="preserve"> The continuation rate was reduced to 41% in the pre-PBAC response.</w:t>
            </w:r>
          </w:p>
        </w:tc>
      </w:tr>
      <w:tr w:rsidR="002F3E80" w:rsidRPr="002F733E" w14:paraId="71DC371D" w14:textId="77777777" w:rsidTr="00E04E96">
        <w:trPr>
          <w:cantSplit/>
        </w:trPr>
        <w:tc>
          <w:tcPr>
            <w:tcW w:w="618" w:type="pct"/>
            <w:vAlign w:val="center"/>
          </w:tcPr>
          <w:p w14:paraId="761354E5" w14:textId="77777777" w:rsidR="002F3E80" w:rsidRPr="002F733E" w:rsidRDefault="002F3E80" w:rsidP="006A7AE4">
            <w:pPr>
              <w:pStyle w:val="TableText0"/>
              <w:keepNext w:val="0"/>
            </w:pPr>
            <w:r w:rsidRPr="002F733E">
              <w:t>Total number patient-years treated</w:t>
            </w:r>
          </w:p>
        </w:tc>
        <w:tc>
          <w:tcPr>
            <w:tcW w:w="2052" w:type="pct"/>
            <w:vAlign w:val="center"/>
          </w:tcPr>
          <w:p w14:paraId="03B1F6EC" w14:textId="22EF03F3" w:rsidR="002F3E80" w:rsidRPr="002F733E" w:rsidRDefault="002F3E80" w:rsidP="006A7AE4">
            <w:pPr>
              <w:pStyle w:val="TableText0"/>
              <w:keepNext w:val="0"/>
            </w:pPr>
            <w:r w:rsidRPr="002F733E">
              <w:t xml:space="preserve">Calculations assume patients who discontinue treatment did so after 6mth (incl 279 patient years for grandfathered patients in Yr 1). </w:t>
            </w:r>
          </w:p>
        </w:tc>
        <w:tc>
          <w:tcPr>
            <w:tcW w:w="2330" w:type="pct"/>
            <w:vAlign w:val="center"/>
          </w:tcPr>
          <w:p w14:paraId="5D5A7235" w14:textId="2010D529" w:rsidR="002F3E80" w:rsidRPr="002F733E" w:rsidRDefault="002F3E80" w:rsidP="006A7AE4">
            <w:pPr>
              <w:pStyle w:val="TableText0"/>
              <w:keepNext w:val="0"/>
            </w:pPr>
            <w:r w:rsidRPr="002F733E">
              <w:t>This was as per methodology outlined in the DUSC advice.</w:t>
            </w:r>
          </w:p>
        </w:tc>
      </w:tr>
      <w:tr w:rsidR="002F3E80" w:rsidRPr="002F733E" w14:paraId="1D77405C" w14:textId="77777777" w:rsidTr="00E04E96">
        <w:trPr>
          <w:cantSplit/>
        </w:trPr>
        <w:tc>
          <w:tcPr>
            <w:tcW w:w="618" w:type="pct"/>
            <w:vAlign w:val="center"/>
          </w:tcPr>
          <w:p w14:paraId="283B47E7" w14:textId="77777777" w:rsidR="002F3E80" w:rsidRPr="002F733E" w:rsidRDefault="002F3E80" w:rsidP="006A7AE4">
            <w:pPr>
              <w:pStyle w:val="TableText0"/>
              <w:keepNext w:val="0"/>
            </w:pPr>
            <w:r w:rsidRPr="002F733E">
              <w:t>Scripts dispensed</w:t>
            </w:r>
          </w:p>
        </w:tc>
        <w:tc>
          <w:tcPr>
            <w:tcW w:w="2052" w:type="pct"/>
            <w:vAlign w:val="center"/>
          </w:tcPr>
          <w:p w14:paraId="5FE6CD8B" w14:textId="403BC5F0" w:rsidR="002F3E80" w:rsidRPr="002F733E" w:rsidRDefault="002F3E80" w:rsidP="006A7AE4">
            <w:pPr>
              <w:pStyle w:val="TableText0"/>
              <w:keepNext w:val="0"/>
            </w:pPr>
            <w:r w:rsidRPr="002F733E">
              <w:t>12.39 scripts per patient-year assuming 95% compliance. Previously 100% compliance with 13.04 scripts per year. This differed to the assumed 100% compliance in the model with 13 scripts per patient year.</w:t>
            </w:r>
          </w:p>
        </w:tc>
        <w:tc>
          <w:tcPr>
            <w:tcW w:w="2330" w:type="pct"/>
            <w:vAlign w:val="center"/>
          </w:tcPr>
          <w:p w14:paraId="3468399E" w14:textId="5B7537BB" w:rsidR="002F3E80" w:rsidRPr="002F733E" w:rsidRDefault="0022383E" w:rsidP="006A7AE4">
            <w:pPr>
              <w:pStyle w:val="TableText0"/>
              <w:keepNext w:val="0"/>
            </w:pPr>
            <w:r w:rsidRPr="002F733E">
              <w:t>Notwithstanding comments in relation to double counting, if following the resubmission’s methodology, the resubmission erroneously omitted scripts for continuing grandfathered patients (even though they were included in the patient years treated).</w:t>
            </w:r>
          </w:p>
        </w:tc>
      </w:tr>
      <w:tr w:rsidR="002F3E80" w:rsidRPr="002F733E" w14:paraId="08E34F95" w14:textId="77777777" w:rsidTr="00E04E96">
        <w:trPr>
          <w:cantSplit/>
        </w:trPr>
        <w:tc>
          <w:tcPr>
            <w:tcW w:w="5000" w:type="pct"/>
            <w:gridSpan w:val="3"/>
            <w:vAlign w:val="center"/>
          </w:tcPr>
          <w:p w14:paraId="4EAAC8B9" w14:textId="4D9011EF" w:rsidR="002F3E80" w:rsidRPr="002F733E" w:rsidRDefault="002F3E80" w:rsidP="006A7AE4">
            <w:pPr>
              <w:pStyle w:val="TableText0"/>
              <w:keepNext w:val="0"/>
            </w:pPr>
            <w:r w:rsidRPr="002F733E">
              <w:rPr>
                <w:b/>
                <w:bCs w:val="0"/>
              </w:rPr>
              <w:t>Costs</w:t>
            </w:r>
          </w:p>
        </w:tc>
      </w:tr>
      <w:tr w:rsidR="002F3E80" w:rsidRPr="002F733E" w14:paraId="51324A08" w14:textId="77777777" w:rsidTr="00E04E96">
        <w:trPr>
          <w:cantSplit/>
        </w:trPr>
        <w:tc>
          <w:tcPr>
            <w:tcW w:w="618" w:type="pct"/>
            <w:vAlign w:val="center"/>
          </w:tcPr>
          <w:p w14:paraId="32D70077" w14:textId="77777777" w:rsidR="002F3E80" w:rsidRPr="002F733E" w:rsidRDefault="002F3E80" w:rsidP="006A7AE4">
            <w:pPr>
              <w:pStyle w:val="TableText0"/>
              <w:keepNext w:val="0"/>
            </w:pPr>
            <w:r w:rsidRPr="002F733E">
              <w:t>Anifrolumab</w:t>
            </w:r>
          </w:p>
        </w:tc>
        <w:tc>
          <w:tcPr>
            <w:tcW w:w="2052" w:type="pct"/>
            <w:vAlign w:val="center"/>
          </w:tcPr>
          <w:p w14:paraId="26DB7CDB" w14:textId="3558EB9C" w:rsidR="002F3E80" w:rsidRPr="002F733E" w:rsidRDefault="002F3E80" w:rsidP="006A7AE4">
            <w:pPr>
              <w:pStyle w:val="TableText0"/>
              <w:keepNext w:val="0"/>
            </w:pPr>
            <w:r w:rsidRPr="002F733E">
              <w:t>Revised requested price weighted public $</w:t>
            </w:r>
            <w:r w:rsidR="00EB6544" w:rsidRPr="00EB6544">
              <w:rPr>
                <w:color w:val="000000"/>
                <w:spacing w:val="29"/>
                <w:shd w:val="solid" w:color="000000" w:fill="000000"/>
                <w:fitText w:val="550" w:id="-1236572672"/>
                <w14:textFill>
                  <w14:solidFill>
                    <w14:srgbClr w14:val="000000">
                      <w14:alpha w14:val="100000"/>
                    </w14:srgbClr>
                  </w14:solidFill>
                </w14:textFill>
              </w:rPr>
              <w:t>|||||||</w:t>
            </w:r>
            <w:r w:rsidR="00EB6544" w:rsidRPr="00EB6544">
              <w:rPr>
                <w:color w:val="000000"/>
                <w:spacing w:val="7"/>
                <w:shd w:val="solid" w:color="000000" w:fill="000000"/>
                <w:fitText w:val="550" w:id="-1236572672"/>
                <w14:textFill>
                  <w14:solidFill>
                    <w14:srgbClr w14:val="000000">
                      <w14:alpha w14:val="100000"/>
                    </w14:srgbClr>
                  </w14:solidFill>
                </w14:textFill>
              </w:rPr>
              <w:t>|</w:t>
            </w:r>
            <w:r w:rsidRPr="002F733E">
              <w:t>, private $</w:t>
            </w:r>
            <w:r w:rsidR="00EB6544" w:rsidRPr="00EB6544">
              <w:rPr>
                <w:color w:val="000000"/>
                <w:spacing w:val="28"/>
                <w:shd w:val="solid" w:color="000000" w:fill="000000"/>
                <w:fitText w:val="541" w:id="-1236572671"/>
                <w14:textFill>
                  <w14:solidFill>
                    <w14:srgbClr w14:val="000000">
                      <w14:alpha w14:val="100000"/>
                    </w14:srgbClr>
                  </w14:solidFill>
                </w14:textFill>
              </w:rPr>
              <w:t>|||||||</w:t>
            </w:r>
            <w:r w:rsidR="00EB6544" w:rsidRPr="00EB6544">
              <w:rPr>
                <w:color w:val="000000"/>
                <w:spacing w:val="5"/>
                <w:shd w:val="solid" w:color="000000" w:fill="000000"/>
                <w:fitText w:val="541" w:id="-1236572671"/>
                <w14:textFill>
                  <w14:solidFill>
                    <w14:srgbClr w14:val="000000">
                      <w14:alpha w14:val="100000"/>
                    </w14:srgbClr>
                  </w14:solidFill>
                </w14:textFill>
              </w:rPr>
              <w:t>|</w:t>
            </w:r>
            <w:r w:rsidRPr="002F733E">
              <w:t>based on rituximab weights. Previously requested effective DPMQ was $</w:t>
            </w:r>
            <w:r w:rsidR="00EB6544" w:rsidRPr="00EB6544">
              <w:rPr>
                <w:color w:val="000000"/>
                <w:spacing w:val="28"/>
                <w:shd w:val="solid" w:color="000000" w:fill="000000"/>
                <w:fitText w:val="541" w:id="-1236572670"/>
                <w14:textFill>
                  <w14:solidFill>
                    <w14:srgbClr w14:val="000000">
                      <w14:alpha w14:val="100000"/>
                    </w14:srgbClr>
                  </w14:solidFill>
                </w14:textFill>
              </w:rPr>
              <w:t>|||||||</w:t>
            </w:r>
            <w:r w:rsidR="00EB6544" w:rsidRPr="00EB6544">
              <w:rPr>
                <w:color w:val="000000"/>
                <w:spacing w:val="5"/>
                <w:shd w:val="solid" w:color="000000" w:fill="000000"/>
                <w:fitText w:val="541" w:id="-1236572670"/>
                <w14:textFill>
                  <w14:solidFill>
                    <w14:srgbClr w14:val="000000">
                      <w14:alpha w14:val="100000"/>
                    </w14:srgbClr>
                  </w14:solidFill>
                </w14:textFill>
              </w:rPr>
              <w:t>|</w:t>
            </w:r>
            <w:r w:rsidRPr="002F733E">
              <w:t>in the July 2022 submission and $</w:t>
            </w:r>
            <w:r w:rsidR="00EB6544" w:rsidRPr="00EB6544">
              <w:rPr>
                <w:color w:val="000000"/>
                <w:spacing w:val="29"/>
                <w:shd w:val="solid" w:color="000000" w:fill="000000"/>
                <w:fitText w:val="550" w:id="-1236572669"/>
                <w14:textFill>
                  <w14:solidFill>
                    <w14:srgbClr w14:val="000000">
                      <w14:alpha w14:val="100000"/>
                    </w14:srgbClr>
                  </w14:solidFill>
                </w14:textFill>
              </w:rPr>
              <w:t>|||||||</w:t>
            </w:r>
            <w:r w:rsidR="00EB6544" w:rsidRPr="00EB6544">
              <w:rPr>
                <w:color w:val="000000"/>
                <w:spacing w:val="7"/>
                <w:shd w:val="solid" w:color="000000" w:fill="000000"/>
                <w:fitText w:val="550" w:id="-1236572669"/>
                <w14:textFill>
                  <w14:solidFill>
                    <w14:srgbClr w14:val="000000">
                      <w14:alpha w14:val="100000"/>
                    </w14:srgbClr>
                  </w14:solidFill>
                </w14:textFill>
              </w:rPr>
              <w:t>|</w:t>
            </w:r>
            <w:r w:rsidRPr="002F733E">
              <w:t xml:space="preserve">in its </w:t>
            </w:r>
            <w:r w:rsidR="00DC7889">
              <w:t>p</w:t>
            </w:r>
            <w:r w:rsidRPr="002F733E">
              <w:t>re-PBAC response.</w:t>
            </w:r>
          </w:p>
        </w:tc>
        <w:tc>
          <w:tcPr>
            <w:tcW w:w="2330" w:type="pct"/>
            <w:vAlign w:val="center"/>
          </w:tcPr>
          <w:p w14:paraId="4D51ABA2" w14:textId="1915D953" w:rsidR="002F3E80" w:rsidRPr="002F733E" w:rsidRDefault="00DC7889" w:rsidP="006A7AE4">
            <w:pPr>
              <w:pStyle w:val="TableText0"/>
              <w:keepNext w:val="0"/>
            </w:pPr>
            <w:r>
              <w:t xml:space="preserve"> The pre-PBAC response offered a revised DPMQ of $</w:t>
            </w:r>
            <w:r w:rsidR="00EB6544" w:rsidRPr="00EB6544">
              <w:rPr>
                <w:color w:val="000000"/>
                <w:spacing w:val="29"/>
                <w:shd w:val="solid" w:color="000000" w:fill="000000"/>
                <w:fitText w:val="550" w:id="-1236572668"/>
                <w14:textFill>
                  <w14:solidFill>
                    <w14:srgbClr w14:val="000000">
                      <w14:alpha w14:val="100000"/>
                    </w14:srgbClr>
                  </w14:solidFill>
                </w14:textFill>
              </w:rPr>
              <w:t>|||||||</w:t>
            </w:r>
            <w:r w:rsidR="00EB6544" w:rsidRPr="00EB6544">
              <w:rPr>
                <w:color w:val="000000"/>
                <w:spacing w:val="7"/>
                <w:shd w:val="solid" w:color="000000" w:fill="000000"/>
                <w:fitText w:val="550" w:id="-1236572668"/>
                <w14:textFill>
                  <w14:solidFill>
                    <w14:srgbClr w14:val="000000">
                      <w14:alpha w14:val="100000"/>
                    </w14:srgbClr>
                  </w14:solidFill>
                </w14:textFill>
              </w:rPr>
              <w:t>|</w:t>
            </w:r>
            <w:r>
              <w:t xml:space="preserve"> (public). </w:t>
            </w:r>
          </w:p>
        </w:tc>
      </w:tr>
      <w:tr w:rsidR="002F3E80" w:rsidRPr="002F733E" w14:paraId="19FF0AD8" w14:textId="77777777" w:rsidTr="00E04E96">
        <w:trPr>
          <w:cantSplit/>
        </w:trPr>
        <w:tc>
          <w:tcPr>
            <w:tcW w:w="618" w:type="pct"/>
            <w:vAlign w:val="center"/>
          </w:tcPr>
          <w:p w14:paraId="114EE921" w14:textId="77777777" w:rsidR="002F3E80" w:rsidRPr="002F733E" w:rsidRDefault="002F3E80" w:rsidP="006A7AE4">
            <w:pPr>
              <w:pStyle w:val="TableText0"/>
              <w:keepNext w:val="0"/>
            </w:pPr>
            <w:r w:rsidRPr="002F733E">
              <w:t>Patient copayment</w:t>
            </w:r>
          </w:p>
        </w:tc>
        <w:tc>
          <w:tcPr>
            <w:tcW w:w="2052" w:type="pct"/>
            <w:vAlign w:val="center"/>
          </w:tcPr>
          <w:p w14:paraId="699FA5D8" w14:textId="77777777" w:rsidR="002F3E80" w:rsidRPr="002F733E" w:rsidRDefault="002F3E80" w:rsidP="006A7AE4">
            <w:pPr>
              <w:pStyle w:val="TableText0"/>
              <w:keepNext w:val="0"/>
            </w:pPr>
            <w:r w:rsidRPr="002F733E">
              <w:t>Calculation based on rituximab PBS copayment weights using updated PBS copayments.</w:t>
            </w:r>
          </w:p>
        </w:tc>
        <w:tc>
          <w:tcPr>
            <w:tcW w:w="2330" w:type="pct"/>
            <w:vAlign w:val="center"/>
          </w:tcPr>
          <w:p w14:paraId="2CAA3D51" w14:textId="032A58E1" w:rsidR="002F3E80" w:rsidRPr="002F733E" w:rsidRDefault="00DC7889" w:rsidP="006A7AE4">
            <w:pPr>
              <w:pStyle w:val="TableText0"/>
              <w:keepNext w:val="0"/>
            </w:pPr>
            <w:r>
              <w:t>-</w:t>
            </w:r>
          </w:p>
        </w:tc>
      </w:tr>
      <w:tr w:rsidR="002F3E80" w:rsidRPr="002F733E" w14:paraId="1E7E4C5B" w14:textId="77777777" w:rsidTr="00E04E96">
        <w:trPr>
          <w:cantSplit/>
        </w:trPr>
        <w:tc>
          <w:tcPr>
            <w:tcW w:w="618" w:type="pct"/>
            <w:vAlign w:val="center"/>
          </w:tcPr>
          <w:p w14:paraId="684FBFB5" w14:textId="77777777" w:rsidR="002F3E80" w:rsidRPr="002F733E" w:rsidRDefault="002F3E80" w:rsidP="006A7AE4">
            <w:pPr>
              <w:pStyle w:val="TableText0"/>
              <w:keepNext w:val="0"/>
            </w:pPr>
            <w:r w:rsidRPr="002F733E">
              <w:t>MBS costs</w:t>
            </w:r>
          </w:p>
        </w:tc>
        <w:tc>
          <w:tcPr>
            <w:tcW w:w="2052" w:type="pct"/>
            <w:vAlign w:val="center"/>
          </w:tcPr>
          <w:p w14:paraId="5293FF29" w14:textId="77777777" w:rsidR="002F3E80" w:rsidRPr="002F733E" w:rsidRDefault="002F3E80" w:rsidP="006A7AE4">
            <w:pPr>
              <w:pStyle w:val="TableText0"/>
              <w:keepNext w:val="0"/>
            </w:pPr>
            <w:r w:rsidRPr="002F733E">
              <w:t>Updated MBS fees for item 14245 (infusion cost for immunotherapy) at 80% rebate ($103.55 full fee)</w:t>
            </w:r>
          </w:p>
        </w:tc>
        <w:tc>
          <w:tcPr>
            <w:tcW w:w="2330" w:type="pct"/>
            <w:vAlign w:val="center"/>
          </w:tcPr>
          <w:p w14:paraId="12B0AA34" w14:textId="0AA05CB3" w:rsidR="002F3E80" w:rsidRPr="002F733E" w:rsidRDefault="00DC7889" w:rsidP="006A7AE4">
            <w:pPr>
              <w:pStyle w:val="TableText0"/>
              <w:keepNext w:val="0"/>
            </w:pPr>
            <w:r>
              <w:t>C</w:t>
            </w:r>
            <w:r w:rsidR="002F3E80" w:rsidRPr="002F733E">
              <w:t>osts of infusions for grandfathered patients were inappropriately omitted.</w:t>
            </w:r>
          </w:p>
        </w:tc>
      </w:tr>
    </w:tbl>
    <w:p w14:paraId="3B033469" w14:textId="77777777" w:rsidR="00CA7FC4" w:rsidRPr="002F733E" w:rsidRDefault="00CA7FC4" w:rsidP="00CA7FC4">
      <w:pPr>
        <w:pStyle w:val="TableFigureFooter"/>
        <w:keepNext/>
        <w:spacing w:after="0"/>
        <w:rPr>
          <w:iCs/>
        </w:rPr>
      </w:pPr>
      <w:r w:rsidRPr="002F733E">
        <w:rPr>
          <w:iCs/>
          <w:shd w:val="clear" w:color="auto" w:fill="B8CCE4" w:themeFill="accent1" w:themeFillTint="66"/>
        </w:rPr>
        <w:t>Blue</w:t>
      </w:r>
      <w:r w:rsidRPr="002F733E">
        <w:rPr>
          <w:iCs/>
        </w:rPr>
        <w:t xml:space="preserve"> shading represents information previously considered by the PBAC.</w:t>
      </w:r>
    </w:p>
    <w:p w14:paraId="6E441320" w14:textId="77777777" w:rsidR="00894ACF" w:rsidRPr="002F733E" w:rsidRDefault="00894ACF" w:rsidP="00894ACF">
      <w:pPr>
        <w:pStyle w:val="TableFigureFooter"/>
        <w:rPr>
          <w:iCs/>
        </w:rPr>
      </w:pPr>
      <w:r w:rsidRPr="002F733E">
        <w:rPr>
          <w:iCs/>
        </w:rPr>
        <w:t>Source: Tables 4.1-1, 4.1-4, 4.2-1, 4.2-2, 4.2-4, 4.2-5, 4.2-6, 4.2-7, 4.2-9 and Section 4.2.2, p172 of the submission and complied during the evaluation</w:t>
      </w:r>
    </w:p>
    <w:p w14:paraId="449EAB2F" w14:textId="599D3C77" w:rsidR="00894ACF" w:rsidRDefault="00894ACF" w:rsidP="00894ACF">
      <w:pPr>
        <w:pStyle w:val="TableFigureFooter"/>
      </w:pPr>
      <w:r w:rsidRPr="002F733E">
        <w:t xml:space="preserve">ALRB=Australian Lupus Registry and Biobank; </w:t>
      </w:r>
      <w:r w:rsidR="0059051D" w:rsidRPr="002F733E">
        <w:t xml:space="preserve">PAP=patient access program; </w:t>
      </w:r>
      <w:r w:rsidRPr="002F733E">
        <w:t xml:space="preserve">RSA=risk share arrangement, </w:t>
      </w:r>
      <w:r w:rsidR="0059051D" w:rsidRPr="002F733E">
        <w:t xml:space="preserve">SLEDAI-2K=Systemic Lupus Erythematosus Disease Activity Index 2000; </w:t>
      </w:r>
      <w:r w:rsidRPr="002F733E">
        <w:t xml:space="preserve">SOC=standard of care consisting of triple therapy, Yr = year; mth = month </w:t>
      </w:r>
    </w:p>
    <w:p w14:paraId="00258065" w14:textId="09F5E160" w:rsidR="00396C58" w:rsidRPr="00396C58" w:rsidRDefault="00396C58" w:rsidP="00894ACF">
      <w:pPr>
        <w:pStyle w:val="TableFigureFooter"/>
        <w:rPr>
          <w:i/>
          <w:iCs/>
        </w:rPr>
      </w:pPr>
      <w:r w:rsidRPr="00396C58">
        <w:rPr>
          <w:i/>
          <w:iCs/>
        </w:rPr>
        <w:t>The redacted values correspond to the following range:</w:t>
      </w:r>
    </w:p>
    <w:p w14:paraId="38D3C38B" w14:textId="67E36B71" w:rsidR="00396C58" w:rsidRPr="00396C58" w:rsidRDefault="00396C58" w:rsidP="00894ACF">
      <w:pPr>
        <w:pStyle w:val="TableFigureFooter"/>
        <w:rPr>
          <w:i/>
          <w:iCs/>
        </w:rPr>
      </w:pPr>
      <w:r w:rsidRPr="00396C58">
        <w:rPr>
          <w:i/>
          <w:iCs/>
          <w:vertAlign w:val="superscript"/>
        </w:rPr>
        <w:t>1</w:t>
      </w:r>
      <w:r w:rsidRPr="00396C58">
        <w:rPr>
          <w:i/>
          <w:iCs/>
        </w:rPr>
        <w:t xml:space="preserve"> &lt;500</w:t>
      </w:r>
    </w:p>
    <w:p w14:paraId="65CD965D" w14:textId="39D7351F" w:rsidR="00D0791A" w:rsidRPr="002F733E" w:rsidRDefault="00D0791A" w:rsidP="00D0791A">
      <w:pPr>
        <w:pStyle w:val="3-BodyText"/>
      </w:pPr>
      <w:r w:rsidRPr="002F733E">
        <w:t xml:space="preserve">A summary of the financial impact of anifrolumab for SLE is presented in </w:t>
      </w:r>
      <w:r w:rsidRPr="002F733E">
        <w:fldChar w:fldCharType="begin" w:fldLock="1"/>
      </w:r>
      <w:r w:rsidRPr="002F733E">
        <w:instrText xml:space="preserve"> REF _Ref121662510 \h </w:instrText>
      </w:r>
      <w:r w:rsidR="00736C58" w:rsidRPr="002F733E">
        <w:instrText xml:space="preserve"> \* MERGEFORMAT </w:instrText>
      </w:r>
      <w:r w:rsidRPr="002F733E">
        <w:fldChar w:fldCharType="separate"/>
      </w:r>
      <w:r w:rsidR="001316D2" w:rsidRPr="002F733E">
        <w:t>Table 15</w:t>
      </w:r>
      <w:r w:rsidRPr="002F733E">
        <w:fldChar w:fldCharType="end"/>
      </w:r>
      <w:r w:rsidRPr="002F733E">
        <w:t xml:space="preserve">. </w:t>
      </w:r>
      <w:r w:rsidR="00181025" w:rsidRPr="002F733E">
        <w:t>The total net cost to government over the first six years of use was reduced from the estimated $</w:t>
      </w:r>
      <w:r w:rsidR="00904F77">
        <w:t>600</w:t>
      </w:r>
      <w:r w:rsidR="00612BA3">
        <w:t> </w:t>
      </w:r>
      <w:r w:rsidR="00904F77">
        <w:t>million</w:t>
      </w:r>
      <w:r w:rsidR="00612BA3">
        <w:t> </w:t>
      </w:r>
      <w:r w:rsidR="00904F77">
        <w:t>to</w:t>
      </w:r>
      <w:r w:rsidR="00612BA3">
        <w:t> </w:t>
      </w:r>
      <w:r w:rsidR="00904F77">
        <w:t>&lt;</w:t>
      </w:r>
      <w:r w:rsidR="00612BA3">
        <w:t> </w:t>
      </w:r>
      <w:r w:rsidR="00904F77">
        <w:t>$700</w:t>
      </w:r>
      <w:r w:rsidR="00181025" w:rsidRPr="002F733E">
        <w:t xml:space="preserve"> million ($</w:t>
      </w:r>
      <w:r w:rsidR="00904F77">
        <w:t>500</w:t>
      </w:r>
      <w:r w:rsidR="00612BA3">
        <w:t> </w:t>
      </w:r>
      <w:r w:rsidR="00904F77">
        <w:t>million</w:t>
      </w:r>
      <w:r w:rsidR="00612BA3">
        <w:t> </w:t>
      </w:r>
      <w:r w:rsidR="00904F77">
        <w:t>to</w:t>
      </w:r>
      <w:r w:rsidR="00612BA3">
        <w:t> </w:t>
      </w:r>
      <w:r w:rsidR="00904F77">
        <w:t>&lt;</w:t>
      </w:r>
      <w:r w:rsidR="00612BA3">
        <w:t> </w:t>
      </w:r>
      <w:r w:rsidR="00904F77">
        <w:t>$600</w:t>
      </w:r>
      <w:r w:rsidR="00181025" w:rsidRPr="002F733E">
        <w:t>million PBS/RPBS costs, $</w:t>
      </w:r>
      <w:r w:rsidR="00904F77">
        <w:t>10</w:t>
      </w:r>
      <w:r w:rsidR="00612BA3">
        <w:t> </w:t>
      </w:r>
      <w:r w:rsidR="00904F77">
        <w:t>million</w:t>
      </w:r>
      <w:r w:rsidR="00612BA3">
        <w:t> </w:t>
      </w:r>
      <w:r w:rsidR="00904F77">
        <w:t>to</w:t>
      </w:r>
      <w:r w:rsidR="00612BA3">
        <w:t> </w:t>
      </w:r>
      <w:r w:rsidR="00904F77">
        <w:t>&lt;</w:t>
      </w:r>
      <w:r w:rsidR="00612BA3">
        <w:t> </w:t>
      </w:r>
      <w:r w:rsidR="00904F77">
        <w:t>$20</w:t>
      </w:r>
      <w:r w:rsidR="00181025" w:rsidRPr="002F733E">
        <w:t xml:space="preserve"> million MBS costs) in the July 2022 submission to $</w:t>
      </w:r>
      <w:r w:rsidR="00904F77">
        <w:t>200</w:t>
      </w:r>
      <w:r w:rsidR="00612BA3">
        <w:t> </w:t>
      </w:r>
      <w:r w:rsidR="00904F77">
        <w:t>million</w:t>
      </w:r>
      <w:r w:rsidR="00612BA3">
        <w:t> </w:t>
      </w:r>
      <w:r w:rsidR="00904F77">
        <w:t>to</w:t>
      </w:r>
      <w:r w:rsidR="00612BA3">
        <w:t> </w:t>
      </w:r>
      <w:r w:rsidR="00904F77">
        <w:t>&lt;</w:t>
      </w:r>
      <w:r w:rsidR="00612BA3">
        <w:t> </w:t>
      </w:r>
      <w:r w:rsidR="00904F77">
        <w:t>$300</w:t>
      </w:r>
      <w:r w:rsidR="00181025" w:rsidRPr="002F733E">
        <w:t xml:space="preserve"> million ($</w:t>
      </w:r>
      <w:r w:rsidR="00904F77">
        <w:t>100</w:t>
      </w:r>
      <w:r w:rsidR="00612BA3">
        <w:t> </w:t>
      </w:r>
      <w:r w:rsidR="00904F77">
        <w:t>million</w:t>
      </w:r>
      <w:r w:rsidR="00612BA3">
        <w:t> </w:t>
      </w:r>
      <w:r w:rsidR="00904F77">
        <w:t>to</w:t>
      </w:r>
      <w:r w:rsidR="00612BA3">
        <w:t> </w:t>
      </w:r>
      <w:r w:rsidR="00904F77">
        <w:t>&lt;</w:t>
      </w:r>
      <w:r w:rsidR="00612BA3">
        <w:t> </w:t>
      </w:r>
      <w:r w:rsidR="00904F77">
        <w:t>$200</w:t>
      </w:r>
      <w:r w:rsidR="00612BA3">
        <w:t> </w:t>
      </w:r>
      <w:r w:rsidR="00904F77">
        <w:t xml:space="preserve">million </w:t>
      </w:r>
      <w:r w:rsidR="00181025" w:rsidRPr="002F733E">
        <w:t xml:space="preserve">PBS/RPBS costs, </w:t>
      </w:r>
      <w:r w:rsidR="00EB6544">
        <w:t>$</w:t>
      </w:r>
      <w:r w:rsidR="00904F77">
        <w:t>10</w:t>
      </w:r>
      <w:r w:rsidR="00EB6544">
        <w:t> </w:t>
      </w:r>
      <w:r w:rsidR="00904F77">
        <w:t>million</w:t>
      </w:r>
      <w:r w:rsidR="00EB6544">
        <w:t> </w:t>
      </w:r>
      <w:r w:rsidR="00904F77">
        <w:t>to</w:t>
      </w:r>
      <w:r w:rsidR="00EB6544">
        <w:t> </w:t>
      </w:r>
      <w:r w:rsidR="00904F77">
        <w:t>&lt; $20</w:t>
      </w:r>
      <w:r w:rsidR="00181025" w:rsidRPr="002F733E">
        <w:t xml:space="preserve"> million MBS costs)</w:t>
      </w:r>
      <w:r w:rsidR="00640B1D" w:rsidRPr="002F733E">
        <w:t xml:space="preserve"> in the resubmission</w:t>
      </w:r>
      <w:r w:rsidR="00181025" w:rsidRPr="002F733E">
        <w:t xml:space="preserve">. </w:t>
      </w:r>
      <w:r w:rsidRPr="002F733E">
        <w:t xml:space="preserve">The resubmission’s estimates </w:t>
      </w:r>
      <w:r w:rsidR="00181025" w:rsidRPr="002F733E">
        <w:t xml:space="preserve">also </w:t>
      </w:r>
      <w:r w:rsidRPr="002F733E">
        <w:t>did not include MBS infusion fees for grandfathered patients which may not be appropriate.</w:t>
      </w:r>
      <w:r w:rsidR="00181025" w:rsidRPr="002F733E">
        <w:t xml:space="preserve"> </w:t>
      </w:r>
    </w:p>
    <w:p w14:paraId="4A58274C" w14:textId="77F36695" w:rsidR="00711B44" w:rsidRPr="002F733E" w:rsidRDefault="00711B44" w:rsidP="00D0791A">
      <w:pPr>
        <w:pStyle w:val="3-BodyText"/>
      </w:pPr>
      <w:r w:rsidRPr="002F733E">
        <w:t>The PSCR provided updated estimates which</w:t>
      </w:r>
      <w:r w:rsidR="00F17591" w:rsidRPr="002F733E">
        <w:t xml:space="preserve">, based on paragraph </w:t>
      </w:r>
      <w:r w:rsidR="00F17591" w:rsidRPr="002F733E">
        <w:fldChar w:fldCharType="begin" w:fldLock="1"/>
      </w:r>
      <w:r w:rsidR="00F17591" w:rsidRPr="002F733E">
        <w:instrText xml:space="preserve"> REF _Ref127282611 \r \h  \* MERGEFORMAT </w:instrText>
      </w:r>
      <w:r w:rsidR="00F17591" w:rsidRPr="002F733E">
        <w:fldChar w:fldCharType="separate"/>
      </w:r>
      <w:r w:rsidR="00F17591" w:rsidRPr="002F733E">
        <w:t>6.63</w:t>
      </w:r>
      <w:r w:rsidR="00F17591" w:rsidRPr="002F733E">
        <w:fldChar w:fldCharType="end"/>
      </w:r>
      <w:r w:rsidR="00F17591" w:rsidRPr="002F733E">
        <w:t>,</w:t>
      </w:r>
      <w:r w:rsidRPr="002F733E">
        <w:t xml:space="preserve"> assumed a lower continuation rate of 70.55%, capped uptake at 77% from Year 3 onwards and reduced the number of grandfather patients from </w:t>
      </w:r>
      <w:r w:rsidR="00904F77">
        <w:t>&lt;</w:t>
      </w:r>
      <w:r w:rsidR="00612BA3">
        <w:t> </w:t>
      </w:r>
      <w:r w:rsidR="00904F77">
        <w:t>500</w:t>
      </w:r>
      <w:r w:rsidRPr="002F733E">
        <w:t xml:space="preserve"> to </w:t>
      </w:r>
      <w:r w:rsidR="00904F77">
        <w:t>&lt;</w:t>
      </w:r>
      <w:r w:rsidR="00612BA3">
        <w:t> </w:t>
      </w:r>
      <w:r w:rsidR="00904F77">
        <w:t>500</w:t>
      </w:r>
      <w:r w:rsidRPr="002F733E">
        <w:t>. This resulted in a net cost to the PBS/RPBS of $</w:t>
      </w:r>
      <w:r w:rsidR="00904F77">
        <w:t>30</w:t>
      </w:r>
      <w:r w:rsidR="00612BA3">
        <w:t> </w:t>
      </w:r>
      <w:r w:rsidR="00904F77">
        <w:t>million</w:t>
      </w:r>
      <w:r w:rsidR="00612BA3">
        <w:t> </w:t>
      </w:r>
      <w:r w:rsidR="00904F77">
        <w:t>to</w:t>
      </w:r>
      <w:r w:rsidR="00612BA3">
        <w:t> </w:t>
      </w:r>
      <w:r w:rsidR="00904F77">
        <w:t>&lt;</w:t>
      </w:r>
      <w:r w:rsidR="00612BA3">
        <w:t> </w:t>
      </w:r>
      <w:r w:rsidR="00904F77">
        <w:t>$40</w:t>
      </w:r>
      <w:r w:rsidR="00612BA3">
        <w:t> </w:t>
      </w:r>
      <w:r w:rsidRPr="002F733E">
        <w:t xml:space="preserve">million in Year 6 and </w:t>
      </w:r>
      <w:r w:rsidR="00F17591" w:rsidRPr="002F733E">
        <w:t>which totalled</w:t>
      </w:r>
      <w:r w:rsidRPr="002F733E">
        <w:t xml:space="preserve"> $</w:t>
      </w:r>
      <w:r w:rsidR="00904F77">
        <w:t>100</w:t>
      </w:r>
      <w:r w:rsidR="00612BA3">
        <w:t> </w:t>
      </w:r>
      <w:r w:rsidR="00904F77">
        <w:t>million</w:t>
      </w:r>
      <w:r w:rsidR="00612BA3">
        <w:t> </w:t>
      </w:r>
      <w:r w:rsidR="00904F77">
        <w:t>to</w:t>
      </w:r>
      <w:r w:rsidR="00612BA3">
        <w:t> </w:t>
      </w:r>
      <w:r w:rsidR="00904F77">
        <w:t>&lt;</w:t>
      </w:r>
      <w:r w:rsidR="00612BA3">
        <w:t> </w:t>
      </w:r>
      <w:r w:rsidR="00904F77">
        <w:t>$200</w:t>
      </w:r>
      <w:r w:rsidR="00612BA3">
        <w:t> </w:t>
      </w:r>
      <w:r w:rsidRPr="002F733E">
        <w:t>million over the first 6 years of listing.</w:t>
      </w:r>
    </w:p>
    <w:p w14:paraId="43FF6A30" w14:textId="4994A6CD" w:rsidR="00383028" w:rsidRPr="002F733E" w:rsidRDefault="004F6809" w:rsidP="00B77620">
      <w:pPr>
        <w:pStyle w:val="3-BodyText"/>
      </w:pPr>
      <w:r w:rsidRPr="002F733E">
        <w:t xml:space="preserve">Updated estimates were provided in the </w:t>
      </w:r>
      <w:r w:rsidR="00383028" w:rsidRPr="002F733E">
        <w:t xml:space="preserve">pre-PBAC response </w:t>
      </w:r>
      <w:r w:rsidRPr="002F733E">
        <w:t xml:space="preserve">applying the revised price (see paragraph </w:t>
      </w:r>
      <w:r w:rsidRPr="002F733E">
        <w:fldChar w:fldCharType="begin" w:fldLock="1"/>
      </w:r>
      <w:r w:rsidRPr="002F733E">
        <w:instrText xml:space="preserve"> REF _Ref131429683 \r \h </w:instrText>
      </w:r>
      <w:r w:rsidRPr="002F733E">
        <w:fldChar w:fldCharType="separate"/>
      </w:r>
      <w:r w:rsidRPr="002F733E">
        <w:t>6.66</w:t>
      </w:r>
      <w:r w:rsidRPr="002F733E">
        <w:fldChar w:fldCharType="end"/>
      </w:r>
      <w:r w:rsidRPr="002F733E">
        <w:t>)</w:t>
      </w:r>
      <w:r w:rsidR="00DD325E">
        <w:t xml:space="preserve"> </w:t>
      </w:r>
      <w:r w:rsidRPr="002F733E">
        <w:t xml:space="preserve">and </w:t>
      </w:r>
      <w:r w:rsidR="00383028" w:rsidRPr="002F733E">
        <w:t>inclu</w:t>
      </w:r>
      <w:r w:rsidRPr="002F733E">
        <w:t>ding</w:t>
      </w:r>
      <w:r w:rsidR="00383028" w:rsidRPr="002F733E">
        <w:t xml:space="preserve"> revised assumptions for </w:t>
      </w:r>
      <w:r w:rsidR="00DD325E">
        <w:t xml:space="preserve">the </w:t>
      </w:r>
      <w:r w:rsidR="00383028" w:rsidRPr="002F733E">
        <w:t xml:space="preserve">uptake rates (Year 1, 30%; Year 2, 35%; Year 3, 40%; Year 4, 45%; Year 5, 50%; Year 6, 55%) and </w:t>
      </w:r>
      <w:r w:rsidR="00DD325E">
        <w:t>the c</w:t>
      </w:r>
      <w:r w:rsidR="00383028" w:rsidRPr="002F733E">
        <w:t>ontinuation rate (41%).  Th</w:t>
      </w:r>
      <w:r w:rsidR="00DD325E">
        <w:t xml:space="preserve">ese changes </w:t>
      </w:r>
      <w:r w:rsidR="00383028" w:rsidRPr="002F733E">
        <w:t>resulted in a net cost to the PBS/RPBS of $</w:t>
      </w:r>
      <w:r w:rsidR="00904F77">
        <w:t>10</w:t>
      </w:r>
      <w:r w:rsidR="00612BA3">
        <w:t> </w:t>
      </w:r>
      <w:r w:rsidR="00904F77">
        <w:t>million</w:t>
      </w:r>
      <w:r w:rsidR="00612BA3">
        <w:t> </w:t>
      </w:r>
      <w:r w:rsidR="00904F77">
        <w:t>to</w:t>
      </w:r>
      <w:r w:rsidR="00612BA3">
        <w:t> </w:t>
      </w:r>
      <w:r w:rsidR="00904F77">
        <w:t>&lt;</w:t>
      </w:r>
      <w:r w:rsidR="00612BA3">
        <w:t> </w:t>
      </w:r>
      <w:r w:rsidR="00904F77">
        <w:t>$20</w:t>
      </w:r>
      <w:r w:rsidR="00612BA3">
        <w:t> </w:t>
      </w:r>
      <w:r w:rsidR="00383028" w:rsidRPr="002F733E">
        <w:t>million in Year 6 and which totalled $</w:t>
      </w:r>
      <w:r w:rsidR="00904F77">
        <w:t>60</w:t>
      </w:r>
      <w:r w:rsidR="00612BA3">
        <w:t> </w:t>
      </w:r>
      <w:r w:rsidR="00904F77">
        <w:t>million</w:t>
      </w:r>
      <w:r w:rsidR="00612BA3">
        <w:t> </w:t>
      </w:r>
      <w:r w:rsidR="00904F77">
        <w:t>to</w:t>
      </w:r>
      <w:r w:rsidR="00612BA3">
        <w:t> </w:t>
      </w:r>
      <w:r w:rsidR="00904F77">
        <w:t>&lt;</w:t>
      </w:r>
      <w:r w:rsidR="00612BA3">
        <w:t> </w:t>
      </w:r>
      <w:r w:rsidR="00904F77">
        <w:t>$70</w:t>
      </w:r>
      <w:r w:rsidR="00612BA3">
        <w:t> </w:t>
      </w:r>
      <w:r w:rsidR="00383028" w:rsidRPr="002F733E">
        <w:t>million over the first 6 years of listing.</w:t>
      </w:r>
    </w:p>
    <w:p w14:paraId="6BB8D9EC" w14:textId="76F41C63" w:rsidR="00383028" w:rsidRPr="002F733E" w:rsidRDefault="00383028" w:rsidP="00383028"/>
    <w:p w14:paraId="025A8B9E" w14:textId="77777777" w:rsidR="00383028" w:rsidRPr="002F733E" w:rsidRDefault="00383028" w:rsidP="00054BFC"/>
    <w:p w14:paraId="4BAD2BA1" w14:textId="1A189A13" w:rsidR="007925DF" w:rsidRPr="002F733E" w:rsidRDefault="00E16AD8" w:rsidP="00E16AD8">
      <w:pPr>
        <w:pStyle w:val="Caption"/>
        <w:jc w:val="left"/>
      </w:pPr>
      <w:bookmarkStart w:id="65" w:name="_Ref121662510"/>
      <w:r w:rsidRPr="002F733E">
        <w:t xml:space="preserve">Table </w:t>
      </w:r>
      <w:fldSimple w:instr=" SEQ Table \* ARABIC " w:fldLock="1">
        <w:r w:rsidR="00781A0F" w:rsidRPr="002F733E">
          <w:t>15</w:t>
        </w:r>
      </w:fldSimple>
      <w:bookmarkEnd w:id="65"/>
      <w:r w:rsidRPr="002F733E">
        <w:t>:</w:t>
      </w:r>
      <w:r w:rsidR="007925DF" w:rsidRPr="002F733E">
        <w:t xml:space="preserve"> Estimation of number of treated patients and prescriptions </w:t>
      </w:r>
    </w:p>
    <w:tbl>
      <w:tblPr>
        <w:tblStyle w:val="TableGrid"/>
        <w:tblW w:w="9351" w:type="dxa"/>
        <w:tblLayout w:type="fixed"/>
        <w:tblCellMar>
          <w:left w:w="28" w:type="dxa"/>
          <w:right w:w="28" w:type="dxa"/>
        </w:tblCellMar>
        <w:tblLook w:val="04A0" w:firstRow="1" w:lastRow="0" w:firstColumn="1" w:lastColumn="0" w:noHBand="0" w:noVBand="1"/>
      </w:tblPr>
      <w:tblGrid>
        <w:gridCol w:w="988"/>
        <w:gridCol w:w="992"/>
        <w:gridCol w:w="1134"/>
        <w:gridCol w:w="1134"/>
        <w:gridCol w:w="1276"/>
        <w:gridCol w:w="1275"/>
        <w:gridCol w:w="1276"/>
        <w:gridCol w:w="1276"/>
      </w:tblGrid>
      <w:tr w:rsidR="00D0791A" w:rsidRPr="002F733E" w14:paraId="7E406D87" w14:textId="77777777" w:rsidTr="00CC0BB4">
        <w:trPr>
          <w:tblHeader/>
        </w:trPr>
        <w:tc>
          <w:tcPr>
            <w:tcW w:w="988" w:type="dxa"/>
            <w:shd w:val="clear" w:color="auto" w:fill="auto"/>
            <w:vAlign w:val="center"/>
          </w:tcPr>
          <w:p w14:paraId="0337264D" w14:textId="77777777" w:rsidR="00D0791A" w:rsidRPr="002F733E" w:rsidRDefault="00D0791A" w:rsidP="006A7AE4">
            <w:pPr>
              <w:pStyle w:val="TableText0"/>
              <w:keepLines/>
              <w:rPr>
                <w:szCs w:val="20"/>
              </w:rPr>
            </w:pPr>
            <w:bookmarkStart w:id="66" w:name="_Hlk131438580"/>
          </w:p>
        </w:tc>
        <w:tc>
          <w:tcPr>
            <w:tcW w:w="992" w:type="dxa"/>
            <w:shd w:val="clear" w:color="auto" w:fill="auto"/>
            <w:vAlign w:val="center"/>
          </w:tcPr>
          <w:p w14:paraId="75C507D9" w14:textId="77777777" w:rsidR="00D0791A" w:rsidRPr="002F733E" w:rsidRDefault="00D0791A" w:rsidP="006A7AE4">
            <w:pPr>
              <w:pStyle w:val="TableFigureHeading"/>
              <w:keepLines/>
              <w:jc w:val="center"/>
              <w:rPr>
                <w:szCs w:val="20"/>
              </w:rPr>
            </w:pPr>
            <w:r w:rsidRPr="002F733E">
              <w:rPr>
                <w:szCs w:val="20"/>
              </w:rPr>
              <w:t>Year 1</w:t>
            </w:r>
          </w:p>
        </w:tc>
        <w:tc>
          <w:tcPr>
            <w:tcW w:w="1134" w:type="dxa"/>
            <w:shd w:val="clear" w:color="auto" w:fill="auto"/>
            <w:vAlign w:val="center"/>
          </w:tcPr>
          <w:p w14:paraId="22CB12A9" w14:textId="77777777" w:rsidR="00D0791A" w:rsidRPr="002F733E" w:rsidRDefault="00D0791A" w:rsidP="006A7AE4">
            <w:pPr>
              <w:pStyle w:val="TableFigureHeading"/>
              <w:keepLines/>
              <w:jc w:val="center"/>
              <w:rPr>
                <w:szCs w:val="20"/>
              </w:rPr>
            </w:pPr>
            <w:r w:rsidRPr="002F733E">
              <w:rPr>
                <w:szCs w:val="20"/>
              </w:rPr>
              <w:t>Year 2</w:t>
            </w:r>
          </w:p>
        </w:tc>
        <w:tc>
          <w:tcPr>
            <w:tcW w:w="1134" w:type="dxa"/>
            <w:shd w:val="clear" w:color="auto" w:fill="auto"/>
            <w:vAlign w:val="center"/>
          </w:tcPr>
          <w:p w14:paraId="6397AD7E" w14:textId="77777777" w:rsidR="00D0791A" w:rsidRPr="002F733E" w:rsidRDefault="00D0791A" w:rsidP="006A7AE4">
            <w:pPr>
              <w:pStyle w:val="TableFigureHeading"/>
              <w:keepLines/>
              <w:jc w:val="center"/>
              <w:rPr>
                <w:szCs w:val="20"/>
              </w:rPr>
            </w:pPr>
            <w:r w:rsidRPr="002F733E">
              <w:rPr>
                <w:szCs w:val="20"/>
              </w:rPr>
              <w:t>Year 3</w:t>
            </w:r>
          </w:p>
        </w:tc>
        <w:tc>
          <w:tcPr>
            <w:tcW w:w="1276" w:type="dxa"/>
            <w:shd w:val="clear" w:color="auto" w:fill="auto"/>
            <w:vAlign w:val="center"/>
          </w:tcPr>
          <w:p w14:paraId="4CE79B48" w14:textId="77777777" w:rsidR="00D0791A" w:rsidRPr="002F733E" w:rsidRDefault="00D0791A" w:rsidP="006A7AE4">
            <w:pPr>
              <w:pStyle w:val="TableFigureHeading"/>
              <w:keepLines/>
              <w:jc w:val="center"/>
              <w:rPr>
                <w:szCs w:val="20"/>
              </w:rPr>
            </w:pPr>
            <w:r w:rsidRPr="002F733E">
              <w:rPr>
                <w:szCs w:val="20"/>
              </w:rPr>
              <w:t>Year 4</w:t>
            </w:r>
          </w:p>
        </w:tc>
        <w:tc>
          <w:tcPr>
            <w:tcW w:w="1275" w:type="dxa"/>
            <w:shd w:val="clear" w:color="auto" w:fill="auto"/>
            <w:vAlign w:val="center"/>
          </w:tcPr>
          <w:p w14:paraId="6C3CF132" w14:textId="77777777" w:rsidR="00D0791A" w:rsidRPr="002F733E" w:rsidRDefault="00D0791A" w:rsidP="006A7AE4">
            <w:pPr>
              <w:pStyle w:val="TableFigureHeading"/>
              <w:keepLines/>
              <w:jc w:val="center"/>
              <w:rPr>
                <w:szCs w:val="20"/>
              </w:rPr>
            </w:pPr>
            <w:r w:rsidRPr="002F733E">
              <w:rPr>
                <w:szCs w:val="20"/>
              </w:rPr>
              <w:t>Year 5</w:t>
            </w:r>
          </w:p>
        </w:tc>
        <w:tc>
          <w:tcPr>
            <w:tcW w:w="1276" w:type="dxa"/>
            <w:shd w:val="clear" w:color="auto" w:fill="auto"/>
            <w:vAlign w:val="center"/>
          </w:tcPr>
          <w:p w14:paraId="78FDF569" w14:textId="77777777" w:rsidR="00D0791A" w:rsidRPr="002F733E" w:rsidRDefault="00D0791A" w:rsidP="006A7AE4">
            <w:pPr>
              <w:pStyle w:val="TableFigureHeading"/>
              <w:keepLines/>
              <w:jc w:val="center"/>
              <w:rPr>
                <w:szCs w:val="20"/>
              </w:rPr>
            </w:pPr>
            <w:r w:rsidRPr="002F733E">
              <w:rPr>
                <w:szCs w:val="20"/>
              </w:rPr>
              <w:t>Year 6</w:t>
            </w:r>
          </w:p>
        </w:tc>
        <w:tc>
          <w:tcPr>
            <w:tcW w:w="1276" w:type="dxa"/>
            <w:vAlign w:val="center"/>
          </w:tcPr>
          <w:p w14:paraId="41BCACDD" w14:textId="77777777" w:rsidR="00D0791A" w:rsidRPr="002F733E" w:rsidRDefault="00D0791A" w:rsidP="006A7AE4">
            <w:pPr>
              <w:pStyle w:val="TableFigureHeading"/>
              <w:keepLines/>
              <w:jc w:val="center"/>
              <w:rPr>
                <w:szCs w:val="20"/>
              </w:rPr>
            </w:pPr>
            <w:r w:rsidRPr="002F733E">
              <w:rPr>
                <w:szCs w:val="20"/>
              </w:rPr>
              <w:t>Total</w:t>
            </w:r>
          </w:p>
        </w:tc>
      </w:tr>
      <w:tr w:rsidR="00D0791A" w:rsidRPr="002F733E" w14:paraId="67D6F3C5" w14:textId="77777777" w:rsidTr="00C56A14">
        <w:tc>
          <w:tcPr>
            <w:tcW w:w="9351" w:type="dxa"/>
            <w:gridSpan w:val="8"/>
            <w:shd w:val="clear" w:color="auto" w:fill="auto"/>
          </w:tcPr>
          <w:p w14:paraId="08B6CCAE" w14:textId="77777777" w:rsidR="00D0791A" w:rsidRPr="002F733E" w:rsidRDefault="00D0791A" w:rsidP="006A7AE4">
            <w:pPr>
              <w:pStyle w:val="In-tableHeading"/>
              <w:keepLines/>
              <w:rPr>
                <w:szCs w:val="20"/>
                <w:lang w:val="en-AU"/>
              </w:rPr>
            </w:pPr>
            <w:r w:rsidRPr="002F733E">
              <w:rPr>
                <w:szCs w:val="20"/>
                <w:lang w:val="en-AU"/>
              </w:rPr>
              <w:t>Patients</w:t>
            </w:r>
          </w:p>
        </w:tc>
      </w:tr>
      <w:tr w:rsidR="00D0791A" w:rsidRPr="002F733E" w14:paraId="608E4169" w14:textId="77777777" w:rsidTr="00CC0BB4">
        <w:tc>
          <w:tcPr>
            <w:tcW w:w="988" w:type="dxa"/>
            <w:shd w:val="clear" w:color="auto" w:fill="auto"/>
          </w:tcPr>
          <w:p w14:paraId="3C52AE20" w14:textId="77777777" w:rsidR="00D0791A" w:rsidRPr="002F733E" w:rsidRDefault="00D0791A" w:rsidP="006A7AE4">
            <w:pPr>
              <w:pStyle w:val="TableText0"/>
              <w:keepLines/>
              <w:rPr>
                <w:szCs w:val="20"/>
              </w:rPr>
            </w:pPr>
            <w:r w:rsidRPr="002F733E">
              <w:rPr>
                <w:szCs w:val="20"/>
              </w:rPr>
              <w:t>SLE pop.</w:t>
            </w:r>
          </w:p>
        </w:tc>
        <w:tc>
          <w:tcPr>
            <w:tcW w:w="992" w:type="dxa"/>
            <w:shd w:val="clear" w:color="auto" w:fill="C6D9F1" w:themeFill="text2" w:themeFillTint="33"/>
            <w:vAlign w:val="center"/>
          </w:tcPr>
          <w:p w14:paraId="4AEEC822" w14:textId="76B086EF" w:rsidR="00D0791A" w:rsidRPr="00C56A14" w:rsidRDefault="00EB6544" w:rsidP="006A7AE4">
            <w:pPr>
              <w:pStyle w:val="TableText0"/>
              <w:keepLines/>
              <w:jc w:val="center"/>
              <w:rPr>
                <w:szCs w:val="20"/>
                <w:highlight w:val="lightGray"/>
              </w:rPr>
            </w:pPr>
            <w:r w:rsidRPr="00EB6544">
              <w:rPr>
                <w:color w:val="000000"/>
                <w:spacing w:val="65"/>
                <w:szCs w:val="20"/>
                <w:shd w:val="solid" w:color="000000" w:fill="000000"/>
                <w:fitText w:val="366" w:id="-1236572667"/>
                <w14:textFill>
                  <w14:solidFill>
                    <w14:srgbClr w14:val="000000">
                      <w14:alpha w14:val="100000"/>
                    </w14:srgbClr>
                  </w14:solidFill>
                </w14:textFill>
              </w:rPr>
              <w:t>|||</w:t>
            </w:r>
            <w:r w:rsidRPr="00EB6544">
              <w:rPr>
                <w:color w:val="000000"/>
                <w:spacing w:val="1"/>
                <w:szCs w:val="20"/>
                <w:shd w:val="solid" w:color="000000" w:fill="000000"/>
                <w:fitText w:val="366" w:id="-1236572667"/>
                <w14:textFill>
                  <w14:solidFill>
                    <w14:srgbClr w14:val="000000">
                      <w14:alpha w14:val="100000"/>
                    </w14:srgbClr>
                  </w14:solidFill>
                </w14:textFill>
              </w:rPr>
              <w:t>|</w:t>
            </w:r>
            <w:r w:rsidR="00C56A14">
              <w:rPr>
                <w:vertAlign w:val="superscript"/>
              </w:rPr>
              <w:t>1</w:t>
            </w:r>
          </w:p>
        </w:tc>
        <w:tc>
          <w:tcPr>
            <w:tcW w:w="1134" w:type="dxa"/>
            <w:shd w:val="clear" w:color="auto" w:fill="C6D9F1" w:themeFill="text2" w:themeFillTint="33"/>
            <w:vAlign w:val="center"/>
          </w:tcPr>
          <w:p w14:paraId="45809745" w14:textId="75DAAE75" w:rsidR="00D0791A" w:rsidRPr="00C56A14" w:rsidRDefault="00EB6544" w:rsidP="006A7AE4">
            <w:pPr>
              <w:pStyle w:val="TableText0"/>
              <w:keepLines/>
              <w:jc w:val="center"/>
              <w:rPr>
                <w:szCs w:val="20"/>
                <w:highlight w:val="lightGray"/>
              </w:rPr>
            </w:pPr>
            <w:r w:rsidRPr="00EB6544">
              <w:rPr>
                <w:color w:val="000000"/>
                <w:spacing w:val="65"/>
                <w:szCs w:val="20"/>
                <w:shd w:val="solid" w:color="000000" w:fill="000000"/>
                <w:fitText w:val="366" w:id="-1236572666"/>
                <w14:textFill>
                  <w14:solidFill>
                    <w14:srgbClr w14:val="000000">
                      <w14:alpha w14:val="100000"/>
                    </w14:srgbClr>
                  </w14:solidFill>
                </w14:textFill>
              </w:rPr>
              <w:t>|||</w:t>
            </w:r>
            <w:r w:rsidRPr="00EB6544">
              <w:rPr>
                <w:color w:val="000000"/>
                <w:spacing w:val="1"/>
                <w:szCs w:val="20"/>
                <w:shd w:val="solid" w:color="000000" w:fill="000000"/>
                <w:fitText w:val="366" w:id="-1236572666"/>
                <w14:textFill>
                  <w14:solidFill>
                    <w14:srgbClr w14:val="000000">
                      <w14:alpha w14:val="100000"/>
                    </w14:srgbClr>
                  </w14:solidFill>
                </w14:textFill>
              </w:rPr>
              <w:t>|</w:t>
            </w:r>
            <w:r w:rsidR="00C56A14">
              <w:rPr>
                <w:vertAlign w:val="superscript"/>
              </w:rPr>
              <w:t>2</w:t>
            </w:r>
          </w:p>
        </w:tc>
        <w:tc>
          <w:tcPr>
            <w:tcW w:w="1134" w:type="dxa"/>
            <w:shd w:val="clear" w:color="auto" w:fill="C6D9F1" w:themeFill="text2" w:themeFillTint="33"/>
            <w:vAlign w:val="center"/>
          </w:tcPr>
          <w:p w14:paraId="71380083" w14:textId="2FE9F507" w:rsidR="00D0791A" w:rsidRPr="00C56A14" w:rsidRDefault="00EB6544" w:rsidP="006A7AE4">
            <w:pPr>
              <w:pStyle w:val="TableText0"/>
              <w:keepLines/>
              <w:jc w:val="center"/>
              <w:rPr>
                <w:szCs w:val="20"/>
                <w:highlight w:val="lightGray"/>
              </w:rPr>
            </w:pPr>
            <w:r w:rsidRPr="00EB6544">
              <w:rPr>
                <w:color w:val="000000"/>
                <w:spacing w:val="65"/>
                <w:szCs w:val="20"/>
                <w:shd w:val="solid" w:color="000000" w:fill="000000"/>
                <w:fitText w:val="366" w:id="-1236572665"/>
                <w14:textFill>
                  <w14:solidFill>
                    <w14:srgbClr w14:val="000000">
                      <w14:alpha w14:val="100000"/>
                    </w14:srgbClr>
                  </w14:solidFill>
                </w14:textFill>
              </w:rPr>
              <w:t>|||</w:t>
            </w:r>
            <w:r w:rsidRPr="00EB6544">
              <w:rPr>
                <w:color w:val="000000"/>
                <w:spacing w:val="1"/>
                <w:szCs w:val="20"/>
                <w:shd w:val="solid" w:color="000000" w:fill="000000"/>
                <w:fitText w:val="366" w:id="-1236572665"/>
                <w14:textFill>
                  <w14:solidFill>
                    <w14:srgbClr w14:val="000000">
                      <w14:alpha w14:val="100000"/>
                    </w14:srgbClr>
                  </w14:solidFill>
                </w14:textFill>
              </w:rPr>
              <w:t>|</w:t>
            </w:r>
            <w:r w:rsidR="00C56A14">
              <w:rPr>
                <w:vertAlign w:val="superscript"/>
              </w:rPr>
              <w:t>2</w:t>
            </w:r>
          </w:p>
        </w:tc>
        <w:tc>
          <w:tcPr>
            <w:tcW w:w="1276" w:type="dxa"/>
            <w:shd w:val="clear" w:color="auto" w:fill="C6D9F1" w:themeFill="text2" w:themeFillTint="33"/>
            <w:vAlign w:val="center"/>
          </w:tcPr>
          <w:p w14:paraId="0C78A89D" w14:textId="1CA1EEAB"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664"/>
                <w14:textFill>
                  <w14:solidFill>
                    <w14:srgbClr w14:val="000000">
                      <w14:alpha w14:val="100000"/>
                    </w14:srgbClr>
                  </w14:solidFill>
                </w14:textFill>
              </w:rPr>
              <w:t>|</w:t>
            </w:r>
            <w:r w:rsidRPr="00EB6544">
              <w:rPr>
                <w:color w:val="000000"/>
                <w:spacing w:val="1"/>
                <w:szCs w:val="20"/>
                <w:shd w:val="solid" w:color="000000" w:fill="000000"/>
                <w:fitText w:val="300" w:id="-1236572664"/>
                <w14:textFill>
                  <w14:solidFill>
                    <w14:srgbClr w14:val="000000">
                      <w14:alpha w14:val="100000"/>
                    </w14:srgbClr>
                  </w14:solidFill>
                </w14:textFill>
              </w:rPr>
              <w:t>|</w:t>
            </w:r>
            <w:r w:rsidR="00C56A14">
              <w:rPr>
                <w:vertAlign w:val="superscript"/>
              </w:rPr>
              <w:t>2</w:t>
            </w:r>
          </w:p>
        </w:tc>
        <w:tc>
          <w:tcPr>
            <w:tcW w:w="1275" w:type="dxa"/>
            <w:shd w:val="clear" w:color="auto" w:fill="C6D9F1" w:themeFill="text2" w:themeFillTint="33"/>
            <w:vAlign w:val="center"/>
          </w:tcPr>
          <w:p w14:paraId="0BE94ECD" w14:textId="2EA65645"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663"/>
                <w14:textFill>
                  <w14:solidFill>
                    <w14:srgbClr w14:val="000000">
                      <w14:alpha w14:val="100000"/>
                    </w14:srgbClr>
                  </w14:solidFill>
                </w14:textFill>
              </w:rPr>
              <w:t>|</w:t>
            </w:r>
            <w:r w:rsidRPr="00EB6544">
              <w:rPr>
                <w:color w:val="000000"/>
                <w:spacing w:val="1"/>
                <w:szCs w:val="20"/>
                <w:shd w:val="solid" w:color="000000" w:fill="000000"/>
                <w:fitText w:val="300" w:id="-1236572663"/>
                <w14:textFill>
                  <w14:solidFill>
                    <w14:srgbClr w14:val="000000">
                      <w14:alpha w14:val="100000"/>
                    </w14:srgbClr>
                  </w14:solidFill>
                </w14:textFill>
              </w:rPr>
              <w:t>|</w:t>
            </w:r>
            <w:r w:rsidR="00C56A14">
              <w:rPr>
                <w:vertAlign w:val="superscript"/>
              </w:rPr>
              <w:t>2</w:t>
            </w:r>
          </w:p>
        </w:tc>
        <w:tc>
          <w:tcPr>
            <w:tcW w:w="1276" w:type="dxa"/>
            <w:shd w:val="clear" w:color="auto" w:fill="C6D9F1" w:themeFill="text2" w:themeFillTint="33"/>
            <w:vAlign w:val="center"/>
          </w:tcPr>
          <w:p w14:paraId="1080D80E" w14:textId="630B0EAB" w:rsidR="00D0791A" w:rsidRPr="00C56A14" w:rsidRDefault="00EB6544" w:rsidP="006A7AE4">
            <w:pPr>
              <w:pStyle w:val="TableText0"/>
              <w:keepLines/>
              <w:jc w:val="center"/>
              <w:rPr>
                <w:szCs w:val="20"/>
                <w:highlight w:val="lightGray"/>
              </w:rPr>
            </w:pPr>
            <w:r w:rsidRPr="00EB6544">
              <w:rPr>
                <w:color w:val="000000"/>
                <w:spacing w:val="213"/>
                <w:szCs w:val="20"/>
                <w:shd w:val="solid" w:color="000000" w:fill="000000"/>
                <w:fitText w:val="299" w:id="-1236572662"/>
                <w14:textFill>
                  <w14:solidFill>
                    <w14:srgbClr w14:val="000000">
                      <w14:alpha w14:val="100000"/>
                    </w14:srgbClr>
                  </w14:solidFill>
                </w14:textFill>
              </w:rPr>
              <w:t>|</w:t>
            </w:r>
            <w:r w:rsidRPr="00EB6544">
              <w:rPr>
                <w:color w:val="000000"/>
                <w:spacing w:val="1"/>
                <w:szCs w:val="20"/>
                <w:shd w:val="solid" w:color="000000" w:fill="000000"/>
                <w:fitText w:val="299" w:id="-1236572662"/>
                <w14:textFill>
                  <w14:solidFill>
                    <w14:srgbClr w14:val="000000">
                      <w14:alpha w14:val="100000"/>
                    </w14:srgbClr>
                  </w14:solidFill>
                </w14:textFill>
              </w:rPr>
              <w:t>|</w:t>
            </w:r>
            <w:r w:rsidR="00C56A14">
              <w:rPr>
                <w:vertAlign w:val="superscript"/>
              </w:rPr>
              <w:t>2</w:t>
            </w:r>
          </w:p>
        </w:tc>
        <w:tc>
          <w:tcPr>
            <w:tcW w:w="1276" w:type="dxa"/>
            <w:shd w:val="clear" w:color="auto" w:fill="C6D9F1" w:themeFill="text2" w:themeFillTint="33"/>
            <w:vAlign w:val="center"/>
          </w:tcPr>
          <w:p w14:paraId="39ED52CC" w14:textId="633A4E86"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661"/>
                <w14:textFill>
                  <w14:solidFill>
                    <w14:srgbClr w14:val="000000">
                      <w14:alpha w14:val="100000"/>
                    </w14:srgbClr>
                  </w14:solidFill>
                </w14:textFill>
              </w:rPr>
              <w:t>|</w:t>
            </w:r>
            <w:r w:rsidRPr="00EB6544">
              <w:rPr>
                <w:color w:val="000000"/>
                <w:spacing w:val="1"/>
                <w:szCs w:val="20"/>
                <w:shd w:val="solid" w:color="000000" w:fill="000000"/>
                <w:fitText w:val="300" w:id="-1236572661"/>
                <w14:textFill>
                  <w14:solidFill>
                    <w14:srgbClr w14:val="000000">
                      <w14:alpha w14:val="100000"/>
                    </w14:srgbClr>
                  </w14:solidFill>
                </w14:textFill>
              </w:rPr>
              <w:t>|</w:t>
            </w:r>
            <w:r w:rsidR="00C56A14">
              <w:rPr>
                <w:vertAlign w:val="superscript"/>
              </w:rPr>
              <w:t>3</w:t>
            </w:r>
          </w:p>
        </w:tc>
      </w:tr>
      <w:tr w:rsidR="00D0791A" w:rsidRPr="002F733E" w14:paraId="14A52912" w14:textId="77777777" w:rsidTr="00CC0BB4">
        <w:tc>
          <w:tcPr>
            <w:tcW w:w="988" w:type="dxa"/>
            <w:vMerge w:val="restart"/>
            <w:shd w:val="clear" w:color="auto" w:fill="auto"/>
            <w:vAlign w:val="center"/>
          </w:tcPr>
          <w:p w14:paraId="4C704929" w14:textId="77777777" w:rsidR="00D0791A" w:rsidRPr="002F733E" w:rsidRDefault="00D0791A" w:rsidP="006A7AE4">
            <w:pPr>
              <w:pStyle w:val="TableText0"/>
              <w:keepLines/>
              <w:rPr>
                <w:szCs w:val="20"/>
              </w:rPr>
            </w:pPr>
            <w:r w:rsidRPr="002F733E">
              <w:rPr>
                <w:szCs w:val="20"/>
              </w:rPr>
              <w:t>Eligible pop.</w:t>
            </w:r>
          </w:p>
        </w:tc>
        <w:tc>
          <w:tcPr>
            <w:tcW w:w="992" w:type="dxa"/>
            <w:shd w:val="clear" w:color="auto" w:fill="C6D9F1" w:themeFill="text2" w:themeFillTint="33"/>
            <w:vAlign w:val="center"/>
          </w:tcPr>
          <w:p w14:paraId="0AB398F1" w14:textId="6ED2BD53" w:rsidR="00D0791A" w:rsidRPr="00C56A14" w:rsidRDefault="00EB6544" w:rsidP="006A7AE4">
            <w:pPr>
              <w:pStyle w:val="TableText0"/>
              <w:keepLines/>
              <w:jc w:val="center"/>
              <w:rPr>
                <w:szCs w:val="20"/>
                <w:highlight w:val="lightGray"/>
              </w:rPr>
            </w:pPr>
            <w:r w:rsidRPr="00EB6544">
              <w:rPr>
                <w:color w:val="000000"/>
                <w:spacing w:val="65"/>
                <w:szCs w:val="20"/>
                <w:shd w:val="solid" w:color="000000" w:fill="000000"/>
                <w:fitText w:val="366" w:id="-1236572660"/>
                <w14:textFill>
                  <w14:solidFill>
                    <w14:srgbClr w14:val="000000">
                      <w14:alpha w14:val="100000"/>
                    </w14:srgbClr>
                  </w14:solidFill>
                </w14:textFill>
              </w:rPr>
              <w:t>|||</w:t>
            </w:r>
            <w:r w:rsidRPr="00EB6544">
              <w:rPr>
                <w:color w:val="000000"/>
                <w:spacing w:val="1"/>
                <w:szCs w:val="20"/>
                <w:shd w:val="solid" w:color="000000" w:fill="000000"/>
                <w:fitText w:val="366" w:id="-1236572660"/>
                <w14:textFill>
                  <w14:solidFill>
                    <w14:srgbClr w14:val="000000">
                      <w14:alpha w14:val="100000"/>
                    </w14:srgbClr>
                  </w14:solidFill>
                </w14:textFill>
              </w:rPr>
              <w:t>|</w:t>
            </w:r>
            <w:r w:rsidR="00C56A14">
              <w:rPr>
                <w:vertAlign w:val="superscript"/>
              </w:rPr>
              <w:t>4</w:t>
            </w:r>
          </w:p>
        </w:tc>
        <w:tc>
          <w:tcPr>
            <w:tcW w:w="1134" w:type="dxa"/>
            <w:shd w:val="clear" w:color="auto" w:fill="C6D9F1" w:themeFill="text2" w:themeFillTint="33"/>
            <w:vAlign w:val="center"/>
          </w:tcPr>
          <w:p w14:paraId="26FF105F" w14:textId="2B016512" w:rsidR="00D0791A" w:rsidRPr="00C56A14" w:rsidRDefault="00EB6544" w:rsidP="006A7AE4">
            <w:pPr>
              <w:pStyle w:val="TableText0"/>
              <w:keepLines/>
              <w:jc w:val="center"/>
              <w:rPr>
                <w:szCs w:val="20"/>
                <w:highlight w:val="lightGray"/>
              </w:rPr>
            </w:pPr>
            <w:r w:rsidRPr="00EB6544">
              <w:rPr>
                <w:color w:val="000000"/>
                <w:spacing w:val="65"/>
                <w:szCs w:val="20"/>
                <w:shd w:val="solid" w:color="000000" w:fill="000000"/>
                <w:fitText w:val="366" w:id="-1236572659"/>
                <w14:textFill>
                  <w14:solidFill>
                    <w14:srgbClr w14:val="000000">
                      <w14:alpha w14:val="100000"/>
                    </w14:srgbClr>
                  </w14:solidFill>
                </w14:textFill>
              </w:rPr>
              <w:t>|||</w:t>
            </w:r>
            <w:r w:rsidRPr="00EB6544">
              <w:rPr>
                <w:color w:val="000000"/>
                <w:spacing w:val="1"/>
                <w:szCs w:val="20"/>
                <w:shd w:val="solid" w:color="000000" w:fill="000000"/>
                <w:fitText w:val="366" w:id="-1236572659"/>
                <w14:textFill>
                  <w14:solidFill>
                    <w14:srgbClr w14:val="000000">
                      <w14:alpha w14:val="100000"/>
                    </w14:srgbClr>
                  </w14:solidFill>
                </w14:textFill>
              </w:rPr>
              <w:t>|</w:t>
            </w:r>
            <w:r w:rsidR="00C56A14">
              <w:rPr>
                <w:vertAlign w:val="superscript"/>
              </w:rPr>
              <w:t>4</w:t>
            </w:r>
          </w:p>
        </w:tc>
        <w:tc>
          <w:tcPr>
            <w:tcW w:w="1134" w:type="dxa"/>
            <w:shd w:val="clear" w:color="auto" w:fill="C6D9F1" w:themeFill="text2" w:themeFillTint="33"/>
            <w:vAlign w:val="center"/>
          </w:tcPr>
          <w:p w14:paraId="2223D68B" w14:textId="0773F400" w:rsidR="00D0791A" w:rsidRPr="00C56A14" w:rsidRDefault="00EB6544" w:rsidP="006A7AE4">
            <w:pPr>
              <w:pStyle w:val="TableText0"/>
              <w:keepLines/>
              <w:jc w:val="center"/>
              <w:rPr>
                <w:szCs w:val="20"/>
                <w:highlight w:val="lightGray"/>
              </w:rPr>
            </w:pPr>
            <w:r w:rsidRPr="00EB6544">
              <w:rPr>
                <w:color w:val="000000"/>
                <w:spacing w:val="65"/>
                <w:szCs w:val="20"/>
                <w:shd w:val="solid" w:color="000000" w:fill="000000"/>
                <w:fitText w:val="366" w:id="-1236572658"/>
                <w14:textFill>
                  <w14:solidFill>
                    <w14:srgbClr w14:val="000000">
                      <w14:alpha w14:val="100000"/>
                    </w14:srgbClr>
                  </w14:solidFill>
                </w14:textFill>
              </w:rPr>
              <w:t>|||</w:t>
            </w:r>
            <w:r w:rsidRPr="00EB6544">
              <w:rPr>
                <w:color w:val="000000"/>
                <w:spacing w:val="1"/>
                <w:szCs w:val="20"/>
                <w:shd w:val="solid" w:color="000000" w:fill="000000"/>
                <w:fitText w:val="366" w:id="-1236572658"/>
                <w14:textFill>
                  <w14:solidFill>
                    <w14:srgbClr w14:val="000000">
                      <w14:alpha w14:val="100000"/>
                    </w14:srgbClr>
                  </w14:solidFill>
                </w14:textFill>
              </w:rPr>
              <w:t>|</w:t>
            </w:r>
            <w:r w:rsidR="00C56A14">
              <w:rPr>
                <w:vertAlign w:val="superscript"/>
              </w:rPr>
              <w:t>4</w:t>
            </w:r>
          </w:p>
        </w:tc>
        <w:tc>
          <w:tcPr>
            <w:tcW w:w="1276" w:type="dxa"/>
            <w:shd w:val="clear" w:color="auto" w:fill="C6D9F1" w:themeFill="text2" w:themeFillTint="33"/>
            <w:vAlign w:val="center"/>
          </w:tcPr>
          <w:p w14:paraId="53EA57A7" w14:textId="37D91D79"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657"/>
                <w14:textFill>
                  <w14:solidFill>
                    <w14:srgbClr w14:val="000000">
                      <w14:alpha w14:val="100000"/>
                    </w14:srgbClr>
                  </w14:solidFill>
                </w14:textFill>
              </w:rPr>
              <w:t>|</w:t>
            </w:r>
            <w:r w:rsidRPr="00EB6544">
              <w:rPr>
                <w:color w:val="000000"/>
                <w:spacing w:val="1"/>
                <w:szCs w:val="20"/>
                <w:shd w:val="solid" w:color="000000" w:fill="000000"/>
                <w:fitText w:val="300" w:id="-1236572657"/>
                <w14:textFill>
                  <w14:solidFill>
                    <w14:srgbClr w14:val="000000">
                      <w14:alpha w14:val="100000"/>
                    </w14:srgbClr>
                  </w14:solidFill>
                </w14:textFill>
              </w:rPr>
              <w:t>|</w:t>
            </w:r>
            <w:r w:rsidR="00C56A14">
              <w:rPr>
                <w:vertAlign w:val="superscript"/>
              </w:rPr>
              <w:t>4</w:t>
            </w:r>
          </w:p>
        </w:tc>
        <w:tc>
          <w:tcPr>
            <w:tcW w:w="1275" w:type="dxa"/>
            <w:shd w:val="clear" w:color="auto" w:fill="C6D9F1" w:themeFill="text2" w:themeFillTint="33"/>
            <w:vAlign w:val="center"/>
          </w:tcPr>
          <w:p w14:paraId="6031949B" w14:textId="20C56844"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656"/>
                <w14:textFill>
                  <w14:solidFill>
                    <w14:srgbClr w14:val="000000">
                      <w14:alpha w14:val="100000"/>
                    </w14:srgbClr>
                  </w14:solidFill>
                </w14:textFill>
              </w:rPr>
              <w:t>|</w:t>
            </w:r>
            <w:r w:rsidRPr="00EB6544">
              <w:rPr>
                <w:color w:val="000000"/>
                <w:spacing w:val="1"/>
                <w:szCs w:val="20"/>
                <w:shd w:val="solid" w:color="000000" w:fill="000000"/>
                <w:fitText w:val="300" w:id="-1236572656"/>
                <w14:textFill>
                  <w14:solidFill>
                    <w14:srgbClr w14:val="000000">
                      <w14:alpha w14:val="100000"/>
                    </w14:srgbClr>
                  </w14:solidFill>
                </w14:textFill>
              </w:rPr>
              <w:t>|</w:t>
            </w:r>
            <w:r w:rsidR="00C56A14">
              <w:rPr>
                <w:vertAlign w:val="superscript"/>
              </w:rPr>
              <w:t>4</w:t>
            </w:r>
          </w:p>
        </w:tc>
        <w:tc>
          <w:tcPr>
            <w:tcW w:w="1276" w:type="dxa"/>
            <w:shd w:val="clear" w:color="auto" w:fill="C6D9F1" w:themeFill="text2" w:themeFillTint="33"/>
            <w:vAlign w:val="center"/>
          </w:tcPr>
          <w:p w14:paraId="691EF092" w14:textId="6481965A" w:rsidR="00D0791A" w:rsidRPr="00C56A14" w:rsidRDefault="00EB6544" w:rsidP="006A7AE4">
            <w:pPr>
              <w:pStyle w:val="TableText0"/>
              <w:keepLines/>
              <w:jc w:val="center"/>
              <w:rPr>
                <w:szCs w:val="20"/>
                <w:highlight w:val="lightGray"/>
              </w:rPr>
            </w:pPr>
            <w:r w:rsidRPr="00EB6544">
              <w:rPr>
                <w:color w:val="000000"/>
                <w:spacing w:val="213"/>
                <w:szCs w:val="20"/>
                <w:shd w:val="solid" w:color="000000" w:fill="000000"/>
                <w:fitText w:val="299" w:id="-1236572672"/>
                <w14:textFill>
                  <w14:solidFill>
                    <w14:srgbClr w14:val="000000">
                      <w14:alpha w14:val="100000"/>
                    </w14:srgbClr>
                  </w14:solidFill>
                </w14:textFill>
              </w:rPr>
              <w:t>|</w:t>
            </w:r>
            <w:r w:rsidRPr="00EB6544">
              <w:rPr>
                <w:color w:val="000000"/>
                <w:spacing w:val="1"/>
                <w:szCs w:val="20"/>
                <w:shd w:val="solid" w:color="000000" w:fill="000000"/>
                <w:fitText w:val="299" w:id="-1236572672"/>
                <w14:textFill>
                  <w14:solidFill>
                    <w14:srgbClr w14:val="000000">
                      <w14:alpha w14:val="100000"/>
                    </w14:srgbClr>
                  </w14:solidFill>
                </w14:textFill>
              </w:rPr>
              <w:t>|</w:t>
            </w:r>
            <w:r w:rsidR="00C56A14">
              <w:rPr>
                <w:vertAlign w:val="superscript"/>
              </w:rPr>
              <w:t>4</w:t>
            </w:r>
          </w:p>
        </w:tc>
        <w:tc>
          <w:tcPr>
            <w:tcW w:w="1276" w:type="dxa"/>
            <w:shd w:val="clear" w:color="auto" w:fill="C6D9F1" w:themeFill="text2" w:themeFillTint="33"/>
            <w:vAlign w:val="center"/>
          </w:tcPr>
          <w:p w14:paraId="63001151" w14:textId="375696BE"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671"/>
                <w14:textFill>
                  <w14:solidFill>
                    <w14:srgbClr w14:val="000000">
                      <w14:alpha w14:val="100000"/>
                    </w14:srgbClr>
                  </w14:solidFill>
                </w14:textFill>
              </w:rPr>
              <w:t>|</w:t>
            </w:r>
            <w:r w:rsidRPr="00EB6544">
              <w:rPr>
                <w:color w:val="000000"/>
                <w:spacing w:val="1"/>
                <w:szCs w:val="20"/>
                <w:shd w:val="solid" w:color="000000" w:fill="000000"/>
                <w:fitText w:val="300" w:id="-1236572671"/>
                <w14:textFill>
                  <w14:solidFill>
                    <w14:srgbClr w14:val="000000">
                      <w14:alpha w14:val="100000"/>
                    </w14:srgbClr>
                  </w14:solidFill>
                </w14:textFill>
              </w:rPr>
              <w:t>|</w:t>
            </w:r>
            <w:r w:rsidR="00C56A14">
              <w:rPr>
                <w:vertAlign w:val="superscript"/>
              </w:rPr>
              <w:t>6</w:t>
            </w:r>
          </w:p>
        </w:tc>
      </w:tr>
      <w:tr w:rsidR="00D0791A" w:rsidRPr="002F733E" w14:paraId="3E0B9046" w14:textId="77777777" w:rsidTr="00CC0BB4">
        <w:tc>
          <w:tcPr>
            <w:tcW w:w="988" w:type="dxa"/>
            <w:vMerge/>
            <w:shd w:val="clear" w:color="auto" w:fill="auto"/>
            <w:vAlign w:val="center"/>
          </w:tcPr>
          <w:p w14:paraId="1F254672" w14:textId="77777777" w:rsidR="00D0791A" w:rsidRPr="002F733E" w:rsidRDefault="00D0791A" w:rsidP="006A7AE4">
            <w:pPr>
              <w:pStyle w:val="TableText0"/>
              <w:keepLines/>
              <w:rPr>
                <w:szCs w:val="20"/>
              </w:rPr>
            </w:pPr>
          </w:p>
        </w:tc>
        <w:tc>
          <w:tcPr>
            <w:tcW w:w="992" w:type="dxa"/>
            <w:shd w:val="clear" w:color="auto" w:fill="auto"/>
          </w:tcPr>
          <w:p w14:paraId="740C5203" w14:textId="69F1FA5F" w:rsidR="00D0791A" w:rsidRPr="00C56A14" w:rsidRDefault="00EB6544" w:rsidP="006A7AE4">
            <w:pPr>
              <w:pStyle w:val="TableText0"/>
              <w:keepLines/>
              <w:jc w:val="center"/>
              <w:rPr>
                <w:szCs w:val="20"/>
                <w:highlight w:val="lightGray"/>
              </w:rPr>
            </w:pPr>
            <w:r w:rsidRPr="00EB6544">
              <w:rPr>
                <w:color w:val="000000"/>
                <w:spacing w:val="65"/>
                <w:shd w:val="solid" w:color="000000" w:fill="000000"/>
                <w:fitText w:val="366" w:id="-1236572670"/>
                <w14:textFill>
                  <w14:solidFill>
                    <w14:srgbClr w14:val="000000">
                      <w14:alpha w14:val="100000"/>
                    </w14:srgbClr>
                  </w14:solidFill>
                </w14:textFill>
              </w:rPr>
              <w:t>|||</w:t>
            </w:r>
            <w:r w:rsidRPr="00EB6544">
              <w:rPr>
                <w:color w:val="000000"/>
                <w:spacing w:val="1"/>
                <w:shd w:val="solid" w:color="000000" w:fill="000000"/>
                <w:fitText w:val="366" w:id="-1236572670"/>
                <w14:textFill>
                  <w14:solidFill>
                    <w14:srgbClr w14:val="000000">
                      <w14:alpha w14:val="100000"/>
                    </w14:srgbClr>
                  </w14:solidFill>
                </w14:textFill>
              </w:rPr>
              <w:t>|</w:t>
            </w:r>
            <w:r w:rsidR="00C56A14">
              <w:rPr>
                <w:vertAlign w:val="superscript"/>
              </w:rPr>
              <w:t>5</w:t>
            </w:r>
          </w:p>
        </w:tc>
        <w:tc>
          <w:tcPr>
            <w:tcW w:w="1134" w:type="dxa"/>
            <w:shd w:val="clear" w:color="auto" w:fill="auto"/>
          </w:tcPr>
          <w:p w14:paraId="17B32BB0" w14:textId="7E87B4CB" w:rsidR="00D0791A" w:rsidRPr="00C56A14" w:rsidRDefault="00EB6544" w:rsidP="006A7AE4">
            <w:pPr>
              <w:pStyle w:val="TableText0"/>
              <w:keepLines/>
              <w:jc w:val="center"/>
              <w:rPr>
                <w:szCs w:val="20"/>
                <w:highlight w:val="lightGray"/>
              </w:rPr>
            </w:pPr>
            <w:r w:rsidRPr="00EB6544">
              <w:rPr>
                <w:color w:val="000000"/>
                <w:spacing w:val="65"/>
                <w:shd w:val="solid" w:color="000000" w:fill="000000"/>
                <w:fitText w:val="366" w:id="-1236572669"/>
                <w14:textFill>
                  <w14:solidFill>
                    <w14:srgbClr w14:val="000000">
                      <w14:alpha w14:val="100000"/>
                    </w14:srgbClr>
                  </w14:solidFill>
                </w14:textFill>
              </w:rPr>
              <w:t>|||</w:t>
            </w:r>
            <w:r w:rsidRPr="00EB6544">
              <w:rPr>
                <w:color w:val="000000"/>
                <w:spacing w:val="1"/>
                <w:shd w:val="solid" w:color="000000" w:fill="000000"/>
                <w:fitText w:val="366" w:id="-1236572669"/>
                <w14:textFill>
                  <w14:solidFill>
                    <w14:srgbClr w14:val="000000">
                      <w14:alpha w14:val="100000"/>
                    </w14:srgbClr>
                  </w14:solidFill>
                </w14:textFill>
              </w:rPr>
              <w:t>|</w:t>
            </w:r>
            <w:r w:rsidR="00C56A14">
              <w:rPr>
                <w:vertAlign w:val="superscript"/>
              </w:rPr>
              <w:t>5</w:t>
            </w:r>
          </w:p>
        </w:tc>
        <w:tc>
          <w:tcPr>
            <w:tcW w:w="1134" w:type="dxa"/>
            <w:shd w:val="clear" w:color="auto" w:fill="auto"/>
          </w:tcPr>
          <w:p w14:paraId="4F9FB64F" w14:textId="3515D874" w:rsidR="00D0791A" w:rsidRPr="00C56A14" w:rsidRDefault="00EB6544" w:rsidP="006A7AE4">
            <w:pPr>
              <w:pStyle w:val="TableText0"/>
              <w:keepLines/>
              <w:jc w:val="center"/>
              <w:rPr>
                <w:szCs w:val="20"/>
                <w:highlight w:val="lightGray"/>
              </w:rPr>
            </w:pPr>
            <w:r w:rsidRPr="00EB6544">
              <w:rPr>
                <w:color w:val="000000"/>
                <w:spacing w:val="65"/>
                <w:shd w:val="solid" w:color="000000" w:fill="000000"/>
                <w:fitText w:val="366" w:id="-1236572668"/>
                <w14:textFill>
                  <w14:solidFill>
                    <w14:srgbClr w14:val="000000">
                      <w14:alpha w14:val="100000"/>
                    </w14:srgbClr>
                  </w14:solidFill>
                </w14:textFill>
              </w:rPr>
              <w:t>|||</w:t>
            </w:r>
            <w:r w:rsidRPr="00EB6544">
              <w:rPr>
                <w:color w:val="000000"/>
                <w:spacing w:val="1"/>
                <w:shd w:val="solid" w:color="000000" w:fill="000000"/>
                <w:fitText w:val="366" w:id="-1236572668"/>
                <w14:textFill>
                  <w14:solidFill>
                    <w14:srgbClr w14:val="000000">
                      <w14:alpha w14:val="100000"/>
                    </w14:srgbClr>
                  </w14:solidFill>
                </w14:textFill>
              </w:rPr>
              <w:t>|</w:t>
            </w:r>
            <w:r w:rsidR="00C56A14">
              <w:rPr>
                <w:vertAlign w:val="superscript"/>
              </w:rPr>
              <w:t>5</w:t>
            </w:r>
          </w:p>
        </w:tc>
        <w:tc>
          <w:tcPr>
            <w:tcW w:w="1276" w:type="dxa"/>
            <w:shd w:val="clear" w:color="auto" w:fill="auto"/>
          </w:tcPr>
          <w:p w14:paraId="3D21D775" w14:textId="4591C90C" w:rsidR="00D0791A" w:rsidRPr="00C56A14" w:rsidRDefault="00EB6544" w:rsidP="006A7AE4">
            <w:pPr>
              <w:pStyle w:val="TableText0"/>
              <w:keepLines/>
              <w:jc w:val="center"/>
              <w:rPr>
                <w:szCs w:val="20"/>
                <w:highlight w:val="lightGray"/>
              </w:rPr>
            </w:pPr>
            <w:r w:rsidRPr="00EB6544">
              <w:rPr>
                <w:color w:val="000000"/>
                <w:spacing w:val="214"/>
                <w:shd w:val="solid" w:color="000000" w:fill="000000"/>
                <w:fitText w:val="300" w:id="-1236572667"/>
                <w14:textFill>
                  <w14:solidFill>
                    <w14:srgbClr w14:val="000000">
                      <w14:alpha w14:val="100000"/>
                    </w14:srgbClr>
                  </w14:solidFill>
                </w14:textFill>
              </w:rPr>
              <w:t>|</w:t>
            </w:r>
            <w:r w:rsidRPr="00EB6544">
              <w:rPr>
                <w:color w:val="000000"/>
                <w:spacing w:val="1"/>
                <w:shd w:val="solid" w:color="000000" w:fill="000000"/>
                <w:fitText w:val="300" w:id="-1236572667"/>
                <w14:textFill>
                  <w14:solidFill>
                    <w14:srgbClr w14:val="000000">
                      <w14:alpha w14:val="100000"/>
                    </w14:srgbClr>
                  </w14:solidFill>
                </w14:textFill>
              </w:rPr>
              <w:t>|</w:t>
            </w:r>
            <w:r w:rsidR="00C56A14">
              <w:rPr>
                <w:vertAlign w:val="superscript"/>
              </w:rPr>
              <w:t>5</w:t>
            </w:r>
          </w:p>
        </w:tc>
        <w:tc>
          <w:tcPr>
            <w:tcW w:w="1275" w:type="dxa"/>
            <w:shd w:val="clear" w:color="auto" w:fill="auto"/>
          </w:tcPr>
          <w:p w14:paraId="5653666A" w14:textId="266F2A5C" w:rsidR="00D0791A" w:rsidRPr="00C56A14" w:rsidRDefault="00EB6544" w:rsidP="006A7AE4">
            <w:pPr>
              <w:pStyle w:val="TableText0"/>
              <w:keepLines/>
              <w:jc w:val="center"/>
              <w:rPr>
                <w:szCs w:val="20"/>
                <w:highlight w:val="lightGray"/>
              </w:rPr>
            </w:pPr>
            <w:r w:rsidRPr="00EB6544">
              <w:rPr>
                <w:color w:val="000000"/>
                <w:spacing w:val="214"/>
                <w:shd w:val="solid" w:color="000000" w:fill="000000"/>
                <w:fitText w:val="300" w:id="-1236572666"/>
                <w14:textFill>
                  <w14:solidFill>
                    <w14:srgbClr w14:val="000000">
                      <w14:alpha w14:val="100000"/>
                    </w14:srgbClr>
                  </w14:solidFill>
                </w14:textFill>
              </w:rPr>
              <w:t>|</w:t>
            </w:r>
            <w:r w:rsidRPr="00EB6544">
              <w:rPr>
                <w:color w:val="000000"/>
                <w:spacing w:val="1"/>
                <w:shd w:val="solid" w:color="000000" w:fill="000000"/>
                <w:fitText w:val="300" w:id="-1236572666"/>
                <w14:textFill>
                  <w14:solidFill>
                    <w14:srgbClr w14:val="000000">
                      <w14:alpha w14:val="100000"/>
                    </w14:srgbClr>
                  </w14:solidFill>
                </w14:textFill>
              </w:rPr>
              <w:t>|</w:t>
            </w:r>
            <w:r w:rsidR="00C56A14">
              <w:rPr>
                <w:vertAlign w:val="superscript"/>
              </w:rPr>
              <w:t>5</w:t>
            </w:r>
          </w:p>
        </w:tc>
        <w:tc>
          <w:tcPr>
            <w:tcW w:w="1276" w:type="dxa"/>
            <w:shd w:val="clear" w:color="auto" w:fill="auto"/>
          </w:tcPr>
          <w:p w14:paraId="588CD237" w14:textId="0F40C81F" w:rsidR="00D0791A" w:rsidRPr="00C56A14" w:rsidRDefault="00EB6544" w:rsidP="006A7AE4">
            <w:pPr>
              <w:pStyle w:val="TableText0"/>
              <w:keepLines/>
              <w:jc w:val="center"/>
              <w:rPr>
                <w:szCs w:val="20"/>
                <w:highlight w:val="lightGray"/>
              </w:rPr>
            </w:pPr>
            <w:r w:rsidRPr="00EB6544">
              <w:rPr>
                <w:color w:val="000000"/>
                <w:spacing w:val="213"/>
                <w:shd w:val="solid" w:color="000000" w:fill="000000"/>
                <w:fitText w:val="299" w:id="-1236572665"/>
                <w14:textFill>
                  <w14:solidFill>
                    <w14:srgbClr w14:val="000000">
                      <w14:alpha w14:val="100000"/>
                    </w14:srgbClr>
                  </w14:solidFill>
                </w14:textFill>
              </w:rPr>
              <w:t>|</w:t>
            </w:r>
            <w:r w:rsidRPr="00EB6544">
              <w:rPr>
                <w:color w:val="000000"/>
                <w:spacing w:val="1"/>
                <w:shd w:val="solid" w:color="000000" w:fill="000000"/>
                <w:fitText w:val="299" w:id="-1236572665"/>
                <w14:textFill>
                  <w14:solidFill>
                    <w14:srgbClr w14:val="000000">
                      <w14:alpha w14:val="100000"/>
                    </w14:srgbClr>
                  </w14:solidFill>
                </w14:textFill>
              </w:rPr>
              <w:t>|</w:t>
            </w:r>
            <w:r w:rsidR="00C56A14">
              <w:rPr>
                <w:vertAlign w:val="superscript"/>
              </w:rPr>
              <w:t>5</w:t>
            </w:r>
          </w:p>
        </w:tc>
        <w:tc>
          <w:tcPr>
            <w:tcW w:w="1276" w:type="dxa"/>
            <w:shd w:val="clear" w:color="auto" w:fill="auto"/>
            <w:vAlign w:val="center"/>
          </w:tcPr>
          <w:p w14:paraId="2D695C6D" w14:textId="5BEA0390"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664"/>
                <w14:textFill>
                  <w14:solidFill>
                    <w14:srgbClr w14:val="000000">
                      <w14:alpha w14:val="100000"/>
                    </w14:srgbClr>
                  </w14:solidFill>
                </w14:textFill>
              </w:rPr>
              <w:t>|</w:t>
            </w:r>
            <w:r w:rsidRPr="00EB6544">
              <w:rPr>
                <w:color w:val="000000"/>
                <w:spacing w:val="1"/>
                <w:szCs w:val="20"/>
                <w:shd w:val="solid" w:color="000000" w:fill="000000"/>
                <w:fitText w:val="300" w:id="-1236572664"/>
                <w14:textFill>
                  <w14:solidFill>
                    <w14:srgbClr w14:val="000000">
                      <w14:alpha w14:val="100000"/>
                    </w14:srgbClr>
                  </w14:solidFill>
                </w14:textFill>
              </w:rPr>
              <w:t>|</w:t>
            </w:r>
            <w:r w:rsidR="00C56A14">
              <w:rPr>
                <w:vertAlign w:val="superscript"/>
              </w:rPr>
              <w:t>1</w:t>
            </w:r>
          </w:p>
        </w:tc>
      </w:tr>
      <w:tr w:rsidR="00D0791A" w:rsidRPr="002F733E" w14:paraId="30F5B7AE" w14:textId="77777777" w:rsidTr="00CC0BB4">
        <w:tc>
          <w:tcPr>
            <w:tcW w:w="988" w:type="dxa"/>
            <w:vMerge w:val="restart"/>
            <w:shd w:val="clear" w:color="auto" w:fill="auto"/>
            <w:vAlign w:val="center"/>
          </w:tcPr>
          <w:p w14:paraId="5CAA9CA1" w14:textId="77777777" w:rsidR="00D0791A" w:rsidRPr="002F733E" w:rsidRDefault="00D0791A" w:rsidP="006A7AE4">
            <w:pPr>
              <w:pStyle w:val="TableText0"/>
              <w:keepLines/>
              <w:rPr>
                <w:szCs w:val="20"/>
              </w:rPr>
            </w:pPr>
            <w:r w:rsidRPr="002F733E">
              <w:rPr>
                <w:szCs w:val="20"/>
              </w:rPr>
              <w:t>Uptake rate</w:t>
            </w:r>
          </w:p>
        </w:tc>
        <w:tc>
          <w:tcPr>
            <w:tcW w:w="992" w:type="dxa"/>
            <w:shd w:val="clear" w:color="auto" w:fill="C6D9F1" w:themeFill="text2" w:themeFillTint="33"/>
            <w:vAlign w:val="center"/>
          </w:tcPr>
          <w:p w14:paraId="1847A61B" w14:textId="77777777" w:rsidR="00D0791A" w:rsidRPr="002F733E" w:rsidRDefault="00D0791A" w:rsidP="006A7AE4">
            <w:pPr>
              <w:pStyle w:val="TableText0"/>
              <w:keepLines/>
              <w:jc w:val="center"/>
              <w:rPr>
                <w:szCs w:val="20"/>
              </w:rPr>
            </w:pPr>
            <w:r w:rsidRPr="002F733E">
              <w:rPr>
                <w:szCs w:val="20"/>
              </w:rPr>
              <w:t>25.00%</w:t>
            </w:r>
          </w:p>
        </w:tc>
        <w:tc>
          <w:tcPr>
            <w:tcW w:w="1134" w:type="dxa"/>
            <w:shd w:val="clear" w:color="auto" w:fill="C6D9F1" w:themeFill="text2" w:themeFillTint="33"/>
            <w:vAlign w:val="center"/>
          </w:tcPr>
          <w:p w14:paraId="0FBC1694" w14:textId="77777777" w:rsidR="00D0791A" w:rsidRPr="002F733E" w:rsidRDefault="00D0791A" w:rsidP="006A7AE4">
            <w:pPr>
              <w:pStyle w:val="TableText0"/>
              <w:keepLines/>
              <w:jc w:val="center"/>
              <w:rPr>
                <w:szCs w:val="20"/>
              </w:rPr>
            </w:pPr>
            <w:r w:rsidRPr="002F733E">
              <w:rPr>
                <w:szCs w:val="20"/>
              </w:rPr>
              <w:t>30.00%</w:t>
            </w:r>
          </w:p>
        </w:tc>
        <w:tc>
          <w:tcPr>
            <w:tcW w:w="1134" w:type="dxa"/>
            <w:shd w:val="clear" w:color="auto" w:fill="C6D9F1" w:themeFill="text2" w:themeFillTint="33"/>
            <w:vAlign w:val="center"/>
          </w:tcPr>
          <w:p w14:paraId="3DBAEB28" w14:textId="77777777" w:rsidR="00D0791A" w:rsidRPr="002F733E" w:rsidRDefault="00D0791A" w:rsidP="006A7AE4">
            <w:pPr>
              <w:pStyle w:val="TableText0"/>
              <w:keepLines/>
              <w:jc w:val="center"/>
              <w:rPr>
                <w:szCs w:val="20"/>
              </w:rPr>
            </w:pPr>
            <w:r w:rsidRPr="002F733E">
              <w:rPr>
                <w:szCs w:val="20"/>
              </w:rPr>
              <w:t>40.00%</w:t>
            </w:r>
          </w:p>
        </w:tc>
        <w:tc>
          <w:tcPr>
            <w:tcW w:w="1276" w:type="dxa"/>
            <w:shd w:val="clear" w:color="auto" w:fill="C6D9F1" w:themeFill="text2" w:themeFillTint="33"/>
            <w:vAlign w:val="center"/>
          </w:tcPr>
          <w:p w14:paraId="46DC2AA2" w14:textId="77777777" w:rsidR="00D0791A" w:rsidRPr="002F733E" w:rsidRDefault="00D0791A" w:rsidP="006A7AE4">
            <w:pPr>
              <w:pStyle w:val="TableText0"/>
              <w:keepLines/>
              <w:jc w:val="center"/>
              <w:rPr>
                <w:szCs w:val="20"/>
              </w:rPr>
            </w:pPr>
            <w:r w:rsidRPr="002F733E">
              <w:rPr>
                <w:szCs w:val="20"/>
              </w:rPr>
              <w:t>50.00%</w:t>
            </w:r>
          </w:p>
        </w:tc>
        <w:tc>
          <w:tcPr>
            <w:tcW w:w="1275" w:type="dxa"/>
            <w:shd w:val="clear" w:color="auto" w:fill="C6D9F1" w:themeFill="text2" w:themeFillTint="33"/>
            <w:vAlign w:val="center"/>
          </w:tcPr>
          <w:p w14:paraId="075C5F2C" w14:textId="77777777" w:rsidR="00D0791A" w:rsidRPr="002F733E" w:rsidRDefault="00D0791A" w:rsidP="006A7AE4">
            <w:pPr>
              <w:pStyle w:val="TableText0"/>
              <w:keepLines/>
              <w:jc w:val="center"/>
              <w:rPr>
                <w:szCs w:val="20"/>
              </w:rPr>
            </w:pPr>
            <w:r w:rsidRPr="002F733E">
              <w:rPr>
                <w:szCs w:val="20"/>
              </w:rPr>
              <w:t>50.00%</w:t>
            </w:r>
          </w:p>
        </w:tc>
        <w:tc>
          <w:tcPr>
            <w:tcW w:w="1276" w:type="dxa"/>
            <w:shd w:val="clear" w:color="auto" w:fill="C6D9F1" w:themeFill="text2" w:themeFillTint="33"/>
            <w:vAlign w:val="center"/>
          </w:tcPr>
          <w:p w14:paraId="7DBBD80C" w14:textId="77777777" w:rsidR="00D0791A" w:rsidRPr="002F733E" w:rsidRDefault="00D0791A" w:rsidP="006A7AE4">
            <w:pPr>
              <w:pStyle w:val="TableText0"/>
              <w:keepLines/>
              <w:jc w:val="center"/>
              <w:rPr>
                <w:szCs w:val="20"/>
              </w:rPr>
            </w:pPr>
            <w:r w:rsidRPr="002F733E">
              <w:rPr>
                <w:szCs w:val="20"/>
              </w:rPr>
              <w:t>50.00%</w:t>
            </w:r>
          </w:p>
        </w:tc>
        <w:tc>
          <w:tcPr>
            <w:tcW w:w="1276" w:type="dxa"/>
            <w:shd w:val="clear" w:color="auto" w:fill="C6D9F1" w:themeFill="text2" w:themeFillTint="33"/>
            <w:vAlign w:val="center"/>
          </w:tcPr>
          <w:p w14:paraId="2A5C45FD" w14:textId="77777777" w:rsidR="00D0791A" w:rsidRPr="002F733E" w:rsidRDefault="00D0791A" w:rsidP="006A7AE4">
            <w:pPr>
              <w:pStyle w:val="TableText0"/>
              <w:keepLines/>
              <w:jc w:val="center"/>
              <w:rPr>
                <w:szCs w:val="20"/>
              </w:rPr>
            </w:pPr>
            <w:r w:rsidRPr="002F733E">
              <w:rPr>
                <w:szCs w:val="20"/>
              </w:rPr>
              <w:t>-</w:t>
            </w:r>
          </w:p>
        </w:tc>
      </w:tr>
      <w:tr w:rsidR="00D0791A" w:rsidRPr="002F733E" w14:paraId="2E2FEE60" w14:textId="77777777" w:rsidTr="00CC0BB4">
        <w:tc>
          <w:tcPr>
            <w:tcW w:w="988" w:type="dxa"/>
            <w:vMerge/>
            <w:shd w:val="clear" w:color="auto" w:fill="auto"/>
            <w:vAlign w:val="center"/>
          </w:tcPr>
          <w:p w14:paraId="5D944D99" w14:textId="77777777" w:rsidR="00D0791A" w:rsidRPr="002F733E" w:rsidRDefault="00D0791A" w:rsidP="006A7AE4">
            <w:pPr>
              <w:pStyle w:val="TableText0"/>
              <w:keepLines/>
              <w:rPr>
                <w:szCs w:val="20"/>
              </w:rPr>
            </w:pPr>
          </w:p>
        </w:tc>
        <w:tc>
          <w:tcPr>
            <w:tcW w:w="992" w:type="dxa"/>
            <w:shd w:val="clear" w:color="auto" w:fill="auto"/>
          </w:tcPr>
          <w:p w14:paraId="1D71DA0D" w14:textId="77777777" w:rsidR="00D0791A" w:rsidRPr="002F733E" w:rsidRDefault="00D0791A" w:rsidP="006A7AE4">
            <w:pPr>
              <w:pStyle w:val="TableText0"/>
              <w:keepLines/>
              <w:jc w:val="center"/>
              <w:rPr>
                <w:szCs w:val="20"/>
              </w:rPr>
            </w:pPr>
            <w:r w:rsidRPr="002F733E">
              <w:t>57.00%</w:t>
            </w:r>
          </w:p>
        </w:tc>
        <w:tc>
          <w:tcPr>
            <w:tcW w:w="1134" w:type="dxa"/>
            <w:shd w:val="clear" w:color="auto" w:fill="auto"/>
          </w:tcPr>
          <w:p w14:paraId="33C6D4AE" w14:textId="77777777" w:rsidR="00D0791A" w:rsidRPr="002F733E" w:rsidRDefault="00D0791A" w:rsidP="006A7AE4">
            <w:pPr>
              <w:pStyle w:val="TableText0"/>
              <w:keepLines/>
              <w:jc w:val="center"/>
              <w:rPr>
                <w:szCs w:val="20"/>
              </w:rPr>
            </w:pPr>
            <w:r w:rsidRPr="002F733E">
              <w:t>67.00%</w:t>
            </w:r>
          </w:p>
        </w:tc>
        <w:tc>
          <w:tcPr>
            <w:tcW w:w="1134" w:type="dxa"/>
            <w:shd w:val="clear" w:color="auto" w:fill="auto"/>
          </w:tcPr>
          <w:p w14:paraId="6DD9D446" w14:textId="77777777" w:rsidR="00D0791A" w:rsidRPr="002F733E" w:rsidRDefault="00D0791A" w:rsidP="006A7AE4">
            <w:pPr>
              <w:pStyle w:val="TableText0"/>
              <w:keepLines/>
              <w:jc w:val="center"/>
              <w:rPr>
                <w:szCs w:val="20"/>
              </w:rPr>
            </w:pPr>
            <w:r w:rsidRPr="002F733E">
              <w:t>77.00%</w:t>
            </w:r>
          </w:p>
        </w:tc>
        <w:tc>
          <w:tcPr>
            <w:tcW w:w="1276" w:type="dxa"/>
            <w:shd w:val="clear" w:color="auto" w:fill="auto"/>
          </w:tcPr>
          <w:p w14:paraId="58B1830E" w14:textId="77777777" w:rsidR="00D0791A" w:rsidRPr="002F733E" w:rsidRDefault="00D0791A" w:rsidP="006A7AE4">
            <w:pPr>
              <w:pStyle w:val="TableText0"/>
              <w:keepLines/>
              <w:jc w:val="center"/>
              <w:rPr>
                <w:szCs w:val="20"/>
              </w:rPr>
            </w:pPr>
            <w:r w:rsidRPr="002F733E">
              <w:t>85.00%</w:t>
            </w:r>
          </w:p>
        </w:tc>
        <w:tc>
          <w:tcPr>
            <w:tcW w:w="1275" w:type="dxa"/>
            <w:shd w:val="clear" w:color="auto" w:fill="auto"/>
          </w:tcPr>
          <w:p w14:paraId="2CFD9338" w14:textId="77777777" w:rsidR="00D0791A" w:rsidRPr="002F733E" w:rsidRDefault="00D0791A" w:rsidP="006A7AE4">
            <w:pPr>
              <w:pStyle w:val="TableText0"/>
              <w:keepLines/>
              <w:jc w:val="center"/>
              <w:rPr>
                <w:szCs w:val="20"/>
              </w:rPr>
            </w:pPr>
            <w:r w:rsidRPr="002F733E">
              <w:t>90.00%</w:t>
            </w:r>
          </w:p>
        </w:tc>
        <w:tc>
          <w:tcPr>
            <w:tcW w:w="1276" w:type="dxa"/>
            <w:shd w:val="clear" w:color="auto" w:fill="auto"/>
          </w:tcPr>
          <w:p w14:paraId="17058ABC" w14:textId="77777777" w:rsidR="00D0791A" w:rsidRPr="002F733E" w:rsidRDefault="00D0791A" w:rsidP="006A7AE4">
            <w:pPr>
              <w:pStyle w:val="TableText0"/>
              <w:keepLines/>
              <w:jc w:val="center"/>
              <w:rPr>
                <w:szCs w:val="20"/>
              </w:rPr>
            </w:pPr>
            <w:r w:rsidRPr="002F733E">
              <w:t>95.00%</w:t>
            </w:r>
          </w:p>
        </w:tc>
        <w:tc>
          <w:tcPr>
            <w:tcW w:w="1276" w:type="dxa"/>
            <w:shd w:val="clear" w:color="auto" w:fill="auto"/>
            <w:vAlign w:val="center"/>
          </w:tcPr>
          <w:p w14:paraId="4AA81B66" w14:textId="77777777" w:rsidR="00D0791A" w:rsidRPr="002F733E" w:rsidRDefault="00D0791A" w:rsidP="006A7AE4">
            <w:pPr>
              <w:pStyle w:val="TableText0"/>
              <w:keepLines/>
              <w:jc w:val="center"/>
              <w:rPr>
                <w:szCs w:val="20"/>
              </w:rPr>
            </w:pPr>
            <w:r w:rsidRPr="002F733E">
              <w:rPr>
                <w:szCs w:val="20"/>
              </w:rPr>
              <w:t>-</w:t>
            </w:r>
          </w:p>
        </w:tc>
      </w:tr>
      <w:tr w:rsidR="00D0791A" w:rsidRPr="002F733E" w14:paraId="618D5F75" w14:textId="77777777" w:rsidTr="00CC0BB4">
        <w:tc>
          <w:tcPr>
            <w:tcW w:w="988" w:type="dxa"/>
            <w:vMerge w:val="restart"/>
            <w:shd w:val="clear" w:color="auto" w:fill="auto"/>
            <w:vAlign w:val="center"/>
          </w:tcPr>
          <w:p w14:paraId="7FD895F0" w14:textId="77777777" w:rsidR="00D0791A" w:rsidRPr="002F733E" w:rsidRDefault="00D0791A" w:rsidP="006A7AE4">
            <w:pPr>
              <w:pStyle w:val="TableText0"/>
              <w:keepLines/>
              <w:rPr>
                <w:szCs w:val="20"/>
              </w:rPr>
            </w:pPr>
            <w:r w:rsidRPr="002F733E">
              <w:rPr>
                <w:szCs w:val="20"/>
              </w:rPr>
              <w:t>Initiating pts</w:t>
            </w:r>
          </w:p>
        </w:tc>
        <w:tc>
          <w:tcPr>
            <w:tcW w:w="992" w:type="dxa"/>
            <w:shd w:val="clear" w:color="auto" w:fill="C6D9F1" w:themeFill="text2" w:themeFillTint="33"/>
            <w:vAlign w:val="center"/>
          </w:tcPr>
          <w:p w14:paraId="32FD19D1" w14:textId="323077A1" w:rsidR="00D0791A" w:rsidRPr="00C56A14" w:rsidRDefault="00EB6544" w:rsidP="006A7AE4">
            <w:pPr>
              <w:pStyle w:val="TableText0"/>
              <w:keepLines/>
              <w:jc w:val="center"/>
              <w:rPr>
                <w:szCs w:val="20"/>
                <w:highlight w:val="lightGray"/>
              </w:rPr>
            </w:pPr>
            <w:r w:rsidRPr="00EB6544">
              <w:rPr>
                <w:color w:val="000000"/>
                <w:spacing w:val="65"/>
                <w:szCs w:val="20"/>
                <w:shd w:val="solid" w:color="000000" w:fill="000000"/>
                <w:fitText w:val="366" w:id="-1236572663"/>
                <w14:textFill>
                  <w14:solidFill>
                    <w14:srgbClr w14:val="000000">
                      <w14:alpha w14:val="100000"/>
                    </w14:srgbClr>
                  </w14:solidFill>
                </w14:textFill>
              </w:rPr>
              <w:t>|||</w:t>
            </w:r>
            <w:r w:rsidRPr="00EB6544">
              <w:rPr>
                <w:color w:val="000000"/>
                <w:spacing w:val="1"/>
                <w:szCs w:val="20"/>
                <w:shd w:val="solid" w:color="000000" w:fill="000000"/>
                <w:fitText w:val="366" w:id="-1236572663"/>
                <w14:textFill>
                  <w14:solidFill>
                    <w14:srgbClr w14:val="000000">
                      <w14:alpha w14:val="100000"/>
                    </w14:srgbClr>
                  </w14:solidFill>
                </w14:textFill>
              </w:rPr>
              <w:t>|</w:t>
            </w:r>
            <w:r w:rsidR="00C56A14">
              <w:rPr>
                <w:vertAlign w:val="superscript"/>
              </w:rPr>
              <w:t>5</w:t>
            </w:r>
          </w:p>
        </w:tc>
        <w:tc>
          <w:tcPr>
            <w:tcW w:w="1134" w:type="dxa"/>
            <w:shd w:val="clear" w:color="auto" w:fill="C6D9F1" w:themeFill="text2" w:themeFillTint="33"/>
            <w:vAlign w:val="center"/>
          </w:tcPr>
          <w:p w14:paraId="32D423B2" w14:textId="0F4C01A0" w:rsidR="00D0791A" w:rsidRPr="00C56A14" w:rsidRDefault="00EB6544" w:rsidP="006A7AE4">
            <w:pPr>
              <w:pStyle w:val="TableText0"/>
              <w:keepLines/>
              <w:jc w:val="center"/>
              <w:rPr>
                <w:szCs w:val="20"/>
                <w:highlight w:val="lightGray"/>
              </w:rPr>
            </w:pPr>
            <w:r w:rsidRPr="00EB6544">
              <w:rPr>
                <w:color w:val="000000"/>
                <w:spacing w:val="65"/>
                <w:szCs w:val="20"/>
                <w:shd w:val="solid" w:color="000000" w:fill="000000"/>
                <w:fitText w:val="366" w:id="-1236572662"/>
                <w14:textFill>
                  <w14:solidFill>
                    <w14:srgbClr w14:val="000000">
                      <w14:alpha w14:val="100000"/>
                    </w14:srgbClr>
                  </w14:solidFill>
                </w14:textFill>
              </w:rPr>
              <w:t>|||</w:t>
            </w:r>
            <w:r w:rsidRPr="00EB6544">
              <w:rPr>
                <w:color w:val="000000"/>
                <w:spacing w:val="1"/>
                <w:szCs w:val="20"/>
                <w:shd w:val="solid" w:color="000000" w:fill="000000"/>
                <w:fitText w:val="366" w:id="-1236572662"/>
                <w14:textFill>
                  <w14:solidFill>
                    <w14:srgbClr w14:val="000000">
                      <w14:alpha w14:val="100000"/>
                    </w14:srgbClr>
                  </w14:solidFill>
                </w14:textFill>
              </w:rPr>
              <w:t>|</w:t>
            </w:r>
            <w:r w:rsidR="00C56A14">
              <w:rPr>
                <w:vertAlign w:val="superscript"/>
              </w:rPr>
              <w:t>5</w:t>
            </w:r>
          </w:p>
        </w:tc>
        <w:tc>
          <w:tcPr>
            <w:tcW w:w="1134" w:type="dxa"/>
            <w:shd w:val="clear" w:color="auto" w:fill="C6D9F1" w:themeFill="text2" w:themeFillTint="33"/>
            <w:vAlign w:val="center"/>
          </w:tcPr>
          <w:p w14:paraId="0F6A230F" w14:textId="23DA35E2" w:rsidR="00D0791A" w:rsidRPr="00C56A14" w:rsidRDefault="00EB6544" w:rsidP="006A7AE4">
            <w:pPr>
              <w:pStyle w:val="TableText0"/>
              <w:keepLines/>
              <w:jc w:val="center"/>
              <w:rPr>
                <w:szCs w:val="20"/>
                <w:highlight w:val="lightGray"/>
              </w:rPr>
            </w:pPr>
            <w:r w:rsidRPr="00EB6544">
              <w:rPr>
                <w:color w:val="000000"/>
                <w:spacing w:val="65"/>
                <w:szCs w:val="20"/>
                <w:shd w:val="solid" w:color="000000" w:fill="000000"/>
                <w:fitText w:val="366" w:id="-1236572661"/>
                <w14:textFill>
                  <w14:solidFill>
                    <w14:srgbClr w14:val="000000">
                      <w14:alpha w14:val="100000"/>
                    </w14:srgbClr>
                  </w14:solidFill>
                </w14:textFill>
              </w:rPr>
              <w:t>|||</w:t>
            </w:r>
            <w:r w:rsidRPr="00EB6544">
              <w:rPr>
                <w:color w:val="000000"/>
                <w:spacing w:val="1"/>
                <w:szCs w:val="20"/>
                <w:shd w:val="solid" w:color="000000" w:fill="000000"/>
                <w:fitText w:val="366" w:id="-1236572661"/>
                <w14:textFill>
                  <w14:solidFill>
                    <w14:srgbClr w14:val="000000">
                      <w14:alpha w14:val="100000"/>
                    </w14:srgbClr>
                  </w14:solidFill>
                </w14:textFill>
              </w:rPr>
              <w:t>|</w:t>
            </w:r>
            <w:r w:rsidR="00C56A14">
              <w:rPr>
                <w:vertAlign w:val="superscript"/>
              </w:rPr>
              <w:t>5</w:t>
            </w:r>
          </w:p>
        </w:tc>
        <w:tc>
          <w:tcPr>
            <w:tcW w:w="1276" w:type="dxa"/>
            <w:shd w:val="clear" w:color="auto" w:fill="C6D9F1" w:themeFill="text2" w:themeFillTint="33"/>
            <w:vAlign w:val="center"/>
          </w:tcPr>
          <w:p w14:paraId="75CF9D2F" w14:textId="6C731D5D"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660"/>
                <w14:textFill>
                  <w14:solidFill>
                    <w14:srgbClr w14:val="000000">
                      <w14:alpha w14:val="100000"/>
                    </w14:srgbClr>
                  </w14:solidFill>
                </w14:textFill>
              </w:rPr>
              <w:t>|</w:t>
            </w:r>
            <w:r w:rsidRPr="00EB6544">
              <w:rPr>
                <w:color w:val="000000"/>
                <w:spacing w:val="1"/>
                <w:szCs w:val="20"/>
                <w:shd w:val="solid" w:color="000000" w:fill="000000"/>
                <w:fitText w:val="300" w:id="-1236572660"/>
                <w14:textFill>
                  <w14:solidFill>
                    <w14:srgbClr w14:val="000000">
                      <w14:alpha w14:val="100000"/>
                    </w14:srgbClr>
                  </w14:solidFill>
                </w14:textFill>
              </w:rPr>
              <w:t>|</w:t>
            </w:r>
            <w:r w:rsidR="00C56A14">
              <w:rPr>
                <w:vertAlign w:val="superscript"/>
              </w:rPr>
              <w:t>5</w:t>
            </w:r>
          </w:p>
        </w:tc>
        <w:tc>
          <w:tcPr>
            <w:tcW w:w="1275" w:type="dxa"/>
            <w:shd w:val="clear" w:color="auto" w:fill="C6D9F1" w:themeFill="text2" w:themeFillTint="33"/>
            <w:vAlign w:val="center"/>
          </w:tcPr>
          <w:p w14:paraId="38CE10C1" w14:textId="355DE096"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659"/>
                <w14:textFill>
                  <w14:solidFill>
                    <w14:srgbClr w14:val="000000">
                      <w14:alpha w14:val="100000"/>
                    </w14:srgbClr>
                  </w14:solidFill>
                </w14:textFill>
              </w:rPr>
              <w:t>|</w:t>
            </w:r>
            <w:r w:rsidRPr="00EB6544">
              <w:rPr>
                <w:color w:val="000000"/>
                <w:spacing w:val="1"/>
                <w:szCs w:val="20"/>
                <w:shd w:val="solid" w:color="000000" w:fill="000000"/>
                <w:fitText w:val="300" w:id="-1236572659"/>
                <w14:textFill>
                  <w14:solidFill>
                    <w14:srgbClr w14:val="000000">
                      <w14:alpha w14:val="100000"/>
                    </w14:srgbClr>
                  </w14:solidFill>
                </w14:textFill>
              </w:rPr>
              <w:t>|</w:t>
            </w:r>
            <w:r w:rsidR="00C56A14">
              <w:rPr>
                <w:vertAlign w:val="superscript"/>
              </w:rPr>
              <w:t>5</w:t>
            </w:r>
          </w:p>
        </w:tc>
        <w:tc>
          <w:tcPr>
            <w:tcW w:w="1276" w:type="dxa"/>
            <w:shd w:val="clear" w:color="auto" w:fill="C6D9F1" w:themeFill="text2" w:themeFillTint="33"/>
            <w:vAlign w:val="center"/>
          </w:tcPr>
          <w:p w14:paraId="54659F8B" w14:textId="6B5E9BD2" w:rsidR="00D0791A" w:rsidRPr="00C56A14" w:rsidRDefault="00EB6544" w:rsidP="006A7AE4">
            <w:pPr>
              <w:pStyle w:val="TableText0"/>
              <w:keepLines/>
              <w:jc w:val="center"/>
              <w:rPr>
                <w:szCs w:val="20"/>
                <w:highlight w:val="lightGray"/>
              </w:rPr>
            </w:pPr>
            <w:r w:rsidRPr="00EB6544">
              <w:rPr>
                <w:color w:val="000000"/>
                <w:spacing w:val="213"/>
                <w:szCs w:val="20"/>
                <w:shd w:val="solid" w:color="000000" w:fill="000000"/>
                <w:fitText w:val="299" w:id="-1236572658"/>
                <w14:textFill>
                  <w14:solidFill>
                    <w14:srgbClr w14:val="000000">
                      <w14:alpha w14:val="100000"/>
                    </w14:srgbClr>
                  </w14:solidFill>
                </w14:textFill>
              </w:rPr>
              <w:t>|</w:t>
            </w:r>
            <w:r w:rsidRPr="00EB6544">
              <w:rPr>
                <w:color w:val="000000"/>
                <w:spacing w:val="1"/>
                <w:szCs w:val="20"/>
                <w:shd w:val="solid" w:color="000000" w:fill="000000"/>
                <w:fitText w:val="299" w:id="-1236572658"/>
                <w14:textFill>
                  <w14:solidFill>
                    <w14:srgbClr w14:val="000000">
                      <w14:alpha w14:val="100000"/>
                    </w14:srgbClr>
                  </w14:solidFill>
                </w14:textFill>
              </w:rPr>
              <w:t>|</w:t>
            </w:r>
            <w:r w:rsidR="00C56A14">
              <w:rPr>
                <w:vertAlign w:val="superscript"/>
              </w:rPr>
              <w:t>5</w:t>
            </w:r>
          </w:p>
        </w:tc>
        <w:tc>
          <w:tcPr>
            <w:tcW w:w="1276" w:type="dxa"/>
            <w:shd w:val="clear" w:color="auto" w:fill="C6D9F1" w:themeFill="text2" w:themeFillTint="33"/>
            <w:vAlign w:val="center"/>
          </w:tcPr>
          <w:p w14:paraId="59A672C2" w14:textId="574D7F40"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657"/>
                <w14:textFill>
                  <w14:solidFill>
                    <w14:srgbClr w14:val="000000">
                      <w14:alpha w14:val="100000"/>
                    </w14:srgbClr>
                  </w14:solidFill>
                </w14:textFill>
              </w:rPr>
              <w:t>|</w:t>
            </w:r>
            <w:r w:rsidRPr="00EB6544">
              <w:rPr>
                <w:color w:val="000000"/>
                <w:spacing w:val="1"/>
                <w:szCs w:val="20"/>
                <w:shd w:val="solid" w:color="000000" w:fill="000000"/>
                <w:fitText w:val="300" w:id="-1236572657"/>
                <w14:textFill>
                  <w14:solidFill>
                    <w14:srgbClr w14:val="000000">
                      <w14:alpha w14:val="100000"/>
                    </w14:srgbClr>
                  </w14:solidFill>
                </w14:textFill>
              </w:rPr>
              <w:t>|</w:t>
            </w:r>
            <w:r w:rsidR="00C56A14">
              <w:rPr>
                <w:vertAlign w:val="superscript"/>
              </w:rPr>
              <w:t>1</w:t>
            </w:r>
          </w:p>
        </w:tc>
      </w:tr>
      <w:tr w:rsidR="00D0791A" w:rsidRPr="002F733E" w14:paraId="4D5C043A" w14:textId="77777777" w:rsidTr="00CC0BB4">
        <w:tc>
          <w:tcPr>
            <w:tcW w:w="988" w:type="dxa"/>
            <w:vMerge/>
            <w:shd w:val="clear" w:color="auto" w:fill="auto"/>
          </w:tcPr>
          <w:p w14:paraId="0793E353" w14:textId="77777777" w:rsidR="00D0791A" w:rsidRPr="002F733E" w:rsidRDefault="00D0791A" w:rsidP="006A7AE4">
            <w:pPr>
              <w:pStyle w:val="TableText0"/>
              <w:keepLines/>
              <w:rPr>
                <w:szCs w:val="20"/>
              </w:rPr>
            </w:pPr>
          </w:p>
        </w:tc>
        <w:tc>
          <w:tcPr>
            <w:tcW w:w="992" w:type="dxa"/>
            <w:shd w:val="clear" w:color="auto" w:fill="auto"/>
          </w:tcPr>
          <w:p w14:paraId="4F849622" w14:textId="6D971C17" w:rsidR="00D0791A" w:rsidRPr="00C56A14" w:rsidRDefault="00EB6544" w:rsidP="006A7AE4">
            <w:pPr>
              <w:pStyle w:val="TableText0"/>
              <w:keepLines/>
              <w:jc w:val="center"/>
              <w:rPr>
                <w:szCs w:val="20"/>
                <w:highlight w:val="lightGray"/>
              </w:rPr>
            </w:pPr>
            <w:r w:rsidRPr="00EB6544">
              <w:rPr>
                <w:color w:val="000000"/>
                <w:spacing w:val="65"/>
                <w:shd w:val="solid" w:color="000000" w:fill="000000"/>
                <w:fitText w:val="366" w:id="-1236572656"/>
                <w14:textFill>
                  <w14:solidFill>
                    <w14:srgbClr w14:val="000000">
                      <w14:alpha w14:val="100000"/>
                    </w14:srgbClr>
                  </w14:solidFill>
                </w14:textFill>
              </w:rPr>
              <w:t>|||</w:t>
            </w:r>
            <w:r w:rsidRPr="00EB6544">
              <w:rPr>
                <w:color w:val="000000"/>
                <w:spacing w:val="1"/>
                <w:shd w:val="solid" w:color="000000" w:fill="000000"/>
                <w:fitText w:val="366" w:id="-1236572656"/>
                <w14:textFill>
                  <w14:solidFill>
                    <w14:srgbClr w14:val="000000">
                      <w14:alpha w14:val="100000"/>
                    </w14:srgbClr>
                  </w14:solidFill>
                </w14:textFill>
              </w:rPr>
              <w:t>|</w:t>
            </w:r>
            <w:r w:rsidR="00C56A14">
              <w:rPr>
                <w:vertAlign w:val="superscript"/>
              </w:rPr>
              <w:t>5</w:t>
            </w:r>
            <w:r w:rsidR="00C56A14">
              <w:t xml:space="preserve"> </w:t>
            </w:r>
          </w:p>
        </w:tc>
        <w:tc>
          <w:tcPr>
            <w:tcW w:w="1134" w:type="dxa"/>
            <w:shd w:val="clear" w:color="auto" w:fill="auto"/>
          </w:tcPr>
          <w:p w14:paraId="2C806BEC" w14:textId="3ADC1BCF" w:rsidR="00D0791A" w:rsidRPr="00C56A14" w:rsidRDefault="00EB6544" w:rsidP="006A7AE4">
            <w:pPr>
              <w:pStyle w:val="TableText0"/>
              <w:keepLines/>
              <w:jc w:val="center"/>
              <w:rPr>
                <w:szCs w:val="20"/>
                <w:highlight w:val="lightGray"/>
              </w:rPr>
            </w:pPr>
            <w:r w:rsidRPr="00EB6544">
              <w:rPr>
                <w:color w:val="000000"/>
                <w:spacing w:val="65"/>
                <w:shd w:val="solid" w:color="000000" w:fill="000000"/>
                <w:fitText w:val="366" w:id="-1236572672"/>
                <w14:textFill>
                  <w14:solidFill>
                    <w14:srgbClr w14:val="000000">
                      <w14:alpha w14:val="100000"/>
                    </w14:srgbClr>
                  </w14:solidFill>
                </w14:textFill>
              </w:rPr>
              <w:t>|||</w:t>
            </w:r>
            <w:r w:rsidRPr="00EB6544">
              <w:rPr>
                <w:color w:val="000000"/>
                <w:spacing w:val="1"/>
                <w:shd w:val="solid" w:color="000000" w:fill="000000"/>
                <w:fitText w:val="366" w:id="-1236572672"/>
                <w14:textFill>
                  <w14:solidFill>
                    <w14:srgbClr w14:val="000000">
                      <w14:alpha w14:val="100000"/>
                    </w14:srgbClr>
                  </w14:solidFill>
                </w14:textFill>
              </w:rPr>
              <w:t>|</w:t>
            </w:r>
            <w:r w:rsidR="00C56A14">
              <w:rPr>
                <w:vertAlign w:val="superscript"/>
              </w:rPr>
              <w:t>5</w:t>
            </w:r>
          </w:p>
        </w:tc>
        <w:tc>
          <w:tcPr>
            <w:tcW w:w="1134" w:type="dxa"/>
            <w:shd w:val="clear" w:color="auto" w:fill="auto"/>
          </w:tcPr>
          <w:p w14:paraId="55B900D8" w14:textId="7382FA89" w:rsidR="00D0791A" w:rsidRPr="00C56A14" w:rsidRDefault="00EB6544" w:rsidP="006A7AE4">
            <w:pPr>
              <w:pStyle w:val="TableText0"/>
              <w:keepLines/>
              <w:jc w:val="center"/>
              <w:rPr>
                <w:szCs w:val="20"/>
                <w:highlight w:val="lightGray"/>
              </w:rPr>
            </w:pPr>
            <w:r w:rsidRPr="00EB6544">
              <w:rPr>
                <w:color w:val="000000"/>
                <w:spacing w:val="65"/>
                <w:shd w:val="solid" w:color="000000" w:fill="000000"/>
                <w:fitText w:val="366" w:id="-1236572671"/>
                <w14:textFill>
                  <w14:solidFill>
                    <w14:srgbClr w14:val="000000">
                      <w14:alpha w14:val="100000"/>
                    </w14:srgbClr>
                  </w14:solidFill>
                </w14:textFill>
              </w:rPr>
              <w:t>|||</w:t>
            </w:r>
            <w:r w:rsidRPr="00EB6544">
              <w:rPr>
                <w:color w:val="000000"/>
                <w:spacing w:val="1"/>
                <w:shd w:val="solid" w:color="000000" w:fill="000000"/>
                <w:fitText w:val="366" w:id="-1236572671"/>
                <w14:textFill>
                  <w14:solidFill>
                    <w14:srgbClr w14:val="000000">
                      <w14:alpha w14:val="100000"/>
                    </w14:srgbClr>
                  </w14:solidFill>
                </w14:textFill>
              </w:rPr>
              <w:t>|</w:t>
            </w:r>
            <w:r w:rsidR="00C56A14">
              <w:rPr>
                <w:vertAlign w:val="superscript"/>
              </w:rPr>
              <w:t>5</w:t>
            </w:r>
            <w:r w:rsidR="00C56A14">
              <w:t xml:space="preserve"> </w:t>
            </w:r>
          </w:p>
        </w:tc>
        <w:tc>
          <w:tcPr>
            <w:tcW w:w="1276" w:type="dxa"/>
            <w:shd w:val="clear" w:color="auto" w:fill="auto"/>
          </w:tcPr>
          <w:p w14:paraId="35623C94" w14:textId="4B1A85B9" w:rsidR="00D0791A" w:rsidRPr="00C56A14" w:rsidRDefault="00EB6544" w:rsidP="006A7AE4">
            <w:pPr>
              <w:pStyle w:val="TableText0"/>
              <w:keepLines/>
              <w:jc w:val="center"/>
              <w:rPr>
                <w:szCs w:val="20"/>
                <w:highlight w:val="lightGray"/>
              </w:rPr>
            </w:pPr>
            <w:r w:rsidRPr="00EB6544">
              <w:rPr>
                <w:color w:val="000000"/>
                <w:spacing w:val="214"/>
                <w:shd w:val="solid" w:color="000000" w:fill="000000"/>
                <w:fitText w:val="300" w:id="-1236572670"/>
                <w14:textFill>
                  <w14:solidFill>
                    <w14:srgbClr w14:val="000000">
                      <w14:alpha w14:val="100000"/>
                    </w14:srgbClr>
                  </w14:solidFill>
                </w14:textFill>
              </w:rPr>
              <w:t>|</w:t>
            </w:r>
            <w:r w:rsidRPr="00EB6544">
              <w:rPr>
                <w:color w:val="000000"/>
                <w:spacing w:val="1"/>
                <w:shd w:val="solid" w:color="000000" w:fill="000000"/>
                <w:fitText w:val="300" w:id="-1236572670"/>
                <w14:textFill>
                  <w14:solidFill>
                    <w14:srgbClr w14:val="000000">
                      <w14:alpha w14:val="100000"/>
                    </w14:srgbClr>
                  </w14:solidFill>
                </w14:textFill>
              </w:rPr>
              <w:t>|</w:t>
            </w:r>
            <w:r w:rsidR="00C56A14">
              <w:rPr>
                <w:vertAlign w:val="superscript"/>
              </w:rPr>
              <w:t>5</w:t>
            </w:r>
            <w:r w:rsidR="00C56A14">
              <w:t xml:space="preserve"> </w:t>
            </w:r>
          </w:p>
        </w:tc>
        <w:tc>
          <w:tcPr>
            <w:tcW w:w="1275" w:type="dxa"/>
            <w:shd w:val="clear" w:color="auto" w:fill="auto"/>
          </w:tcPr>
          <w:p w14:paraId="14BAD901" w14:textId="1C606408" w:rsidR="00D0791A" w:rsidRPr="00C56A14" w:rsidRDefault="00EB6544" w:rsidP="006A7AE4">
            <w:pPr>
              <w:pStyle w:val="TableText0"/>
              <w:keepLines/>
              <w:jc w:val="center"/>
              <w:rPr>
                <w:szCs w:val="20"/>
                <w:highlight w:val="lightGray"/>
              </w:rPr>
            </w:pPr>
            <w:r w:rsidRPr="00EB6544">
              <w:rPr>
                <w:color w:val="000000"/>
                <w:spacing w:val="214"/>
                <w:shd w:val="solid" w:color="000000" w:fill="000000"/>
                <w:fitText w:val="300" w:id="-1236572416"/>
                <w14:textFill>
                  <w14:solidFill>
                    <w14:srgbClr w14:val="000000">
                      <w14:alpha w14:val="100000"/>
                    </w14:srgbClr>
                  </w14:solidFill>
                </w14:textFill>
              </w:rPr>
              <w:t>|</w:t>
            </w:r>
            <w:r w:rsidRPr="00EB6544">
              <w:rPr>
                <w:color w:val="000000"/>
                <w:spacing w:val="1"/>
                <w:shd w:val="solid" w:color="000000" w:fill="000000"/>
                <w:fitText w:val="300" w:id="-1236572416"/>
                <w14:textFill>
                  <w14:solidFill>
                    <w14:srgbClr w14:val="000000">
                      <w14:alpha w14:val="100000"/>
                    </w14:srgbClr>
                  </w14:solidFill>
                </w14:textFill>
              </w:rPr>
              <w:t>|</w:t>
            </w:r>
            <w:r w:rsidR="00C56A14">
              <w:rPr>
                <w:vertAlign w:val="superscript"/>
              </w:rPr>
              <w:t>5</w:t>
            </w:r>
            <w:r w:rsidR="00C56A14">
              <w:t xml:space="preserve"> </w:t>
            </w:r>
          </w:p>
        </w:tc>
        <w:tc>
          <w:tcPr>
            <w:tcW w:w="1276" w:type="dxa"/>
            <w:shd w:val="clear" w:color="auto" w:fill="auto"/>
          </w:tcPr>
          <w:p w14:paraId="5F23A9AB" w14:textId="2A4D8FBC" w:rsidR="00D0791A" w:rsidRPr="00C56A14" w:rsidRDefault="00EB6544" w:rsidP="006A7AE4">
            <w:pPr>
              <w:pStyle w:val="TableText0"/>
              <w:keepLines/>
              <w:jc w:val="center"/>
              <w:rPr>
                <w:szCs w:val="20"/>
                <w:highlight w:val="lightGray"/>
              </w:rPr>
            </w:pPr>
            <w:r w:rsidRPr="00EB6544">
              <w:rPr>
                <w:color w:val="000000"/>
                <w:spacing w:val="213"/>
                <w:shd w:val="solid" w:color="000000" w:fill="000000"/>
                <w:fitText w:val="299" w:id="-1236572415"/>
                <w14:textFill>
                  <w14:solidFill>
                    <w14:srgbClr w14:val="000000">
                      <w14:alpha w14:val="100000"/>
                    </w14:srgbClr>
                  </w14:solidFill>
                </w14:textFill>
              </w:rPr>
              <w:t>|</w:t>
            </w:r>
            <w:r w:rsidRPr="00EB6544">
              <w:rPr>
                <w:color w:val="000000"/>
                <w:spacing w:val="1"/>
                <w:shd w:val="solid" w:color="000000" w:fill="000000"/>
                <w:fitText w:val="299" w:id="-1236572415"/>
                <w14:textFill>
                  <w14:solidFill>
                    <w14:srgbClr w14:val="000000">
                      <w14:alpha w14:val="100000"/>
                    </w14:srgbClr>
                  </w14:solidFill>
                </w14:textFill>
              </w:rPr>
              <w:t>|</w:t>
            </w:r>
            <w:r w:rsidR="00C56A14">
              <w:rPr>
                <w:vertAlign w:val="superscript"/>
              </w:rPr>
              <w:t>5</w:t>
            </w:r>
            <w:r w:rsidR="00C56A14">
              <w:t xml:space="preserve"> </w:t>
            </w:r>
          </w:p>
        </w:tc>
        <w:tc>
          <w:tcPr>
            <w:tcW w:w="1276" w:type="dxa"/>
            <w:shd w:val="clear" w:color="auto" w:fill="auto"/>
            <w:vAlign w:val="center"/>
          </w:tcPr>
          <w:p w14:paraId="7630E8B3" w14:textId="44EC5A4D"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414"/>
                <w14:textFill>
                  <w14:solidFill>
                    <w14:srgbClr w14:val="000000">
                      <w14:alpha w14:val="100000"/>
                    </w14:srgbClr>
                  </w14:solidFill>
                </w14:textFill>
              </w:rPr>
              <w:t>|</w:t>
            </w:r>
            <w:r w:rsidRPr="00EB6544">
              <w:rPr>
                <w:color w:val="000000"/>
                <w:spacing w:val="1"/>
                <w:szCs w:val="20"/>
                <w:shd w:val="solid" w:color="000000" w:fill="000000"/>
                <w:fitText w:val="300" w:id="-1236572414"/>
                <w14:textFill>
                  <w14:solidFill>
                    <w14:srgbClr w14:val="000000">
                      <w14:alpha w14:val="100000"/>
                    </w14:srgbClr>
                  </w14:solidFill>
                </w14:textFill>
              </w:rPr>
              <w:t>|</w:t>
            </w:r>
            <w:r w:rsidR="00C56A14">
              <w:rPr>
                <w:vertAlign w:val="superscript"/>
              </w:rPr>
              <w:t>1</w:t>
            </w:r>
          </w:p>
        </w:tc>
      </w:tr>
      <w:tr w:rsidR="00D0791A" w:rsidRPr="002F733E" w14:paraId="61C1C2BC" w14:textId="77777777" w:rsidTr="00CC0BB4">
        <w:tc>
          <w:tcPr>
            <w:tcW w:w="988" w:type="dxa"/>
            <w:vMerge w:val="restart"/>
            <w:shd w:val="clear" w:color="auto" w:fill="auto"/>
            <w:vAlign w:val="center"/>
          </w:tcPr>
          <w:p w14:paraId="5E1AFFCF" w14:textId="77777777" w:rsidR="00D0791A" w:rsidRPr="002F733E" w:rsidRDefault="00D0791A" w:rsidP="006A7AE4">
            <w:pPr>
              <w:pStyle w:val="TableText0"/>
              <w:keepLines/>
              <w:rPr>
                <w:szCs w:val="20"/>
              </w:rPr>
            </w:pPr>
            <w:r w:rsidRPr="002F733E">
              <w:rPr>
                <w:szCs w:val="20"/>
              </w:rPr>
              <w:t>Continuing pts</w:t>
            </w:r>
          </w:p>
        </w:tc>
        <w:tc>
          <w:tcPr>
            <w:tcW w:w="992" w:type="dxa"/>
            <w:shd w:val="clear" w:color="auto" w:fill="C6D9F1" w:themeFill="text2" w:themeFillTint="33"/>
            <w:vAlign w:val="center"/>
          </w:tcPr>
          <w:p w14:paraId="4CD480C4" w14:textId="12C278B5" w:rsidR="00D0791A" w:rsidRPr="00C56A14" w:rsidRDefault="00EB6544" w:rsidP="006A7AE4">
            <w:pPr>
              <w:pStyle w:val="TableText0"/>
              <w:keepLines/>
              <w:jc w:val="center"/>
              <w:rPr>
                <w:szCs w:val="20"/>
                <w:highlight w:val="lightGray"/>
              </w:rPr>
            </w:pPr>
            <w:r w:rsidRPr="00EB6544">
              <w:rPr>
                <w:color w:val="000000"/>
                <w:spacing w:val="65"/>
                <w:szCs w:val="20"/>
                <w:shd w:val="solid" w:color="000000" w:fill="000000"/>
                <w:fitText w:val="366" w:id="-1236572413"/>
                <w14:textFill>
                  <w14:solidFill>
                    <w14:srgbClr w14:val="000000">
                      <w14:alpha w14:val="100000"/>
                    </w14:srgbClr>
                  </w14:solidFill>
                </w14:textFill>
              </w:rPr>
              <w:t>|||</w:t>
            </w:r>
            <w:r w:rsidRPr="00EB6544">
              <w:rPr>
                <w:color w:val="000000"/>
                <w:spacing w:val="1"/>
                <w:szCs w:val="20"/>
                <w:shd w:val="solid" w:color="000000" w:fill="000000"/>
                <w:fitText w:val="366" w:id="-1236572413"/>
                <w14:textFill>
                  <w14:solidFill>
                    <w14:srgbClr w14:val="000000">
                      <w14:alpha w14:val="100000"/>
                    </w14:srgbClr>
                  </w14:solidFill>
                </w14:textFill>
              </w:rPr>
              <w:t>|</w:t>
            </w:r>
            <w:r w:rsidR="00C56A14">
              <w:rPr>
                <w:vertAlign w:val="superscript"/>
              </w:rPr>
              <w:t>5</w:t>
            </w:r>
          </w:p>
        </w:tc>
        <w:tc>
          <w:tcPr>
            <w:tcW w:w="1134" w:type="dxa"/>
            <w:shd w:val="clear" w:color="auto" w:fill="C6D9F1" w:themeFill="text2" w:themeFillTint="33"/>
            <w:vAlign w:val="center"/>
          </w:tcPr>
          <w:p w14:paraId="0F5CAD82" w14:textId="53C7F68F" w:rsidR="00D0791A" w:rsidRPr="00C56A14" w:rsidRDefault="00EB6544" w:rsidP="006A7AE4">
            <w:pPr>
              <w:pStyle w:val="TableText0"/>
              <w:keepLines/>
              <w:jc w:val="center"/>
              <w:rPr>
                <w:szCs w:val="20"/>
                <w:highlight w:val="lightGray"/>
              </w:rPr>
            </w:pPr>
            <w:r w:rsidRPr="00EB6544">
              <w:rPr>
                <w:color w:val="000000"/>
                <w:spacing w:val="65"/>
                <w:szCs w:val="20"/>
                <w:shd w:val="solid" w:color="000000" w:fill="000000"/>
                <w:fitText w:val="366" w:id="-1236572412"/>
                <w14:textFill>
                  <w14:solidFill>
                    <w14:srgbClr w14:val="000000">
                      <w14:alpha w14:val="100000"/>
                    </w14:srgbClr>
                  </w14:solidFill>
                </w14:textFill>
              </w:rPr>
              <w:t>|||</w:t>
            </w:r>
            <w:r w:rsidRPr="00EB6544">
              <w:rPr>
                <w:color w:val="000000"/>
                <w:spacing w:val="1"/>
                <w:szCs w:val="20"/>
                <w:shd w:val="solid" w:color="000000" w:fill="000000"/>
                <w:fitText w:val="366" w:id="-1236572412"/>
                <w14:textFill>
                  <w14:solidFill>
                    <w14:srgbClr w14:val="000000">
                      <w14:alpha w14:val="100000"/>
                    </w14:srgbClr>
                  </w14:solidFill>
                </w14:textFill>
              </w:rPr>
              <w:t>|</w:t>
            </w:r>
            <w:r w:rsidR="00C56A14">
              <w:rPr>
                <w:vertAlign w:val="superscript"/>
              </w:rPr>
              <w:t>5</w:t>
            </w:r>
          </w:p>
        </w:tc>
        <w:tc>
          <w:tcPr>
            <w:tcW w:w="1134" w:type="dxa"/>
            <w:shd w:val="clear" w:color="auto" w:fill="C6D9F1" w:themeFill="text2" w:themeFillTint="33"/>
            <w:vAlign w:val="center"/>
          </w:tcPr>
          <w:p w14:paraId="71790095" w14:textId="4E6FB8F3" w:rsidR="00D0791A" w:rsidRPr="00C56A14" w:rsidRDefault="00EB6544" w:rsidP="006A7AE4">
            <w:pPr>
              <w:pStyle w:val="TableText0"/>
              <w:keepLines/>
              <w:jc w:val="center"/>
              <w:rPr>
                <w:szCs w:val="20"/>
                <w:highlight w:val="lightGray"/>
              </w:rPr>
            </w:pPr>
            <w:r w:rsidRPr="00EB6544">
              <w:rPr>
                <w:color w:val="000000"/>
                <w:spacing w:val="65"/>
                <w:szCs w:val="20"/>
                <w:shd w:val="solid" w:color="000000" w:fill="000000"/>
                <w:fitText w:val="366" w:id="-1236572411"/>
                <w14:textFill>
                  <w14:solidFill>
                    <w14:srgbClr w14:val="000000">
                      <w14:alpha w14:val="100000"/>
                    </w14:srgbClr>
                  </w14:solidFill>
                </w14:textFill>
              </w:rPr>
              <w:t>|||</w:t>
            </w:r>
            <w:r w:rsidRPr="00EB6544">
              <w:rPr>
                <w:color w:val="000000"/>
                <w:spacing w:val="1"/>
                <w:szCs w:val="20"/>
                <w:shd w:val="solid" w:color="000000" w:fill="000000"/>
                <w:fitText w:val="366" w:id="-1236572411"/>
                <w14:textFill>
                  <w14:solidFill>
                    <w14:srgbClr w14:val="000000">
                      <w14:alpha w14:val="100000"/>
                    </w14:srgbClr>
                  </w14:solidFill>
                </w14:textFill>
              </w:rPr>
              <w:t>|</w:t>
            </w:r>
            <w:r w:rsidR="00C56A14">
              <w:rPr>
                <w:vertAlign w:val="superscript"/>
              </w:rPr>
              <w:t>5</w:t>
            </w:r>
          </w:p>
        </w:tc>
        <w:tc>
          <w:tcPr>
            <w:tcW w:w="1276" w:type="dxa"/>
            <w:shd w:val="clear" w:color="auto" w:fill="C6D9F1" w:themeFill="text2" w:themeFillTint="33"/>
            <w:vAlign w:val="center"/>
          </w:tcPr>
          <w:p w14:paraId="4A184259" w14:textId="4F983C0F"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410"/>
                <w14:textFill>
                  <w14:solidFill>
                    <w14:srgbClr w14:val="000000">
                      <w14:alpha w14:val="100000"/>
                    </w14:srgbClr>
                  </w14:solidFill>
                </w14:textFill>
              </w:rPr>
              <w:t>|</w:t>
            </w:r>
            <w:r w:rsidRPr="00EB6544">
              <w:rPr>
                <w:color w:val="000000"/>
                <w:spacing w:val="1"/>
                <w:szCs w:val="20"/>
                <w:shd w:val="solid" w:color="000000" w:fill="000000"/>
                <w:fitText w:val="300" w:id="-1236572410"/>
                <w14:textFill>
                  <w14:solidFill>
                    <w14:srgbClr w14:val="000000">
                      <w14:alpha w14:val="100000"/>
                    </w14:srgbClr>
                  </w14:solidFill>
                </w14:textFill>
              </w:rPr>
              <w:t>|</w:t>
            </w:r>
            <w:r w:rsidR="00C56A14">
              <w:rPr>
                <w:vertAlign w:val="superscript"/>
              </w:rPr>
              <w:t>5</w:t>
            </w:r>
          </w:p>
        </w:tc>
        <w:tc>
          <w:tcPr>
            <w:tcW w:w="1275" w:type="dxa"/>
            <w:shd w:val="clear" w:color="auto" w:fill="C6D9F1" w:themeFill="text2" w:themeFillTint="33"/>
            <w:vAlign w:val="center"/>
          </w:tcPr>
          <w:p w14:paraId="1FB631AB" w14:textId="7D6989E2"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409"/>
                <w14:textFill>
                  <w14:solidFill>
                    <w14:srgbClr w14:val="000000">
                      <w14:alpha w14:val="100000"/>
                    </w14:srgbClr>
                  </w14:solidFill>
                </w14:textFill>
              </w:rPr>
              <w:t>|</w:t>
            </w:r>
            <w:r w:rsidRPr="00EB6544">
              <w:rPr>
                <w:color w:val="000000"/>
                <w:spacing w:val="1"/>
                <w:szCs w:val="20"/>
                <w:shd w:val="solid" w:color="000000" w:fill="000000"/>
                <w:fitText w:val="300" w:id="-1236572409"/>
                <w14:textFill>
                  <w14:solidFill>
                    <w14:srgbClr w14:val="000000">
                      <w14:alpha w14:val="100000"/>
                    </w14:srgbClr>
                  </w14:solidFill>
                </w14:textFill>
              </w:rPr>
              <w:t>|</w:t>
            </w:r>
            <w:r w:rsidR="00C56A14">
              <w:rPr>
                <w:vertAlign w:val="superscript"/>
              </w:rPr>
              <w:t>4</w:t>
            </w:r>
          </w:p>
        </w:tc>
        <w:tc>
          <w:tcPr>
            <w:tcW w:w="1276" w:type="dxa"/>
            <w:shd w:val="clear" w:color="auto" w:fill="C6D9F1" w:themeFill="text2" w:themeFillTint="33"/>
            <w:vAlign w:val="center"/>
          </w:tcPr>
          <w:p w14:paraId="2B9C1EBA" w14:textId="7F70CD1E" w:rsidR="00D0791A" w:rsidRPr="00C56A14" w:rsidRDefault="00EB6544" w:rsidP="006A7AE4">
            <w:pPr>
              <w:pStyle w:val="TableText0"/>
              <w:keepLines/>
              <w:jc w:val="center"/>
              <w:rPr>
                <w:szCs w:val="20"/>
                <w:highlight w:val="lightGray"/>
              </w:rPr>
            </w:pPr>
            <w:r w:rsidRPr="00EB6544">
              <w:rPr>
                <w:color w:val="000000"/>
                <w:spacing w:val="213"/>
                <w:szCs w:val="20"/>
                <w:shd w:val="solid" w:color="000000" w:fill="000000"/>
                <w:fitText w:val="299" w:id="-1236572408"/>
                <w14:textFill>
                  <w14:solidFill>
                    <w14:srgbClr w14:val="000000">
                      <w14:alpha w14:val="100000"/>
                    </w14:srgbClr>
                  </w14:solidFill>
                </w14:textFill>
              </w:rPr>
              <w:t>|</w:t>
            </w:r>
            <w:r w:rsidRPr="00EB6544">
              <w:rPr>
                <w:color w:val="000000"/>
                <w:spacing w:val="1"/>
                <w:szCs w:val="20"/>
                <w:shd w:val="solid" w:color="000000" w:fill="000000"/>
                <w:fitText w:val="299" w:id="-1236572408"/>
                <w14:textFill>
                  <w14:solidFill>
                    <w14:srgbClr w14:val="000000">
                      <w14:alpha w14:val="100000"/>
                    </w14:srgbClr>
                  </w14:solidFill>
                </w14:textFill>
              </w:rPr>
              <w:t>|</w:t>
            </w:r>
            <w:r w:rsidR="00C56A14">
              <w:rPr>
                <w:vertAlign w:val="superscript"/>
              </w:rPr>
              <w:t>4</w:t>
            </w:r>
          </w:p>
        </w:tc>
        <w:tc>
          <w:tcPr>
            <w:tcW w:w="1276" w:type="dxa"/>
            <w:shd w:val="clear" w:color="auto" w:fill="C6D9F1" w:themeFill="text2" w:themeFillTint="33"/>
            <w:vAlign w:val="center"/>
          </w:tcPr>
          <w:p w14:paraId="1F53827D" w14:textId="3D360608"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407"/>
                <w14:textFill>
                  <w14:solidFill>
                    <w14:srgbClr w14:val="000000">
                      <w14:alpha w14:val="100000"/>
                    </w14:srgbClr>
                  </w14:solidFill>
                </w14:textFill>
              </w:rPr>
              <w:t>|</w:t>
            </w:r>
            <w:r w:rsidRPr="00EB6544">
              <w:rPr>
                <w:color w:val="000000"/>
                <w:spacing w:val="1"/>
                <w:szCs w:val="20"/>
                <w:shd w:val="solid" w:color="000000" w:fill="000000"/>
                <w:fitText w:val="300" w:id="-1236572407"/>
                <w14:textFill>
                  <w14:solidFill>
                    <w14:srgbClr w14:val="000000">
                      <w14:alpha w14:val="100000"/>
                    </w14:srgbClr>
                  </w14:solidFill>
                </w14:textFill>
              </w:rPr>
              <w:t>|</w:t>
            </w:r>
            <w:r w:rsidR="00C56A14">
              <w:rPr>
                <w:vertAlign w:val="superscript"/>
              </w:rPr>
              <w:t>2</w:t>
            </w:r>
          </w:p>
        </w:tc>
      </w:tr>
      <w:tr w:rsidR="00D0791A" w:rsidRPr="002F733E" w14:paraId="302C2389" w14:textId="77777777" w:rsidTr="00CC0BB4">
        <w:tc>
          <w:tcPr>
            <w:tcW w:w="988" w:type="dxa"/>
            <w:vMerge/>
            <w:shd w:val="clear" w:color="auto" w:fill="auto"/>
          </w:tcPr>
          <w:p w14:paraId="61589184" w14:textId="77777777" w:rsidR="00D0791A" w:rsidRPr="002F733E" w:rsidRDefault="00D0791A" w:rsidP="006A7AE4">
            <w:pPr>
              <w:pStyle w:val="TableText0"/>
              <w:keepLines/>
              <w:rPr>
                <w:szCs w:val="20"/>
              </w:rPr>
            </w:pPr>
          </w:p>
        </w:tc>
        <w:tc>
          <w:tcPr>
            <w:tcW w:w="992" w:type="dxa"/>
            <w:shd w:val="clear" w:color="auto" w:fill="auto"/>
          </w:tcPr>
          <w:p w14:paraId="1DD37263" w14:textId="03EAFACC" w:rsidR="00D0791A" w:rsidRPr="00C56A14" w:rsidRDefault="00EB6544" w:rsidP="006A7AE4">
            <w:pPr>
              <w:pStyle w:val="TableText0"/>
              <w:keepLines/>
              <w:jc w:val="center"/>
              <w:rPr>
                <w:szCs w:val="20"/>
                <w:highlight w:val="lightGray"/>
              </w:rPr>
            </w:pPr>
            <w:r w:rsidRPr="00EB6544">
              <w:rPr>
                <w:color w:val="000000"/>
                <w:spacing w:val="65"/>
                <w:shd w:val="solid" w:color="000000" w:fill="000000"/>
                <w:fitText w:val="366" w:id="-1236572406"/>
                <w14:textFill>
                  <w14:solidFill>
                    <w14:srgbClr w14:val="000000">
                      <w14:alpha w14:val="100000"/>
                    </w14:srgbClr>
                  </w14:solidFill>
                </w14:textFill>
              </w:rPr>
              <w:t>|||</w:t>
            </w:r>
            <w:r w:rsidRPr="00EB6544">
              <w:rPr>
                <w:color w:val="000000"/>
                <w:spacing w:val="1"/>
                <w:shd w:val="solid" w:color="000000" w:fill="000000"/>
                <w:fitText w:val="366" w:id="-1236572406"/>
                <w14:textFill>
                  <w14:solidFill>
                    <w14:srgbClr w14:val="000000">
                      <w14:alpha w14:val="100000"/>
                    </w14:srgbClr>
                  </w14:solidFill>
                </w14:textFill>
              </w:rPr>
              <w:t>|</w:t>
            </w:r>
            <w:r w:rsidR="00C56A14">
              <w:rPr>
                <w:vertAlign w:val="superscript"/>
              </w:rPr>
              <w:t>5</w:t>
            </w:r>
            <w:r w:rsidR="00C56A14">
              <w:t xml:space="preserve"> </w:t>
            </w:r>
          </w:p>
        </w:tc>
        <w:tc>
          <w:tcPr>
            <w:tcW w:w="1134" w:type="dxa"/>
            <w:shd w:val="clear" w:color="auto" w:fill="auto"/>
          </w:tcPr>
          <w:p w14:paraId="53D7F5FD" w14:textId="6A8452B9" w:rsidR="00D0791A" w:rsidRPr="00C56A14" w:rsidRDefault="00EB6544" w:rsidP="006A7AE4">
            <w:pPr>
              <w:pStyle w:val="TableText0"/>
              <w:keepLines/>
              <w:jc w:val="center"/>
              <w:rPr>
                <w:szCs w:val="20"/>
                <w:highlight w:val="lightGray"/>
              </w:rPr>
            </w:pPr>
            <w:r w:rsidRPr="00EB6544">
              <w:rPr>
                <w:color w:val="000000"/>
                <w:spacing w:val="65"/>
                <w:shd w:val="solid" w:color="000000" w:fill="000000"/>
                <w:fitText w:val="366" w:id="-1236572405"/>
                <w14:textFill>
                  <w14:solidFill>
                    <w14:srgbClr w14:val="000000">
                      <w14:alpha w14:val="100000"/>
                    </w14:srgbClr>
                  </w14:solidFill>
                </w14:textFill>
              </w:rPr>
              <w:t>|||</w:t>
            </w:r>
            <w:r w:rsidRPr="00EB6544">
              <w:rPr>
                <w:color w:val="000000"/>
                <w:spacing w:val="1"/>
                <w:shd w:val="solid" w:color="000000" w:fill="000000"/>
                <w:fitText w:val="366" w:id="-1236572405"/>
                <w14:textFill>
                  <w14:solidFill>
                    <w14:srgbClr w14:val="000000">
                      <w14:alpha w14:val="100000"/>
                    </w14:srgbClr>
                  </w14:solidFill>
                </w14:textFill>
              </w:rPr>
              <w:t>|</w:t>
            </w:r>
            <w:r w:rsidR="00C56A14">
              <w:rPr>
                <w:vertAlign w:val="superscript"/>
              </w:rPr>
              <w:t>5</w:t>
            </w:r>
          </w:p>
        </w:tc>
        <w:tc>
          <w:tcPr>
            <w:tcW w:w="1134" w:type="dxa"/>
            <w:shd w:val="clear" w:color="auto" w:fill="auto"/>
          </w:tcPr>
          <w:p w14:paraId="1F04C354" w14:textId="2CAB86B0" w:rsidR="00D0791A" w:rsidRPr="00C56A14" w:rsidRDefault="00EB6544" w:rsidP="006A7AE4">
            <w:pPr>
              <w:pStyle w:val="TableText0"/>
              <w:keepLines/>
              <w:jc w:val="center"/>
              <w:rPr>
                <w:szCs w:val="20"/>
                <w:highlight w:val="lightGray"/>
              </w:rPr>
            </w:pPr>
            <w:r w:rsidRPr="00EB6544">
              <w:rPr>
                <w:color w:val="000000"/>
                <w:spacing w:val="65"/>
                <w:shd w:val="solid" w:color="000000" w:fill="000000"/>
                <w:fitText w:val="366" w:id="-1236572404"/>
                <w14:textFill>
                  <w14:solidFill>
                    <w14:srgbClr w14:val="000000">
                      <w14:alpha w14:val="100000"/>
                    </w14:srgbClr>
                  </w14:solidFill>
                </w14:textFill>
              </w:rPr>
              <w:t>|||</w:t>
            </w:r>
            <w:r w:rsidRPr="00EB6544">
              <w:rPr>
                <w:color w:val="000000"/>
                <w:spacing w:val="1"/>
                <w:shd w:val="solid" w:color="000000" w:fill="000000"/>
                <w:fitText w:val="366" w:id="-1236572404"/>
                <w14:textFill>
                  <w14:solidFill>
                    <w14:srgbClr w14:val="000000">
                      <w14:alpha w14:val="100000"/>
                    </w14:srgbClr>
                  </w14:solidFill>
                </w14:textFill>
              </w:rPr>
              <w:t>|</w:t>
            </w:r>
            <w:r w:rsidR="00C56A14">
              <w:rPr>
                <w:vertAlign w:val="superscript"/>
              </w:rPr>
              <w:t>5</w:t>
            </w:r>
            <w:r w:rsidR="00C56A14">
              <w:t xml:space="preserve"> </w:t>
            </w:r>
          </w:p>
        </w:tc>
        <w:tc>
          <w:tcPr>
            <w:tcW w:w="1276" w:type="dxa"/>
            <w:tcBorders>
              <w:bottom w:val="single" w:sz="4" w:space="0" w:color="auto"/>
            </w:tcBorders>
            <w:shd w:val="clear" w:color="auto" w:fill="auto"/>
          </w:tcPr>
          <w:p w14:paraId="14C62DE2" w14:textId="745BECE4" w:rsidR="00D0791A" w:rsidRPr="00C56A14" w:rsidRDefault="00EB6544" w:rsidP="006A7AE4">
            <w:pPr>
              <w:pStyle w:val="TableText0"/>
              <w:keepLines/>
              <w:jc w:val="center"/>
              <w:rPr>
                <w:szCs w:val="20"/>
                <w:highlight w:val="lightGray"/>
              </w:rPr>
            </w:pPr>
            <w:r w:rsidRPr="00EB6544">
              <w:rPr>
                <w:color w:val="000000"/>
                <w:spacing w:val="214"/>
                <w:shd w:val="solid" w:color="000000" w:fill="000000"/>
                <w:fitText w:val="300" w:id="-1236572403"/>
                <w14:textFill>
                  <w14:solidFill>
                    <w14:srgbClr w14:val="000000">
                      <w14:alpha w14:val="100000"/>
                    </w14:srgbClr>
                  </w14:solidFill>
                </w14:textFill>
              </w:rPr>
              <w:t>|</w:t>
            </w:r>
            <w:r w:rsidRPr="00EB6544">
              <w:rPr>
                <w:color w:val="000000"/>
                <w:spacing w:val="1"/>
                <w:shd w:val="solid" w:color="000000" w:fill="000000"/>
                <w:fitText w:val="300" w:id="-1236572403"/>
                <w14:textFill>
                  <w14:solidFill>
                    <w14:srgbClr w14:val="000000">
                      <w14:alpha w14:val="100000"/>
                    </w14:srgbClr>
                  </w14:solidFill>
                </w14:textFill>
              </w:rPr>
              <w:t>|</w:t>
            </w:r>
            <w:r w:rsidR="00C56A14">
              <w:rPr>
                <w:vertAlign w:val="superscript"/>
              </w:rPr>
              <w:t>5</w:t>
            </w:r>
            <w:r w:rsidR="00C56A14">
              <w:t xml:space="preserve"> </w:t>
            </w:r>
          </w:p>
        </w:tc>
        <w:tc>
          <w:tcPr>
            <w:tcW w:w="1275" w:type="dxa"/>
            <w:shd w:val="clear" w:color="auto" w:fill="auto"/>
          </w:tcPr>
          <w:p w14:paraId="11DAEBB4" w14:textId="7B59750B" w:rsidR="00D0791A" w:rsidRPr="00C56A14" w:rsidRDefault="00EB6544" w:rsidP="006A7AE4">
            <w:pPr>
              <w:pStyle w:val="TableText0"/>
              <w:keepLines/>
              <w:jc w:val="center"/>
              <w:rPr>
                <w:szCs w:val="20"/>
                <w:highlight w:val="lightGray"/>
              </w:rPr>
            </w:pPr>
            <w:r w:rsidRPr="00EB6544">
              <w:rPr>
                <w:color w:val="000000"/>
                <w:spacing w:val="214"/>
                <w:shd w:val="solid" w:color="000000" w:fill="000000"/>
                <w:fitText w:val="300" w:id="-1236572402"/>
                <w14:textFill>
                  <w14:solidFill>
                    <w14:srgbClr w14:val="000000">
                      <w14:alpha w14:val="100000"/>
                    </w14:srgbClr>
                  </w14:solidFill>
                </w14:textFill>
              </w:rPr>
              <w:t>|</w:t>
            </w:r>
            <w:r w:rsidRPr="00EB6544">
              <w:rPr>
                <w:color w:val="000000"/>
                <w:spacing w:val="1"/>
                <w:shd w:val="solid" w:color="000000" w:fill="000000"/>
                <w:fitText w:val="300" w:id="-1236572402"/>
                <w14:textFill>
                  <w14:solidFill>
                    <w14:srgbClr w14:val="000000">
                      <w14:alpha w14:val="100000"/>
                    </w14:srgbClr>
                  </w14:solidFill>
                </w14:textFill>
              </w:rPr>
              <w:t>|</w:t>
            </w:r>
            <w:r w:rsidR="00C56A14">
              <w:rPr>
                <w:vertAlign w:val="superscript"/>
              </w:rPr>
              <w:t>5</w:t>
            </w:r>
            <w:r w:rsidR="00C56A14">
              <w:t xml:space="preserve"> </w:t>
            </w:r>
          </w:p>
        </w:tc>
        <w:tc>
          <w:tcPr>
            <w:tcW w:w="1276" w:type="dxa"/>
            <w:shd w:val="clear" w:color="auto" w:fill="auto"/>
          </w:tcPr>
          <w:p w14:paraId="16911F80" w14:textId="6B4AF374" w:rsidR="00D0791A" w:rsidRPr="00C56A14" w:rsidRDefault="00EB6544" w:rsidP="006A7AE4">
            <w:pPr>
              <w:pStyle w:val="TableText0"/>
              <w:keepLines/>
              <w:jc w:val="center"/>
              <w:rPr>
                <w:szCs w:val="20"/>
                <w:highlight w:val="lightGray"/>
              </w:rPr>
            </w:pPr>
            <w:r w:rsidRPr="00EB6544">
              <w:rPr>
                <w:color w:val="000000"/>
                <w:spacing w:val="213"/>
                <w:shd w:val="solid" w:color="000000" w:fill="000000"/>
                <w:fitText w:val="299" w:id="-1236572401"/>
                <w14:textFill>
                  <w14:solidFill>
                    <w14:srgbClr w14:val="000000">
                      <w14:alpha w14:val="100000"/>
                    </w14:srgbClr>
                  </w14:solidFill>
                </w14:textFill>
              </w:rPr>
              <w:t>|</w:t>
            </w:r>
            <w:r w:rsidRPr="00EB6544">
              <w:rPr>
                <w:color w:val="000000"/>
                <w:spacing w:val="1"/>
                <w:shd w:val="solid" w:color="000000" w:fill="000000"/>
                <w:fitText w:val="299" w:id="-1236572401"/>
                <w14:textFill>
                  <w14:solidFill>
                    <w14:srgbClr w14:val="000000">
                      <w14:alpha w14:val="100000"/>
                    </w14:srgbClr>
                  </w14:solidFill>
                </w14:textFill>
              </w:rPr>
              <w:t>|</w:t>
            </w:r>
            <w:r w:rsidR="00C56A14">
              <w:rPr>
                <w:vertAlign w:val="superscript"/>
              </w:rPr>
              <w:t>5</w:t>
            </w:r>
            <w:r w:rsidR="00C56A14">
              <w:t xml:space="preserve"> </w:t>
            </w:r>
          </w:p>
        </w:tc>
        <w:tc>
          <w:tcPr>
            <w:tcW w:w="1276" w:type="dxa"/>
            <w:shd w:val="clear" w:color="auto" w:fill="auto"/>
            <w:vAlign w:val="center"/>
          </w:tcPr>
          <w:p w14:paraId="58723370" w14:textId="65FB99F7" w:rsidR="00D0791A" w:rsidRPr="00C56A14" w:rsidRDefault="00EB6544" w:rsidP="006A7AE4">
            <w:pPr>
              <w:pStyle w:val="TableText0"/>
              <w:keepLines/>
              <w:jc w:val="center"/>
              <w:rPr>
                <w:szCs w:val="20"/>
                <w:highlight w:val="lightGray"/>
              </w:rPr>
            </w:pPr>
            <w:r w:rsidRPr="00EB6544">
              <w:rPr>
                <w:color w:val="000000"/>
                <w:spacing w:val="214"/>
                <w:szCs w:val="20"/>
                <w:shd w:val="solid" w:color="000000" w:fill="000000"/>
                <w:fitText w:val="300" w:id="-1236572400"/>
                <w14:textFill>
                  <w14:solidFill>
                    <w14:srgbClr w14:val="000000">
                      <w14:alpha w14:val="100000"/>
                    </w14:srgbClr>
                  </w14:solidFill>
                </w14:textFill>
              </w:rPr>
              <w:t>|</w:t>
            </w:r>
            <w:r w:rsidRPr="00EB6544">
              <w:rPr>
                <w:color w:val="000000"/>
                <w:spacing w:val="1"/>
                <w:szCs w:val="20"/>
                <w:shd w:val="solid" w:color="000000" w:fill="000000"/>
                <w:fitText w:val="300" w:id="-1236572400"/>
                <w14:textFill>
                  <w14:solidFill>
                    <w14:srgbClr w14:val="000000">
                      <w14:alpha w14:val="100000"/>
                    </w14:srgbClr>
                  </w14:solidFill>
                </w14:textFill>
              </w:rPr>
              <w:t>|</w:t>
            </w:r>
            <w:r w:rsidR="00C56A14">
              <w:rPr>
                <w:vertAlign w:val="superscript"/>
              </w:rPr>
              <w:t>1</w:t>
            </w:r>
          </w:p>
        </w:tc>
      </w:tr>
      <w:tr w:rsidR="00D0791A" w:rsidRPr="002F733E" w14:paraId="34B3DD90" w14:textId="77777777" w:rsidTr="00CC0BB4">
        <w:tc>
          <w:tcPr>
            <w:tcW w:w="988" w:type="dxa"/>
            <w:vMerge w:val="restart"/>
            <w:shd w:val="clear" w:color="auto" w:fill="auto"/>
            <w:vAlign w:val="center"/>
          </w:tcPr>
          <w:p w14:paraId="285BFC10" w14:textId="77777777" w:rsidR="00D0791A" w:rsidRPr="002F733E" w:rsidRDefault="00D0791A" w:rsidP="006A7AE4">
            <w:pPr>
              <w:pStyle w:val="TableText0"/>
              <w:keepLines/>
              <w:rPr>
                <w:b/>
                <w:szCs w:val="20"/>
              </w:rPr>
            </w:pPr>
            <w:r w:rsidRPr="002F733E">
              <w:rPr>
                <w:b/>
                <w:szCs w:val="20"/>
              </w:rPr>
              <w:t>Total pt yrs</w:t>
            </w:r>
          </w:p>
        </w:tc>
        <w:tc>
          <w:tcPr>
            <w:tcW w:w="992" w:type="dxa"/>
            <w:shd w:val="clear" w:color="auto" w:fill="C6D9F1" w:themeFill="text2" w:themeFillTint="33"/>
            <w:vAlign w:val="center"/>
          </w:tcPr>
          <w:p w14:paraId="6BE1BB9D" w14:textId="4B254B01" w:rsidR="00D0791A" w:rsidRPr="00C56A14" w:rsidRDefault="00EB6544" w:rsidP="006A7AE4">
            <w:pPr>
              <w:pStyle w:val="TableText0"/>
              <w:keepLines/>
              <w:jc w:val="center"/>
              <w:rPr>
                <w:b/>
                <w:szCs w:val="20"/>
                <w:highlight w:val="lightGray"/>
              </w:rPr>
            </w:pPr>
            <w:r w:rsidRPr="00EB6544">
              <w:rPr>
                <w:b/>
                <w:color w:val="000000"/>
                <w:spacing w:val="31"/>
                <w:szCs w:val="20"/>
                <w:shd w:val="solid" w:color="000000" w:fill="000000"/>
                <w:fitText w:val="433" w:id="-1236572416"/>
                <w14:textFill>
                  <w14:solidFill>
                    <w14:srgbClr w14:val="000000">
                      <w14:alpha w14:val="100000"/>
                    </w14:srgbClr>
                  </w14:solidFill>
                </w14:textFill>
              </w:rPr>
              <w:t>|||||</w:t>
            </w:r>
            <w:r w:rsidRPr="00EB6544">
              <w:rPr>
                <w:b/>
                <w:color w:val="000000"/>
                <w:spacing w:val="3"/>
                <w:szCs w:val="20"/>
                <w:shd w:val="solid" w:color="000000" w:fill="000000"/>
                <w:fitText w:val="433" w:id="-1236572416"/>
                <w14:textFill>
                  <w14:solidFill>
                    <w14:srgbClr w14:val="000000">
                      <w14:alpha w14:val="100000"/>
                    </w14:srgbClr>
                  </w14:solidFill>
                </w14:textFill>
              </w:rPr>
              <w:t>|</w:t>
            </w:r>
            <w:r w:rsidR="00C56A14">
              <w:rPr>
                <w:vertAlign w:val="superscript"/>
              </w:rPr>
              <w:t>5</w:t>
            </w:r>
          </w:p>
        </w:tc>
        <w:tc>
          <w:tcPr>
            <w:tcW w:w="1134" w:type="dxa"/>
            <w:shd w:val="clear" w:color="auto" w:fill="C6D9F1" w:themeFill="text2" w:themeFillTint="33"/>
            <w:vAlign w:val="center"/>
          </w:tcPr>
          <w:p w14:paraId="4DE77304" w14:textId="127ECAD3" w:rsidR="00D0791A" w:rsidRPr="00C56A14" w:rsidRDefault="00EB6544" w:rsidP="006A7AE4">
            <w:pPr>
              <w:pStyle w:val="TableText0"/>
              <w:keepLines/>
              <w:jc w:val="center"/>
              <w:rPr>
                <w:b/>
                <w:szCs w:val="20"/>
                <w:highlight w:val="lightGray"/>
              </w:rPr>
            </w:pPr>
            <w:r w:rsidRPr="00EB6544">
              <w:rPr>
                <w:b/>
                <w:color w:val="000000"/>
                <w:spacing w:val="31"/>
                <w:szCs w:val="20"/>
                <w:shd w:val="solid" w:color="000000" w:fill="000000"/>
                <w:fitText w:val="433" w:id="-1236572415"/>
                <w14:textFill>
                  <w14:solidFill>
                    <w14:srgbClr w14:val="000000">
                      <w14:alpha w14:val="100000"/>
                    </w14:srgbClr>
                  </w14:solidFill>
                </w14:textFill>
              </w:rPr>
              <w:t>|||||</w:t>
            </w:r>
            <w:r w:rsidRPr="00EB6544">
              <w:rPr>
                <w:b/>
                <w:color w:val="000000"/>
                <w:spacing w:val="3"/>
                <w:szCs w:val="20"/>
                <w:shd w:val="solid" w:color="000000" w:fill="000000"/>
                <w:fitText w:val="433" w:id="-1236572415"/>
                <w14:textFill>
                  <w14:solidFill>
                    <w14:srgbClr w14:val="000000">
                      <w14:alpha w14:val="100000"/>
                    </w14:srgbClr>
                  </w14:solidFill>
                </w14:textFill>
              </w:rPr>
              <w:t>|</w:t>
            </w:r>
            <w:r w:rsidR="00C56A14">
              <w:rPr>
                <w:vertAlign w:val="superscript"/>
              </w:rPr>
              <w:t>5</w:t>
            </w:r>
          </w:p>
        </w:tc>
        <w:tc>
          <w:tcPr>
            <w:tcW w:w="1134" w:type="dxa"/>
            <w:shd w:val="clear" w:color="auto" w:fill="C6D9F1" w:themeFill="text2" w:themeFillTint="33"/>
            <w:vAlign w:val="center"/>
          </w:tcPr>
          <w:p w14:paraId="43343965" w14:textId="1BE83E8B" w:rsidR="00D0791A" w:rsidRPr="00C56A14" w:rsidRDefault="00EB6544" w:rsidP="006A7AE4">
            <w:pPr>
              <w:pStyle w:val="TableText0"/>
              <w:keepLines/>
              <w:jc w:val="center"/>
              <w:rPr>
                <w:b/>
                <w:szCs w:val="20"/>
                <w:highlight w:val="lightGray"/>
              </w:rPr>
            </w:pPr>
            <w:r w:rsidRPr="00EB6544">
              <w:rPr>
                <w:b/>
                <w:color w:val="000000"/>
                <w:spacing w:val="31"/>
                <w:szCs w:val="20"/>
                <w:shd w:val="solid" w:color="000000" w:fill="000000"/>
                <w:fitText w:val="433" w:id="-1236572414"/>
                <w14:textFill>
                  <w14:solidFill>
                    <w14:srgbClr w14:val="000000">
                      <w14:alpha w14:val="100000"/>
                    </w14:srgbClr>
                  </w14:solidFill>
                </w14:textFill>
              </w:rPr>
              <w:t>|||||</w:t>
            </w:r>
            <w:r w:rsidRPr="00EB6544">
              <w:rPr>
                <w:b/>
                <w:color w:val="000000"/>
                <w:spacing w:val="3"/>
                <w:szCs w:val="20"/>
                <w:shd w:val="solid" w:color="000000" w:fill="000000"/>
                <w:fitText w:val="433" w:id="-1236572414"/>
                <w14:textFill>
                  <w14:solidFill>
                    <w14:srgbClr w14:val="000000">
                      <w14:alpha w14:val="100000"/>
                    </w14:srgbClr>
                  </w14:solidFill>
                </w14:textFill>
              </w:rPr>
              <w:t>|</w:t>
            </w:r>
            <w:r w:rsidR="00C56A14">
              <w:rPr>
                <w:vertAlign w:val="superscript"/>
              </w:rPr>
              <w:t>5</w:t>
            </w:r>
          </w:p>
        </w:tc>
        <w:tc>
          <w:tcPr>
            <w:tcW w:w="1276" w:type="dxa"/>
            <w:shd w:val="solid" w:color="000000" w:fill="000000"/>
            <w:vAlign w:val="center"/>
          </w:tcPr>
          <w:p w14:paraId="458AA278" w14:textId="297FE32C" w:rsidR="00D0791A" w:rsidRPr="00EB6544" w:rsidRDefault="00EB6544" w:rsidP="006A7AE4">
            <w:pPr>
              <w:pStyle w:val="TableText0"/>
              <w:keepLines/>
              <w:jc w:val="center"/>
              <w:rPr>
                <w:b/>
                <w:szCs w:val="20"/>
              </w:rPr>
            </w:pPr>
            <w:r w:rsidRPr="00EB6544">
              <w:rPr>
                <w:b/>
                <w:color w:val="000000"/>
                <w:spacing w:val="49"/>
                <w:szCs w:val="20"/>
                <w:fitText w:val="333" w:id="-1236572413"/>
                <w14:textFill>
                  <w14:solidFill>
                    <w14:srgbClr w14:val="000000">
                      <w14:alpha w14:val="100000"/>
                    </w14:srgbClr>
                  </w14:solidFill>
                </w14:textFill>
              </w:rPr>
              <w:t>|||</w:t>
            </w:r>
            <w:r w:rsidRPr="00EB6544">
              <w:rPr>
                <w:b/>
                <w:color w:val="000000"/>
                <w:spacing w:val="3"/>
                <w:szCs w:val="20"/>
                <w:fitText w:val="333" w:id="-1236572413"/>
                <w14:textFill>
                  <w14:solidFill>
                    <w14:srgbClr w14:val="000000">
                      <w14:alpha w14:val="100000"/>
                    </w14:srgbClr>
                  </w14:solidFill>
                </w14:textFill>
              </w:rPr>
              <w:t>|</w:t>
            </w:r>
          </w:p>
        </w:tc>
        <w:tc>
          <w:tcPr>
            <w:tcW w:w="1275" w:type="dxa"/>
            <w:shd w:val="clear" w:color="auto" w:fill="C6D9F1" w:themeFill="text2" w:themeFillTint="33"/>
            <w:vAlign w:val="center"/>
          </w:tcPr>
          <w:p w14:paraId="7287BA12" w14:textId="5C598710" w:rsidR="00D0791A" w:rsidRPr="00C56A14" w:rsidRDefault="00EB6544" w:rsidP="006A7AE4">
            <w:pPr>
              <w:pStyle w:val="TableText0"/>
              <w:keepLines/>
              <w:jc w:val="center"/>
              <w:rPr>
                <w:b/>
                <w:szCs w:val="20"/>
                <w:highlight w:val="lightGray"/>
              </w:rPr>
            </w:pPr>
            <w:r w:rsidRPr="00EB6544">
              <w:rPr>
                <w:b/>
                <w:color w:val="000000"/>
                <w:spacing w:val="60"/>
                <w:szCs w:val="20"/>
                <w:shd w:val="solid" w:color="000000" w:fill="000000"/>
                <w:fitText w:val="366" w:id="-1236572412"/>
                <w14:textFill>
                  <w14:solidFill>
                    <w14:srgbClr w14:val="000000">
                      <w14:alpha w14:val="100000"/>
                    </w14:srgbClr>
                  </w14:solidFill>
                </w14:textFill>
              </w:rPr>
              <w:t>|||</w:t>
            </w:r>
            <w:r w:rsidRPr="00EB6544">
              <w:rPr>
                <w:b/>
                <w:color w:val="000000"/>
                <w:spacing w:val="3"/>
                <w:szCs w:val="20"/>
                <w:shd w:val="solid" w:color="000000" w:fill="000000"/>
                <w:fitText w:val="366" w:id="-1236572412"/>
                <w14:textFill>
                  <w14:solidFill>
                    <w14:srgbClr w14:val="000000">
                      <w14:alpha w14:val="100000"/>
                    </w14:srgbClr>
                  </w14:solidFill>
                </w14:textFill>
              </w:rPr>
              <w:t>|</w:t>
            </w:r>
            <w:r w:rsidR="00C56A14">
              <w:rPr>
                <w:vertAlign w:val="superscript"/>
              </w:rPr>
              <w:t>4</w:t>
            </w:r>
          </w:p>
        </w:tc>
        <w:tc>
          <w:tcPr>
            <w:tcW w:w="1276" w:type="dxa"/>
            <w:shd w:val="clear" w:color="auto" w:fill="C6D9F1" w:themeFill="text2" w:themeFillTint="33"/>
            <w:vAlign w:val="center"/>
          </w:tcPr>
          <w:p w14:paraId="5BFA34A1" w14:textId="60523DAC" w:rsidR="00D0791A" w:rsidRPr="00C56A14" w:rsidRDefault="00EB6544" w:rsidP="006A7AE4">
            <w:pPr>
              <w:pStyle w:val="TableText0"/>
              <w:keepLines/>
              <w:jc w:val="center"/>
              <w:rPr>
                <w:b/>
                <w:szCs w:val="20"/>
                <w:highlight w:val="lightGray"/>
              </w:rPr>
            </w:pPr>
            <w:r w:rsidRPr="00EB6544">
              <w:rPr>
                <w:b/>
                <w:color w:val="000000"/>
                <w:spacing w:val="60"/>
                <w:szCs w:val="20"/>
                <w:shd w:val="solid" w:color="000000" w:fill="000000"/>
                <w:fitText w:val="366" w:id="-1236572411"/>
                <w14:textFill>
                  <w14:solidFill>
                    <w14:srgbClr w14:val="000000">
                      <w14:alpha w14:val="100000"/>
                    </w14:srgbClr>
                  </w14:solidFill>
                </w14:textFill>
              </w:rPr>
              <w:t>|||</w:t>
            </w:r>
            <w:r w:rsidRPr="00EB6544">
              <w:rPr>
                <w:b/>
                <w:color w:val="000000"/>
                <w:spacing w:val="3"/>
                <w:szCs w:val="20"/>
                <w:shd w:val="solid" w:color="000000" w:fill="000000"/>
                <w:fitText w:val="366" w:id="-1236572411"/>
                <w14:textFill>
                  <w14:solidFill>
                    <w14:srgbClr w14:val="000000">
                      <w14:alpha w14:val="100000"/>
                    </w14:srgbClr>
                  </w14:solidFill>
                </w14:textFill>
              </w:rPr>
              <w:t>|</w:t>
            </w:r>
            <w:r w:rsidR="00C56A14">
              <w:rPr>
                <w:vertAlign w:val="superscript"/>
              </w:rPr>
              <w:t>4</w:t>
            </w:r>
          </w:p>
        </w:tc>
        <w:tc>
          <w:tcPr>
            <w:tcW w:w="1276" w:type="dxa"/>
            <w:shd w:val="clear" w:color="auto" w:fill="C6D9F1" w:themeFill="text2" w:themeFillTint="33"/>
            <w:vAlign w:val="center"/>
          </w:tcPr>
          <w:p w14:paraId="28C1FA81" w14:textId="343024A7" w:rsidR="00D0791A" w:rsidRPr="00C56A14" w:rsidRDefault="00EB6544" w:rsidP="006A7AE4">
            <w:pPr>
              <w:pStyle w:val="TableText0"/>
              <w:keepLines/>
              <w:jc w:val="center"/>
              <w:rPr>
                <w:b/>
                <w:szCs w:val="20"/>
                <w:highlight w:val="lightGray"/>
              </w:rPr>
            </w:pPr>
            <w:r w:rsidRPr="00EB6544">
              <w:rPr>
                <w:b/>
                <w:color w:val="000000"/>
                <w:spacing w:val="60"/>
                <w:szCs w:val="20"/>
                <w:shd w:val="solid" w:color="000000" w:fill="000000"/>
                <w:fitText w:val="366" w:id="-1236572410"/>
                <w14:textFill>
                  <w14:solidFill>
                    <w14:srgbClr w14:val="000000">
                      <w14:alpha w14:val="100000"/>
                    </w14:srgbClr>
                  </w14:solidFill>
                </w14:textFill>
              </w:rPr>
              <w:t>|||</w:t>
            </w:r>
            <w:r w:rsidRPr="00EB6544">
              <w:rPr>
                <w:b/>
                <w:color w:val="000000"/>
                <w:spacing w:val="3"/>
                <w:szCs w:val="20"/>
                <w:shd w:val="solid" w:color="000000" w:fill="000000"/>
                <w:fitText w:val="366" w:id="-1236572410"/>
                <w14:textFill>
                  <w14:solidFill>
                    <w14:srgbClr w14:val="000000">
                      <w14:alpha w14:val="100000"/>
                    </w14:srgbClr>
                  </w14:solidFill>
                </w14:textFill>
              </w:rPr>
              <w:t>|</w:t>
            </w:r>
            <w:r w:rsidR="00C56A14">
              <w:rPr>
                <w:vertAlign w:val="superscript"/>
              </w:rPr>
              <w:t>2</w:t>
            </w:r>
          </w:p>
        </w:tc>
      </w:tr>
      <w:tr w:rsidR="00D0791A" w:rsidRPr="002F733E" w14:paraId="48BDA056" w14:textId="77777777" w:rsidTr="00CC0BB4">
        <w:tc>
          <w:tcPr>
            <w:tcW w:w="988" w:type="dxa"/>
            <w:vMerge/>
            <w:shd w:val="clear" w:color="auto" w:fill="auto"/>
            <w:vAlign w:val="center"/>
          </w:tcPr>
          <w:p w14:paraId="7347A7B7" w14:textId="77777777" w:rsidR="00D0791A" w:rsidRPr="002F733E" w:rsidRDefault="00D0791A" w:rsidP="006A7AE4">
            <w:pPr>
              <w:pStyle w:val="TableText0"/>
              <w:keepLines/>
              <w:rPr>
                <w:b/>
                <w:szCs w:val="20"/>
              </w:rPr>
            </w:pPr>
          </w:p>
        </w:tc>
        <w:tc>
          <w:tcPr>
            <w:tcW w:w="992" w:type="dxa"/>
            <w:shd w:val="clear" w:color="auto" w:fill="auto"/>
          </w:tcPr>
          <w:p w14:paraId="1EF9FF7C" w14:textId="71467BBF" w:rsidR="00D0791A" w:rsidRPr="002F733E" w:rsidRDefault="00EB6544" w:rsidP="006A7AE4">
            <w:pPr>
              <w:pStyle w:val="TableText0"/>
              <w:keepLines/>
              <w:jc w:val="center"/>
              <w:rPr>
                <w:b/>
                <w:szCs w:val="20"/>
              </w:rPr>
            </w:pPr>
            <w:r w:rsidRPr="00EB6544">
              <w:rPr>
                <w:color w:val="000000"/>
                <w:spacing w:val="81"/>
                <w:shd w:val="solid" w:color="000000" w:fill="000000"/>
                <w:fitText w:val="416" w:id="-1236572409"/>
                <w14:textFill>
                  <w14:solidFill>
                    <w14:srgbClr w14:val="000000">
                      <w14:alpha w14:val="100000"/>
                    </w14:srgbClr>
                  </w14:solidFill>
                </w14:textFill>
              </w:rPr>
              <w:t>|||</w:t>
            </w:r>
            <w:r w:rsidRPr="00EB6544">
              <w:rPr>
                <w:color w:val="000000"/>
                <w:spacing w:val="3"/>
                <w:shd w:val="solid" w:color="000000" w:fill="000000"/>
                <w:fitText w:val="416" w:id="-1236572409"/>
                <w14:textFill>
                  <w14:solidFill>
                    <w14:srgbClr w14:val="000000">
                      <w14:alpha w14:val="100000"/>
                    </w14:srgbClr>
                  </w14:solidFill>
                </w14:textFill>
              </w:rPr>
              <w:t>|</w:t>
            </w:r>
            <w:r w:rsidR="003E7884" w:rsidRPr="002F733E">
              <w:t>^</w:t>
            </w:r>
            <w:r w:rsidR="00C56A14">
              <w:rPr>
                <w:vertAlign w:val="superscript"/>
              </w:rPr>
              <w:t>,5</w:t>
            </w:r>
            <w:r w:rsidR="00D0791A" w:rsidRPr="002F733E">
              <w:t xml:space="preserve"> </w:t>
            </w:r>
          </w:p>
        </w:tc>
        <w:tc>
          <w:tcPr>
            <w:tcW w:w="1134" w:type="dxa"/>
            <w:shd w:val="clear" w:color="auto" w:fill="auto"/>
          </w:tcPr>
          <w:p w14:paraId="77CAF004" w14:textId="053789A8" w:rsidR="00D0791A" w:rsidRPr="00C56A14" w:rsidRDefault="00EB6544" w:rsidP="006A7AE4">
            <w:pPr>
              <w:pStyle w:val="TableText0"/>
              <w:keepLines/>
              <w:jc w:val="center"/>
              <w:rPr>
                <w:b/>
                <w:szCs w:val="20"/>
                <w:highlight w:val="lightGray"/>
              </w:rPr>
            </w:pPr>
            <w:r w:rsidRPr="00EB6544">
              <w:rPr>
                <w:color w:val="000000"/>
                <w:spacing w:val="65"/>
                <w:shd w:val="solid" w:color="000000" w:fill="000000"/>
                <w:fitText w:val="366" w:id="-1236572408"/>
                <w14:textFill>
                  <w14:solidFill>
                    <w14:srgbClr w14:val="000000">
                      <w14:alpha w14:val="100000"/>
                    </w14:srgbClr>
                  </w14:solidFill>
                </w14:textFill>
              </w:rPr>
              <w:t>|||</w:t>
            </w:r>
            <w:r w:rsidRPr="00EB6544">
              <w:rPr>
                <w:color w:val="000000"/>
                <w:spacing w:val="1"/>
                <w:shd w:val="solid" w:color="000000" w:fill="000000"/>
                <w:fitText w:val="366" w:id="-1236572408"/>
                <w14:textFill>
                  <w14:solidFill>
                    <w14:srgbClr w14:val="000000">
                      <w14:alpha w14:val="100000"/>
                    </w14:srgbClr>
                  </w14:solidFill>
                </w14:textFill>
              </w:rPr>
              <w:t>|</w:t>
            </w:r>
            <w:r w:rsidR="00C56A14">
              <w:rPr>
                <w:vertAlign w:val="superscript"/>
              </w:rPr>
              <w:t>5</w:t>
            </w:r>
          </w:p>
        </w:tc>
        <w:tc>
          <w:tcPr>
            <w:tcW w:w="1134" w:type="dxa"/>
            <w:shd w:val="clear" w:color="auto" w:fill="auto"/>
          </w:tcPr>
          <w:p w14:paraId="3F66BD98" w14:textId="1C43E3CD" w:rsidR="00D0791A" w:rsidRPr="00C56A14" w:rsidRDefault="00EB6544" w:rsidP="006A7AE4">
            <w:pPr>
              <w:pStyle w:val="TableText0"/>
              <w:keepLines/>
              <w:jc w:val="center"/>
              <w:rPr>
                <w:b/>
                <w:szCs w:val="20"/>
                <w:highlight w:val="lightGray"/>
              </w:rPr>
            </w:pPr>
            <w:r w:rsidRPr="00EB6544">
              <w:rPr>
                <w:color w:val="000000"/>
                <w:spacing w:val="65"/>
                <w:shd w:val="solid" w:color="000000" w:fill="000000"/>
                <w:fitText w:val="366" w:id="-1236572407"/>
                <w14:textFill>
                  <w14:solidFill>
                    <w14:srgbClr w14:val="000000">
                      <w14:alpha w14:val="100000"/>
                    </w14:srgbClr>
                  </w14:solidFill>
                </w14:textFill>
              </w:rPr>
              <w:t>|||</w:t>
            </w:r>
            <w:r w:rsidRPr="00EB6544">
              <w:rPr>
                <w:color w:val="000000"/>
                <w:spacing w:val="1"/>
                <w:shd w:val="solid" w:color="000000" w:fill="000000"/>
                <w:fitText w:val="366" w:id="-1236572407"/>
                <w14:textFill>
                  <w14:solidFill>
                    <w14:srgbClr w14:val="000000">
                      <w14:alpha w14:val="100000"/>
                    </w14:srgbClr>
                  </w14:solidFill>
                </w14:textFill>
              </w:rPr>
              <w:t>|</w:t>
            </w:r>
            <w:r w:rsidR="00C56A14">
              <w:rPr>
                <w:vertAlign w:val="superscript"/>
              </w:rPr>
              <w:t>5</w:t>
            </w:r>
          </w:p>
        </w:tc>
        <w:tc>
          <w:tcPr>
            <w:tcW w:w="1276" w:type="dxa"/>
            <w:shd w:val="clear" w:color="auto" w:fill="auto"/>
          </w:tcPr>
          <w:p w14:paraId="638438AC" w14:textId="2C5F1639" w:rsidR="00D0791A" w:rsidRPr="00C56A14" w:rsidRDefault="00EB6544" w:rsidP="006A7AE4">
            <w:pPr>
              <w:pStyle w:val="TableText0"/>
              <w:keepLines/>
              <w:jc w:val="center"/>
              <w:rPr>
                <w:b/>
                <w:szCs w:val="20"/>
                <w:highlight w:val="lightGray"/>
              </w:rPr>
            </w:pPr>
            <w:r w:rsidRPr="00EB6544">
              <w:rPr>
                <w:color w:val="000000"/>
                <w:spacing w:val="214"/>
                <w:shd w:val="solid" w:color="000000" w:fill="000000"/>
                <w:fitText w:val="300" w:id="-1236572406"/>
                <w14:textFill>
                  <w14:solidFill>
                    <w14:srgbClr w14:val="000000">
                      <w14:alpha w14:val="100000"/>
                    </w14:srgbClr>
                  </w14:solidFill>
                </w14:textFill>
              </w:rPr>
              <w:t>|</w:t>
            </w:r>
            <w:r w:rsidRPr="00EB6544">
              <w:rPr>
                <w:color w:val="000000"/>
                <w:spacing w:val="1"/>
                <w:shd w:val="solid" w:color="000000" w:fill="000000"/>
                <w:fitText w:val="300" w:id="-1236572406"/>
                <w14:textFill>
                  <w14:solidFill>
                    <w14:srgbClr w14:val="000000">
                      <w14:alpha w14:val="100000"/>
                    </w14:srgbClr>
                  </w14:solidFill>
                </w14:textFill>
              </w:rPr>
              <w:t>|</w:t>
            </w:r>
            <w:r w:rsidR="00C56A14">
              <w:rPr>
                <w:vertAlign w:val="superscript"/>
              </w:rPr>
              <w:t>5</w:t>
            </w:r>
          </w:p>
        </w:tc>
        <w:tc>
          <w:tcPr>
            <w:tcW w:w="1275" w:type="dxa"/>
            <w:shd w:val="clear" w:color="auto" w:fill="auto"/>
          </w:tcPr>
          <w:p w14:paraId="627F111F" w14:textId="120E671A" w:rsidR="00D0791A" w:rsidRPr="00C56A14" w:rsidRDefault="00EB6544" w:rsidP="006A7AE4">
            <w:pPr>
              <w:pStyle w:val="TableText0"/>
              <w:keepLines/>
              <w:jc w:val="center"/>
              <w:rPr>
                <w:b/>
                <w:szCs w:val="20"/>
                <w:highlight w:val="lightGray"/>
              </w:rPr>
            </w:pPr>
            <w:r w:rsidRPr="00EB6544">
              <w:rPr>
                <w:color w:val="000000"/>
                <w:spacing w:val="214"/>
                <w:shd w:val="solid" w:color="000000" w:fill="000000"/>
                <w:fitText w:val="300" w:id="-1236572405"/>
                <w14:textFill>
                  <w14:solidFill>
                    <w14:srgbClr w14:val="000000">
                      <w14:alpha w14:val="100000"/>
                    </w14:srgbClr>
                  </w14:solidFill>
                </w14:textFill>
              </w:rPr>
              <w:t>|</w:t>
            </w:r>
            <w:r w:rsidRPr="00EB6544">
              <w:rPr>
                <w:color w:val="000000"/>
                <w:spacing w:val="1"/>
                <w:shd w:val="solid" w:color="000000" w:fill="000000"/>
                <w:fitText w:val="300" w:id="-1236572405"/>
                <w14:textFill>
                  <w14:solidFill>
                    <w14:srgbClr w14:val="000000">
                      <w14:alpha w14:val="100000"/>
                    </w14:srgbClr>
                  </w14:solidFill>
                </w14:textFill>
              </w:rPr>
              <w:t>|</w:t>
            </w:r>
            <w:r w:rsidR="00C56A14">
              <w:rPr>
                <w:vertAlign w:val="superscript"/>
              </w:rPr>
              <w:t>5</w:t>
            </w:r>
          </w:p>
        </w:tc>
        <w:tc>
          <w:tcPr>
            <w:tcW w:w="1276" w:type="dxa"/>
            <w:shd w:val="clear" w:color="auto" w:fill="auto"/>
          </w:tcPr>
          <w:p w14:paraId="3FC0CF05" w14:textId="4E61773A" w:rsidR="00D0791A" w:rsidRPr="00C56A14" w:rsidRDefault="00EB6544" w:rsidP="006A7AE4">
            <w:pPr>
              <w:pStyle w:val="TableText0"/>
              <w:keepLines/>
              <w:jc w:val="center"/>
              <w:rPr>
                <w:b/>
                <w:szCs w:val="20"/>
                <w:highlight w:val="lightGray"/>
              </w:rPr>
            </w:pPr>
            <w:r w:rsidRPr="00EB6544">
              <w:rPr>
                <w:color w:val="000000"/>
                <w:spacing w:val="213"/>
                <w:shd w:val="solid" w:color="000000" w:fill="000000"/>
                <w:fitText w:val="299" w:id="-1236572404"/>
                <w14:textFill>
                  <w14:solidFill>
                    <w14:srgbClr w14:val="000000">
                      <w14:alpha w14:val="100000"/>
                    </w14:srgbClr>
                  </w14:solidFill>
                </w14:textFill>
              </w:rPr>
              <w:t>|</w:t>
            </w:r>
            <w:r w:rsidRPr="00EB6544">
              <w:rPr>
                <w:color w:val="000000"/>
                <w:spacing w:val="1"/>
                <w:shd w:val="solid" w:color="000000" w:fill="000000"/>
                <w:fitText w:val="299" w:id="-1236572404"/>
                <w14:textFill>
                  <w14:solidFill>
                    <w14:srgbClr w14:val="000000">
                      <w14:alpha w14:val="100000"/>
                    </w14:srgbClr>
                  </w14:solidFill>
                </w14:textFill>
              </w:rPr>
              <w:t>|</w:t>
            </w:r>
            <w:r w:rsidR="00C56A14">
              <w:rPr>
                <w:vertAlign w:val="superscript"/>
              </w:rPr>
              <w:t>5</w:t>
            </w:r>
          </w:p>
        </w:tc>
        <w:tc>
          <w:tcPr>
            <w:tcW w:w="1276" w:type="dxa"/>
            <w:shd w:val="clear" w:color="auto" w:fill="auto"/>
            <w:vAlign w:val="center"/>
          </w:tcPr>
          <w:p w14:paraId="62D2B6D9" w14:textId="1A45B5E3" w:rsidR="00D0791A" w:rsidRPr="00C56A14" w:rsidRDefault="00EB6544" w:rsidP="006A7AE4">
            <w:pPr>
              <w:pStyle w:val="TableText0"/>
              <w:keepLines/>
              <w:jc w:val="center"/>
              <w:rPr>
                <w:b/>
                <w:szCs w:val="20"/>
                <w:highlight w:val="lightGray"/>
              </w:rPr>
            </w:pPr>
            <w:r w:rsidRPr="00EB6544">
              <w:rPr>
                <w:b/>
                <w:color w:val="000000"/>
                <w:spacing w:val="60"/>
                <w:szCs w:val="20"/>
                <w:shd w:val="solid" w:color="000000" w:fill="000000"/>
                <w:fitText w:val="366" w:id="-1236572403"/>
                <w14:textFill>
                  <w14:solidFill>
                    <w14:srgbClr w14:val="000000">
                      <w14:alpha w14:val="100000"/>
                    </w14:srgbClr>
                  </w14:solidFill>
                </w14:textFill>
              </w:rPr>
              <w:t>|||</w:t>
            </w:r>
            <w:r w:rsidRPr="00EB6544">
              <w:rPr>
                <w:b/>
                <w:color w:val="000000"/>
                <w:spacing w:val="3"/>
                <w:szCs w:val="20"/>
                <w:shd w:val="solid" w:color="000000" w:fill="000000"/>
                <w:fitText w:val="366" w:id="-1236572403"/>
                <w14:textFill>
                  <w14:solidFill>
                    <w14:srgbClr w14:val="000000">
                      <w14:alpha w14:val="100000"/>
                    </w14:srgbClr>
                  </w14:solidFill>
                </w14:textFill>
              </w:rPr>
              <w:t>|</w:t>
            </w:r>
            <w:r w:rsidR="00C56A14">
              <w:rPr>
                <w:vertAlign w:val="superscript"/>
              </w:rPr>
              <w:t>1</w:t>
            </w:r>
          </w:p>
        </w:tc>
      </w:tr>
      <w:tr w:rsidR="00D0791A" w:rsidRPr="002F733E" w14:paraId="42E74FE0" w14:textId="77777777" w:rsidTr="00C56A14">
        <w:tc>
          <w:tcPr>
            <w:tcW w:w="9351" w:type="dxa"/>
            <w:gridSpan w:val="8"/>
            <w:tcBorders>
              <w:top w:val="nil"/>
              <w:left w:val="single" w:sz="4" w:space="0" w:color="auto"/>
              <w:bottom w:val="single" w:sz="4" w:space="0" w:color="auto"/>
              <w:right w:val="single" w:sz="4" w:space="0" w:color="auto"/>
            </w:tcBorders>
            <w:shd w:val="clear" w:color="auto" w:fill="auto"/>
            <w:vAlign w:val="bottom"/>
          </w:tcPr>
          <w:p w14:paraId="2DBCE699" w14:textId="77777777" w:rsidR="00D0791A" w:rsidRPr="002F733E" w:rsidRDefault="00D0791A" w:rsidP="006A7AE4">
            <w:pPr>
              <w:pStyle w:val="In-tableHeading"/>
              <w:keepLines/>
              <w:rPr>
                <w:szCs w:val="20"/>
                <w:lang w:val="en-AU"/>
              </w:rPr>
            </w:pPr>
            <w:r w:rsidRPr="002F733E">
              <w:rPr>
                <w:szCs w:val="20"/>
                <w:lang w:val="en-AU"/>
              </w:rPr>
              <w:t>Scripts</w:t>
            </w:r>
          </w:p>
        </w:tc>
      </w:tr>
      <w:tr w:rsidR="00D0791A" w:rsidRPr="002F733E" w14:paraId="1EC0BEC4" w14:textId="77777777" w:rsidTr="00C56A14">
        <w:tc>
          <w:tcPr>
            <w:tcW w:w="9351" w:type="dxa"/>
            <w:gridSpan w:val="8"/>
            <w:tcBorders>
              <w:top w:val="nil"/>
              <w:left w:val="single" w:sz="4" w:space="0" w:color="auto"/>
              <w:bottom w:val="single" w:sz="4" w:space="0" w:color="auto"/>
              <w:right w:val="single" w:sz="4" w:space="0" w:color="auto"/>
            </w:tcBorders>
            <w:shd w:val="clear" w:color="auto" w:fill="auto"/>
            <w:vAlign w:val="bottom"/>
          </w:tcPr>
          <w:p w14:paraId="3EF02B7A" w14:textId="77777777" w:rsidR="00D0791A" w:rsidRPr="002F733E" w:rsidRDefault="00D0791A" w:rsidP="006A7AE4">
            <w:pPr>
              <w:pStyle w:val="In-tableHeading"/>
              <w:keepLines/>
              <w:rPr>
                <w:szCs w:val="20"/>
                <w:lang w:val="en-AU"/>
              </w:rPr>
            </w:pPr>
            <w:r w:rsidRPr="002F733E">
              <w:rPr>
                <w:szCs w:val="20"/>
                <w:lang w:val="en-AU"/>
              </w:rPr>
              <w:t>Number of anifrolumab scripts</w:t>
            </w:r>
          </w:p>
        </w:tc>
      </w:tr>
      <w:tr w:rsidR="00D0791A" w:rsidRPr="002F733E" w14:paraId="28CA8BA6" w14:textId="77777777" w:rsidTr="00CC0BB4">
        <w:tc>
          <w:tcPr>
            <w:tcW w:w="988" w:type="dxa"/>
            <w:vMerge w:val="restart"/>
            <w:tcBorders>
              <w:top w:val="nil"/>
              <w:left w:val="single" w:sz="4" w:space="0" w:color="auto"/>
              <w:right w:val="single" w:sz="4" w:space="0" w:color="auto"/>
            </w:tcBorders>
            <w:shd w:val="clear" w:color="auto" w:fill="auto"/>
            <w:vAlign w:val="center"/>
          </w:tcPr>
          <w:p w14:paraId="2B04D09C" w14:textId="06F3C5D0" w:rsidR="00D0791A" w:rsidRPr="002F733E" w:rsidRDefault="00181025" w:rsidP="006A7AE4">
            <w:pPr>
              <w:pStyle w:val="TableText0"/>
              <w:keepLines/>
              <w:rPr>
                <w:b/>
                <w:szCs w:val="20"/>
              </w:rPr>
            </w:pPr>
            <w:r w:rsidRPr="002F733E">
              <w:rPr>
                <w:b/>
                <w:szCs w:val="20"/>
              </w:rPr>
              <w:t>PBS/RPBS</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2C3BDEC" w14:textId="474A13CD" w:rsidR="00D0791A" w:rsidRPr="00C56A14" w:rsidRDefault="00EB6544" w:rsidP="006A7AE4">
            <w:pPr>
              <w:pStyle w:val="TableText0"/>
              <w:keepLines/>
              <w:jc w:val="center"/>
              <w:rPr>
                <w:b/>
                <w:szCs w:val="20"/>
                <w:highlight w:val="lightGray"/>
              </w:rPr>
            </w:pPr>
            <w:r w:rsidRPr="00EB6544">
              <w:rPr>
                <w:b/>
                <w:color w:val="000000"/>
                <w:spacing w:val="31"/>
                <w:szCs w:val="20"/>
                <w:shd w:val="solid" w:color="000000" w:fill="000000"/>
                <w:fitText w:val="433" w:id="-1236572402"/>
                <w14:textFill>
                  <w14:solidFill>
                    <w14:srgbClr w14:val="000000">
                      <w14:alpha w14:val="100000"/>
                    </w14:srgbClr>
                  </w14:solidFill>
                </w14:textFill>
              </w:rPr>
              <w:t>|||||</w:t>
            </w:r>
            <w:r w:rsidRPr="00EB6544">
              <w:rPr>
                <w:b/>
                <w:color w:val="000000"/>
                <w:spacing w:val="3"/>
                <w:szCs w:val="20"/>
                <w:shd w:val="solid" w:color="000000" w:fill="000000"/>
                <w:fitText w:val="433" w:id="-1236572402"/>
                <w14:textFill>
                  <w14:solidFill>
                    <w14:srgbClr w14:val="000000">
                      <w14:alpha w14:val="100000"/>
                    </w14:srgbClr>
                  </w14:solidFill>
                </w14:textFill>
              </w:rPr>
              <w:t>|</w:t>
            </w:r>
            <w:r w:rsidR="00C56A14">
              <w:rPr>
                <w:vertAlign w:val="superscript"/>
              </w:rPr>
              <w:t>1</w:t>
            </w:r>
          </w:p>
        </w:tc>
        <w:tc>
          <w:tcPr>
            <w:tcW w:w="1134" w:type="dxa"/>
            <w:tcBorders>
              <w:top w:val="nil"/>
              <w:left w:val="nil"/>
              <w:bottom w:val="single" w:sz="4" w:space="0" w:color="auto"/>
              <w:right w:val="single" w:sz="4" w:space="0" w:color="auto"/>
            </w:tcBorders>
            <w:shd w:val="clear" w:color="auto" w:fill="C6D9F1" w:themeFill="text2" w:themeFillTint="33"/>
            <w:vAlign w:val="center"/>
          </w:tcPr>
          <w:p w14:paraId="5A59EAFD" w14:textId="48498DB0" w:rsidR="00D0791A" w:rsidRPr="00C56A14" w:rsidRDefault="00EB6544" w:rsidP="006A7AE4">
            <w:pPr>
              <w:pStyle w:val="TableText0"/>
              <w:keepLines/>
              <w:jc w:val="center"/>
              <w:rPr>
                <w:b/>
                <w:szCs w:val="20"/>
                <w:highlight w:val="lightGray"/>
              </w:rPr>
            </w:pPr>
            <w:r w:rsidRPr="00EB6544">
              <w:rPr>
                <w:b/>
                <w:color w:val="000000"/>
                <w:spacing w:val="31"/>
                <w:szCs w:val="20"/>
                <w:shd w:val="solid" w:color="000000" w:fill="000000"/>
                <w:fitText w:val="433" w:id="-1236572401"/>
                <w14:textFill>
                  <w14:solidFill>
                    <w14:srgbClr w14:val="000000">
                      <w14:alpha w14:val="100000"/>
                    </w14:srgbClr>
                  </w14:solidFill>
                </w14:textFill>
              </w:rPr>
              <w:t>|||||</w:t>
            </w:r>
            <w:r w:rsidRPr="00EB6544">
              <w:rPr>
                <w:b/>
                <w:color w:val="000000"/>
                <w:spacing w:val="3"/>
                <w:szCs w:val="20"/>
                <w:shd w:val="solid" w:color="000000" w:fill="000000"/>
                <w:fitText w:val="433" w:id="-1236572401"/>
                <w14:textFill>
                  <w14:solidFill>
                    <w14:srgbClr w14:val="000000">
                      <w14:alpha w14:val="100000"/>
                    </w14:srgbClr>
                  </w14:solidFill>
                </w14:textFill>
              </w:rPr>
              <w:t>|</w:t>
            </w:r>
            <w:r w:rsidR="00C56A14">
              <w:rPr>
                <w:vertAlign w:val="superscript"/>
              </w:rPr>
              <w:t>2</w:t>
            </w:r>
          </w:p>
        </w:tc>
        <w:tc>
          <w:tcPr>
            <w:tcW w:w="1134" w:type="dxa"/>
            <w:tcBorders>
              <w:top w:val="nil"/>
              <w:left w:val="nil"/>
              <w:bottom w:val="single" w:sz="4" w:space="0" w:color="auto"/>
              <w:right w:val="single" w:sz="4" w:space="0" w:color="auto"/>
            </w:tcBorders>
            <w:shd w:val="clear" w:color="auto" w:fill="C6D9F1" w:themeFill="text2" w:themeFillTint="33"/>
            <w:vAlign w:val="center"/>
          </w:tcPr>
          <w:p w14:paraId="4698C73F" w14:textId="714D727C" w:rsidR="00D0791A" w:rsidRPr="00C56A14" w:rsidRDefault="00EB6544" w:rsidP="006A7AE4">
            <w:pPr>
              <w:pStyle w:val="TableText0"/>
              <w:keepLines/>
              <w:jc w:val="center"/>
              <w:rPr>
                <w:b/>
                <w:szCs w:val="20"/>
                <w:highlight w:val="lightGray"/>
              </w:rPr>
            </w:pPr>
            <w:r w:rsidRPr="00EB6544">
              <w:rPr>
                <w:b/>
                <w:color w:val="000000"/>
                <w:spacing w:val="31"/>
                <w:szCs w:val="20"/>
                <w:shd w:val="solid" w:color="000000" w:fill="000000"/>
                <w:fitText w:val="433" w:id="-1236572400"/>
                <w14:textFill>
                  <w14:solidFill>
                    <w14:srgbClr w14:val="000000">
                      <w14:alpha w14:val="100000"/>
                    </w14:srgbClr>
                  </w14:solidFill>
                </w14:textFill>
              </w:rPr>
              <w:t>|||||</w:t>
            </w:r>
            <w:r w:rsidRPr="00EB6544">
              <w:rPr>
                <w:b/>
                <w:color w:val="000000"/>
                <w:spacing w:val="3"/>
                <w:szCs w:val="20"/>
                <w:shd w:val="solid" w:color="000000" w:fill="000000"/>
                <w:fitText w:val="433" w:id="-1236572400"/>
                <w14:textFill>
                  <w14:solidFill>
                    <w14:srgbClr w14:val="000000">
                      <w14:alpha w14:val="100000"/>
                    </w14:srgbClr>
                  </w14:solidFill>
                </w14:textFill>
              </w:rPr>
              <w:t>|</w:t>
            </w:r>
            <w:r w:rsidR="00C56A14">
              <w:rPr>
                <w:vertAlign w:val="superscript"/>
              </w:rPr>
              <w:t>7</w:t>
            </w:r>
          </w:p>
        </w:tc>
        <w:tc>
          <w:tcPr>
            <w:tcW w:w="1276" w:type="dxa"/>
            <w:tcBorders>
              <w:top w:val="nil"/>
              <w:left w:val="nil"/>
              <w:bottom w:val="single" w:sz="4" w:space="0" w:color="auto"/>
              <w:right w:val="single" w:sz="4" w:space="0" w:color="auto"/>
            </w:tcBorders>
            <w:shd w:val="clear" w:color="auto" w:fill="C6D9F1" w:themeFill="text2" w:themeFillTint="33"/>
            <w:vAlign w:val="center"/>
          </w:tcPr>
          <w:p w14:paraId="6E20A5D5" w14:textId="73702104" w:rsidR="00D0791A" w:rsidRPr="00C56A14" w:rsidRDefault="00EB6544" w:rsidP="006A7AE4">
            <w:pPr>
              <w:pStyle w:val="TableText0"/>
              <w:keepLines/>
              <w:jc w:val="center"/>
              <w:rPr>
                <w:b/>
                <w:szCs w:val="20"/>
                <w:highlight w:val="lightGray"/>
              </w:rPr>
            </w:pPr>
            <w:r w:rsidRPr="00EB6544">
              <w:rPr>
                <w:b/>
                <w:color w:val="000000"/>
                <w:spacing w:val="60"/>
                <w:szCs w:val="20"/>
                <w:shd w:val="solid" w:color="000000" w:fill="000000"/>
                <w:fitText w:val="366" w:id="-1236572416"/>
                <w14:textFill>
                  <w14:solidFill>
                    <w14:srgbClr w14:val="000000">
                      <w14:alpha w14:val="100000"/>
                    </w14:srgbClr>
                  </w14:solidFill>
                </w14:textFill>
              </w:rPr>
              <w:t>|||</w:t>
            </w:r>
            <w:r w:rsidRPr="00EB6544">
              <w:rPr>
                <w:b/>
                <w:color w:val="000000"/>
                <w:spacing w:val="3"/>
                <w:szCs w:val="20"/>
                <w:shd w:val="solid" w:color="000000" w:fill="000000"/>
                <w:fitText w:val="366" w:id="-1236572416"/>
                <w14:textFill>
                  <w14:solidFill>
                    <w14:srgbClr w14:val="000000">
                      <w14:alpha w14:val="100000"/>
                    </w14:srgbClr>
                  </w14:solidFill>
                </w14:textFill>
              </w:rPr>
              <w:t>|</w:t>
            </w:r>
            <w:r w:rsidR="00C56A14">
              <w:rPr>
                <w:vertAlign w:val="superscript"/>
              </w:rPr>
              <w:t>8</w:t>
            </w:r>
          </w:p>
        </w:tc>
        <w:tc>
          <w:tcPr>
            <w:tcW w:w="1275" w:type="dxa"/>
            <w:tcBorders>
              <w:top w:val="nil"/>
              <w:left w:val="nil"/>
              <w:bottom w:val="single" w:sz="4" w:space="0" w:color="auto"/>
              <w:right w:val="single" w:sz="4" w:space="0" w:color="auto"/>
            </w:tcBorders>
            <w:shd w:val="clear" w:color="auto" w:fill="C6D9F1" w:themeFill="text2" w:themeFillTint="33"/>
            <w:vAlign w:val="center"/>
          </w:tcPr>
          <w:p w14:paraId="7586D66F" w14:textId="28B0E53A" w:rsidR="00D0791A" w:rsidRPr="00C56A14" w:rsidRDefault="00EB6544" w:rsidP="006A7AE4">
            <w:pPr>
              <w:pStyle w:val="TableText0"/>
              <w:keepLines/>
              <w:jc w:val="center"/>
              <w:rPr>
                <w:b/>
                <w:szCs w:val="20"/>
                <w:highlight w:val="lightGray"/>
              </w:rPr>
            </w:pPr>
            <w:r w:rsidRPr="00EB6544">
              <w:rPr>
                <w:b/>
                <w:color w:val="000000"/>
                <w:spacing w:val="60"/>
                <w:szCs w:val="20"/>
                <w:shd w:val="solid" w:color="000000" w:fill="000000"/>
                <w:fitText w:val="366" w:id="-1236572415"/>
                <w14:textFill>
                  <w14:solidFill>
                    <w14:srgbClr w14:val="000000">
                      <w14:alpha w14:val="100000"/>
                    </w14:srgbClr>
                  </w14:solidFill>
                </w14:textFill>
              </w:rPr>
              <w:t>|||</w:t>
            </w:r>
            <w:r w:rsidRPr="00EB6544">
              <w:rPr>
                <w:b/>
                <w:color w:val="000000"/>
                <w:spacing w:val="3"/>
                <w:szCs w:val="20"/>
                <w:shd w:val="solid" w:color="000000" w:fill="000000"/>
                <w:fitText w:val="366" w:id="-1236572415"/>
                <w14:textFill>
                  <w14:solidFill>
                    <w14:srgbClr w14:val="000000">
                      <w14:alpha w14:val="100000"/>
                    </w14:srgbClr>
                  </w14:solidFill>
                </w14:textFill>
              </w:rPr>
              <w:t>|</w:t>
            </w:r>
            <w:r w:rsidR="00C56A14">
              <w:rPr>
                <w:vertAlign w:val="superscript"/>
              </w:rPr>
              <w:t>9</w:t>
            </w:r>
          </w:p>
        </w:tc>
        <w:tc>
          <w:tcPr>
            <w:tcW w:w="1276" w:type="dxa"/>
            <w:tcBorders>
              <w:top w:val="nil"/>
              <w:left w:val="nil"/>
              <w:bottom w:val="single" w:sz="4" w:space="0" w:color="auto"/>
              <w:right w:val="single" w:sz="4" w:space="0" w:color="auto"/>
            </w:tcBorders>
            <w:shd w:val="clear" w:color="auto" w:fill="C6D9F1" w:themeFill="text2" w:themeFillTint="33"/>
            <w:vAlign w:val="center"/>
          </w:tcPr>
          <w:p w14:paraId="50DD5C7B" w14:textId="03A92AD4" w:rsidR="00D0791A" w:rsidRPr="00C56A14" w:rsidRDefault="00EB6544" w:rsidP="006A7AE4">
            <w:pPr>
              <w:pStyle w:val="TableText0"/>
              <w:keepLines/>
              <w:jc w:val="center"/>
              <w:rPr>
                <w:b/>
                <w:szCs w:val="20"/>
                <w:highlight w:val="lightGray"/>
              </w:rPr>
            </w:pPr>
            <w:r w:rsidRPr="00EB6544">
              <w:rPr>
                <w:b/>
                <w:color w:val="000000"/>
                <w:spacing w:val="69"/>
                <w:szCs w:val="20"/>
                <w:shd w:val="solid" w:color="000000" w:fill="000000"/>
                <w:fitText w:val="391" w:id="-1236572414"/>
                <w14:textFill>
                  <w14:solidFill>
                    <w14:srgbClr w14:val="000000">
                      <w14:alpha w14:val="100000"/>
                    </w14:srgbClr>
                  </w14:solidFill>
                </w14:textFill>
              </w:rPr>
              <w:t>|||</w:t>
            </w:r>
            <w:r w:rsidRPr="00EB6544">
              <w:rPr>
                <w:b/>
                <w:color w:val="000000"/>
                <w:spacing w:val="1"/>
                <w:szCs w:val="20"/>
                <w:shd w:val="solid" w:color="000000" w:fill="000000"/>
                <w:fitText w:val="391" w:id="-1236572414"/>
                <w14:textFill>
                  <w14:solidFill>
                    <w14:srgbClr w14:val="000000">
                      <w14:alpha w14:val="100000"/>
                    </w14:srgbClr>
                  </w14:solidFill>
                </w14:textFill>
              </w:rPr>
              <w:t>|</w:t>
            </w:r>
            <w:r w:rsidR="00C56A14">
              <w:rPr>
                <w:vertAlign w:val="superscript"/>
              </w:rPr>
              <w:t>10</w:t>
            </w:r>
          </w:p>
        </w:tc>
        <w:tc>
          <w:tcPr>
            <w:tcW w:w="1276" w:type="dxa"/>
            <w:tcBorders>
              <w:top w:val="nil"/>
              <w:left w:val="nil"/>
              <w:bottom w:val="single" w:sz="4" w:space="0" w:color="auto"/>
              <w:right w:val="single" w:sz="4" w:space="0" w:color="auto"/>
            </w:tcBorders>
            <w:shd w:val="clear" w:color="auto" w:fill="C6D9F1" w:themeFill="text2" w:themeFillTint="33"/>
            <w:vAlign w:val="center"/>
          </w:tcPr>
          <w:p w14:paraId="5731B3C6" w14:textId="557292EA" w:rsidR="00D0791A" w:rsidRPr="00C56A14" w:rsidRDefault="00EB6544" w:rsidP="006A7AE4">
            <w:pPr>
              <w:pStyle w:val="TableText0"/>
              <w:keepLines/>
              <w:jc w:val="center"/>
              <w:rPr>
                <w:b/>
                <w:szCs w:val="20"/>
                <w:highlight w:val="lightGray"/>
              </w:rPr>
            </w:pPr>
            <w:r w:rsidRPr="00EB6544">
              <w:rPr>
                <w:b/>
                <w:color w:val="000000"/>
                <w:spacing w:val="69"/>
                <w:szCs w:val="20"/>
                <w:shd w:val="solid" w:color="000000" w:fill="000000"/>
                <w:fitText w:val="391" w:id="-1236572413"/>
                <w14:textFill>
                  <w14:solidFill>
                    <w14:srgbClr w14:val="000000">
                      <w14:alpha w14:val="100000"/>
                    </w14:srgbClr>
                  </w14:solidFill>
                </w14:textFill>
              </w:rPr>
              <w:t>|||</w:t>
            </w:r>
            <w:r w:rsidRPr="00EB6544">
              <w:rPr>
                <w:b/>
                <w:color w:val="000000"/>
                <w:spacing w:val="1"/>
                <w:szCs w:val="20"/>
                <w:shd w:val="solid" w:color="000000" w:fill="000000"/>
                <w:fitText w:val="391" w:id="-1236572413"/>
                <w14:textFill>
                  <w14:solidFill>
                    <w14:srgbClr w14:val="000000">
                      <w14:alpha w14:val="100000"/>
                    </w14:srgbClr>
                  </w14:solidFill>
                </w14:textFill>
              </w:rPr>
              <w:t>|</w:t>
            </w:r>
            <w:r w:rsidR="00C56A14">
              <w:rPr>
                <w:vertAlign w:val="superscript"/>
              </w:rPr>
              <w:t>11</w:t>
            </w:r>
          </w:p>
        </w:tc>
      </w:tr>
      <w:tr w:rsidR="00D0791A" w:rsidRPr="002F733E" w14:paraId="46A78CFC" w14:textId="77777777" w:rsidTr="00CC0BB4">
        <w:tc>
          <w:tcPr>
            <w:tcW w:w="988" w:type="dxa"/>
            <w:vMerge/>
            <w:tcBorders>
              <w:left w:val="single" w:sz="4" w:space="0" w:color="auto"/>
              <w:bottom w:val="single" w:sz="4" w:space="0" w:color="auto"/>
              <w:right w:val="single" w:sz="4" w:space="0" w:color="auto"/>
            </w:tcBorders>
            <w:shd w:val="clear" w:color="auto" w:fill="auto"/>
            <w:vAlign w:val="bottom"/>
          </w:tcPr>
          <w:p w14:paraId="7D5C152D" w14:textId="77777777" w:rsidR="00D0791A" w:rsidRPr="002F733E" w:rsidRDefault="00D0791A" w:rsidP="006A7AE4">
            <w:pPr>
              <w:pStyle w:val="TableText0"/>
              <w:keepLines/>
              <w:rPr>
                <w:b/>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0A55030" w14:textId="3A7DFDE6" w:rsidR="00D0791A" w:rsidRPr="00C56A14" w:rsidRDefault="00EB6544" w:rsidP="006A7AE4">
            <w:pPr>
              <w:pStyle w:val="TableText0"/>
              <w:keepLines/>
              <w:jc w:val="center"/>
              <w:rPr>
                <w:b/>
                <w:szCs w:val="20"/>
                <w:highlight w:val="lightGray"/>
              </w:rPr>
            </w:pPr>
            <w:r w:rsidRPr="00EB6544">
              <w:rPr>
                <w:color w:val="000000"/>
                <w:spacing w:val="65"/>
                <w:shd w:val="solid" w:color="000000" w:fill="000000"/>
                <w:fitText w:val="366" w:id="-1236572412"/>
                <w14:textFill>
                  <w14:solidFill>
                    <w14:srgbClr w14:val="000000">
                      <w14:alpha w14:val="100000"/>
                    </w14:srgbClr>
                  </w14:solidFill>
                </w14:textFill>
              </w:rPr>
              <w:t>|||</w:t>
            </w:r>
            <w:r w:rsidRPr="00EB6544">
              <w:rPr>
                <w:color w:val="000000"/>
                <w:spacing w:val="1"/>
                <w:shd w:val="solid" w:color="000000" w:fill="000000"/>
                <w:fitText w:val="366" w:id="-1236572412"/>
                <w14:textFill>
                  <w14:solidFill>
                    <w14:srgbClr w14:val="000000">
                      <w14:alpha w14:val="100000"/>
                    </w14:srgbClr>
                  </w14:solidFill>
                </w14:textFill>
              </w:rPr>
              <w:t>|</w:t>
            </w:r>
            <w:r w:rsidR="00C56A14">
              <w:rPr>
                <w:vertAlign w:val="superscript"/>
              </w:rPr>
              <w:t>2</w:t>
            </w:r>
          </w:p>
        </w:tc>
        <w:tc>
          <w:tcPr>
            <w:tcW w:w="1134" w:type="dxa"/>
            <w:tcBorders>
              <w:top w:val="nil"/>
              <w:left w:val="nil"/>
              <w:bottom w:val="single" w:sz="4" w:space="0" w:color="auto"/>
              <w:right w:val="single" w:sz="4" w:space="0" w:color="auto"/>
            </w:tcBorders>
            <w:shd w:val="clear" w:color="auto" w:fill="auto"/>
          </w:tcPr>
          <w:p w14:paraId="7102308E" w14:textId="5A00C1CA" w:rsidR="00D0791A" w:rsidRPr="00C56A14" w:rsidRDefault="00EB6544" w:rsidP="006A7AE4">
            <w:pPr>
              <w:pStyle w:val="TableText0"/>
              <w:keepLines/>
              <w:jc w:val="center"/>
              <w:rPr>
                <w:b/>
                <w:szCs w:val="20"/>
                <w:highlight w:val="lightGray"/>
              </w:rPr>
            </w:pPr>
            <w:r w:rsidRPr="00EB6544">
              <w:rPr>
                <w:color w:val="000000"/>
                <w:spacing w:val="65"/>
                <w:shd w:val="solid" w:color="000000" w:fill="000000"/>
                <w:fitText w:val="366" w:id="-1236572411"/>
                <w14:textFill>
                  <w14:solidFill>
                    <w14:srgbClr w14:val="000000">
                      <w14:alpha w14:val="100000"/>
                    </w14:srgbClr>
                  </w14:solidFill>
                </w14:textFill>
              </w:rPr>
              <w:t>|||</w:t>
            </w:r>
            <w:r w:rsidRPr="00EB6544">
              <w:rPr>
                <w:color w:val="000000"/>
                <w:spacing w:val="1"/>
                <w:shd w:val="solid" w:color="000000" w:fill="000000"/>
                <w:fitText w:val="366" w:id="-1236572411"/>
                <w14:textFill>
                  <w14:solidFill>
                    <w14:srgbClr w14:val="000000">
                      <w14:alpha w14:val="100000"/>
                    </w14:srgbClr>
                  </w14:solidFill>
                </w14:textFill>
              </w:rPr>
              <w:t>|</w:t>
            </w:r>
            <w:r w:rsidR="00C56A14">
              <w:rPr>
                <w:vertAlign w:val="superscript"/>
              </w:rPr>
              <w:t>2</w:t>
            </w:r>
          </w:p>
        </w:tc>
        <w:tc>
          <w:tcPr>
            <w:tcW w:w="1134" w:type="dxa"/>
            <w:tcBorders>
              <w:top w:val="nil"/>
              <w:left w:val="nil"/>
              <w:bottom w:val="single" w:sz="4" w:space="0" w:color="auto"/>
              <w:right w:val="single" w:sz="4" w:space="0" w:color="auto"/>
            </w:tcBorders>
            <w:shd w:val="clear" w:color="auto" w:fill="auto"/>
          </w:tcPr>
          <w:p w14:paraId="7C0D9FBC" w14:textId="0BA96ECD" w:rsidR="00D0791A" w:rsidRPr="00C56A14" w:rsidRDefault="00EB6544" w:rsidP="006A7AE4">
            <w:pPr>
              <w:pStyle w:val="TableText0"/>
              <w:keepLines/>
              <w:jc w:val="center"/>
              <w:rPr>
                <w:b/>
                <w:szCs w:val="20"/>
                <w:highlight w:val="lightGray"/>
              </w:rPr>
            </w:pPr>
            <w:r w:rsidRPr="00EB6544">
              <w:rPr>
                <w:color w:val="000000"/>
                <w:spacing w:val="65"/>
                <w:shd w:val="solid" w:color="000000" w:fill="000000"/>
                <w:fitText w:val="366" w:id="-1236572410"/>
                <w14:textFill>
                  <w14:solidFill>
                    <w14:srgbClr w14:val="000000">
                      <w14:alpha w14:val="100000"/>
                    </w14:srgbClr>
                  </w14:solidFill>
                </w14:textFill>
              </w:rPr>
              <w:t>|||</w:t>
            </w:r>
            <w:r w:rsidRPr="00EB6544">
              <w:rPr>
                <w:color w:val="000000"/>
                <w:spacing w:val="1"/>
                <w:shd w:val="solid" w:color="000000" w:fill="000000"/>
                <w:fitText w:val="366" w:id="-1236572410"/>
                <w14:textFill>
                  <w14:solidFill>
                    <w14:srgbClr w14:val="000000">
                      <w14:alpha w14:val="100000"/>
                    </w14:srgbClr>
                  </w14:solidFill>
                </w14:textFill>
              </w:rPr>
              <w:t>|</w:t>
            </w:r>
            <w:r w:rsidR="00C56A14">
              <w:rPr>
                <w:vertAlign w:val="superscript"/>
              </w:rPr>
              <w:t>2</w:t>
            </w:r>
          </w:p>
        </w:tc>
        <w:tc>
          <w:tcPr>
            <w:tcW w:w="1276" w:type="dxa"/>
            <w:tcBorders>
              <w:top w:val="nil"/>
              <w:left w:val="nil"/>
              <w:bottom w:val="single" w:sz="4" w:space="0" w:color="auto"/>
              <w:right w:val="single" w:sz="4" w:space="0" w:color="auto"/>
            </w:tcBorders>
            <w:shd w:val="clear" w:color="auto" w:fill="auto"/>
          </w:tcPr>
          <w:p w14:paraId="31B5DBB8" w14:textId="29F3315D" w:rsidR="00D0791A" w:rsidRPr="00C56A14" w:rsidRDefault="00EB6544" w:rsidP="006A7AE4">
            <w:pPr>
              <w:pStyle w:val="TableText0"/>
              <w:keepLines/>
              <w:jc w:val="center"/>
              <w:rPr>
                <w:b/>
                <w:szCs w:val="20"/>
                <w:highlight w:val="lightGray"/>
              </w:rPr>
            </w:pPr>
            <w:r w:rsidRPr="00EB6544">
              <w:rPr>
                <w:color w:val="000000"/>
                <w:spacing w:val="213"/>
                <w:shd w:val="solid" w:color="000000" w:fill="000000"/>
                <w:fitText w:val="299" w:id="-1236572409"/>
                <w14:textFill>
                  <w14:solidFill>
                    <w14:srgbClr w14:val="000000">
                      <w14:alpha w14:val="100000"/>
                    </w14:srgbClr>
                  </w14:solidFill>
                </w14:textFill>
              </w:rPr>
              <w:t>|</w:t>
            </w:r>
            <w:r w:rsidRPr="00EB6544">
              <w:rPr>
                <w:color w:val="000000"/>
                <w:spacing w:val="1"/>
                <w:shd w:val="solid" w:color="000000" w:fill="000000"/>
                <w:fitText w:val="299" w:id="-1236572409"/>
                <w14:textFill>
                  <w14:solidFill>
                    <w14:srgbClr w14:val="000000">
                      <w14:alpha w14:val="100000"/>
                    </w14:srgbClr>
                  </w14:solidFill>
                </w14:textFill>
              </w:rPr>
              <w:t>|</w:t>
            </w:r>
            <w:r w:rsidR="00C56A14">
              <w:rPr>
                <w:vertAlign w:val="superscript"/>
              </w:rPr>
              <w:t>6</w:t>
            </w:r>
          </w:p>
        </w:tc>
        <w:tc>
          <w:tcPr>
            <w:tcW w:w="1275" w:type="dxa"/>
            <w:tcBorders>
              <w:top w:val="nil"/>
              <w:left w:val="nil"/>
              <w:bottom w:val="single" w:sz="4" w:space="0" w:color="auto"/>
              <w:right w:val="single" w:sz="4" w:space="0" w:color="auto"/>
            </w:tcBorders>
            <w:shd w:val="clear" w:color="auto" w:fill="auto"/>
          </w:tcPr>
          <w:p w14:paraId="28BAF564" w14:textId="60B8918B" w:rsidR="00D0791A" w:rsidRPr="00C56A14" w:rsidRDefault="00EB6544" w:rsidP="006A7AE4">
            <w:pPr>
              <w:pStyle w:val="TableText0"/>
              <w:keepLines/>
              <w:jc w:val="center"/>
              <w:rPr>
                <w:b/>
                <w:szCs w:val="20"/>
                <w:highlight w:val="lightGray"/>
              </w:rPr>
            </w:pPr>
            <w:r w:rsidRPr="00EB6544">
              <w:rPr>
                <w:color w:val="000000"/>
                <w:spacing w:val="214"/>
                <w:shd w:val="solid" w:color="000000" w:fill="000000"/>
                <w:fitText w:val="300" w:id="-1236572408"/>
                <w14:textFill>
                  <w14:solidFill>
                    <w14:srgbClr w14:val="000000">
                      <w14:alpha w14:val="100000"/>
                    </w14:srgbClr>
                  </w14:solidFill>
                </w14:textFill>
              </w:rPr>
              <w:t>|</w:t>
            </w:r>
            <w:r w:rsidRPr="00EB6544">
              <w:rPr>
                <w:color w:val="000000"/>
                <w:spacing w:val="1"/>
                <w:shd w:val="solid" w:color="000000" w:fill="000000"/>
                <w:fitText w:val="300" w:id="-1236572408"/>
                <w14:textFill>
                  <w14:solidFill>
                    <w14:srgbClr w14:val="000000">
                      <w14:alpha w14:val="100000"/>
                    </w14:srgbClr>
                  </w14:solidFill>
                </w14:textFill>
              </w:rPr>
              <w:t>|</w:t>
            </w:r>
            <w:r w:rsidR="00C56A14">
              <w:rPr>
                <w:vertAlign w:val="superscript"/>
              </w:rPr>
              <w:t>6</w:t>
            </w:r>
          </w:p>
        </w:tc>
        <w:tc>
          <w:tcPr>
            <w:tcW w:w="1276" w:type="dxa"/>
            <w:tcBorders>
              <w:top w:val="nil"/>
              <w:left w:val="nil"/>
              <w:bottom w:val="single" w:sz="4" w:space="0" w:color="auto"/>
              <w:right w:val="single" w:sz="4" w:space="0" w:color="auto"/>
            </w:tcBorders>
            <w:shd w:val="clear" w:color="auto" w:fill="auto"/>
          </w:tcPr>
          <w:p w14:paraId="2764C51C" w14:textId="5C4FF974" w:rsidR="00D0791A" w:rsidRPr="00C56A14" w:rsidRDefault="00EB6544" w:rsidP="006A7AE4">
            <w:pPr>
              <w:pStyle w:val="TableText0"/>
              <w:keepLines/>
              <w:jc w:val="center"/>
              <w:rPr>
                <w:b/>
                <w:szCs w:val="20"/>
                <w:highlight w:val="lightGray"/>
              </w:rPr>
            </w:pPr>
            <w:r w:rsidRPr="00EB6544">
              <w:rPr>
                <w:color w:val="000000"/>
                <w:spacing w:val="213"/>
                <w:shd w:val="solid" w:color="000000" w:fill="000000"/>
                <w:fitText w:val="299" w:id="-1236572407"/>
                <w14:textFill>
                  <w14:solidFill>
                    <w14:srgbClr w14:val="000000">
                      <w14:alpha w14:val="100000"/>
                    </w14:srgbClr>
                  </w14:solidFill>
                </w14:textFill>
              </w:rPr>
              <w:t>|</w:t>
            </w:r>
            <w:r w:rsidRPr="00EB6544">
              <w:rPr>
                <w:color w:val="000000"/>
                <w:spacing w:val="1"/>
                <w:shd w:val="solid" w:color="000000" w:fill="000000"/>
                <w:fitText w:val="299" w:id="-1236572407"/>
                <w14:textFill>
                  <w14:solidFill>
                    <w14:srgbClr w14:val="000000">
                      <w14:alpha w14:val="100000"/>
                    </w14:srgbClr>
                  </w14:solidFill>
                </w14:textFill>
              </w:rPr>
              <w:t>|</w:t>
            </w:r>
            <w:r w:rsidR="00C56A14">
              <w:rPr>
                <w:vertAlign w:val="superscript"/>
              </w:rPr>
              <w:t>6</w:t>
            </w:r>
          </w:p>
        </w:tc>
        <w:tc>
          <w:tcPr>
            <w:tcW w:w="1276" w:type="dxa"/>
            <w:tcBorders>
              <w:top w:val="nil"/>
              <w:left w:val="nil"/>
              <w:bottom w:val="single" w:sz="4" w:space="0" w:color="auto"/>
              <w:right w:val="single" w:sz="4" w:space="0" w:color="auto"/>
            </w:tcBorders>
            <w:shd w:val="clear" w:color="auto" w:fill="auto"/>
          </w:tcPr>
          <w:p w14:paraId="5FEA9D75" w14:textId="2712FA9E" w:rsidR="00D0791A" w:rsidRPr="00C56A14" w:rsidRDefault="00EB6544" w:rsidP="006A7AE4">
            <w:pPr>
              <w:pStyle w:val="TableText0"/>
              <w:keepLines/>
              <w:jc w:val="center"/>
              <w:rPr>
                <w:b/>
                <w:szCs w:val="20"/>
                <w:highlight w:val="lightGray"/>
              </w:rPr>
            </w:pPr>
            <w:r w:rsidRPr="00EB6544">
              <w:rPr>
                <w:color w:val="000000"/>
                <w:spacing w:val="51"/>
                <w:shd w:val="solid" w:color="000000" w:fill="000000"/>
                <w:fitText w:val="324" w:id="-1236572406"/>
                <w14:textFill>
                  <w14:solidFill>
                    <w14:srgbClr w14:val="000000">
                      <w14:alpha w14:val="100000"/>
                    </w14:srgbClr>
                  </w14:solidFill>
                </w14:textFill>
              </w:rPr>
              <w:t>|||</w:t>
            </w:r>
            <w:r w:rsidRPr="00EB6544">
              <w:rPr>
                <w:color w:val="000000"/>
                <w:spacing w:val="1"/>
                <w:shd w:val="solid" w:color="000000" w:fill="000000"/>
                <w:fitText w:val="324" w:id="-1236572406"/>
                <w14:textFill>
                  <w14:solidFill>
                    <w14:srgbClr w14:val="000000">
                      <w14:alpha w14:val="100000"/>
                    </w14:srgbClr>
                  </w14:solidFill>
                </w14:textFill>
              </w:rPr>
              <w:t>|</w:t>
            </w:r>
            <w:r w:rsidR="00C56A14">
              <w:rPr>
                <w:vertAlign w:val="superscript"/>
              </w:rPr>
              <w:t>12</w:t>
            </w:r>
          </w:p>
        </w:tc>
      </w:tr>
      <w:tr w:rsidR="00D0791A" w:rsidRPr="002F733E" w14:paraId="5B666A40" w14:textId="77777777" w:rsidTr="00C56A14">
        <w:tc>
          <w:tcPr>
            <w:tcW w:w="9351" w:type="dxa"/>
            <w:gridSpan w:val="8"/>
            <w:tcBorders>
              <w:top w:val="nil"/>
              <w:left w:val="single" w:sz="4" w:space="0" w:color="auto"/>
              <w:bottom w:val="single" w:sz="4" w:space="0" w:color="auto"/>
              <w:right w:val="single" w:sz="4" w:space="0" w:color="auto"/>
            </w:tcBorders>
            <w:shd w:val="clear" w:color="auto" w:fill="auto"/>
            <w:vAlign w:val="bottom"/>
          </w:tcPr>
          <w:p w14:paraId="5CDB12A0" w14:textId="77777777" w:rsidR="00D0791A" w:rsidRPr="002F733E" w:rsidRDefault="00D0791A" w:rsidP="006A7AE4">
            <w:pPr>
              <w:pStyle w:val="TableText0"/>
              <w:keepLines/>
              <w:rPr>
                <w:szCs w:val="20"/>
              </w:rPr>
            </w:pPr>
            <w:r w:rsidRPr="002F733E">
              <w:rPr>
                <w:b/>
                <w:szCs w:val="20"/>
              </w:rPr>
              <w:t>Costs</w:t>
            </w:r>
          </w:p>
        </w:tc>
      </w:tr>
      <w:tr w:rsidR="00D0791A" w:rsidRPr="002F733E" w14:paraId="3FF884E0" w14:textId="77777777" w:rsidTr="00C56A14">
        <w:tc>
          <w:tcPr>
            <w:tcW w:w="93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3070932" w14:textId="77777777" w:rsidR="00D0791A" w:rsidRPr="002F733E" w:rsidRDefault="00D0791A" w:rsidP="006A7AE4">
            <w:pPr>
              <w:pStyle w:val="TableText0"/>
              <w:keepLines/>
              <w:rPr>
                <w:b/>
                <w:szCs w:val="20"/>
              </w:rPr>
            </w:pPr>
            <w:r w:rsidRPr="002F733E">
              <w:rPr>
                <w:b/>
                <w:szCs w:val="20"/>
              </w:rPr>
              <w:t xml:space="preserve">Anifrolumab </w:t>
            </w:r>
          </w:p>
        </w:tc>
      </w:tr>
      <w:tr w:rsidR="00181025" w:rsidRPr="002F733E" w14:paraId="5A889F76" w14:textId="77777777" w:rsidTr="00CC0BB4">
        <w:tc>
          <w:tcPr>
            <w:tcW w:w="988" w:type="dxa"/>
            <w:vMerge w:val="restart"/>
            <w:tcBorders>
              <w:top w:val="single" w:sz="4" w:space="0" w:color="auto"/>
              <w:left w:val="single" w:sz="4" w:space="0" w:color="auto"/>
              <w:right w:val="single" w:sz="4" w:space="0" w:color="auto"/>
            </w:tcBorders>
            <w:shd w:val="clear" w:color="auto" w:fill="auto"/>
            <w:vAlign w:val="center"/>
          </w:tcPr>
          <w:p w14:paraId="3C0E6AAE" w14:textId="0AEA479C" w:rsidR="00181025" w:rsidRPr="002F733E" w:rsidRDefault="00181025" w:rsidP="00181025">
            <w:pPr>
              <w:pStyle w:val="TableText0"/>
              <w:keepLines/>
              <w:rPr>
                <w:szCs w:val="20"/>
              </w:rPr>
            </w:pPr>
            <w:r w:rsidRPr="002F733E">
              <w:rPr>
                <w:szCs w:val="20"/>
              </w:rPr>
              <w:t>PBS/RPBS</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01F75DF" w14:textId="147484E8" w:rsidR="00181025" w:rsidRPr="00C56A14" w:rsidRDefault="00EB6544" w:rsidP="00181025">
            <w:pPr>
              <w:pStyle w:val="TableText0"/>
              <w:keepLines/>
              <w:jc w:val="center"/>
              <w:rPr>
                <w:szCs w:val="20"/>
                <w:highlight w:val="lightGray"/>
              </w:rPr>
            </w:pPr>
            <w:r w:rsidRPr="00EB6544">
              <w:rPr>
                <w:color w:val="000000"/>
                <w:spacing w:val="76"/>
                <w:shd w:val="solid" w:color="000000" w:fill="000000"/>
                <w:fitText w:val="400" w:id="-1236572405"/>
                <w14:textFill>
                  <w14:solidFill>
                    <w14:srgbClr w14:val="000000">
                      <w14:alpha w14:val="100000"/>
                    </w14:srgbClr>
                  </w14:solidFill>
                </w14:textFill>
              </w:rPr>
              <w:t>|||</w:t>
            </w:r>
            <w:r w:rsidRPr="00EB6544">
              <w:rPr>
                <w:color w:val="000000"/>
                <w:spacing w:val="2"/>
                <w:shd w:val="solid" w:color="000000" w:fill="000000"/>
                <w:fitText w:val="400" w:id="-1236572405"/>
                <w14:textFill>
                  <w14:solidFill>
                    <w14:srgbClr w14:val="000000">
                      <w14:alpha w14:val="100000"/>
                    </w14:srgbClr>
                  </w14:solidFill>
                </w14:textFill>
              </w:rPr>
              <w:t>|</w:t>
            </w:r>
            <w:r w:rsidR="00C56A14">
              <w:rPr>
                <w:vertAlign w:val="superscript"/>
              </w:rPr>
              <w:t>13</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21F9ABA1" w14:textId="13237284" w:rsidR="00181025" w:rsidRPr="00C56A14" w:rsidRDefault="00EB6544" w:rsidP="00181025">
            <w:pPr>
              <w:pStyle w:val="TableText0"/>
              <w:keepLines/>
              <w:jc w:val="center"/>
              <w:rPr>
                <w:szCs w:val="20"/>
                <w:highlight w:val="lightGray"/>
              </w:rPr>
            </w:pPr>
            <w:r w:rsidRPr="00EB6544">
              <w:rPr>
                <w:color w:val="000000"/>
                <w:spacing w:val="76"/>
                <w:shd w:val="solid" w:color="000000" w:fill="000000"/>
                <w:fitText w:val="400" w:id="-1236572404"/>
                <w14:textFill>
                  <w14:solidFill>
                    <w14:srgbClr w14:val="000000">
                      <w14:alpha w14:val="100000"/>
                    </w14:srgbClr>
                  </w14:solidFill>
                </w14:textFill>
              </w:rPr>
              <w:t>|||</w:t>
            </w:r>
            <w:r w:rsidRPr="00EB6544">
              <w:rPr>
                <w:color w:val="000000"/>
                <w:spacing w:val="2"/>
                <w:shd w:val="solid" w:color="000000" w:fill="000000"/>
                <w:fitText w:val="400" w:id="-1236572404"/>
                <w14:textFill>
                  <w14:solidFill>
                    <w14:srgbClr w14:val="000000">
                      <w14:alpha w14:val="100000"/>
                    </w14:srgbClr>
                  </w14:solidFill>
                </w14:textFill>
              </w:rPr>
              <w:t>|</w:t>
            </w:r>
            <w:r w:rsidR="00C56A14">
              <w:rPr>
                <w:vertAlign w:val="superscript"/>
              </w:rPr>
              <w:t>15</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0239FB23" w14:textId="34763DB5" w:rsidR="00181025" w:rsidRPr="00C56A14" w:rsidRDefault="00EB6544" w:rsidP="00181025">
            <w:pPr>
              <w:pStyle w:val="TableText0"/>
              <w:keepLines/>
              <w:jc w:val="center"/>
              <w:rPr>
                <w:szCs w:val="20"/>
                <w:highlight w:val="lightGray"/>
              </w:rPr>
            </w:pPr>
            <w:r w:rsidRPr="00EB6544">
              <w:rPr>
                <w:color w:val="000000"/>
                <w:spacing w:val="76"/>
                <w:shd w:val="solid" w:color="000000" w:fill="000000"/>
                <w:fitText w:val="399" w:id="-1236572403"/>
                <w14:textFill>
                  <w14:solidFill>
                    <w14:srgbClr w14:val="000000">
                      <w14:alpha w14:val="100000"/>
                    </w14:srgbClr>
                  </w14:solidFill>
                </w14:textFill>
              </w:rPr>
              <w:t>|||</w:t>
            </w:r>
            <w:r w:rsidRPr="00EB6544">
              <w:rPr>
                <w:color w:val="000000"/>
                <w:spacing w:val="1"/>
                <w:shd w:val="solid" w:color="000000" w:fill="000000"/>
                <w:fitText w:val="399" w:id="-1236572403"/>
                <w14:textFill>
                  <w14:solidFill>
                    <w14:srgbClr w14:val="000000">
                      <w14:alpha w14:val="100000"/>
                    </w14:srgbClr>
                  </w14:solidFill>
                </w14:textFill>
              </w:rPr>
              <w:t>|</w:t>
            </w:r>
            <w:r w:rsidR="00C56A14">
              <w:rPr>
                <w:vertAlign w:val="superscript"/>
              </w:rPr>
              <w:t>17</w:t>
            </w:r>
          </w:p>
        </w:tc>
        <w:tc>
          <w:tcPr>
            <w:tcW w:w="1276" w:type="dxa"/>
            <w:tcBorders>
              <w:top w:val="single" w:sz="4" w:space="0" w:color="auto"/>
              <w:left w:val="nil"/>
              <w:bottom w:val="single" w:sz="4" w:space="0" w:color="auto"/>
              <w:right w:val="single" w:sz="4" w:space="0" w:color="auto"/>
            </w:tcBorders>
            <w:shd w:val="clear" w:color="auto" w:fill="C6D9F1" w:themeFill="text2" w:themeFillTint="33"/>
          </w:tcPr>
          <w:p w14:paraId="0564114F" w14:textId="22E2D302" w:rsidR="00181025" w:rsidRPr="00C56A14" w:rsidRDefault="00EB6544" w:rsidP="00181025">
            <w:pPr>
              <w:pStyle w:val="TableText0"/>
              <w:keepLines/>
              <w:jc w:val="center"/>
              <w:rPr>
                <w:szCs w:val="20"/>
                <w:highlight w:val="lightGray"/>
              </w:rPr>
            </w:pPr>
            <w:r w:rsidRPr="00EB6544">
              <w:rPr>
                <w:color w:val="000000"/>
                <w:spacing w:val="51"/>
                <w:shd w:val="solid" w:color="000000" w:fill="000000"/>
                <w:fitText w:val="324" w:id="-1236572402"/>
                <w14:textFill>
                  <w14:solidFill>
                    <w14:srgbClr w14:val="000000">
                      <w14:alpha w14:val="100000"/>
                    </w14:srgbClr>
                  </w14:solidFill>
                </w14:textFill>
              </w:rPr>
              <w:t>|||</w:t>
            </w:r>
            <w:r w:rsidRPr="00EB6544">
              <w:rPr>
                <w:color w:val="000000"/>
                <w:spacing w:val="1"/>
                <w:shd w:val="solid" w:color="000000" w:fill="000000"/>
                <w:fitText w:val="324" w:id="-1236572402"/>
                <w14:textFill>
                  <w14:solidFill>
                    <w14:srgbClr w14:val="000000">
                      <w14:alpha w14:val="100000"/>
                    </w14:srgbClr>
                  </w14:solidFill>
                </w14:textFill>
              </w:rPr>
              <w:t>|</w:t>
            </w:r>
            <w:r w:rsidR="00C56A14">
              <w:rPr>
                <w:vertAlign w:val="superscript"/>
              </w:rPr>
              <w:t>18</w:t>
            </w:r>
          </w:p>
        </w:tc>
        <w:tc>
          <w:tcPr>
            <w:tcW w:w="1275" w:type="dxa"/>
            <w:tcBorders>
              <w:top w:val="single" w:sz="4" w:space="0" w:color="auto"/>
              <w:left w:val="nil"/>
              <w:bottom w:val="single" w:sz="4" w:space="0" w:color="auto"/>
              <w:right w:val="single" w:sz="4" w:space="0" w:color="auto"/>
            </w:tcBorders>
            <w:shd w:val="clear" w:color="auto" w:fill="C6D9F1" w:themeFill="text2" w:themeFillTint="33"/>
          </w:tcPr>
          <w:p w14:paraId="6AF8C1E4" w14:textId="015D37A6" w:rsidR="00181025" w:rsidRPr="00C56A14" w:rsidRDefault="00EB6544" w:rsidP="00181025">
            <w:pPr>
              <w:pStyle w:val="TableText0"/>
              <w:keepLines/>
              <w:jc w:val="center"/>
              <w:rPr>
                <w:szCs w:val="20"/>
                <w:highlight w:val="lightGray"/>
              </w:rPr>
            </w:pPr>
            <w:r w:rsidRPr="00EB6544">
              <w:rPr>
                <w:color w:val="000000"/>
                <w:spacing w:val="51"/>
                <w:shd w:val="solid" w:color="000000" w:fill="000000"/>
                <w:fitText w:val="325" w:id="-1236572401"/>
                <w14:textFill>
                  <w14:solidFill>
                    <w14:srgbClr w14:val="000000">
                      <w14:alpha w14:val="100000"/>
                    </w14:srgbClr>
                  </w14:solidFill>
                </w14:textFill>
              </w:rPr>
              <w:t>|||</w:t>
            </w:r>
            <w:r w:rsidRPr="00EB6544">
              <w:rPr>
                <w:color w:val="000000"/>
                <w:spacing w:val="2"/>
                <w:shd w:val="solid" w:color="000000" w:fill="000000"/>
                <w:fitText w:val="325" w:id="-1236572401"/>
                <w14:textFill>
                  <w14:solidFill>
                    <w14:srgbClr w14:val="000000">
                      <w14:alpha w14:val="100000"/>
                    </w14:srgbClr>
                  </w14:solidFill>
                </w14:textFill>
              </w:rPr>
              <w:t>|</w:t>
            </w:r>
            <w:r w:rsidR="00C56A14">
              <w:rPr>
                <w:vertAlign w:val="superscript"/>
              </w:rPr>
              <w:t>18</w:t>
            </w:r>
          </w:p>
        </w:tc>
        <w:tc>
          <w:tcPr>
            <w:tcW w:w="1276" w:type="dxa"/>
            <w:tcBorders>
              <w:top w:val="single" w:sz="4" w:space="0" w:color="auto"/>
              <w:left w:val="nil"/>
              <w:bottom w:val="single" w:sz="4" w:space="0" w:color="auto"/>
              <w:right w:val="single" w:sz="4" w:space="0" w:color="auto"/>
            </w:tcBorders>
            <w:shd w:val="clear" w:color="auto" w:fill="C6D9F1" w:themeFill="text2" w:themeFillTint="33"/>
          </w:tcPr>
          <w:p w14:paraId="64332F85" w14:textId="5206E8D8" w:rsidR="00181025" w:rsidRPr="00C56A14" w:rsidRDefault="00EB6544" w:rsidP="00181025">
            <w:pPr>
              <w:pStyle w:val="TableText0"/>
              <w:keepLines/>
              <w:jc w:val="center"/>
              <w:rPr>
                <w:szCs w:val="20"/>
                <w:highlight w:val="lightGray"/>
              </w:rPr>
            </w:pPr>
            <w:r w:rsidRPr="00EB6544">
              <w:rPr>
                <w:color w:val="000000"/>
                <w:spacing w:val="51"/>
                <w:shd w:val="solid" w:color="000000" w:fill="000000"/>
                <w:fitText w:val="324" w:id="-1236572400"/>
                <w14:textFill>
                  <w14:solidFill>
                    <w14:srgbClr w14:val="000000">
                      <w14:alpha w14:val="100000"/>
                    </w14:srgbClr>
                  </w14:solidFill>
                </w14:textFill>
              </w:rPr>
              <w:t>|||</w:t>
            </w:r>
            <w:r w:rsidRPr="00EB6544">
              <w:rPr>
                <w:color w:val="000000"/>
                <w:spacing w:val="1"/>
                <w:shd w:val="solid" w:color="000000" w:fill="000000"/>
                <w:fitText w:val="324" w:id="-1236572400"/>
                <w14:textFill>
                  <w14:solidFill>
                    <w14:srgbClr w14:val="000000">
                      <w14:alpha w14:val="100000"/>
                    </w14:srgbClr>
                  </w14:solidFill>
                </w14:textFill>
              </w:rPr>
              <w:t>|</w:t>
            </w:r>
            <w:r w:rsidR="00C56A14">
              <w:rPr>
                <w:vertAlign w:val="superscript"/>
              </w:rPr>
              <w:t>18</w:t>
            </w:r>
          </w:p>
        </w:tc>
        <w:tc>
          <w:tcPr>
            <w:tcW w:w="1276" w:type="dxa"/>
            <w:tcBorders>
              <w:top w:val="single" w:sz="4" w:space="0" w:color="auto"/>
              <w:left w:val="nil"/>
              <w:bottom w:val="single" w:sz="4" w:space="0" w:color="auto"/>
              <w:right w:val="single" w:sz="4" w:space="0" w:color="auto"/>
            </w:tcBorders>
            <w:shd w:val="clear" w:color="auto" w:fill="C6D9F1" w:themeFill="text2" w:themeFillTint="33"/>
          </w:tcPr>
          <w:p w14:paraId="1AB2DB02" w14:textId="618B49A0" w:rsidR="00181025" w:rsidRPr="00C56A14" w:rsidRDefault="00EB6544" w:rsidP="00181025">
            <w:pPr>
              <w:pStyle w:val="TableText0"/>
              <w:keepLines/>
              <w:jc w:val="center"/>
              <w:rPr>
                <w:szCs w:val="20"/>
                <w:highlight w:val="lightGray"/>
              </w:rPr>
            </w:pPr>
            <w:r w:rsidRPr="00EB6544">
              <w:rPr>
                <w:color w:val="000000"/>
                <w:spacing w:val="51"/>
                <w:szCs w:val="20"/>
                <w:shd w:val="solid" w:color="000000" w:fill="000000"/>
                <w:fitText w:val="324" w:id="-1236572416"/>
                <w14:textFill>
                  <w14:solidFill>
                    <w14:srgbClr w14:val="000000">
                      <w14:alpha w14:val="100000"/>
                    </w14:srgbClr>
                  </w14:solidFill>
                </w14:textFill>
              </w:rPr>
              <w:t>|||</w:t>
            </w:r>
            <w:r w:rsidRPr="00EB6544">
              <w:rPr>
                <w:color w:val="000000"/>
                <w:spacing w:val="1"/>
                <w:szCs w:val="20"/>
                <w:shd w:val="solid" w:color="000000" w:fill="000000"/>
                <w:fitText w:val="324" w:id="-1236572416"/>
                <w14:textFill>
                  <w14:solidFill>
                    <w14:srgbClr w14:val="000000">
                      <w14:alpha w14:val="100000"/>
                    </w14:srgbClr>
                  </w14:solidFill>
                </w14:textFill>
              </w:rPr>
              <w:t>|</w:t>
            </w:r>
            <w:r w:rsidR="00C56A14">
              <w:rPr>
                <w:vertAlign w:val="superscript"/>
              </w:rPr>
              <w:t>19</w:t>
            </w:r>
          </w:p>
        </w:tc>
      </w:tr>
      <w:tr w:rsidR="009734FD" w:rsidRPr="002F733E" w14:paraId="02ABC483" w14:textId="77777777" w:rsidTr="00CC0BB4">
        <w:tc>
          <w:tcPr>
            <w:tcW w:w="988" w:type="dxa"/>
            <w:vMerge/>
            <w:tcBorders>
              <w:left w:val="single" w:sz="4" w:space="0" w:color="auto"/>
              <w:bottom w:val="single" w:sz="4" w:space="0" w:color="auto"/>
              <w:right w:val="single" w:sz="4" w:space="0" w:color="auto"/>
            </w:tcBorders>
            <w:shd w:val="clear" w:color="auto" w:fill="auto"/>
            <w:vAlign w:val="center"/>
          </w:tcPr>
          <w:p w14:paraId="465A5380" w14:textId="77777777" w:rsidR="009734FD" w:rsidRPr="002F733E" w:rsidRDefault="009734FD" w:rsidP="009734FD">
            <w:pPr>
              <w:pStyle w:val="TableText0"/>
              <w:keepLines/>
              <w:rPr>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24222FB" w14:textId="06BA644C" w:rsidR="009734FD" w:rsidRPr="00C56A14" w:rsidRDefault="00EB6544" w:rsidP="009734FD">
            <w:pPr>
              <w:pStyle w:val="TableText0"/>
              <w:keepLines/>
              <w:jc w:val="center"/>
              <w:rPr>
                <w:szCs w:val="20"/>
                <w:highlight w:val="lightGray"/>
              </w:rPr>
            </w:pPr>
            <w:r w:rsidRPr="00EB6544">
              <w:rPr>
                <w:color w:val="000000"/>
                <w:spacing w:val="76"/>
                <w:shd w:val="solid" w:color="000000" w:fill="000000"/>
                <w:fitText w:val="400" w:id="-1236572415"/>
                <w14:textFill>
                  <w14:solidFill>
                    <w14:srgbClr w14:val="000000">
                      <w14:alpha w14:val="100000"/>
                    </w14:srgbClr>
                  </w14:solidFill>
                </w14:textFill>
              </w:rPr>
              <w:t>|||</w:t>
            </w:r>
            <w:r w:rsidRPr="00EB6544">
              <w:rPr>
                <w:color w:val="000000"/>
                <w:spacing w:val="2"/>
                <w:shd w:val="solid" w:color="000000" w:fill="000000"/>
                <w:fitText w:val="400" w:id="-1236572415"/>
                <w14:textFill>
                  <w14:solidFill>
                    <w14:srgbClr w14:val="000000">
                      <w14:alpha w14:val="100000"/>
                    </w14:srgbClr>
                  </w14:solidFill>
                </w14:textFill>
              </w:rPr>
              <w:t>|</w:t>
            </w:r>
            <w:r w:rsidR="00C56A14">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tcPr>
          <w:p w14:paraId="0E44A39F" w14:textId="6278AF2A" w:rsidR="009734FD" w:rsidRPr="00C56A14" w:rsidRDefault="00EB6544" w:rsidP="009734FD">
            <w:pPr>
              <w:pStyle w:val="TableText0"/>
              <w:keepLines/>
              <w:jc w:val="center"/>
              <w:rPr>
                <w:szCs w:val="20"/>
                <w:highlight w:val="lightGray"/>
              </w:rPr>
            </w:pPr>
            <w:r w:rsidRPr="00EB6544">
              <w:rPr>
                <w:color w:val="000000"/>
                <w:spacing w:val="76"/>
                <w:shd w:val="solid" w:color="000000" w:fill="000000"/>
                <w:fitText w:val="400" w:id="-1236572414"/>
                <w14:textFill>
                  <w14:solidFill>
                    <w14:srgbClr w14:val="000000">
                      <w14:alpha w14:val="100000"/>
                    </w14:srgbClr>
                  </w14:solidFill>
                </w14:textFill>
              </w:rPr>
              <w:t>|||</w:t>
            </w:r>
            <w:r w:rsidRPr="00EB6544">
              <w:rPr>
                <w:color w:val="000000"/>
                <w:spacing w:val="2"/>
                <w:shd w:val="solid" w:color="000000" w:fill="000000"/>
                <w:fitText w:val="400" w:id="-1236572414"/>
                <w14:textFill>
                  <w14:solidFill>
                    <w14:srgbClr w14:val="000000">
                      <w14:alpha w14:val="100000"/>
                    </w14:srgbClr>
                  </w14:solidFill>
                </w14:textFill>
              </w:rPr>
              <w:t>|</w:t>
            </w:r>
            <w:r w:rsidR="00C56A14">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tcPr>
          <w:p w14:paraId="7A45B338" w14:textId="1DBA33B6" w:rsidR="009734FD" w:rsidRPr="00C56A14" w:rsidRDefault="00EB6544" w:rsidP="009734FD">
            <w:pPr>
              <w:pStyle w:val="TableText0"/>
              <w:keepLines/>
              <w:jc w:val="center"/>
              <w:rPr>
                <w:szCs w:val="20"/>
                <w:highlight w:val="lightGray"/>
              </w:rPr>
            </w:pPr>
            <w:r w:rsidRPr="00EB6544">
              <w:rPr>
                <w:color w:val="000000"/>
                <w:spacing w:val="76"/>
                <w:shd w:val="solid" w:color="000000" w:fill="000000"/>
                <w:fitText w:val="399" w:id="-1236572413"/>
                <w14:textFill>
                  <w14:solidFill>
                    <w14:srgbClr w14:val="000000">
                      <w14:alpha w14:val="100000"/>
                    </w14:srgbClr>
                  </w14:solidFill>
                </w14:textFill>
              </w:rPr>
              <w:t>|||</w:t>
            </w:r>
            <w:r w:rsidRPr="00EB6544">
              <w:rPr>
                <w:color w:val="000000"/>
                <w:spacing w:val="1"/>
                <w:shd w:val="solid" w:color="000000" w:fill="000000"/>
                <w:fitText w:val="399" w:id="-1236572413"/>
                <w14:textFill>
                  <w14:solidFill>
                    <w14:srgbClr w14:val="000000">
                      <w14:alpha w14:val="100000"/>
                    </w14:srgbClr>
                  </w14:solidFill>
                </w14:textFill>
              </w:rPr>
              <w:t>|</w:t>
            </w:r>
            <w:r w:rsidR="00C56A14">
              <w:rPr>
                <w:vertAlign w:val="superscript"/>
              </w:rPr>
              <w:t>14</w:t>
            </w:r>
          </w:p>
        </w:tc>
        <w:tc>
          <w:tcPr>
            <w:tcW w:w="1276" w:type="dxa"/>
            <w:tcBorders>
              <w:top w:val="single" w:sz="4" w:space="0" w:color="auto"/>
              <w:left w:val="nil"/>
              <w:bottom w:val="single" w:sz="4" w:space="0" w:color="auto"/>
              <w:right w:val="single" w:sz="4" w:space="0" w:color="auto"/>
            </w:tcBorders>
            <w:shd w:val="clear" w:color="auto" w:fill="auto"/>
          </w:tcPr>
          <w:p w14:paraId="5EF96ED7" w14:textId="3F360A28" w:rsidR="009734FD" w:rsidRPr="00C56A14" w:rsidRDefault="00EB6544" w:rsidP="009734FD">
            <w:pPr>
              <w:pStyle w:val="TableText0"/>
              <w:keepLines/>
              <w:jc w:val="center"/>
              <w:rPr>
                <w:szCs w:val="20"/>
                <w:highlight w:val="lightGray"/>
              </w:rPr>
            </w:pPr>
            <w:r w:rsidRPr="00EB6544">
              <w:rPr>
                <w:color w:val="000000"/>
                <w:spacing w:val="51"/>
                <w:shd w:val="solid" w:color="000000" w:fill="000000"/>
                <w:fitText w:val="324" w:id="-1236572412"/>
                <w14:textFill>
                  <w14:solidFill>
                    <w14:srgbClr w14:val="000000">
                      <w14:alpha w14:val="100000"/>
                    </w14:srgbClr>
                  </w14:solidFill>
                </w14:textFill>
              </w:rPr>
              <w:t>|||</w:t>
            </w:r>
            <w:r w:rsidRPr="00EB6544">
              <w:rPr>
                <w:color w:val="000000"/>
                <w:spacing w:val="1"/>
                <w:shd w:val="solid" w:color="000000" w:fill="000000"/>
                <w:fitText w:val="324" w:id="-1236572412"/>
                <w14:textFill>
                  <w14:solidFill>
                    <w14:srgbClr w14:val="000000">
                      <w14:alpha w14:val="100000"/>
                    </w14:srgbClr>
                  </w14:solidFill>
                </w14:textFill>
              </w:rPr>
              <w:t>|</w:t>
            </w:r>
            <w:r w:rsidR="00C56A14">
              <w:rPr>
                <w:vertAlign w:val="superscript"/>
              </w:rPr>
              <w:t>14</w:t>
            </w:r>
          </w:p>
        </w:tc>
        <w:tc>
          <w:tcPr>
            <w:tcW w:w="1275" w:type="dxa"/>
            <w:tcBorders>
              <w:top w:val="single" w:sz="4" w:space="0" w:color="auto"/>
              <w:left w:val="nil"/>
              <w:bottom w:val="single" w:sz="4" w:space="0" w:color="auto"/>
              <w:right w:val="single" w:sz="4" w:space="0" w:color="auto"/>
            </w:tcBorders>
            <w:shd w:val="clear" w:color="auto" w:fill="auto"/>
          </w:tcPr>
          <w:p w14:paraId="221E25EB" w14:textId="63927D9B" w:rsidR="009734FD" w:rsidRPr="00C56A14" w:rsidRDefault="00EB6544" w:rsidP="009734FD">
            <w:pPr>
              <w:pStyle w:val="TableText0"/>
              <w:keepLines/>
              <w:jc w:val="center"/>
              <w:rPr>
                <w:szCs w:val="20"/>
                <w:highlight w:val="lightGray"/>
              </w:rPr>
            </w:pPr>
            <w:r w:rsidRPr="00EB6544">
              <w:rPr>
                <w:color w:val="000000"/>
                <w:spacing w:val="51"/>
                <w:shd w:val="solid" w:color="000000" w:fill="000000"/>
                <w:fitText w:val="325" w:id="-1236572411"/>
                <w14:textFill>
                  <w14:solidFill>
                    <w14:srgbClr w14:val="000000">
                      <w14:alpha w14:val="100000"/>
                    </w14:srgbClr>
                  </w14:solidFill>
                </w14:textFill>
              </w:rPr>
              <w:t>|||</w:t>
            </w:r>
            <w:r w:rsidRPr="00EB6544">
              <w:rPr>
                <w:color w:val="000000"/>
                <w:spacing w:val="2"/>
                <w:shd w:val="solid" w:color="000000" w:fill="000000"/>
                <w:fitText w:val="325" w:id="-1236572411"/>
                <w14:textFill>
                  <w14:solidFill>
                    <w14:srgbClr w14:val="000000">
                      <w14:alpha w14:val="100000"/>
                    </w14:srgbClr>
                  </w14:solidFill>
                </w14:textFill>
              </w:rPr>
              <w:t>|</w:t>
            </w:r>
            <w:r w:rsidR="00C56A14">
              <w:rPr>
                <w:vertAlign w:val="superscript"/>
              </w:rPr>
              <w:t>14</w:t>
            </w:r>
          </w:p>
        </w:tc>
        <w:tc>
          <w:tcPr>
            <w:tcW w:w="1276" w:type="dxa"/>
            <w:tcBorders>
              <w:top w:val="single" w:sz="4" w:space="0" w:color="auto"/>
              <w:left w:val="nil"/>
              <w:bottom w:val="single" w:sz="4" w:space="0" w:color="auto"/>
              <w:right w:val="single" w:sz="4" w:space="0" w:color="auto"/>
            </w:tcBorders>
            <w:shd w:val="clear" w:color="auto" w:fill="auto"/>
          </w:tcPr>
          <w:p w14:paraId="79A16CDA" w14:textId="3730FF80" w:rsidR="009734FD" w:rsidRPr="00C56A14" w:rsidRDefault="00EB6544" w:rsidP="009734FD">
            <w:pPr>
              <w:pStyle w:val="TableText0"/>
              <w:keepLines/>
              <w:jc w:val="center"/>
              <w:rPr>
                <w:szCs w:val="20"/>
                <w:highlight w:val="lightGray"/>
              </w:rPr>
            </w:pPr>
            <w:r w:rsidRPr="00EB6544">
              <w:rPr>
                <w:color w:val="000000"/>
                <w:spacing w:val="51"/>
                <w:shd w:val="solid" w:color="000000" w:fill="000000"/>
                <w:fitText w:val="324" w:id="-1236572410"/>
                <w14:textFill>
                  <w14:solidFill>
                    <w14:srgbClr w14:val="000000">
                      <w14:alpha w14:val="100000"/>
                    </w14:srgbClr>
                  </w14:solidFill>
                </w14:textFill>
              </w:rPr>
              <w:t>|||</w:t>
            </w:r>
            <w:r w:rsidRPr="00EB6544">
              <w:rPr>
                <w:color w:val="000000"/>
                <w:spacing w:val="1"/>
                <w:shd w:val="solid" w:color="000000" w:fill="000000"/>
                <w:fitText w:val="324" w:id="-1236572410"/>
                <w14:textFill>
                  <w14:solidFill>
                    <w14:srgbClr w14:val="000000">
                      <w14:alpha w14:val="100000"/>
                    </w14:srgbClr>
                  </w14:solidFill>
                </w14:textFill>
              </w:rPr>
              <w:t>|</w:t>
            </w:r>
            <w:r w:rsidR="00C56A14">
              <w:rPr>
                <w:vertAlign w:val="superscript"/>
              </w:rPr>
              <w:t>16</w:t>
            </w:r>
          </w:p>
        </w:tc>
        <w:tc>
          <w:tcPr>
            <w:tcW w:w="1276" w:type="dxa"/>
            <w:tcBorders>
              <w:top w:val="single" w:sz="4" w:space="0" w:color="auto"/>
              <w:left w:val="nil"/>
              <w:bottom w:val="single" w:sz="4" w:space="0" w:color="auto"/>
              <w:right w:val="single" w:sz="4" w:space="0" w:color="auto"/>
            </w:tcBorders>
            <w:shd w:val="clear" w:color="auto" w:fill="auto"/>
          </w:tcPr>
          <w:p w14:paraId="40D9E826" w14:textId="332807B0" w:rsidR="009734FD" w:rsidRPr="00C56A14" w:rsidRDefault="00EB6544" w:rsidP="009734FD">
            <w:pPr>
              <w:pStyle w:val="TableText0"/>
              <w:keepLines/>
              <w:jc w:val="center"/>
              <w:rPr>
                <w:szCs w:val="20"/>
                <w:highlight w:val="lightGray"/>
              </w:rPr>
            </w:pPr>
            <w:r w:rsidRPr="00EB6544">
              <w:rPr>
                <w:color w:val="000000"/>
                <w:spacing w:val="51"/>
                <w:shd w:val="solid" w:color="000000" w:fill="000000"/>
                <w:fitText w:val="324" w:id="-1236572409"/>
                <w14:textFill>
                  <w14:solidFill>
                    <w14:srgbClr w14:val="000000">
                      <w14:alpha w14:val="100000"/>
                    </w14:srgbClr>
                  </w14:solidFill>
                </w14:textFill>
              </w:rPr>
              <w:t>|||</w:t>
            </w:r>
            <w:r w:rsidRPr="00EB6544">
              <w:rPr>
                <w:color w:val="000000"/>
                <w:spacing w:val="1"/>
                <w:shd w:val="solid" w:color="000000" w:fill="000000"/>
                <w:fitText w:val="324" w:id="-1236572409"/>
                <w14:textFill>
                  <w14:solidFill>
                    <w14:srgbClr w14:val="000000">
                      <w14:alpha w14:val="100000"/>
                    </w14:srgbClr>
                  </w14:solidFill>
                </w14:textFill>
              </w:rPr>
              <w:t>|</w:t>
            </w:r>
            <w:r w:rsidR="00C56A14">
              <w:rPr>
                <w:vertAlign w:val="superscript"/>
              </w:rPr>
              <w:t>20</w:t>
            </w:r>
          </w:p>
        </w:tc>
      </w:tr>
      <w:tr w:rsidR="00D0791A" w:rsidRPr="002F733E" w14:paraId="20F79385" w14:textId="77777777" w:rsidTr="00CC0BB4">
        <w:tc>
          <w:tcPr>
            <w:tcW w:w="988" w:type="dxa"/>
            <w:vMerge w:val="restart"/>
            <w:tcBorders>
              <w:top w:val="single" w:sz="4" w:space="0" w:color="auto"/>
              <w:left w:val="single" w:sz="4" w:space="0" w:color="auto"/>
              <w:right w:val="single" w:sz="4" w:space="0" w:color="auto"/>
            </w:tcBorders>
            <w:shd w:val="clear" w:color="auto" w:fill="auto"/>
            <w:vAlign w:val="center"/>
          </w:tcPr>
          <w:p w14:paraId="53C9DD54" w14:textId="77777777" w:rsidR="00D0791A" w:rsidRPr="002F733E" w:rsidRDefault="00D0791A" w:rsidP="006A7AE4">
            <w:pPr>
              <w:pStyle w:val="TableText0"/>
              <w:keepLines/>
              <w:rPr>
                <w:szCs w:val="20"/>
              </w:rPr>
            </w:pPr>
            <w:r w:rsidRPr="002F733E">
              <w:rPr>
                <w:szCs w:val="20"/>
              </w:rPr>
              <w:t>Less copay</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23CD47C" w14:textId="7F7B771F" w:rsidR="00D0791A" w:rsidRPr="002F733E" w:rsidRDefault="00D0791A" w:rsidP="006A7AE4">
            <w:pPr>
              <w:pStyle w:val="TableText0"/>
              <w:keepLines/>
              <w:jc w:val="center"/>
              <w:rPr>
                <w:rFonts w:cs="Arial"/>
                <w:color w:val="000000"/>
                <w:szCs w:val="20"/>
              </w:rPr>
            </w:pPr>
            <w:r w:rsidRPr="002F733E">
              <w:rPr>
                <w:szCs w:val="20"/>
              </w:rPr>
              <w:t>-</w:t>
            </w:r>
            <w:r w:rsidR="00EB6544" w:rsidRPr="00EB6544">
              <w:rPr>
                <w:color w:val="000000"/>
                <w:spacing w:val="81"/>
                <w:szCs w:val="20"/>
                <w:shd w:val="solid" w:color="000000" w:fill="000000"/>
                <w:fitText w:val="416" w:id="-1236572408"/>
                <w14:textFill>
                  <w14:solidFill>
                    <w14:srgbClr w14:val="000000">
                      <w14:alpha w14:val="100000"/>
                    </w14:srgbClr>
                  </w14:solidFill>
                </w14:textFill>
              </w:rPr>
              <w:t>|||</w:t>
            </w:r>
            <w:r w:rsidR="00EB6544" w:rsidRPr="00EB6544">
              <w:rPr>
                <w:color w:val="000000"/>
                <w:spacing w:val="3"/>
                <w:szCs w:val="20"/>
                <w:shd w:val="solid" w:color="000000" w:fill="000000"/>
                <w:fitText w:val="416" w:id="-1236572408"/>
                <w14:textFill>
                  <w14:solidFill>
                    <w14:srgbClr w14:val="000000">
                      <w14:alpha w14:val="100000"/>
                    </w14:srgbClr>
                  </w14:solidFill>
                </w14:textFill>
              </w:rPr>
              <w:t>|</w:t>
            </w:r>
            <w:r w:rsidR="00C56A14">
              <w:rPr>
                <w:vertAlign w:val="superscript"/>
              </w:rPr>
              <w:t>21</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72B03AE9" w14:textId="43EBD046" w:rsidR="00D0791A" w:rsidRPr="002F733E" w:rsidRDefault="00D0791A" w:rsidP="006A7AE4">
            <w:pPr>
              <w:pStyle w:val="TableText0"/>
              <w:keepLines/>
              <w:jc w:val="center"/>
              <w:rPr>
                <w:rFonts w:cs="Arial"/>
                <w:color w:val="000000"/>
                <w:szCs w:val="20"/>
              </w:rPr>
            </w:pPr>
            <w:r w:rsidRPr="002F733E">
              <w:rPr>
                <w:szCs w:val="20"/>
              </w:rPr>
              <w:t>-</w:t>
            </w:r>
            <w:r w:rsidR="00EB6544" w:rsidRPr="00EB6544">
              <w:rPr>
                <w:color w:val="000000"/>
                <w:spacing w:val="81"/>
                <w:szCs w:val="20"/>
                <w:shd w:val="solid" w:color="000000" w:fill="000000"/>
                <w:fitText w:val="416" w:id="-1236572407"/>
                <w14:textFill>
                  <w14:solidFill>
                    <w14:srgbClr w14:val="000000">
                      <w14:alpha w14:val="100000"/>
                    </w14:srgbClr>
                  </w14:solidFill>
                </w14:textFill>
              </w:rPr>
              <w:t>|||</w:t>
            </w:r>
            <w:r w:rsidR="00EB6544" w:rsidRPr="00EB6544">
              <w:rPr>
                <w:color w:val="000000"/>
                <w:spacing w:val="3"/>
                <w:szCs w:val="20"/>
                <w:shd w:val="solid" w:color="000000" w:fill="000000"/>
                <w:fitText w:val="416" w:id="-1236572407"/>
                <w14:textFill>
                  <w14:solidFill>
                    <w14:srgbClr w14:val="000000">
                      <w14:alpha w14:val="100000"/>
                    </w14:srgbClr>
                  </w14:solidFill>
                </w14:textFill>
              </w:rPr>
              <w:t>|</w:t>
            </w:r>
            <w:r w:rsidR="00C56A14">
              <w:rPr>
                <w:vertAlign w:val="superscript"/>
              </w:rPr>
              <w:t>21</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DD100BE" w14:textId="36B3F990" w:rsidR="00D0791A" w:rsidRPr="002F733E" w:rsidRDefault="00D0791A" w:rsidP="006A7AE4">
            <w:pPr>
              <w:pStyle w:val="TableText0"/>
              <w:keepLines/>
              <w:jc w:val="center"/>
              <w:rPr>
                <w:rFonts w:cs="Arial"/>
                <w:color w:val="000000"/>
                <w:szCs w:val="20"/>
              </w:rPr>
            </w:pPr>
            <w:r w:rsidRPr="002F733E">
              <w:rPr>
                <w:szCs w:val="20"/>
              </w:rPr>
              <w:t>-</w:t>
            </w:r>
            <w:r w:rsidR="00EB6544" w:rsidRPr="00EB6544">
              <w:rPr>
                <w:color w:val="000000"/>
                <w:spacing w:val="81"/>
                <w:szCs w:val="20"/>
                <w:shd w:val="solid" w:color="000000" w:fill="000000"/>
                <w:fitText w:val="416" w:id="-1236572406"/>
                <w14:textFill>
                  <w14:solidFill>
                    <w14:srgbClr w14:val="000000">
                      <w14:alpha w14:val="100000"/>
                    </w14:srgbClr>
                  </w14:solidFill>
                </w14:textFill>
              </w:rPr>
              <w:t>|||</w:t>
            </w:r>
            <w:r w:rsidR="00EB6544" w:rsidRPr="00EB6544">
              <w:rPr>
                <w:color w:val="000000"/>
                <w:spacing w:val="3"/>
                <w:szCs w:val="20"/>
                <w:shd w:val="solid" w:color="000000" w:fill="000000"/>
                <w:fitText w:val="416" w:id="-1236572406"/>
                <w14:textFill>
                  <w14:solidFill>
                    <w14:srgbClr w14:val="000000">
                      <w14:alpha w14:val="100000"/>
                    </w14:srgbClr>
                  </w14:solidFill>
                </w14:textFill>
              </w:rPr>
              <w:t>|</w:t>
            </w:r>
            <w:r w:rsidR="00C56A14">
              <w:rPr>
                <w:vertAlign w:val="superscript"/>
              </w:rPr>
              <w:t>21</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61672C9" w14:textId="054D7C15" w:rsidR="00D0791A" w:rsidRPr="002F733E" w:rsidRDefault="00D0791A" w:rsidP="006A7AE4">
            <w:pPr>
              <w:pStyle w:val="TableText0"/>
              <w:keepLines/>
              <w:jc w:val="center"/>
              <w:rPr>
                <w:rFonts w:cs="Arial"/>
                <w:color w:val="000000"/>
                <w:szCs w:val="20"/>
              </w:rPr>
            </w:pPr>
            <w:r w:rsidRPr="002F733E">
              <w:rPr>
                <w:szCs w:val="20"/>
              </w:rPr>
              <w:t>-</w:t>
            </w:r>
            <w:r w:rsidR="00EB6544" w:rsidRPr="00EB6544">
              <w:rPr>
                <w:color w:val="000000"/>
                <w:spacing w:val="62"/>
                <w:szCs w:val="20"/>
                <w:shd w:val="solid" w:color="000000" w:fill="000000"/>
                <w:fitText w:val="358" w:id="-1236572405"/>
                <w14:textFill>
                  <w14:solidFill>
                    <w14:srgbClr w14:val="000000">
                      <w14:alpha w14:val="100000"/>
                    </w14:srgbClr>
                  </w14:solidFill>
                </w14:textFill>
              </w:rPr>
              <w:t>|||</w:t>
            </w:r>
            <w:r w:rsidR="00EB6544" w:rsidRPr="00EB6544">
              <w:rPr>
                <w:color w:val="000000"/>
                <w:spacing w:val="2"/>
                <w:szCs w:val="20"/>
                <w:shd w:val="solid" w:color="000000" w:fill="000000"/>
                <w:fitText w:val="358" w:id="-1236572405"/>
                <w14:textFill>
                  <w14:solidFill>
                    <w14:srgbClr w14:val="000000">
                      <w14:alpha w14:val="100000"/>
                    </w14:srgbClr>
                  </w14:solidFill>
                </w14:textFill>
              </w:rPr>
              <w:t>|</w:t>
            </w:r>
            <w:r w:rsidR="00C56A14">
              <w:rPr>
                <w:vertAlign w:val="superscript"/>
              </w:rPr>
              <w:t>21</w:t>
            </w:r>
          </w:p>
        </w:tc>
        <w:tc>
          <w:tcPr>
            <w:tcW w:w="1275"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63E42F1" w14:textId="08C4573F" w:rsidR="00D0791A" w:rsidRPr="002F733E" w:rsidRDefault="00D0791A" w:rsidP="006A7AE4">
            <w:pPr>
              <w:pStyle w:val="TableText0"/>
              <w:keepLines/>
              <w:jc w:val="center"/>
              <w:rPr>
                <w:rFonts w:cs="Arial"/>
                <w:color w:val="000000"/>
                <w:szCs w:val="20"/>
              </w:rPr>
            </w:pPr>
            <w:r w:rsidRPr="002F733E">
              <w:rPr>
                <w:szCs w:val="20"/>
              </w:rPr>
              <w:t>-</w:t>
            </w:r>
            <w:r w:rsidR="00EB6544" w:rsidRPr="00EB6544">
              <w:rPr>
                <w:color w:val="000000"/>
                <w:spacing w:val="62"/>
                <w:szCs w:val="20"/>
                <w:shd w:val="solid" w:color="000000" w:fill="000000"/>
                <w:fitText w:val="358" w:id="-1236572404"/>
                <w14:textFill>
                  <w14:solidFill>
                    <w14:srgbClr w14:val="000000">
                      <w14:alpha w14:val="100000"/>
                    </w14:srgbClr>
                  </w14:solidFill>
                </w14:textFill>
              </w:rPr>
              <w:t>|||</w:t>
            </w:r>
            <w:r w:rsidR="00EB6544" w:rsidRPr="00EB6544">
              <w:rPr>
                <w:color w:val="000000"/>
                <w:spacing w:val="2"/>
                <w:szCs w:val="20"/>
                <w:shd w:val="solid" w:color="000000" w:fill="000000"/>
                <w:fitText w:val="358" w:id="-1236572404"/>
                <w14:textFill>
                  <w14:solidFill>
                    <w14:srgbClr w14:val="000000">
                      <w14:alpha w14:val="100000"/>
                    </w14:srgbClr>
                  </w14:solidFill>
                </w14:textFill>
              </w:rPr>
              <w:t>|</w:t>
            </w:r>
            <w:r w:rsidR="00C56A14">
              <w:rPr>
                <w:vertAlign w:val="superscript"/>
              </w:rPr>
              <w:t>21</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tcPr>
          <w:p w14:paraId="3D9ADAB0" w14:textId="26D993DA" w:rsidR="00D0791A" w:rsidRPr="002F733E" w:rsidRDefault="00D0791A" w:rsidP="006A7AE4">
            <w:pPr>
              <w:pStyle w:val="TableText0"/>
              <w:keepLines/>
              <w:jc w:val="center"/>
              <w:rPr>
                <w:szCs w:val="20"/>
              </w:rPr>
            </w:pPr>
            <w:r w:rsidRPr="002F733E">
              <w:rPr>
                <w:szCs w:val="20"/>
              </w:rPr>
              <w:t>-</w:t>
            </w:r>
            <w:r w:rsidR="00EB6544" w:rsidRPr="00EB6544">
              <w:rPr>
                <w:color w:val="000000"/>
                <w:spacing w:val="62"/>
                <w:szCs w:val="20"/>
                <w:shd w:val="solid" w:color="000000" w:fill="000000"/>
                <w:fitText w:val="358" w:id="-1236572403"/>
                <w14:textFill>
                  <w14:solidFill>
                    <w14:srgbClr w14:val="000000">
                      <w14:alpha w14:val="100000"/>
                    </w14:srgbClr>
                  </w14:solidFill>
                </w14:textFill>
              </w:rPr>
              <w:t>|||</w:t>
            </w:r>
            <w:r w:rsidR="00EB6544" w:rsidRPr="00EB6544">
              <w:rPr>
                <w:color w:val="000000"/>
                <w:spacing w:val="2"/>
                <w:szCs w:val="20"/>
                <w:shd w:val="solid" w:color="000000" w:fill="000000"/>
                <w:fitText w:val="358" w:id="-1236572403"/>
                <w14:textFill>
                  <w14:solidFill>
                    <w14:srgbClr w14:val="000000">
                      <w14:alpha w14:val="100000"/>
                    </w14:srgbClr>
                  </w14:solidFill>
                </w14:textFill>
              </w:rPr>
              <w:t>|</w:t>
            </w:r>
            <w:r w:rsidR="00C56A14">
              <w:rPr>
                <w:vertAlign w:val="superscript"/>
              </w:rPr>
              <w:t>21</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tcPr>
          <w:p w14:paraId="78C4622F" w14:textId="243869CD" w:rsidR="00D0791A" w:rsidRPr="002F733E" w:rsidRDefault="00D0791A" w:rsidP="006A7AE4">
            <w:pPr>
              <w:pStyle w:val="TableText0"/>
              <w:keepLines/>
              <w:jc w:val="center"/>
              <w:rPr>
                <w:szCs w:val="20"/>
              </w:rPr>
            </w:pPr>
            <w:r w:rsidRPr="002F733E">
              <w:rPr>
                <w:szCs w:val="20"/>
              </w:rPr>
              <w:t>-</w:t>
            </w:r>
            <w:r w:rsidR="00EB6544" w:rsidRPr="00EB6544">
              <w:rPr>
                <w:color w:val="000000"/>
                <w:spacing w:val="62"/>
                <w:szCs w:val="20"/>
                <w:shd w:val="solid" w:color="000000" w:fill="000000"/>
                <w:fitText w:val="357" w:id="-1236572402"/>
                <w14:textFill>
                  <w14:solidFill>
                    <w14:srgbClr w14:val="000000">
                      <w14:alpha w14:val="100000"/>
                    </w14:srgbClr>
                  </w14:solidFill>
                </w14:textFill>
              </w:rPr>
              <w:t>|||</w:t>
            </w:r>
            <w:r w:rsidR="00EB6544" w:rsidRPr="00EB6544">
              <w:rPr>
                <w:color w:val="000000"/>
                <w:spacing w:val="1"/>
                <w:szCs w:val="20"/>
                <w:shd w:val="solid" w:color="000000" w:fill="000000"/>
                <w:fitText w:val="357" w:id="-1236572402"/>
                <w14:textFill>
                  <w14:solidFill>
                    <w14:srgbClr w14:val="000000">
                      <w14:alpha w14:val="100000"/>
                    </w14:srgbClr>
                  </w14:solidFill>
                </w14:textFill>
              </w:rPr>
              <w:t>|</w:t>
            </w:r>
            <w:r w:rsidR="00C56A14">
              <w:rPr>
                <w:vertAlign w:val="superscript"/>
              </w:rPr>
              <w:t>21</w:t>
            </w:r>
          </w:p>
        </w:tc>
      </w:tr>
      <w:tr w:rsidR="009734FD" w:rsidRPr="002F733E" w14:paraId="2DB6AF45" w14:textId="77777777" w:rsidTr="00CC0BB4">
        <w:tc>
          <w:tcPr>
            <w:tcW w:w="988" w:type="dxa"/>
            <w:vMerge/>
            <w:tcBorders>
              <w:left w:val="single" w:sz="4" w:space="0" w:color="auto"/>
              <w:bottom w:val="single" w:sz="4" w:space="0" w:color="auto"/>
              <w:right w:val="single" w:sz="4" w:space="0" w:color="auto"/>
            </w:tcBorders>
            <w:shd w:val="clear" w:color="auto" w:fill="auto"/>
            <w:vAlign w:val="center"/>
          </w:tcPr>
          <w:p w14:paraId="54E32544" w14:textId="77777777" w:rsidR="009734FD" w:rsidRPr="002F733E" w:rsidRDefault="009734FD" w:rsidP="009734FD">
            <w:pPr>
              <w:pStyle w:val="TableText0"/>
              <w:keepLines/>
              <w:rPr>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29197447" w14:textId="7AECEAC8" w:rsidR="009734FD" w:rsidRPr="002F733E" w:rsidRDefault="009734FD" w:rsidP="009734FD">
            <w:pPr>
              <w:pStyle w:val="TableText0"/>
              <w:keepLines/>
              <w:jc w:val="center"/>
            </w:pPr>
            <w:r w:rsidRPr="002F733E">
              <w:t>-</w:t>
            </w:r>
            <w:r w:rsidR="00EB6544" w:rsidRPr="00EB6544">
              <w:rPr>
                <w:color w:val="000000"/>
                <w:spacing w:val="81"/>
                <w:shd w:val="solid" w:color="000000" w:fill="000000"/>
                <w:fitText w:val="416" w:id="-1236572401"/>
                <w14:textFill>
                  <w14:solidFill>
                    <w14:srgbClr w14:val="000000">
                      <w14:alpha w14:val="100000"/>
                    </w14:srgbClr>
                  </w14:solidFill>
                </w14:textFill>
              </w:rPr>
              <w:t>|||</w:t>
            </w:r>
            <w:r w:rsidR="00EB6544" w:rsidRPr="00EB6544">
              <w:rPr>
                <w:color w:val="000000"/>
                <w:spacing w:val="3"/>
                <w:shd w:val="solid" w:color="000000" w:fill="000000"/>
                <w:fitText w:val="416" w:id="-1236572401"/>
                <w14:textFill>
                  <w14:solidFill>
                    <w14:srgbClr w14:val="000000">
                      <w14:alpha w14:val="100000"/>
                    </w14:srgbClr>
                  </w14:solidFill>
                </w14:textFill>
              </w:rPr>
              <w:t>|</w:t>
            </w:r>
            <w:r w:rsidR="00C56A14">
              <w:rPr>
                <w:vertAlign w:val="superscript"/>
              </w:rPr>
              <w:t>21</w:t>
            </w:r>
          </w:p>
        </w:tc>
        <w:tc>
          <w:tcPr>
            <w:tcW w:w="1134" w:type="dxa"/>
            <w:tcBorders>
              <w:top w:val="single" w:sz="4" w:space="0" w:color="auto"/>
              <w:left w:val="nil"/>
              <w:bottom w:val="single" w:sz="4" w:space="0" w:color="auto"/>
              <w:right w:val="single" w:sz="4" w:space="0" w:color="auto"/>
            </w:tcBorders>
            <w:shd w:val="clear" w:color="auto" w:fill="auto"/>
          </w:tcPr>
          <w:p w14:paraId="508E81B6" w14:textId="4960C204" w:rsidR="009734FD" w:rsidRPr="002F733E" w:rsidRDefault="009734FD" w:rsidP="009734FD">
            <w:pPr>
              <w:pStyle w:val="TableText0"/>
              <w:keepLines/>
              <w:jc w:val="center"/>
            </w:pPr>
            <w:r w:rsidRPr="002F733E">
              <w:t>-</w:t>
            </w:r>
            <w:r w:rsidR="00EB6544" w:rsidRPr="00EB6544">
              <w:rPr>
                <w:color w:val="000000"/>
                <w:spacing w:val="81"/>
                <w:shd w:val="solid" w:color="000000" w:fill="000000"/>
                <w:fitText w:val="416" w:id="-1236572400"/>
                <w14:textFill>
                  <w14:solidFill>
                    <w14:srgbClr w14:val="000000">
                      <w14:alpha w14:val="100000"/>
                    </w14:srgbClr>
                  </w14:solidFill>
                </w14:textFill>
              </w:rPr>
              <w:t>|||</w:t>
            </w:r>
            <w:r w:rsidR="00EB6544" w:rsidRPr="00EB6544">
              <w:rPr>
                <w:color w:val="000000"/>
                <w:spacing w:val="3"/>
                <w:shd w:val="solid" w:color="000000" w:fill="000000"/>
                <w:fitText w:val="416" w:id="-1236572400"/>
                <w14:textFill>
                  <w14:solidFill>
                    <w14:srgbClr w14:val="000000">
                      <w14:alpha w14:val="100000"/>
                    </w14:srgbClr>
                  </w14:solidFill>
                </w14:textFill>
              </w:rPr>
              <w:t>|</w:t>
            </w:r>
            <w:r w:rsidR="00C56A14">
              <w:rPr>
                <w:vertAlign w:val="superscript"/>
              </w:rPr>
              <w:t>21</w:t>
            </w:r>
          </w:p>
        </w:tc>
        <w:tc>
          <w:tcPr>
            <w:tcW w:w="1134" w:type="dxa"/>
            <w:tcBorders>
              <w:top w:val="single" w:sz="4" w:space="0" w:color="auto"/>
              <w:left w:val="nil"/>
              <w:bottom w:val="single" w:sz="4" w:space="0" w:color="auto"/>
              <w:right w:val="single" w:sz="4" w:space="0" w:color="auto"/>
            </w:tcBorders>
            <w:shd w:val="clear" w:color="auto" w:fill="auto"/>
          </w:tcPr>
          <w:p w14:paraId="06130C9F" w14:textId="5FEC9768" w:rsidR="009734FD" w:rsidRPr="002F733E" w:rsidRDefault="009734FD" w:rsidP="009734FD">
            <w:pPr>
              <w:pStyle w:val="TableText0"/>
              <w:keepLines/>
              <w:jc w:val="center"/>
            </w:pPr>
            <w:r w:rsidRPr="002F733E">
              <w:t>-</w:t>
            </w:r>
            <w:r w:rsidR="00EB6544" w:rsidRPr="00EB6544">
              <w:rPr>
                <w:color w:val="000000"/>
                <w:spacing w:val="81"/>
                <w:shd w:val="solid" w:color="000000" w:fill="000000"/>
                <w:fitText w:val="416" w:id="-1236572416"/>
                <w14:textFill>
                  <w14:solidFill>
                    <w14:srgbClr w14:val="000000">
                      <w14:alpha w14:val="100000"/>
                    </w14:srgbClr>
                  </w14:solidFill>
                </w14:textFill>
              </w:rPr>
              <w:t>|||</w:t>
            </w:r>
            <w:r w:rsidR="00EB6544" w:rsidRPr="00EB6544">
              <w:rPr>
                <w:color w:val="000000"/>
                <w:spacing w:val="3"/>
                <w:shd w:val="solid" w:color="000000" w:fill="000000"/>
                <w:fitText w:val="416" w:id="-1236572416"/>
                <w14:textFill>
                  <w14:solidFill>
                    <w14:srgbClr w14:val="000000">
                      <w14:alpha w14:val="100000"/>
                    </w14:srgbClr>
                  </w14:solidFill>
                </w14:textFill>
              </w:rPr>
              <w:t>|</w:t>
            </w:r>
            <w:r w:rsidR="00C56A14">
              <w:rPr>
                <w:vertAlign w:val="superscript"/>
              </w:rPr>
              <w:t>21</w:t>
            </w:r>
          </w:p>
        </w:tc>
        <w:tc>
          <w:tcPr>
            <w:tcW w:w="1276" w:type="dxa"/>
            <w:tcBorders>
              <w:top w:val="single" w:sz="4" w:space="0" w:color="auto"/>
              <w:left w:val="nil"/>
              <w:bottom w:val="single" w:sz="4" w:space="0" w:color="auto"/>
              <w:right w:val="single" w:sz="4" w:space="0" w:color="auto"/>
            </w:tcBorders>
            <w:shd w:val="clear" w:color="auto" w:fill="auto"/>
          </w:tcPr>
          <w:p w14:paraId="23D7D9A6" w14:textId="7CEB3EAD" w:rsidR="009734FD" w:rsidRPr="002F733E" w:rsidRDefault="009734FD" w:rsidP="009734FD">
            <w:pPr>
              <w:pStyle w:val="TableText0"/>
              <w:keepLines/>
              <w:jc w:val="center"/>
            </w:pPr>
            <w:r w:rsidRPr="002F733E">
              <w:t>-</w:t>
            </w:r>
            <w:r w:rsidR="00EB6544" w:rsidRPr="00EB6544">
              <w:rPr>
                <w:color w:val="000000"/>
                <w:spacing w:val="62"/>
                <w:shd w:val="solid" w:color="000000" w:fill="000000"/>
                <w:fitText w:val="358" w:id="-1236572415"/>
                <w14:textFill>
                  <w14:solidFill>
                    <w14:srgbClr w14:val="000000">
                      <w14:alpha w14:val="100000"/>
                    </w14:srgbClr>
                  </w14:solidFill>
                </w14:textFill>
              </w:rPr>
              <w:t>|||</w:t>
            </w:r>
            <w:r w:rsidR="00EB6544" w:rsidRPr="00EB6544">
              <w:rPr>
                <w:color w:val="000000"/>
                <w:spacing w:val="2"/>
                <w:shd w:val="solid" w:color="000000" w:fill="000000"/>
                <w:fitText w:val="358" w:id="-1236572415"/>
                <w14:textFill>
                  <w14:solidFill>
                    <w14:srgbClr w14:val="000000">
                      <w14:alpha w14:val="100000"/>
                    </w14:srgbClr>
                  </w14:solidFill>
                </w14:textFill>
              </w:rPr>
              <w:t>|</w:t>
            </w:r>
            <w:r w:rsidR="00C56A14">
              <w:rPr>
                <w:vertAlign w:val="superscript"/>
              </w:rPr>
              <w:t>21</w:t>
            </w:r>
          </w:p>
        </w:tc>
        <w:tc>
          <w:tcPr>
            <w:tcW w:w="1275" w:type="dxa"/>
            <w:tcBorders>
              <w:top w:val="single" w:sz="4" w:space="0" w:color="auto"/>
              <w:left w:val="nil"/>
              <w:bottom w:val="single" w:sz="4" w:space="0" w:color="auto"/>
              <w:right w:val="single" w:sz="4" w:space="0" w:color="auto"/>
            </w:tcBorders>
            <w:shd w:val="clear" w:color="auto" w:fill="auto"/>
          </w:tcPr>
          <w:p w14:paraId="2AC57D63" w14:textId="3C109E24" w:rsidR="009734FD" w:rsidRPr="002F733E" w:rsidRDefault="009734FD" w:rsidP="009734FD">
            <w:pPr>
              <w:pStyle w:val="TableText0"/>
              <w:keepLines/>
              <w:jc w:val="center"/>
            </w:pPr>
            <w:r w:rsidRPr="002F733E">
              <w:t>-</w:t>
            </w:r>
            <w:r w:rsidR="00EB6544" w:rsidRPr="00EB6544">
              <w:rPr>
                <w:color w:val="000000"/>
                <w:spacing w:val="62"/>
                <w:shd w:val="solid" w:color="000000" w:fill="000000"/>
                <w:fitText w:val="358" w:id="-1236572414"/>
                <w14:textFill>
                  <w14:solidFill>
                    <w14:srgbClr w14:val="000000">
                      <w14:alpha w14:val="100000"/>
                    </w14:srgbClr>
                  </w14:solidFill>
                </w14:textFill>
              </w:rPr>
              <w:t>|||</w:t>
            </w:r>
            <w:r w:rsidR="00EB6544" w:rsidRPr="00EB6544">
              <w:rPr>
                <w:color w:val="000000"/>
                <w:spacing w:val="2"/>
                <w:shd w:val="solid" w:color="000000" w:fill="000000"/>
                <w:fitText w:val="358" w:id="-1236572414"/>
                <w14:textFill>
                  <w14:solidFill>
                    <w14:srgbClr w14:val="000000">
                      <w14:alpha w14:val="100000"/>
                    </w14:srgbClr>
                  </w14:solidFill>
                </w14:textFill>
              </w:rPr>
              <w:t>|</w:t>
            </w:r>
            <w:r w:rsidR="00C56A14">
              <w:rPr>
                <w:vertAlign w:val="superscript"/>
              </w:rPr>
              <w:t>21</w:t>
            </w:r>
          </w:p>
        </w:tc>
        <w:tc>
          <w:tcPr>
            <w:tcW w:w="1276" w:type="dxa"/>
            <w:tcBorders>
              <w:top w:val="single" w:sz="4" w:space="0" w:color="auto"/>
              <w:left w:val="nil"/>
              <w:bottom w:val="single" w:sz="4" w:space="0" w:color="auto"/>
              <w:right w:val="single" w:sz="4" w:space="0" w:color="auto"/>
            </w:tcBorders>
            <w:shd w:val="clear" w:color="auto" w:fill="auto"/>
          </w:tcPr>
          <w:p w14:paraId="75680EC3" w14:textId="4A8AC4EC" w:rsidR="009734FD" w:rsidRPr="002F733E" w:rsidRDefault="009734FD" w:rsidP="009734FD">
            <w:pPr>
              <w:pStyle w:val="TableText0"/>
              <w:keepLines/>
              <w:jc w:val="center"/>
            </w:pPr>
            <w:r w:rsidRPr="002F733E">
              <w:t>-</w:t>
            </w:r>
            <w:r w:rsidR="00EB6544" w:rsidRPr="00EB6544">
              <w:rPr>
                <w:color w:val="000000"/>
                <w:spacing w:val="62"/>
                <w:shd w:val="solid" w:color="000000" w:fill="000000"/>
                <w:fitText w:val="358" w:id="-1236572413"/>
                <w14:textFill>
                  <w14:solidFill>
                    <w14:srgbClr w14:val="000000">
                      <w14:alpha w14:val="100000"/>
                    </w14:srgbClr>
                  </w14:solidFill>
                </w14:textFill>
              </w:rPr>
              <w:t>|||</w:t>
            </w:r>
            <w:r w:rsidR="00EB6544" w:rsidRPr="00EB6544">
              <w:rPr>
                <w:color w:val="000000"/>
                <w:spacing w:val="2"/>
                <w:shd w:val="solid" w:color="000000" w:fill="000000"/>
                <w:fitText w:val="358" w:id="-1236572413"/>
                <w14:textFill>
                  <w14:solidFill>
                    <w14:srgbClr w14:val="000000">
                      <w14:alpha w14:val="100000"/>
                    </w14:srgbClr>
                  </w14:solidFill>
                </w14:textFill>
              </w:rPr>
              <w:t>|</w:t>
            </w:r>
            <w:r w:rsidR="00C56A14">
              <w:rPr>
                <w:vertAlign w:val="superscript"/>
              </w:rPr>
              <w:t>21</w:t>
            </w:r>
          </w:p>
        </w:tc>
        <w:tc>
          <w:tcPr>
            <w:tcW w:w="1276" w:type="dxa"/>
            <w:tcBorders>
              <w:top w:val="single" w:sz="4" w:space="0" w:color="auto"/>
              <w:left w:val="nil"/>
              <w:bottom w:val="single" w:sz="4" w:space="0" w:color="auto"/>
              <w:right w:val="single" w:sz="4" w:space="0" w:color="auto"/>
            </w:tcBorders>
            <w:shd w:val="clear" w:color="auto" w:fill="auto"/>
          </w:tcPr>
          <w:p w14:paraId="340B39D7" w14:textId="0E6BFAC0" w:rsidR="009734FD" w:rsidRPr="002F733E" w:rsidRDefault="009734FD" w:rsidP="009734FD">
            <w:pPr>
              <w:pStyle w:val="TableText0"/>
              <w:keepLines/>
              <w:jc w:val="center"/>
            </w:pPr>
            <w:r w:rsidRPr="002F733E">
              <w:t>-</w:t>
            </w:r>
            <w:r w:rsidR="00EB6544" w:rsidRPr="00EB6544">
              <w:rPr>
                <w:color w:val="000000"/>
                <w:spacing w:val="62"/>
                <w:shd w:val="solid" w:color="000000" w:fill="000000"/>
                <w:fitText w:val="357" w:id="-1236572412"/>
                <w14:textFill>
                  <w14:solidFill>
                    <w14:srgbClr w14:val="000000">
                      <w14:alpha w14:val="100000"/>
                    </w14:srgbClr>
                  </w14:solidFill>
                </w14:textFill>
              </w:rPr>
              <w:t>|||</w:t>
            </w:r>
            <w:r w:rsidR="00EB6544" w:rsidRPr="00EB6544">
              <w:rPr>
                <w:color w:val="000000"/>
                <w:spacing w:val="1"/>
                <w:shd w:val="solid" w:color="000000" w:fill="000000"/>
                <w:fitText w:val="357" w:id="-1236572412"/>
                <w14:textFill>
                  <w14:solidFill>
                    <w14:srgbClr w14:val="000000">
                      <w14:alpha w14:val="100000"/>
                    </w14:srgbClr>
                  </w14:solidFill>
                </w14:textFill>
              </w:rPr>
              <w:t>|</w:t>
            </w:r>
            <w:r w:rsidR="00C56A14">
              <w:rPr>
                <w:vertAlign w:val="superscript"/>
              </w:rPr>
              <w:t>21</w:t>
            </w:r>
          </w:p>
        </w:tc>
      </w:tr>
      <w:tr w:rsidR="00333B9E" w:rsidRPr="002F733E" w14:paraId="6712C29C" w14:textId="77777777" w:rsidTr="00CC0BB4">
        <w:tc>
          <w:tcPr>
            <w:tcW w:w="988" w:type="dxa"/>
            <w:vMerge w:val="restart"/>
            <w:tcBorders>
              <w:top w:val="single" w:sz="4" w:space="0" w:color="auto"/>
              <w:left w:val="single" w:sz="4" w:space="0" w:color="auto"/>
              <w:right w:val="single" w:sz="4" w:space="0" w:color="auto"/>
            </w:tcBorders>
            <w:shd w:val="clear" w:color="auto" w:fill="auto"/>
          </w:tcPr>
          <w:p w14:paraId="546EAC74" w14:textId="6AB902BA" w:rsidR="00333B9E" w:rsidRPr="002F733E" w:rsidRDefault="00333B9E" w:rsidP="00333B9E">
            <w:pPr>
              <w:pStyle w:val="TableText0"/>
              <w:keepLines/>
              <w:rPr>
                <w:b/>
                <w:szCs w:val="20"/>
              </w:rPr>
            </w:pPr>
            <w:r w:rsidRPr="002F733E">
              <w:rPr>
                <w:b/>
                <w:szCs w:val="20"/>
              </w:rPr>
              <w:t>Net cost</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34DAB56F" w14:textId="61890E1F" w:rsidR="00333B9E" w:rsidRPr="002F733E" w:rsidRDefault="00EB6544" w:rsidP="006A7AE4">
            <w:pPr>
              <w:pStyle w:val="TableText0"/>
              <w:keepLines/>
              <w:jc w:val="center"/>
              <w:rPr>
                <w:rFonts w:cs="Arial"/>
                <w:b/>
                <w:color w:val="000000"/>
                <w:szCs w:val="20"/>
              </w:rPr>
            </w:pPr>
            <w:r w:rsidRPr="00EB6544">
              <w:rPr>
                <w:b/>
                <w:color w:val="000000"/>
                <w:spacing w:val="38"/>
                <w:szCs w:val="20"/>
                <w:shd w:val="solid" w:color="000000" w:fill="000000"/>
                <w:fitText w:val="466" w:id="-1236572411"/>
                <w14:textFill>
                  <w14:solidFill>
                    <w14:srgbClr w14:val="000000">
                      <w14:alpha w14:val="100000"/>
                    </w14:srgbClr>
                  </w14:solidFill>
                </w14:textFill>
              </w:rPr>
              <w:t>|||||</w:t>
            </w:r>
            <w:r w:rsidRPr="00EB6544">
              <w:rPr>
                <w:b/>
                <w:color w:val="000000"/>
                <w:spacing w:val="1"/>
                <w:szCs w:val="20"/>
                <w:shd w:val="solid" w:color="000000" w:fill="000000"/>
                <w:fitText w:val="466" w:id="-1236572411"/>
                <w14:textFill>
                  <w14:solidFill>
                    <w14:srgbClr w14:val="000000">
                      <w14:alpha w14:val="100000"/>
                    </w14:srgbClr>
                  </w14:solidFill>
                </w14:textFill>
              </w:rPr>
              <w:t>|</w:t>
            </w:r>
            <w:r w:rsidR="00C56A14">
              <w:rPr>
                <w:vertAlign w:val="superscript"/>
              </w:rPr>
              <w:t>13</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456F2E41" w14:textId="1F316CB0" w:rsidR="00333B9E" w:rsidRPr="00C56A14" w:rsidRDefault="00EB6544" w:rsidP="006A7AE4">
            <w:pPr>
              <w:pStyle w:val="TableText0"/>
              <w:keepLines/>
              <w:jc w:val="center"/>
              <w:rPr>
                <w:rFonts w:cs="Arial"/>
                <w:b/>
                <w:color w:val="000000"/>
                <w:szCs w:val="20"/>
                <w:highlight w:val="lightGray"/>
              </w:rPr>
            </w:pPr>
            <w:r w:rsidRPr="00EB6544">
              <w:rPr>
                <w:b/>
                <w:color w:val="000000"/>
                <w:spacing w:val="38"/>
                <w:szCs w:val="20"/>
                <w:shd w:val="solid" w:color="000000" w:fill="000000"/>
                <w:fitText w:val="466" w:id="-1236572410"/>
                <w14:textFill>
                  <w14:solidFill>
                    <w14:srgbClr w14:val="000000">
                      <w14:alpha w14:val="100000"/>
                    </w14:srgbClr>
                  </w14:solidFill>
                </w14:textFill>
              </w:rPr>
              <w:t>|||||</w:t>
            </w:r>
            <w:r w:rsidRPr="00EB6544">
              <w:rPr>
                <w:b/>
                <w:color w:val="000000"/>
                <w:spacing w:val="1"/>
                <w:szCs w:val="20"/>
                <w:shd w:val="solid" w:color="000000" w:fill="000000"/>
                <w:fitText w:val="466" w:id="-1236572410"/>
                <w14:textFill>
                  <w14:solidFill>
                    <w14:srgbClr w14:val="000000">
                      <w14:alpha w14:val="100000"/>
                    </w14:srgbClr>
                  </w14:solidFill>
                </w14:textFill>
              </w:rPr>
              <w:t>|</w:t>
            </w:r>
            <w:r w:rsidR="00C56A14">
              <w:rPr>
                <w:vertAlign w:val="superscript"/>
              </w:rPr>
              <w:t>15</w:t>
            </w:r>
          </w:p>
        </w:tc>
        <w:tc>
          <w:tcPr>
            <w:tcW w:w="1134" w:type="dxa"/>
            <w:tcBorders>
              <w:top w:val="single" w:sz="4" w:space="0" w:color="auto"/>
              <w:left w:val="nil"/>
              <w:bottom w:val="single" w:sz="4" w:space="0" w:color="auto"/>
              <w:right w:val="single" w:sz="4" w:space="0" w:color="auto"/>
            </w:tcBorders>
            <w:shd w:val="clear" w:color="auto" w:fill="C6D9F1" w:themeFill="text2" w:themeFillTint="33"/>
          </w:tcPr>
          <w:p w14:paraId="554E3FAA" w14:textId="2E4E976D" w:rsidR="00333B9E" w:rsidRPr="00C56A14" w:rsidRDefault="00EB6544" w:rsidP="006A7AE4">
            <w:pPr>
              <w:pStyle w:val="TableText0"/>
              <w:keepLines/>
              <w:jc w:val="center"/>
              <w:rPr>
                <w:rFonts w:cs="Arial"/>
                <w:b/>
                <w:color w:val="000000"/>
                <w:szCs w:val="20"/>
                <w:highlight w:val="lightGray"/>
              </w:rPr>
            </w:pPr>
            <w:r w:rsidRPr="00EB6544">
              <w:rPr>
                <w:b/>
                <w:color w:val="000000"/>
                <w:spacing w:val="38"/>
                <w:szCs w:val="20"/>
                <w:shd w:val="solid" w:color="000000" w:fill="000000"/>
                <w:fitText w:val="466" w:id="-1236572409"/>
                <w14:textFill>
                  <w14:solidFill>
                    <w14:srgbClr w14:val="000000">
                      <w14:alpha w14:val="100000"/>
                    </w14:srgbClr>
                  </w14:solidFill>
                </w14:textFill>
              </w:rPr>
              <w:t>|||||</w:t>
            </w:r>
            <w:r w:rsidRPr="00EB6544">
              <w:rPr>
                <w:b/>
                <w:color w:val="000000"/>
                <w:spacing w:val="1"/>
                <w:szCs w:val="20"/>
                <w:shd w:val="solid" w:color="000000" w:fill="000000"/>
                <w:fitText w:val="466" w:id="-1236572409"/>
                <w14:textFill>
                  <w14:solidFill>
                    <w14:srgbClr w14:val="000000">
                      <w14:alpha w14:val="100000"/>
                    </w14:srgbClr>
                  </w14:solidFill>
                </w14:textFill>
              </w:rPr>
              <w:t>|</w:t>
            </w:r>
            <w:r w:rsidR="00C56A14">
              <w:rPr>
                <w:vertAlign w:val="superscript"/>
              </w:rPr>
              <w:t>17</w:t>
            </w:r>
          </w:p>
        </w:tc>
        <w:tc>
          <w:tcPr>
            <w:tcW w:w="1276" w:type="dxa"/>
            <w:tcBorders>
              <w:top w:val="single" w:sz="4" w:space="0" w:color="auto"/>
              <w:left w:val="nil"/>
              <w:bottom w:val="single" w:sz="4" w:space="0" w:color="auto"/>
              <w:right w:val="single" w:sz="4" w:space="0" w:color="auto"/>
            </w:tcBorders>
            <w:shd w:val="clear" w:color="auto" w:fill="C6D9F1" w:themeFill="text2" w:themeFillTint="33"/>
          </w:tcPr>
          <w:p w14:paraId="35ED449C" w14:textId="0D511334" w:rsidR="00333B9E" w:rsidRPr="00C56A14" w:rsidRDefault="00EB6544" w:rsidP="006A7AE4">
            <w:pPr>
              <w:pStyle w:val="TableText0"/>
              <w:keepLines/>
              <w:jc w:val="center"/>
              <w:rPr>
                <w:rFonts w:cs="Arial"/>
                <w:b/>
                <w:color w:val="000000"/>
                <w:szCs w:val="20"/>
                <w:highlight w:val="lightGray"/>
              </w:rPr>
            </w:pPr>
            <w:r w:rsidRPr="00EB6544">
              <w:rPr>
                <w:b/>
                <w:color w:val="000000"/>
                <w:spacing w:val="69"/>
                <w:szCs w:val="20"/>
                <w:shd w:val="solid" w:color="000000" w:fill="000000"/>
                <w:fitText w:val="391" w:id="-1236572408"/>
                <w14:textFill>
                  <w14:solidFill>
                    <w14:srgbClr w14:val="000000">
                      <w14:alpha w14:val="100000"/>
                    </w14:srgbClr>
                  </w14:solidFill>
                </w14:textFill>
              </w:rPr>
              <w:t>|||</w:t>
            </w:r>
            <w:r w:rsidRPr="00EB6544">
              <w:rPr>
                <w:b/>
                <w:color w:val="000000"/>
                <w:spacing w:val="1"/>
                <w:szCs w:val="20"/>
                <w:shd w:val="solid" w:color="000000" w:fill="000000"/>
                <w:fitText w:val="391" w:id="-1236572408"/>
                <w14:textFill>
                  <w14:solidFill>
                    <w14:srgbClr w14:val="000000">
                      <w14:alpha w14:val="100000"/>
                    </w14:srgbClr>
                  </w14:solidFill>
                </w14:textFill>
              </w:rPr>
              <w:t>|</w:t>
            </w:r>
            <w:r w:rsidR="00C56A14">
              <w:rPr>
                <w:vertAlign w:val="superscript"/>
              </w:rPr>
              <w:t>18</w:t>
            </w:r>
          </w:p>
        </w:tc>
        <w:tc>
          <w:tcPr>
            <w:tcW w:w="1275" w:type="dxa"/>
            <w:tcBorders>
              <w:top w:val="single" w:sz="4" w:space="0" w:color="auto"/>
              <w:left w:val="nil"/>
              <w:bottom w:val="single" w:sz="4" w:space="0" w:color="auto"/>
              <w:right w:val="single" w:sz="4" w:space="0" w:color="auto"/>
            </w:tcBorders>
            <w:shd w:val="clear" w:color="auto" w:fill="C6D9F1" w:themeFill="text2" w:themeFillTint="33"/>
          </w:tcPr>
          <w:p w14:paraId="6A6DE511" w14:textId="16865DB1" w:rsidR="00333B9E" w:rsidRPr="00C56A14" w:rsidRDefault="00EB6544" w:rsidP="006A7AE4">
            <w:pPr>
              <w:pStyle w:val="TableText0"/>
              <w:keepLines/>
              <w:jc w:val="center"/>
              <w:rPr>
                <w:rFonts w:cs="Arial"/>
                <w:b/>
                <w:color w:val="000000"/>
                <w:szCs w:val="20"/>
                <w:highlight w:val="lightGray"/>
              </w:rPr>
            </w:pPr>
            <w:r w:rsidRPr="00EB6544">
              <w:rPr>
                <w:b/>
                <w:color w:val="000000"/>
                <w:spacing w:val="71"/>
                <w:szCs w:val="20"/>
                <w:shd w:val="solid" w:color="000000" w:fill="000000"/>
                <w:fitText w:val="399" w:id="-1236572407"/>
                <w14:textFill>
                  <w14:solidFill>
                    <w14:srgbClr w14:val="000000">
                      <w14:alpha w14:val="100000"/>
                    </w14:srgbClr>
                  </w14:solidFill>
                </w14:textFill>
              </w:rPr>
              <w:t>|||</w:t>
            </w:r>
            <w:r w:rsidRPr="00EB6544">
              <w:rPr>
                <w:b/>
                <w:color w:val="000000"/>
                <w:spacing w:val="3"/>
                <w:szCs w:val="20"/>
                <w:shd w:val="solid" w:color="000000" w:fill="000000"/>
                <w:fitText w:val="399" w:id="-1236572407"/>
                <w14:textFill>
                  <w14:solidFill>
                    <w14:srgbClr w14:val="000000">
                      <w14:alpha w14:val="100000"/>
                    </w14:srgbClr>
                  </w14:solidFill>
                </w14:textFill>
              </w:rPr>
              <w:t>|</w:t>
            </w:r>
            <w:r w:rsidR="00C56A14">
              <w:rPr>
                <w:vertAlign w:val="superscript"/>
              </w:rPr>
              <w:t>18</w:t>
            </w:r>
          </w:p>
        </w:tc>
        <w:tc>
          <w:tcPr>
            <w:tcW w:w="1276" w:type="dxa"/>
            <w:tcBorders>
              <w:top w:val="single" w:sz="4" w:space="0" w:color="auto"/>
              <w:left w:val="nil"/>
              <w:bottom w:val="single" w:sz="4" w:space="0" w:color="auto"/>
              <w:right w:val="single" w:sz="4" w:space="0" w:color="auto"/>
            </w:tcBorders>
            <w:shd w:val="clear" w:color="auto" w:fill="C6D9F1" w:themeFill="text2" w:themeFillTint="33"/>
          </w:tcPr>
          <w:p w14:paraId="14F9B98F" w14:textId="25E29711" w:rsidR="00333B9E" w:rsidRPr="00C56A14" w:rsidRDefault="00EB6544" w:rsidP="006A7AE4">
            <w:pPr>
              <w:pStyle w:val="TableText0"/>
              <w:keepLines/>
              <w:jc w:val="center"/>
              <w:rPr>
                <w:b/>
                <w:szCs w:val="20"/>
                <w:highlight w:val="lightGray"/>
              </w:rPr>
            </w:pPr>
            <w:r w:rsidRPr="00EB6544">
              <w:rPr>
                <w:b/>
                <w:color w:val="000000"/>
                <w:spacing w:val="69"/>
                <w:szCs w:val="20"/>
                <w:shd w:val="solid" w:color="000000" w:fill="000000"/>
                <w:fitText w:val="391" w:id="-1236572406"/>
                <w14:textFill>
                  <w14:solidFill>
                    <w14:srgbClr w14:val="000000">
                      <w14:alpha w14:val="100000"/>
                    </w14:srgbClr>
                  </w14:solidFill>
                </w14:textFill>
              </w:rPr>
              <w:t>|||</w:t>
            </w:r>
            <w:r w:rsidRPr="00EB6544">
              <w:rPr>
                <w:b/>
                <w:color w:val="000000"/>
                <w:spacing w:val="1"/>
                <w:szCs w:val="20"/>
                <w:shd w:val="solid" w:color="000000" w:fill="000000"/>
                <w:fitText w:val="391" w:id="-1236572406"/>
                <w14:textFill>
                  <w14:solidFill>
                    <w14:srgbClr w14:val="000000">
                      <w14:alpha w14:val="100000"/>
                    </w14:srgbClr>
                  </w14:solidFill>
                </w14:textFill>
              </w:rPr>
              <w:t>|</w:t>
            </w:r>
            <w:r w:rsidR="00C56A14">
              <w:rPr>
                <w:vertAlign w:val="superscript"/>
              </w:rPr>
              <w:t>18</w:t>
            </w:r>
          </w:p>
        </w:tc>
        <w:tc>
          <w:tcPr>
            <w:tcW w:w="1276" w:type="dxa"/>
            <w:tcBorders>
              <w:top w:val="single" w:sz="4" w:space="0" w:color="auto"/>
              <w:left w:val="nil"/>
              <w:bottom w:val="single" w:sz="4" w:space="0" w:color="auto"/>
              <w:right w:val="single" w:sz="4" w:space="0" w:color="auto"/>
            </w:tcBorders>
            <w:shd w:val="clear" w:color="auto" w:fill="C6D9F1" w:themeFill="text2" w:themeFillTint="33"/>
          </w:tcPr>
          <w:p w14:paraId="4B506A81" w14:textId="1741683A" w:rsidR="00333B9E" w:rsidRPr="00C56A14" w:rsidRDefault="00EB6544" w:rsidP="006A7AE4">
            <w:pPr>
              <w:pStyle w:val="TableText0"/>
              <w:keepLines/>
              <w:jc w:val="center"/>
              <w:rPr>
                <w:b/>
                <w:szCs w:val="20"/>
                <w:highlight w:val="lightGray"/>
              </w:rPr>
            </w:pPr>
            <w:r w:rsidRPr="00EB6544">
              <w:rPr>
                <w:b/>
                <w:color w:val="000000"/>
                <w:spacing w:val="69"/>
                <w:szCs w:val="20"/>
                <w:shd w:val="solid" w:color="000000" w:fill="000000"/>
                <w:fitText w:val="391" w:id="-1236572405"/>
                <w14:textFill>
                  <w14:solidFill>
                    <w14:srgbClr w14:val="000000">
                      <w14:alpha w14:val="100000"/>
                    </w14:srgbClr>
                  </w14:solidFill>
                </w14:textFill>
              </w:rPr>
              <w:t>|||</w:t>
            </w:r>
            <w:r w:rsidRPr="00EB6544">
              <w:rPr>
                <w:b/>
                <w:color w:val="000000"/>
                <w:spacing w:val="1"/>
                <w:szCs w:val="20"/>
                <w:shd w:val="solid" w:color="000000" w:fill="000000"/>
                <w:fitText w:val="391" w:id="-1236572405"/>
                <w14:textFill>
                  <w14:solidFill>
                    <w14:srgbClr w14:val="000000">
                      <w14:alpha w14:val="100000"/>
                    </w14:srgbClr>
                  </w14:solidFill>
                </w14:textFill>
              </w:rPr>
              <w:t>|</w:t>
            </w:r>
            <w:r w:rsidR="00C56A14">
              <w:rPr>
                <w:vertAlign w:val="superscript"/>
              </w:rPr>
              <w:t>19</w:t>
            </w:r>
          </w:p>
        </w:tc>
      </w:tr>
      <w:tr w:rsidR="00333B9E" w:rsidRPr="002F733E" w14:paraId="48196230" w14:textId="77777777" w:rsidTr="00CC0BB4">
        <w:tc>
          <w:tcPr>
            <w:tcW w:w="988" w:type="dxa"/>
            <w:vMerge/>
            <w:tcBorders>
              <w:left w:val="single" w:sz="4" w:space="0" w:color="auto"/>
              <w:right w:val="single" w:sz="4" w:space="0" w:color="auto"/>
            </w:tcBorders>
            <w:shd w:val="clear" w:color="auto" w:fill="auto"/>
            <w:vAlign w:val="center"/>
          </w:tcPr>
          <w:p w14:paraId="55C0BC27" w14:textId="77777777" w:rsidR="00333B9E" w:rsidRPr="002F733E" w:rsidRDefault="00333B9E" w:rsidP="006A7AE4">
            <w:pPr>
              <w:pStyle w:val="TableText0"/>
              <w:keepLines/>
              <w:rPr>
                <w:b/>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DFF0A12" w14:textId="1B00EB22" w:rsidR="00333B9E" w:rsidRPr="00C56A14" w:rsidRDefault="00EB6544" w:rsidP="006A7AE4">
            <w:pPr>
              <w:pStyle w:val="TableText0"/>
              <w:keepLines/>
              <w:jc w:val="center"/>
              <w:rPr>
                <w:b/>
                <w:szCs w:val="20"/>
                <w:highlight w:val="lightGray"/>
              </w:rPr>
            </w:pPr>
            <w:r w:rsidRPr="00EB6544">
              <w:rPr>
                <w:color w:val="000000"/>
                <w:spacing w:val="76"/>
                <w:shd w:val="solid" w:color="000000" w:fill="000000"/>
                <w:fitText w:val="400" w:id="-1236572404"/>
                <w14:textFill>
                  <w14:solidFill>
                    <w14:srgbClr w14:val="000000">
                      <w14:alpha w14:val="100000"/>
                    </w14:srgbClr>
                  </w14:solidFill>
                </w14:textFill>
              </w:rPr>
              <w:t>|||</w:t>
            </w:r>
            <w:r w:rsidRPr="00EB6544">
              <w:rPr>
                <w:color w:val="000000"/>
                <w:spacing w:val="2"/>
                <w:shd w:val="solid" w:color="000000" w:fill="000000"/>
                <w:fitText w:val="400" w:id="-1236572404"/>
                <w14:textFill>
                  <w14:solidFill>
                    <w14:srgbClr w14:val="000000">
                      <w14:alpha w14:val="100000"/>
                    </w14:srgbClr>
                  </w14:solidFill>
                </w14:textFill>
              </w:rPr>
              <w:t>|</w:t>
            </w:r>
            <w:r w:rsidR="00C56A14">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tcPr>
          <w:p w14:paraId="1C322F94" w14:textId="580450F7" w:rsidR="00333B9E" w:rsidRPr="00C56A14" w:rsidRDefault="00EB6544" w:rsidP="006A7AE4">
            <w:pPr>
              <w:pStyle w:val="TableText0"/>
              <w:keepLines/>
              <w:jc w:val="center"/>
              <w:rPr>
                <w:b/>
                <w:szCs w:val="20"/>
                <w:highlight w:val="lightGray"/>
              </w:rPr>
            </w:pPr>
            <w:r w:rsidRPr="00EB6544">
              <w:rPr>
                <w:color w:val="000000"/>
                <w:spacing w:val="76"/>
                <w:shd w:val="solid" w:color="000000" w:fill="000000"/>
                <w:fitText w:val="400" w:id="-1236572403"/>
                <w14:textFill>
                  <w14:solidFill>
                    <w14:srgbClr w14:val="000000">
                      <w14:alpha w14:val="100000"/>
                    </w14:srgbClr>
                  </w14:solidFill>
                </w14:textFill>
              </w:rPr>
              <w:t>|||</w:t>
            </w:r>
            <w:r w:rsidRPr="00EB6544">
              <w:rPr>
                <w:color w:val="000000"/>
                <w:spacing w:val="2"/>
                <w:shd w:val="solid" w:color="000000" w:fill="000000"/>
                <w:fitText w:val="400" w:id="-1236572403"/>
                <w14:textFill>
                  <w14:solidFill>
                    <w14:srgbClr w14:val="000000">
                      <w14:alpha w14:val="100000"/>
                    </w14:srgbClr>
                  </w14:solidFill>
                </w14:textFill>
              </w:rPr>
              <w:t>|</w:t>
            </w:r>
            <w:r w:rsidR="00C56A14">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tcPr>
          <w:p w14:paraId="4C580ED7" w14:textId="35C69C96" w:rsidR="00333B9E" w:rsidRPr="00C56A14" w:rsidRDefault="00EB6544" w:rsidP="006A7AE4">
            <w:pPr>
              <w:pStyle w:val="TableText0"/>
              <w:keepLines/>
              <w:jc w:val="center"/>
              <w:rPr>
                <w:b/>
                <w:szCs w:val="20"/>
                <w:highlight w:val="lightGray"/>
              </w:rPr>
            </w:pPr>
            <w:r w:rsidRPr="00EB6544">
              <w:rPr>
                <w:color w:val="000000"/>
                <w:spacing w:val="76"/>
                <w:shd w:val="solid" w:color="000000" w:fill="000000"/>
                <w:fitText w:val="399" w:id="-1236572402"/>
                <w14:textFill>
                  <w14:solidFill>
                    <w14:srgbClr w14:val="000000">
                      <w14:alpha w14:val="100000"/>
                    </w14:srgbClr>
                  </w14:solidFill>
                </w14:textFill>
              </w:rPr>
              <w:t>|||</w:t>
            </w:r>
            <w:r w:rsidRPr="00EB6544">
              <w:rPr>
                <w:color w:val="000000"/>
                <w:spacing w:val="1"/>
                <w:shd w:val="solid" w:color="000000" w:fill="000000"/>
                <w:fitText w:val="399" w:id="-1236572402"/>
                <w14:textFill>
                  <w14:solidFill>
                    <w14:srgbClr w14:val="000000">
                      <w14:alpha w14:val="100000"/>
                    </w14:srgbClr>
                  </w14:solidFill>
                </w14:textFill>
              </w:rPr>
              <w:t>|</w:t>
            </w:r>
            <w:r w:rsidR="00C56A14">
              <w:rPr>
                <w:vertAlign w:val="superscript"/>
              </w:rPr>
              <w:t>14</w:t>
            </w:r>
          </w:p>
        </w:tc>
        <w:tc>
          <w:tcPr>
            <w:tcW w:w="1276" w:type="dxa"/>
            <w:tcBorders>
              <w:top w:val="single" w:sz="4" w:space="0" w:color="auto"/>
              <w:left w:val="nil"/>
              <w:bottom w:val="single" w:sz="4" w:space="0" w:color="auto"/>
              <w:right w:val="single" w:sz="4" w:space="0" w:color="auto"/>
            </w:tcBorders>
            <w:shd w:val="clear" w:color="auto" w:fill="auto"/>
          </w:tcPr>
          <w:p w14:paraId="693E3248" w14:textId="30032B25" w:rsidR="00333B9E" w:rsidRPr="00C56A14" w:rsidRDefault="00EB6544" w:rsidP="006A7AE4">
            <w:pPr>
              <w:pStyle w:val="TableText0"/>
              <w:keepLines/>
              <w:jc w:val="center"/>
              <w:rPr>
                <w:b/>
                <w:szCs w:val="20"/>
                <w:highlight w:val="lightGray"/>
              </w:rPr>
            </w:pPr>
            <w:r w:rsidRPr="00EB6544">
              <w:rPr>
                <w:color w:val="000000"/>
                <w:spacing w:val="51"/>
                <w:shd w:val="solid" w:color="000000" w:fill="000000"/>
                <w:fitText w:val="324" w:id="-1236572401"/>
                <w14:textFill>
                  <w14:solidFill>
                    <w14:srgbClr w14:val="000000">
                      <w14:alpha w14:val="100000"/>
                    </w14:srgbClr>
                  </w14:solidFill>
                </w14:textFill>
              </w:rPr>
              <w:t>|||</w:t>
            </w:r>
            <w:r w:rsidRPr="00EB6544">
              <w:rPr>
                <w:color w:val="000000"/>
                <w:spacing w:val="1"/>
                <w:shd w:val="solid" w:color="000000" w:fill="000000"/>
                <w:fitText w:val="324" w:id="-1236572401"/>
                <w14:textFill>
                  <w14:solidFill>
                    <w14:srgbClr w14:val="000000">
                      <w14:alpha w14:val="100000"/>
                    </w14:srgbClr>
                  </w14:solidFill>
                </w14:textFill>
              </w:rPr>
              <w:t>|</w:t>
            </w:r>
            <w:r w:rsidR="00C56A14">
              <w:rPr>
                <w:vertAlign w:val="superscript"/>
              </w:rPr>
              <w:t>14</w:t>
            </w:r>
          </w:p>
        </w:tc>
        <w:tc>
          <w:tcPr>
            <w:tcW w:w="1275" w:type="dxa"/>
            <w:tcBorders>
              <w:top w:val="single" w:sz="4" w:space="0" w:color="auto"/>
              <w:left w:val="nil"/>
              <w:bottom w:val="single" w:sz="4" w:space="0" w:color="auto"/>
              <w:right w:val="single" w:sz="4" w:space="0" w:color="auto"/>
            </w:tcBorders>
            <w:shd w:val="clear" w:color="auto" w:fill="auto"/>
          </w:tcPr>
          <w:p w14:paraId="121BEEBE" w14:textId="498C123F" w:rsidR="00333B9E" w:rsidRPr="00C56A14" w:rsidRDefault="00EB6544" w:rsidP="006A7AE4">
            <w:pPr>
              <w:pStyle w:val="TableText0"/>
              <w:keepLines/>
              <w:jc w:val="center"/>
              <w:rPr>
                <w:b/>
                <w:szCs w:val="20"/>
                <w:highlight w:val="lightGray"/>
              </w:rPr>
            </w:pPr>
            <w:r w:rsidRPr="00EB6544">
              <w:rPr>
                <w:color w:val="000000"/>
                <w:spacing w:val="51"/>
                <w:shd w:val="solid" w:color="000000" w:fill="000000"/>
                <w:fitText w:val="325" w:id="-1236572400"/>
                <w14:textFill>
                  <w14:solidFill>
                    <w14:srgbClr w14:val="000000">
                      <w14:alpha w14:val="100000"/>
                    </w14:srgbClr>
                  </w14:solidFill>
                </w14:textFill>
              </w:rPr>
              <w:t>|||</w:t>
            </w:r>
            <w:r w:rsidRPr="00EB6544">
              <w:rPr>
                <w:color w:val="000000"/>
                <w:spacing w:val="2"/>
                <w:shd w:val="solid" w:color="000000" w:fill="000000"/>
                <w:fitText w:val="325" w:id="-1236572400"/>
                <w14:textFill>
                  <w14:solidFill>
                    <w14:srgbClr w14:val="000000">
                      <w14:alpha w14:val="100000"/>
                    </w14:srgbClr>
                  </w14:solidFill>
                </w14:textFill>
              </w:rPr>
              <w:t>|</w:t>
            </w:r>
            <w:r w:rsidR="00C56A14">
              <w:rPr>
                <w:vertAlign w:val="superscript"/>
              </w:rPr>
              <w:t>14</w:t>
            </w:r>
          </w:p>
        </w:tc>
        <w:tc>
          <w:tcPr>
            <w:tcW w:w="1276" w:type="dxa"/>
            <w:tcBorders>
              <w:top w:val="single" w:sz="4" w:space="0" w:color="auto"/>
              <w:left w:val="nil"/>
              <w:bottom w:val="single" w:sz="4" w:space="0" w:color="auto"/>
              <w:right w:val="single" w:sz="4" w:space="0" w:color="auto"/>
            </w:tcBorders>
            <w:shd w:val="clear" w:color="auto" w:fill="auto"/>
          </w:tcPr>
          <w:p w14:paraId="54A2A8CB" w14:textId="76A78820" w:rsidR="00333B9E" w:rsidRPr="00C56A14" w:rsidRDefault="00EB6544" w:rsidP="006A7AE4">
            <w:pPr>
              <w:pStyle w:val="TableText0"/>
              <w:keepLines/>
              <w:jc w:val="center"/>
              <w:rPr>
                <w:b/>
                <w:szCs w:val="20"/>
                <w:highlight w:val="lightGray"/>
              </w:rPr>
            </w:pPr>
            <w:r w:rsidRPr="00EB6544">
              <w:rPr>
                <w:color w:val="000000"/>
                <w:spacing w:val="51"/>
                <w:shd w:val="solid" w:color="000000" w:fill="000000"/>
                <w:fitText w:val="324" w:id="-1236572416"/>
                <w14:textFill>
                  <w14:solidFill>
                    <w14:srgbClr w14:val="000000">
                      <w14:alpha w14:val="100000"/>
                    </w14:srgbClr>
                  </w14:solidFill>
                </w14:textFill>
              </w:rPr>
              <w:t>|||</w:t>
            </w:r>
            <w:r w:rsidRPr="00EB6544">
              <w:rPr>
                <w:color w:val="000000"/>
                <w:spacing w:val="1"/>
                <w:shd w:val="solid" w:color="000000" w:fill="000000"/>
                <w:fitText w:val="324" w:id="-1236572416"/>
                <w14:textFill>
                  <w14:solidFill>
                    <w14:srgbClr w14:val="000000">
                      <w14:alpha w14:val="100000"/>
                    </w14:srgbClr>
                  </w14:solidFill>
                </w14:textFill>
              </w:rPr>
              <w:t>|</w:t>
            </w:r>
            <w:r w:rsidR="00C56A14">
              <w:rPr>
                <w:vertAlign w:val="superscript"/>
              </w:rPr>
              <w:t>16</w:t>
            </w:r>
          </w:p>
        </w:tc>
        <w:tc>
          <w:tcPr>
            <w:tcW w:w="1276" w:type="dxa"/>
            <w:tcBorders>
              <w:top w:val="single" w:sz="4" w:space="0" w:color="auto"/>
              <w:left w:val="nil"/>
              <w:bottom w:val="single" w:sz="4" w:space="0" w:color="auto"/>
              <w:right w:val="single" w:sz="4" w:space="0" w:color="auto"/>
            </w:tcBorders>
            <w:shd w:val="clear" w:color="auto" w:fill="auto"/>
          </w:tcPr>
          <w:p w14:paraId="7F324F4E" w14:textId="0B841E51" w:rsidR="00333B9E" w:rsidRPr="00C56A14" w:rsidRDefault="00EB6544" w:rsidP="006A7AE4">
            <w:pPr>
              <w:pStyle w:val="TableText0"/>
              <w:keepLines/>
              <w:jc w:val="center"/>
              <w:rPr>
                <w:b/>
                <w:szCs w:val="20"/>
                <w:highlight w:val="lightGray"/>
              </w:rPr>
            </w:pPr>
            <w:r w:rsidRPr="00EB6544">
              <w:rPr>
                <w:color w:val="000000"/>
                <w:spacing w:val="51"/>
                <w:shd w:val="solid" w:color="000000" w:fill="000000"/>
                <w:fitText w:val="324" w:id="-1236572415"/>
                <w14:textFill>
                  <w14:solidFill>
                    <w14:srgbClr w14:val="000000">
                      <w14:alpha w14:val="100000"/>
                    </w14:srgbClr>
                  </w14:solidFill>
                </w14:textFill>
              </w:rPr>
              <w:t>|||</w:t>
            </w:r>
            <w:r w:rsidRPr="00EB6544">
              <w:rPr>
                <w:color w:val="000000"/>
                <w:spacing w:val="1"/>
                <w:shd w:val="solid" w:color="000000" w:fill="000000"/>
                <w:fitText w:val="324" w:id="-1236572415"/>
                <w14:textFill>
                  <w14:solidFill>
                    <w14:srgbClr w14:val="000000">
                      <w14:alpha w14:val="100000"/>
                    </w14:srgbClr>
                  </w14:solidFill>
                </w14:textFill>
              </w:rPr>
              <w:t>|</w:t>
            </w:r>
            <w:r w:rsidR="00C56A14">
              <w:rPr>
                <w:vertAlign w:val="superscript"/>
              </w:rPr>
              <w:t>18</w:t>
            </w:r>
          </w:p>
        </w:tc>
      </w:tr>
      <w:tr w:rsidR="00775248" w:rsidRPr="002F733E" w14:paraId="461D0C47" w14:textId="77777777" w:rsidTr="00CC0BB4">
        <w:tc>
          <w:tcPr>
            <w:tcW w:w="988" w:type="dxa"/>
            <w:tcBorders>
              <w:left w:val="single" w:sz="4" w:space="0" w:color="auto"/>
              <w:bottom w:val="single" w:sz="4" w:space="0" w:color="auto"/>
              <w:right w:val="single" w:sz="4" w:space="0" w:color="auto"/>
            </w:tcBorders>
            <w:shd w:val="clear" w:color="auto" w:fill="auto"/>
            <w:vAlign w:val="center"/>
          </w:tcPr>
          <w:p w14:paraId="2C53FF6D" w14:textId="2647BCD9" w:rsidR="00333B9E" w:rsidRPr="002F733E" w:rsidRDefault="002D3FB8" w:rsidP="00333B9E">
            <w:pPr>
              <w:pStyle w:val="TableText0"/>
              <w:keepLines/>
              <w:rPr>
                <w:b/>
                <w:szCs w:val="20"/>
              </w:rPr>
            </w:pPr>
            <w:r w:rsidRPr="002F733E">
              <w:rPr>
                <w:b/>
                <w:szCs w:val="20"/>
              </w:rPr>
              <w:t>PSCR</w:t>
            </w:r>
            <w:r w:rsidRPr="002F733E">
              <w:rPr>
                <w:b/>
                <w:szCs w:val="20"/>
                <w:vertAlign w:val="superscript"/>
              </w:rPr>
              <w:t>#</w:t>
            </w:r>
          </w:p>
        </w:tc>
        <w:tc>
          <w:tcPr>
            <w:tcW w:w="992" w:type="dxa"/>
            <w:shd w:val="clear" w:color="auto" w:fill="auto"/>
            <w:vAlign w:val="center"/>
          </w:tcPr>
          <w:p w14:paraId="2D7AB67D" w14:textId="4427A8E6" w:rsidR="00333B9E" w:rsidRPr="00C56A14" w:rsidRDefault="00EB6544" w:rsidP="00333B9E">
            <w:pPr>
              <w:pStyle w:val="TableText0"/>
              <w:keepLines/>
              <w:jc w:val="center"/>
              <w:rPr>
                <w:b/>
                <w:bCs w:val="0"/>
                <w:highlight w:val="lightGray"/>
              </w:rPr>
            </w:pPr>
            <w:r w:rsidRPr="00EB6544">
              <w:rPr>
                <w:b/>
                <w:color w:val="000000"/>
                <w:spacing w:val="38"/>
                <w:szCs w:val="20"/>
                <w:shd w:val="solid" w:color="000000" w:fill="000000"/>
                <w:fitText w:val="466" w:id="-1236572414"/>
                <w14:textFill>
                  <w14:solidFill>
                    <w14:srgbClr w14:val="000000">
                      <w14:alpha w14:val="100000"/>
                    </w14:srgbClr>
                  </w14:solidFill>
                </w14:textFill>
              </w:rPr>
              <w:t>|||||</w:t>
            </w:r>
            <w:r w:rsidRPr="00EB6544">
              <w:rPr>
                <w:b/>
                <w:color w:val="000000"/>
                <w:spacing w:val="1"/>
                <w:szCs w:val="20"/>
                <w:shd w:val="solid" w:color="000000" w:fill="000000"/>
                <w:fitText w:val="466" w:id="-1236572414"/>
                <w14:textFill>
                  <w14:solidFill>
                    <w14:srgbClr w14:val="000000">
                      <w14:alpha w14:val="100000"/>
                    </w14:srgbClr>
                  </w14:solidFill>
                </w14:textFill>
              </w:rPr>
              <w:t>|</w:t>
            </w:r>
            <w:r w:rsidR="00C56A14">
              <w:rPr>
                <w:vertAlign w:val="superscript"/>
              </w:rPr>
              <w:t>13</w:t>
            </w:r>
          </w:p>
        </w:tc>
        <w:tc>
          <w:tcPr>
            <w:tcW w:w="1134" w:type="dxa"/>
            <w:shd w:val="clear" w:color="auto" w:fill="auto"/>
            <w:vAlign w:val="center"/>
          </w:tcPr>
          <w:p w14:paraId="57B7B499" w14:textId="5053EECD" w:rsidR="00333B9E" w:rsidRPr="00C56A14" w:rsidRDefault="00EB6544" w:rsidP="00333B9E">
            <w:pPr>
              <w:pStyle w:val="TableText0"/>
              <w:keepLines/>
              <w:jc w:val="center"/>
              <w:rPr>
                <w:b/>
                <w:bCs w:val="0"/>
                <w:highlight w:val="lightGray"/>
              </w:rPr>
            </w:pPr>
            <w:r w:rsidRPr="00EB6544">
              <w:rPr>
                <w:b/>
                <w:color w:val="000000"/>
                <w:spacing w:val="38"/>
                <w:szCs w:val="20"/>
                <w:shd w:val="solid" w:color="000000" w:fill="000000"/>
                <w:fitText w:val="466" w:id="-1236572413"/>
                <w14:textFill>
                  <w14:solidFill>
                    <w14:srgbClr w14:val="000000">
                      <w14:alpha w14:val="100000"/>
                    </w14:srgbClr>
                  </w14:solidFill>
                </w14:textFill>
              </w:rPr>
              <w:t>|||||</w:t>
            </w:r>
            <w:r w:rsidRPr="00EB6544">
              <w:rPr>
                <w:b/>
                <w:color w:val="000000"/>
                <w:spacing w:val="1"/>
                <w:szCs w:val="20"/>
                <w:shd w:val="solid" w:color="000000" w:fill="000000"/>
                <w:fitText w:val="466" w:id="-1236572413"/>
                <w14:textFill>
                  <w14:solidFill>
                    <w14:srgbClr w14:val="000000">
                      <w14:alpha w14:val="100000"/>
                    </w14:srgbClr>
                  </w14:solidFill>
                </w14:textFill>
              </w:rPr>
              <w:t>|</w:t>
            </w:r>
            <w:r w:rsidR="00C56A14">
              <w:rPr>
                <w:vertAlign w:val="superscript"/>
              </w:rPr>
              <w:t>13</w:t>
            </w:r>
          </w:p>
        </w:tc>
        <w:tc>
          <w:tcPr>
            <w:tcW w:w="1134" w:type="dxa"/>
            <w:shd w:val="clear" w:color="auto" w:fill="auto"/>
            <w:vAlign w:val="center"/>
          </w:tcPr>
          <w:p w14:paraId="3D982D98" w14:textId="7C7B9591" w:rsidR="00333B9E" w:rsidRPr="00C56A14" w:rsidRDefault="00EB6544" w:rsidP="00333B9E">
            <w:pPr>
              <w:pStyle w:val="TableText0"/>
              <w:keepLines/>
              <w:jc w:val="center"/>
              <w:rPr>
                <w:b/>
                <w:bCs w:val="0"/>
                <w:highlight w:val="lightGray"/>
              </w:rPr>
            </w:pPr>
            <w:r w:rsidRPr="00EB6544">
              <w:rPr>
                <w:b/>
                <w:color w:val="000000"/>
                <w:spacing w:val="38"/>
                <w:szCs w:val="20"/>
                <w:shd w:val="solid" w:color="000000" w:fill="000000"/>
                <w:fitText w:val="466" w:id="-1236572412"/>
                <w14:textFill>
                  <w14:solidFill>
                    <w14:srgbClr w14:val="000000">
                      <w14:alpha w14:val="100000"/>
                    </w14:srgbClr>
                  </w14:solidFill>
                </w14:textFill>
              </w:rPr>
              <w:t>|||||</w:t>
            </w:r>
            <w:r w:rsidRPr="00EB6544">
              <w:rPr>
                <w:b/>
                <w:color w:val="000000"/>
                <w:spacing w:val="1"/>
                <w:szCs w:val="20"/>
                <w:shd w:val="solid" w:color="000000" w:fill="000000"/>
                <w:fitText w:val="466" w:id="-1236572412"/>
                <w14:textFill>
                  <w14:solidFill>
                    <w14:srgbClr w14:val="000000">
                      <w14:alpha w14:val="100000"/>
                    </w14:srgbClr>
                  </w14:solidFill>
                </w14:textFill>
              </w:rPr>
              <w:t>|</w:t>
            </w:r>
            <w:r w:rsidR="00C56A14">
              <w:rPr>
                <w:vertAlign w:val="superscript"/>
              </w:rPr>
              <w:t>13</w:t>
            </w:r>
          </w:p>
        </w:tc>
        <w:tc>
          <w:tcPr>
            <w:tcW w:w="1276" w:type="dxa"/>
            <w:shd w:val="clear" w:color="auto" w:fill="auto"/>
            <w:vAlign w:val="center"/>
          </w:tcPr>
          <w:p w14:paraId="1219FC29" w14:textId="1E0C778F" w:rsidR="00333B9E" w:rsidRPr="00C56A14" w:rsidRDefault="00EB6544" w:rsidP="00333B9E">
            <w:pPr>
              <w:pStyle w:val="TableText0"/>
              <w:keepLines/>
              <w:jc w:val="center"/>
              <w:rPr>
                <w:b/>
                <w:bCs w:val="0"/>
                <w:highlight w:val="lightGray"/>
              </w:rPr>
            </w:pPr>
            <w:r w:rsidRPr="00EB6544">
              <w:rPr>
                <w:b/>
                <w:color w:val="000000"/>
                <w:spacing w:val="69"/>
                <w:szCs w:val="20"/>
                <w:shd w:val="solid" w:color="000000" w:fill="000000"/>
                <w:fitText w:val="391" w:id="-1236572411"/>
                <w14:textFill>
                  <w14:solidFill>
                    <w14:srgbClr w14:val="000000">
                      <w14:alpha w14:val="100000"/>
                    </w14:srgbClr>
                  </w14:solidFill>
                </w14:textFill>
              </w:rPr>
              <w:t>|||</w:t>
            </w:r>
            <w:r w:rsidRPr="00EB6544">
              <w:rPr>
                <w:b/>
                <w:color w:val="000000"/>
                <w:spacing w:val="1"/>
                <w:szCs w:val="20"/>
                <w:shd w:val="solid" w:color="000000" w:fill="000000"/>
                <w:fitText w:val="391" w:id="-1236572411"/>
                <w14:textFill>
                  <w14:solidFill>
                    <w14:srgbClr w14:val="000000">
                      <w14:alpha w14:val="100000"/>
                    </w14:srgbClr>
                  </w14:solidFill>
                </w14:textFill>
              </w:rPr>
              <w:t>|</w:t>
            </w:r>
            <w:r w:rsidR="00C56A14">
              <w:rPr>
                <w:vertAlign w:val="superscript"/>
              </w:rPr>
              <w:t>13</w:t>
            </w:r>
          </w:p>
        </w:tc>
        <w:tc>
          <w:tcPr>
            <w:tcW w:w="1275" w:type="dxa"/>
            <w:shd w:val="clear" w:color="auto" w:fill="auto"/>
            <w:vAlign w:val="center"/>
          </w:tcPr>
          <w:p w14:paraId="09EB5F81" w14:textId="03E39F9C" w:rsidR="00333B9E" w:rsidRPr="00C56A14" w:rsidRDefault="00EB6544" w:rsidP="00333B9E">
            <w:pPr>
              <w:pStyle w:val="TableText0"/>
              <w:keepLines/>
              <w:jc w:val="center"/>
              <w:rPr>
                <w:b/>
                <w:bCs w:val="0"/>
                <w:highlight w:val="lightGray"/>
              </w:rPr>
            </w:pPr>
            <w:r w:rsidRPr="00EB6544">
              <w:rPr>
                <w:b/>
                <w:color w:val="000000"/>
                <w:spacing w:val="71"/>
                <w:szCs w:val="20"/>
                <w:shd w:val="solid" w:color="000000" w:fill="000000"/>
                <w:fitText w:val="399" w:id="-1236572410"/>
                <w14:textFill>
                  <w14:solidFill>
                    <w14:srgbClr w14:val="000000">
                      <w14:alpha w14:val="100000"/>
                    </w14:srgbClr>
                  </w14:solidFill>
                </w14:textFill>
              </w:rPr>
              <w:t>|||</w:t>
            </w:r>
            <w:r w:rsidRPr="00EB6544">
              <w:rPr>
                <w:b/>
                <w:color w:val="000000"/>
                <w:spacing w:val="3"/>
                <w:szCs w:val="20"/>
                <w:shd w:val="solid" w:color="000000" w:fill="000000"/>
                <w:fitText w:val="399" w:id="-1236572410"/>
                <w14:textFill>
                  <w14:solidFill>
                    <w14:srgbClr w14:val="000000">
                      <w14:alpha w14:val="100000"/>
                    </w14:srgbClr>
                  </w14:solidFill>
                </w14:textFill>
              </w:rPr>
              <w:t>|</w:t>
            </w:r>
            <w:r w:rsidR="00C56A14">
              <w:rPr>
                <w:vertAlign w:val="superscript"/>
              </w:rPr>
              <w:t>13</w:t>
            </w:r>
          </w:p>
        </w:tc>
        <w:tc>
          <w:tcPr>
            <w:tcW w:w="1276" w:type="dxa"/>
            <w:shd w:val="clear" w:color="auto" w:fill="auto"/>
            <w:vAlign w:val="center"/>
          </w:tcPr>
          <w:p w14:paraId="25BB8A97" w14:textId="649619CE" w:rsidR="00333B9E" w:rsidRPr="00C56A14" w:rsidRDefault="00EB6544" w:rsidP="00333B9E">
            <w:pPr>
              <w:pStyle w:val="TableText0"/>
              <w:keepLines/>
              <w:jc w:val="center"/>
              <w:rPr>
                <w:b/>
                <w:bCs w:val="0"/>
                <w:highlight w:val="lightGray"/>
              </w:rPr>
            </w:pPr>
            <w:r w:rsidRPr="00EB6544">
              <w:rPr>
                <w:b/>
                <w:color w:val="000000"/>
                <w:spacing w:val="69"/>
                <w:szCs w:val="20"/>
                <w:shd w:val="solid" w:color="000000" w:fill="000000"/>
                <w:fitText w:val="391" w:id="-1236572409"/>
                <w14:textFill>
                  <w14:solidFill>
                    <w14:srgbClr w14:val="000000">
                      <w14:alpha w14:val="100000"/>
                    </w14:srgbClr>
                  </w14:solidFill>
                </w14:textFill>
              </w:rPr>
              <w:t>|||</w:t>
            </w:r>
            <w:r w:rsidRPr="00EB6544">
              <w:rPr>
                <w:b/>
                <w:color w:val="000000"/>
                <w:spacing w:val="1"/>
                <w:szCs w:val="20"/>
                <w:shd w:val="solid" w:color="000000" w:fill="000000"/>
                <w:fitText w:val="391" w:id="-1236572409"/>
                <w14:textFill>
                  <w14:solidFill>
                    <w14:srgbClr w14:val="000000">
                      <w14:alpha w14:val="100000"/>
                    </w14:srgbClr>
                  </w14:solidFill>
                </w14:textFill>
              </w:rPr>
              <w:t>|</w:t>
            </w:r>
            <w:r w:rsidR="00C56A14">
              <w:rPr>
                <w:vertAlign w:val="superscript"/>
              </w:rPr>
              <w:t>14</w:t>
            </w:r>
          </w:p>
        </w:tc>
        <w:tc>
          <w:tcPr>
            <w:tcW w:w="1276" w:type="dxa"/>
            <w:tcBorders>
              <w:top w:val="single" w:sz="4" w:space="0" w:color="auto"/>
              <w:left w:val="nil"/>
              <w:bottom w:val="single" w:sz="4" w:space="0" w:color="auto"/>
              <w:right w:val="single" w:sz="4" w:space="0" w:color="auto"/>
            </w:tcBorders>
            <w:shd w:val="clear" w:color="auto" w:fill="auto"/>
            <w:vAlign w:val="center"/>
          </w:tcPr>
          <w:p w14:paraId="26C09B93" w14:textId="5D3E7EEB" w:rsidR="00333B9E" w:rsidRPr="00C56A14" w:rsidRDefault="00EB6544" w:rsidP="00333B9E">
            <w:pPr>
              <w:pStyle w:val="TableText0"/>
              <w:keepLines/>
              <w:jc w:val="center"/>
              <w:rPr>
                <w:b/>
                <w:bCs w:val="0"/>
                <w:highlight w:val="lightGray"/>
              </w:rPr>
            </w:pPr>
            <w:r w:rsidRPr="00EB6544">
              <w:rPr>
                <w:b/>
                <w:color w:val="000000"/>
                <w:spacing w:val="69"/>
                <w:szCs w:val="20"/>
                <w:shd w:val="solid" w:color="000000" w:fill="000000"/>
                <w:fitText w:val="391" w:id="-1236572408"/>
                <w14:textFill>
                  <w14:solidFill>
                    <w14:srgbClr w14:val="000000">
                      <w14:alpha w14:val="100000"/>
                    </w14:srgbClr>
                  </w14:solidFill>
                </w14:textFill>
              </w:rPr>
              <w:t>|||</w:t>
            </w:r>
            <w:r w:rsidRPr="00EB6544">
              <w:rPr>
                <w:b/>
                <w:color w:val="000000"/>
                <w:spacing w:val="1"/>
                <w:szCs w:val="20"/>
                <w:shd w:val="solid" w:color="000000" w:fill="000000"/>
                <w:fitText w:val="391" w:id="-1236572408"/>
                <w14:textFill>
                  <w14:solidFill>
                    <w14:srgbClr w14:val="000000">
                      <w14:alpha w14:val="100000"/>
                    </w14:srgbClr>
                  </w14:solidFill>
                </w14:textFill>
              </w:rPr>
              <w:t>|</w:t>
            </w:r>
            <w:r w:rsidR="00C56A14">
              <w:rPr>
                <w:vertAlign w:val="superscript"/>
              </w:rPr>
              <w:t>18</w:t>
            </w:r>
          </w:p>
        </w:tc>
      </w:tr>
      <w:tr w:rsidR="00D0791A" w:rsidRPr="002F733E" w14:paraId="65460410" w14:textId="77777777" w:rsidTr="00C56A14">
        <w:tc>
          <w:tcPr>
            <w:tcW w:w="9351"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0D8B936" w14:textId="77777777" w:rsidR="00D0791A" w:rsidRPr="002F733E" w:rsidRDefault="00D0791A" w:rsidP="006A7AE4">
            <w:pPr>
              <w:pStyle w:val="TableText0"/>
              <w:keepLines/>
              <w:rPr>
                <w:b/>
                <w:szCs w:val="20"/>
              </w:rPr>
            </w:pPr>
            <w:r w:rsidRPr="002F733E">
              <w:rPr>
                <w:b/>
                <w:szCs w:val="20"/>
              </w:rPr>
              <w:t>MBS item</w:t>
            </w:r>
          </w:p>
        </w:tc>
      </w:tr>
      <w:tr w:rsidR="00D0791A" w:rsidRPr="002F733E" w14:paraId="08E3F598" w14:textId="77777777" w:rsidTr="00CC0BB4">
        <w:tc>
          <w:tcPr>
            <w:tcW w:w="988" w:type="dxa"/>
            <w:vMerge w:val="restart"/>
            <w:tcBorders>
              <w:top w:val="single" w:sz="4" w:space="0" w:color="auto"/>
              <w:left w:val="single" w:sz="4" w:space="0" w:color="auto"/>
              <w:right w:val="single" w:sz="4" w:space="0" w:color="auto"/>
            </w:tcBorders>
            <w:shd w:val="clear" w:color="auto" w:fill="auto"/>
            <w:vAlign w:val="center"/>
          </w:tcPr>
          <w:p w14:paraId="4A16C389" w14:textId="77777777" w:rsidR="00D0791A" w:rsidRPr="002F733E" w:rsidRDefault="00D0791A" w:rsidP="006A7AE4">
            <w:pPr>
              <w:pStyle w:val="TableText0"/>
              <w:keepLines/>
              <w:rPr>
                <w:szCs w:val="20"/>
              </w:rPr>
            </w:pPr>
            <w:r w:rsidRPr="002F733E">
              <w:rPr>
                <w:szCs w:val="20"/>
              </w:rPr>
              <w:t>Net cost 14245</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65843EC" w14:textId="473CEFC0" w:rsidR="00D0791A" w:rsidRPr="00C56A14" w:rsidRDefault="00EB6544" w:rsidP="006A7AE4">
            <w:pPr>
              <w:pStyle w:val="TableText0"/>
              <w:keepLines/>
              <w:jc w:val="center"/>
              <w:rPr>
                <w:rFonts w:cs="Arial"/>
                <w:color w:val="000000"/>
                <w:szCs w:val="20"/>
                <w:highlight w:val="lightGray"/>
              </w:rPr>
            </w:pPr>
            <w:r w:rsidRPr="00EB6544">
              <w:rPr>
                <w:color w:val="000000"/>
                <w:spacing w:val="76"/>
                <w:szCs w:val="20"/>
                <w:shd w:val="solid" w:color="000000" w:fill="000000"/>
                <w:fitText w:val="400" w:id="-1236572407"/>
                <w14:textFill>
                  <w14:solidFill>
                    <w14:srgbClr w14:val="000000">
                      <w14:alpha w14:val="100000"/>
                    </w14:srgbClr>
                  </w14:solidFill>
                </w14:textFill>
              </w:rPr>
              <w:t>|||</w:t>
            </w:r>
            <w:r w:rsidRPr="00EB6544">
              <w:rPr>
                <w:color w:val="000000"/>
                <w:spacing w:val="2"/>
                <w:szCs w:val="20"/>
                <w:shd w:val="solid" w:color="000000" w:fill="000000"/>
                <w:fitText w:val="400" w:id="-1236572407"/>
                <w14:textFill>
                  <w14:solidFill>
                    <w14:srgbClr w14:val="000000">
                      <w14:alpha w14:val="100000"/>
                    </w14:srgbClr>
                  </w14:solidFill>
                </w14:textFill>
              </w:rPr>
              <w:t>|</w:t>
            </w:r>
            <w:r w:rsidR="00C56A14">
              <w:rPr>
                <w:vertAlign w:val="superscript"/>
              </w:rPr>
              <w:t>22</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33296D0" w14:textId="7023FFBA" w:rsidR="00D0791A" w:rsidRPr="00C56A14" w:rsidRDefault="00EB6544" w:rsidP="006A7AE4">
            <w:pPr>
              <w:pStyle w:val="TableText0"/>
              <w:keepLines/>
              <w:jc w:val="center"/>
              <w:rPr>
                <w:rFonts w:cs="Arial"/>
                <w:color w:val="000000"/>
                <w:szCs w:val="20"/>
                <w:highlight w:val="lightGray"/>
              </w:rPr>
            </w:pPr>
            <w:r w:rsidRPr="00EB6544">
              <w:rPr>
                <w:color w:val="000000"/>
                <w:spacing w:val="76"/>
                <w:szCs w:val="20"/>
                <w:shd w:val="solid" w:color="000000" w:fill="000000"/>
                <w:fitText w:val="400" w:id="-1236572406"/>
                <w14:textFill>
                  <w14:solidFill>
                    <w14:srgbClr w14:val="000000">
                      <w14:alpha w14:val="100000"/>
                    </w14:srgbClr>
                  </w14:solidFill>
                </w14:textFill>
              </w:rPr>
              <w:t>|||</w:t>
            </w:r>
            <w:r w:rsidRPr="00EB6544">
              <w:rPr>
                <w:color w:val="000000"/>
                <w:spacing w:val="2"/>
                <w:szCs w:val="20"/>
                <w:shd w:val="solid" w:color="000000" w:fill="000000"/>
                <w:fitText w:val="400" w:id="-1236572406"/>
                <w14:textFill>
                  <w14:solidFill>
                    <w14:srgbClr w14:val="000000">
                      <w14:alpha w14:val="100000"/>
                    </w14:srgbClr>
                  </w14:solidFill>
                </w14:textFill>
              </w:rPr>
              <w:t>|</w:t>
            </w:r>
            <w:r w:rsidR="00C56A14">
              <w:rPr>
                <w:vertAlign w:val="superscript"/>
              </w:rPr>
              <w:t>22</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6D0A0DA" w14:textId="0F354C76" w:rsidR="00D0791A" w:rsidRPr="00C56A14" w:rsidRDefault="00EB6544" w:rsidP="006A7AE4">
            <w:pPr>
              <w:pStyle w:val="TableText0"/>
              <w:keepLines/>
              <w:jc w:val="center"/>
              <w:rPr>
                <w:rFonts w:cs="Arial"/>
                <w:color w:val="000000"/>
                <w:szCs w:val="20"/>
                <w:highlight w:val="lightGray"/>
              </w:rPr>
            </w:pPr>
            <w:r w:rsidRPr="00EB6544">
              <w:rPr>
                <w:color w:val="000000"/>
                <w:spacing w:val="76"/>
                <w:szCs w:val="20"/>
                <w:shd w:val="solid" w:color="000000" w:fill="000000"/>
                <w:fitText w:val="399" w:id="-1236572405"/>
                <w14:textFill>
                  <w14:solidFill>
                    <w14:srgbClr w14:val="000000">
                      <w14:alpha w14:val="100000"/>
                    </w14:srgbClr>
                  </w14:solidFill>
                </w14:textFill>
              </w:rPr>
              <w:t>|||</w:t>
            </w:r>
            <w:r w:rsidRPr="00EB6544">
              <w:rPr>
                <w:color w:val="000000"/>
                <w:spacing w:val="1"/>
                <w:szCs w:val="20"/>
                <w:shd w:val="solid" w:color="000000" w:fill="000000"/>
                <w:fitText w:val="399" w:id="-1236572405"/>
                <w14:textFill>
                  <w14:solidFill>
                    <w14:srgbClr w14:val="000000">
                      <w14:alpha w14:val="100000"/>
                    </w14:srgbClr>
                  </w14:solidFill>
                </w14:textFill>
              </w:rPr>
              <w:t>|</w:t>
            </w:r>
            <w:r w:rsidR="00C56A14">
              <w:rPr>
                <w:vertAlign w:val="superscript"/>
              </w:rPr>
              <w:t>22</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CB78544" w14:textId="24753233" w:rsidR="00D0791A" w:rsidRPr="00C56A14" w:rsidRDefault="00EB6544" w:rsidP="006A7AE4">
            <w:pPr>
              <w:pStyle w:val="TableText0"/>
              <w:keepLines/>
              <w:jc w:val="center"/>
              <w:rPr>
                <w:rFonts w:cs="Arial"/>
                <w:color w:val="000000"/>
                <w:szCs w:val="20"/>
                <w:highlight w:val="lightGray"/>
              </w:rPr>
            </w:pPr>
            <w:r w:rsidRPr="00EB6544">
              <w:rPr>
                <w:color w:val="000000"/>
                <w:spacing w:val="51"/>
                <w:szCs w:val="20"/>
                <w:shd w:val="solid" w:color="000000" w:fill="000000"/>
                <w:fitText w:val="324" w:id="-1236572404"/>
                <w14:textFill>
                  <w14:solidFill>
                    <w14:srgbClr w14:val="000000">
                      <w14:alpha w14:val="100000"/>
                    </w14:srgbClr>
                  </w14:solidFill>
                </w14:textFill>
              </w:rPr>
              <w:t>|||</w:t>
            </w:r>
            <w:r w:rsidRPr="00EB6544">
              <w:rPr>
                <w:color w:val="000000"/>
                <w:spacing w:val="1"/>
                <w:szCs w:val="20"/>
                <w:shd w:val="solid" w:color="000000" w:fill="000000"/>
                <w:fitText w:val="324" w:id="-1236572404"/>
                <w14:textFill>
                  <w14:solidFill>
                    <w14:srgbClr w14:val="000000">
                      <w14:alpha w14:val="100000"/>
                    </w14:srgbClr>
                  </w14:solidFill>
                </w14:textFill>
              </w:rPr>
              <w:t>|</w:t>
            </w:r>
            <w:r w:rsidR="00C56A14">
              <w:rPr>
                <w:vertAlign w:val="superscript"/>
              </w:rPr>
              <w:t>22</w:t>
            </w:r>
          </w:p>
        </w:tc>
        <w:tc>
          <w:tcPr>
            <w:tcW w:w="1275" w:type="dxa"/>
            <w:tcBorders>
              <w:top w:val="single" w:sz="4" w:space="0" w:color="auto"/>
              <w:left w:val="nil"/>
              <w:bottom w:val="single" w:sz="4" w:space="0" w:color="auto"/>
              <w:right w:val="single" w:sz="4" w:space="0" w:color="auto"/>
            </w:tcBorders>
            <w:shd w:val="clear" w:color="auto" w:fill="C6D9F1" w:themeFill="text2" w:themeFillTint="33"/>
            <w:vAlign w:val="center"/>
          </w:tcPr>
          <w:p w14:paraId="178052C7" w14:textId="28CC28F9" w:rsidR="00D0791A" w:rsidRPr="00C56A14" w:rsidRDefault="00EB6544" w:rsidP="006A7AE4">
            <w:pPr>
              <w:pStyle w:val="TableText0"/>
              <w:keepLines/>
              <w:jc w:val="center"/>
              <w:rPr>
                <w:rFonts w:cs="Arial"/>
                <w:color w:val="000000"/>
                <w:szCs w:val="20"/>
                <w:highlight w:val="lightGray"/>
              </w:rPr>
            </w:pPr>
            <w:r w:rsidRPr="00EB6544">
              <w:rPr>
                <w:color w:val="000000"/>
                <w:spacing w:val="51"/>
                <w:szCs w:val="20"/>
                <w:shd w:val="solid" w:color="000000" w:fill="000000"/>
                <w:fitText w:val="325" w:id="-1236572403"/>
                <w14:textFill>
                  <w14:solidFill>
                    <w14:srgbClr w14:val="000000">
                      <w14:alpha w14:val="100000"/>
                    </w14:srgbClr>
                  </w14:solidFill>
                </w14:textFill>
              </w:rPr>
              <w:t>|||</w:t>
            </w:r>
            <w:r w:rsidRPr="00EB6544">
              <w:rPr>
                <w:color w:val="000000"/>
                <w:spacing w:val="2"/>
                <w:szCs w:val="20"/>
                <w:shd w:val="solid" w:color="000000" w:fill="000000"/>
                <w:fitText w:val="325" w:id="-1236572403"/>
                <w14:textFill>
                  <w14:solidFill>
                    <w14:srgbClr w14:val="000000">
                      <w14:alpha w14:val="100000"/>
                    </w14:srgbClr>
                  </w14:solidFill>
                </w14:textFill>
              </w:rPr>
              <w:t>|</w:t>
            </w:r>
            <w:r w:rsidR="00C56A14">
              <w:rPr>
                <w:vertAlign w:val="superscript"/>
              </w:rPr>
              <w:t>22</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tcPr>
          <w:p w14:paraId="30F4644D" w14:textId="5F47819A" w:rsidR="00D0791A" w:rsidRPr="00C56A14" w:rsidRDefault="00EB6544" w:rsidP="006A7AE4">
            <w:pPr>
              <w:pStyle w:val="TableText0"/>
              <w:keepLines/>
              <w:jc w:val="center"/>
              <w:rPr>
                <w:szCs w:val="20"/>
                <w:highlight w:val="lightGray"/>
              </w:rPr>
            </w:pPr>
            <w:r w:rsidRPr="00EB6544">
              <w:rPr>
                <w:color w:val="000000"/>
                <w:spacing w:val="51"/>
                <w:szCs w:val="20"/>
                <w:shd w:val="solid" w:color="000000" w:fill="000000"/>
                <w:fitText w:val="324" w:id="-1236572402"/>
                <w14:textFill>
                  <w14:solidFill>
                    <w14:srgbClr w14:val="000000">
                      <w14:alpha w14:val="100000"/>
                    </w14:srgbClr>
                  </w14:solidFill>
                </w14:textFill>
              </w:rPr>
              <w:t>|||</w:t>
            </w:r>
            <w:r w:rsidRPr="00EB6544">
              <w:rPr>
                <w:color w:val="000000"/>
                <w:spacing w:val="1"/>
                <w:szCs w:val="20"/>
                <w:shd w:val="solid" w:color="000000" w:fill="000000"/>
                <w:fitText w:val="324" w:id="-1236572402"/>
                <w14:textFill>
                  <w14:solidFill>
                    <w14:srgbClr w14:val="000000">
                      <w14:alpha w14:val="100000"/>
                    </w14:srgbClr>
                  </w14:solidFill>
                </w14:textFill>
              </w:rPr>
              <w:t>|</w:t>
            </w:r>
            <w:r w:rsidR="00C56A14">
              <w:rPr>
                <w:vertAlign w:val="superscript"/>
              </w:rPr>
              <w:t>22</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AB8A6CE" w14:textId="32A9DD98" w:rsidR="00D0791A" w:rsidRPr="00C56A14" w:rsidRDefault="00EB6544" w:rsidP="006A7AE4">
            <w:pPr>
              <w:pStyle w:val="TableText0"/>
              <w:keepLines/>
              <w:jc w:val="center"/>
              <w:rPr>
                <w:szCs w:val="20"/>
                <w:highlight w:val="lightGray"/>
              </w:rPr>
            </w:pPr>
            <w:r w:rsidRPr="00EB6544">
              <w:rPr>
                <w:color w:val="000000"/>
                <w:spacing w:val="51"/>
                <w:szCs w:val="20"/>
                <w:shd w:val="solid" w:color="000000" w:fill="000000"/>
                <w:fitText w:val="324" w:id="-1236572401"/>
                <w14:textFill>
                  <w14:solidFill>
                    <w14:srgbClr w14:val="000000">
                      <w14:alpha w14:val="100000"/>
                    </w14:srgbClr>
                  </w14:solidFill>
                </w14:textFill>
              </w:rPr>
              <w:t>|||</w:t>
            </w:r>
            <w:r w:rsidRPr="00EB6544">
              <w:rPr>
                <w:color w:val="000000"/>
                <w:spacing w:val="1"/>
                <w:szCs w:val="20"/>
                <w:shd w:val="solid" w:color="000000" w:fill="000000"/>
                <w:fitText w:val="324" w:id="-1236572401"/>
                <w14:textFill>
                  <w14:solidFill>
                    <w14:srgbClr w14:val="000000">
                      <w14:alpha w14:val="100000"/>
                    </w14:srgbClr>
                  </w14:solidFill>
                </w14:textFill>
              </w:rPr>
              <w:t>|</w:t>
            </w:r>
            <w:r w:rsidR="00C56A14">
              <w:rPr>
                <w:vertAlign w:val="superscript"/>
              </w:rPr>
              <w:t>23</w:t>
            </w:r>
          </w:p>
        </w:tc>
      </w:tr>
      <w:tr w:rsidR="00D0791A" w:rsidRPr="002F733E" w14:paraId="49D932C1" w14:textId="77777777" w:rsidTr="00CC0BB4">
        <w:tc>
          <w:tcPr>
            <w:tcW w:w="988" w:type="dxa"/>
            <w:vMerge/>
            <w:tcBorders>
              <w:left w:val="single" w:sz="4" w:space="0" w:color="auto"/>
              <w:bottom w:val="single" w:sz="4" w:space="0" w:color="auto"/>
              <w:right w:val="single" w:sz="4" w:space="0" w:color="auto"/>
            </w:tcBorders>
            <w:shd w:val="clear" w:color="auto" w:fill="auto"/>
            <w:vAlign w:val="center"/>
          </w:tcPr>
          <w:p w14:paraId="2C518A02" w14:textId="77777777" w:rsidR="00D0791A" w:rsidRPr="002F733E" w:rsidRDefault="00D0791A" w:rsidP="006A7AE4">
            <w:pPr>
              <w:pStyle w:val="TableText0"/>
              <w:keepLines/>
              <w:rPr>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F2834A2" w14:textId="1142B4FD" w:rsidR="00D0791A" w:rsidRPr="00C56A14" w:rsidRDefault="00EB6544" w:rsidP="006A7AE4">
            <w:pPr>
              <w:pStyle w:val="TableText0"/>
              <w:keepLines/>
              <w:jc w:val="center"/>
              <w:rPr>
                <w:szCs w:val="20"/>
                <w:highlight w:val="lightGray"/>
              </w:rPr>
            </w:pPr>
            <w:r w:rsidRPr="00EB6544">
              <w:rPr>
                <w:color w:val="000000"/>
                <w:spacing w:val="35"/>
                <w:shd w:val="solid" w:color="000000" w:fill="000000"/>
                <w:fitText w:val="433" w:id="-1236572160"/>
                <w14:textFill>
                  <w14:solidFill>
                    <w14:srgbClr w14:val="000000">
                      <w14:alpha w14:val="100000"/>
                    </w14:srgbClr>
                  </w14:solidFill>
                </w14:textFill>
              </w:rPr>
              <w:t>|||||</w:t>
            </w:r>
            <w:r w:rsidRPr="00EB6544">
              <w:rPr>
                <w:color w:val="000000"/>
                <w:spacing w:val="3"/>
                <w:shd w:val="solid" w:color="000000" w:fill="000000"/>
                <w:fitText w:val="433" w:id="-1236572160"/>
                <w14:textFill>
                  <w14:solidFill>
                    <w14:srgbClr w14:val="000000">
                      <w14:alpha w14:val="100000"/>
                    </w14:srgbClr>
                  </w14:solidFill>
                </w14:textFill>
              </w:rPr>
              <w:t>|</w:t>
            </w:r>
            <w:r w:rsidR="00D0791A" w:rsidRPr="00C56A14">
              <w:t>*</w:t>
            </w:r>
            <w:r w:rsidR="00C56A14">
              <w:rPr>
                <w:vertAlign w:val="superscript"/>
              </w:rPr>
              <w:t>,22</w:t>
            </w:r>
          </w:p>
        </w:tc>
        <w:tc>
          <w:tcPr>
            <w:tcW w:w="1134" w:type="dxa"/>
            <w:tcBorders>
              <w:top w:val="single" w:sz="4" w:space="0" w:color="auto"/>
              <w:left w:val="nil"/>
              <w:bottom w:val="single" w:sz="4" w:space="0" w:color="auto"/>
              <w:right w:val="single" w:sz="4" w:space="0" w:color="auto"/>
            </w:tcBorders>
            <w:shd w:val="clear" w:color="auto" w:fill="auto"/>
          </w:tcPr>
          <w:p w14:paraId="547816BF" w14:textId="1CE931F3" w:rsidR="00D0791A" w:rsidRPr="00C56A14" w:rsidRDefault="00EB6544" w:rsidP="006A7AE4">
            <w:pPr>
              <w:pStyle w:val="TableText0"/>
              <w:keepLines/>
              <w:jc w:val="center"/>
              <w:rPr>
                <w:szCs w:val="20"/>
                <w:highlight w:val="lightGray"/>
              </w:rPr>
            </w:pPr>
            <w:r w:rsidRPr="00EB6544">
              <w:rPr>
                <w:color w:val="000000"/>
                <w:spacing w:val="76"/>
                <w:shd w:val="solid" w:color="000000" w:fill="000000"/>
                <w:fitText w:val="400" w:id="-1236572159"/>
                <w14:textFill>
                  <w14:solidFill>
                    <w14:srgbClr w14:val="000000">
                      <w14:alpha w14:val="100000"/>
                    </w14:srgbClr>
                  </w14:solidFill>
                </w14:textFill>
              </w:rPr>
              <w:t>|||</w:t>
            </w:r>
            <w:r w:rsidRPr="00EB6544">
              <w:rPr>
                <w:color w:val="000000"/>
                <w:spacing w:val="2"/>
                <w:shd w:val="solid" w:color="000000" w:fill="000000"/>
                <w:fitText w:val="400" w:id="-1236572159"/>
                <w14:textFill>
                  <w14:solidFill>
                    <w14:srgbClr w14:val="000000">
                      <w14:alpha w14:val="100000"/>
                    </w14:srgbClr>
                  </w14:solidFill>
                </w14:textFill>
              </w:rPr>
              <w:t>|</w:t>
            </w:r>
            <w:r w:rsidR="00C56A14">
              <w:rPr>
                <w:vertAlign w:val="superscript"/>
              </w:rPr>
              <w:t>22</w:t>
            </w:r>
          </w:p>
        </w:tc>
        <w:tc>
          <w:tcPr>
            <w:tcW w:w="1134" w:type="dxa"/>
            <w:tcBorders>
              <w:top w:val="single" w:sz="4" w:space="0" w:color="auto"/>
              <w:left w:val="nil"/>
              <w:bottom w:val="single" w:sz="4" w:space="0" w:color="auto"/>
              <w:right w:val="single" w:sz="4" w:space="0" w:color="auto"/>
            </w:tcBorders>
            <w:shd w:val="clear" w:color="auto" w:fill="auto"/>
          </w:tcPr>
          <w:p w14:paraId="1E0D8CCF" w14:textId="3B9EBEC3" w:rsidR="00D0791A" w:rsidRPr="00C56A14" w:rsidRDefault="00EB6544" w:rsidP="006A7AE4">
            <w:pPr>
              <w:pStyle w:val="TableText0"/>
              <w:keepLines/>
              <w:jc w:val="center"/>
              <w:rPr>
                <w:szCs w:val="20"/>
                <w:highlight w:val="lightGray"/>
              </w:rPr>
            </w:pPr>
            <w:r w:rsidRPr="00EB6544">
              <w:rPr>
                <w:color w:val="000000"/>
                <w:spacing w:val="76"/>
                <w:shd w:val="solid" w:color="000000" w:fill="000000"/>
                <w:fitText w:val="399" w:id="-1236572158"/>
                <w14:textFill>
                  <w14:solidFill>
                    <w14:srgbClr w14:val="000000">
                      <w14:alpha w14:val="100000"/>
                    </w14:srgbClr>
                  </w14:solidFill>
                </w14:textFill>
              </w:rPr>
              <w:t>|||</w:t>
            </w:r>
            <w:r w:rsidRPr="00EB6544">
              <w:rPr>
                <w:color w:val="000000"/>
                <w:spacing w:val="1"/>
                <w:shd w:val="solid" w:color="000000" w:fill="000000"/>
                <w:fitText w:val="399" w:id="-1236572158"/>
                <w14:textFill>
                  <w14:solidFill>
                    <w14:srgbClr w14:val="000000">
                      <w14:alpha w14:val="100000"/>
                    </w14:srgbClr>
                  </w14:solidFill>
                </w14:textFill>
              </w:rPr>
              <w:t>|</w:t>
            </w:r>
            <w:r w:rsidR="00C56A14">
              <w:rPr>
                <w:vertAlign w:val="superscript"/>
              </w:rPr>
              <w:t>22</w:t>
            </w:r>
          </w:p>
        </w:tc>
        <w:tc>
          <w:tcPr>
            <w:tcW w:w="1276" w:type="dxa"/>
            <w:tcBorders>
              <w:top w:val="single" w:sz="4" w:space="0" w:color="auto"/>
              <w:left w:val="nil"/>
              <w:bottom w:val="single" w:sz="4" w:space="0" w:color="auto"/>
              <w:right w:val="single" w:sz="4" w:space="0" w:color="auto"/>
            </w:tcBorders>
            <w:shd w:val="clear" w:color="auto" w:fill="auto"/>
          </w:tcPr>
          <w:p w14:paraId="08DF9880" w14:textId="4362921F" w:rsidR="00D0791A" w:rsidRPr="00C56A14" w:rsidRDefault="00EB6544" w:rsidP="006A7AE4">
            <w:pPr>
              <w:pStyle w:val="TableText0"/>
              <w:keepLines/>
              <w:jc w:val="center"/>
              <w:rPr>
                <w:szCs w:val="20"/>
                <w:highlight w:val="lightGray"/>
              </w:rPr>
            </w:pPr>
            <w:r w:rsidRPr="00EB6544">
              <w:rPr>
                <w:color w:val="000000"/>
                <w:spacing w:val="51"/>
                <w:shd w:val="solid" w:color="000000" w:fill="000000"/>
                <w:fitText w:val="324" w:id="-1236572157"/>
                <w14:textFill>
                  <w14:solidFill>
                    <w14:srgbClr w14:val="000000">
                      <w14:alpha w14:val="100000"/>
                    </w14:srgbClr>
                  </w14:solidFill>
                </w14:textFill>
              </w:rPr>
              <w:t>|||</w:t>
            </w:r>
            <w:r w:rsidRPr="00EB6544">
              <w:rPr>
                <w:color w:val="000000"/>
                <w:spacing w:val="1"/>
                <w:shd w:val="solid" w:color="000000" w:fill="000000"/>
                <w:fitText w:val="324" w:id="-1236572157"/>
                <w14:textFill>
                  <w14:solidFill>
                    <w14:srgbClr w14:val="000000">
                      <w14:alpha w14:val="100000"/>
                    </w14:srgbClr>
                  </w14:solidFill>
                </w14:textFill>
              </w:rPr>
              <w:t>|</w:t>
            </w:r>
            <w:r w:rsidR="00C56A14">
              <w:rPr>
                <w:vertAlign w:val="superscript"/>
              </w:rPr>
              <w:t>22</w:t>
            </w:r>
          </w:p>
        </w:tc>
        <w:tc>
          <w:tcPr>
            <w:tcW w:w="1275" w:type="dxa"/>
            <w:tcBorders>
              <w:top w:val="single" w:sz="4" w:space="0" w:color="auto"/>
              <w:left w:val="nil"/>
              <w:bottom w:val="single" w:sz="4" w:space="0" w:color="auto"/>
              <w:right w:val="single" w:sz="4" w:space="0" w:color="auto"/>
            </w:tcBorders>
            <w:shd w:val="clear" w:color="auto" w:fill="auto"/>
          </w:tcPr>
          <w:p w14:paraId="04EA1BEE" w14:textId="0688235A" w:rsidR="00D0791A" w:rsidRPr="00C56A14" w:rsidRDefault="00EB6544" w:rsidP="006A7AE4">
            <w:pPr>
              <w:pStyle w:val="TableText0"/>
              <w:keepLines/>
              <w:jc w:val="center"/>
              <w:rPr>
                <w:szCs w:val="20"/>
                <w:highlight w:val="lightGray"/>
              </w:rPr>
            </w:pPr>
            <w:r w:rsidRPr="00EB6544">
              <w:rPr>
                <w:color w:val="000000"/>
                <w:spacing w:val="51"/>
                <w:shd w:val="solid" w:color="000000" w:fill="000000"/>
                <w:fitText w:val="325" w:id="-1236572156"/>
                <w14:textFill>
                  <w14:solidFill>
                    <w14:srgbClr w14:val="000000">
                      <w14:alpha w14:val="100000"/>
                    </w14:srgbClr>
                  </w14:solidFill>
                </w14:textFill>
              </w:rPr>
              <w:t>|||</w:t>
            </w:r>
            <w:r w:rsidRPr="00EB6544">
              <w:rPr>
                <w:color w:val="000000"/>
                <w:spacing w:val="2"/>
                <w:shd w:val="solid" w:color="000000" w:fill="000000"/>
                <w:fitText w:val="325" w:id="-1236572156"/>
                <w14:textFill>
                  <w14:solidFill>
                    <w14:srgbClr w14:val="000000">
                      <w14:alpha w14:val="100000"/>
                    </w14:srgbClr>
                  </w14:solidFill>
                </w14:textFill>
              </w:rPr>
              <w:t>|</w:t>
            </w:r>
            <w:r w:rsidR="00C56A14">
              <w:rPr>
                <w:vertAlign w:val="superscript"/>
              </w:rPr>
              <w:t>22</w:t>
            </w:r>
          </w:p>
        </w:tc>
        <w:tc>
          <w:tcPr>
            <w:tcW w:w="1276" w:type="dxa"/>
            <w:tcBorders>
              <w:top w:val="single" w:sz="4" w:space="0" w:color="auto"/>
              <w:left w:val="nil"/>
              <w:bottom w:val="single" w:sz="4" w:space="0" w:color="auto"/>
              <w:right w:val="single" w:sz="4" w:space="0" w:color="auto"/>
            </w:tcBorders>
            <w:shd w:val="clear" w:color="auto" w:fill="auto"/>
          </w:tcPr>
          <w:p w14:paraId="243E1A22" w14:textId="222F02C1" w:rsidR="00D0791A" w:rsidRPr="00C56A14" w:rsidRDefault="00EB6544" w:rsidP="006A7AE4">
            <w:pPr>
              <w:pStyle w:val="TableText0"/>
              <w:keepLines/>
              <w:jc w:val="center"/>
              <w:rPr>
                <w:szCs w:val="20"/>
                <w:highlight w:val="lightGray"/>
              </w:rPr>
            </w:pPr>
            <w:r w:rsidRPr="00EB6544">
              <w:rPr>
                <w:color w:val="000000"/>
                <w:spacing w:val="51"/>
                <w:shd w:val="solid" w:color="000000" w:fill="000000"/>
                <w:fitText w:val="324" w:id="-1236572155"/>
                <w14:textFill>
                  <w14:solidFill>
                    <w14:srgbClr w14:val="000000">
                      <w14:alpha w14:val="100000"/>
                    </w14:srgbClr>
                  </w14:solidFill>
                </w14:textFill>
              </w:rPr>
              <w:t>|||</w:t>
            </w:r>
            <w:r w:rsidRPr="00EB6544">
              <w:rPr>
                <w:color w:val="000000"/>
                <w:spacing w:val="1"/>
                <w:shd w:val="solid" w:color="000000" w:fill="000000"/>
                <w:fitText w:val="324" w:id="-1236572155"/>
                <w14:textFill>
                  <w14:solidFill>
                    <w14:srgbClr w14:val="000000">
                      <w14:alpha w14:val="100000"/>
                    </w14:srgbClr>
                  </w14:solidFill>
                </w14:textFill>
              </w:rPr>
              <w:t>|</w:t>
            </w:r>
            <w:r w:rsidR="00C56A14">
              <w:rPr>
                <w:vertAlign w:val="superscript"/>
              </w:rPr>
              <w:t>22</w:t>
            </w:r>
          </w:p>
        </w:tc>
        <w:tc>
          <w:tcPr>
            <w:tcW w:w="1276" w:type="dxa"/>
            <w:tcBorders>
              <w:top w:val="single" w:sz="4" w:space="0" w:color="auto"/>
              <w:left w:val="nil"/>
              <w:bottom w:val="single" w:sz="4" w:space="0" w:color="auto"/>
              <w:right w:val="single" w:sz="4" w:space="0" w:color="auto"/>
            </w:tcBorders>
            <w:shd w:val="clear" w:color="auto" w:fill="auto"/>
          </w:tcPr>
          <w:p w14:paraId="7D7D4551" w14:textId="5511A91C" w:rsidR="00D0791A" w:rsidRPr="00C56A14" w:rsidRDefault="00EB6544" w:rsidP="006A7AE4">
            <w:pPr>
              <w:pStyle w:val="TableText0"/>
              <w:keepLines/>
              <w:jc w:val="center"/>
              <w:rPr>
                <w:szCs w:val="20"/>
                <w:highlight w:val="lightGray"/>
              </w:rPr>
            </w:pPr>
            <w:r w:rsidRPr="00EB6544">
              <w:rPr>
                <w:color w:val="000000"/>
                <w:spacing w:val="51"/>
                <w:shd w:val="solid" w:color="000000" w:fill="000000"/>
                <w:fitText w:val="324" w:id="-1236572154"/>
                <w14:textFill>
                  <w14:solidFill>
                    <w14:srgbClr w14:val="000000">
                      <w14:alpha w14:val="100000"/>
                    </w14:srgbClr>
                  </w14:solidFill>
                </w14:textFill>
              </w:rPr>
              <w:t>|||</w:t>
            </w:r>
            <w:r w:rsidRPr="00EB6544">
              <w:rPr>
                <w:color w:val="000000"/>
                <w:spacing w:val="1"/>
                <w:shd w:val="solid" w:color="000000" w:fill="000000"/>
                <w:fitText w:val="324" w:id="-1236572154"/>
                <w14:textFill>
                  <w14:solidFill>
                    <w14:srgbClr w14:val="000000">
                      <w14:alpha w14:val="100000"/>
                    </w14:srgbClr>
                  </w14:solidFill>
                </w14:textFill>
              </w:rPr>
              <w:t>|</w:t>
            </w:r>
            <w:r w:rsidR="00C56A14">
              <w:rPr>
                <w:vertAlign w:val="superscript"/>
              </w:rPr>
              <w:t>23</w:t>
            </w:r>
          </w:p>
        </w:tc>
      </w:tr>
      <w:tr w:rsidR="00D0791A" w:rsidRPr="002F733E" w14:paraId="795A72FF" w14:textId="77777777" w:rsidTr="00CC0BB4">
        <w:tc>
          <w:tcPr>
            <w:tcW w:w="988" w:type="dxa"/>
            <w:vMerge w:val="restart"/>
            <w:tcBorders>
              <w:top w:val="single" w:sz="4" w:space="0" w:color="auto"/>
              <w:left w:val="single" w:sz="4" w:space="0" w:color="auto"/>
              <w:right w:val="single" w:sz="4" w:space="0" w:color="auto"/>
            </w:tcBorders>
            <w:shd w:val="clear" w:color="auto" w:fill="auto"/>
            <w:vAlign w:val="center"/>
          </w:tcPr>
          <w:p w14:paraId="2C7CF98B" w14:textId="77777777" w:rsidR="00D0791A" w:rsidRPr="002F733E" w:rsidRDefault="00D0791A" w:rsidP="006A7AE4">
            <w:pPr>
              <w:pStyle w:val="TableText0"/>
              <w:keepLines/>
              <w:rPr>
                <w:b/>
                <w:szCs w:val="20"/>
              </w:rPr>
            </w:pPr>
            <w:r w:rsidRPr="002F733E">
              <w:rPr>
                <w:b/>
                <w:szCs w:val="20"/>
              </w:rPr>
              <w:t>Total net cost to gov.</w:t>
            </w:r>
          </w:p>
        </w:tc>
        <w:tc>
          <w:tcPr>
            <w:tcW w:w="9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17E24C2" w14:textId="65065171" w:rsidR="00D0791A" w:rsidRPr="00C56A14" w:rsidRDefault="00EB6544" w:rsidP="006A7AE4">
            <w:pPr>
              <w:pStyle w:val="TableText0"/>
              <w:keepLines/>
              <w:jc w:val="center"/>
              <w:rPr>
                <w:rFonts w:cs="Arial"/>
                <w:b/>
                <w:color w:val="000000"/>
                <w:szCs w:val="20"/>
                <w:highlight w:val="lightGray"/>
              </w:rPr>
            </w:pPr>
            <w:r w:rsidRPr="00EB6544">
              <w:rPr>
                <w:b/>
                <w:color w:val="000000"/>
                <w:spacing w:val="38"/>
                <w:szCs w:val="20"/>
                <w:shd w:val="solid" w:color="000000" w:fill="000000"/>
                <w:fitText w:val="466" w:id="-1236572153"/>
                <w14:textFill>
                  <w14:solidFill>
                    <w14:srgbClr w14:val="000000">
                      <w14:alpha w14:val="100000"/>
                    </w14:srgbClr>
                  </w14:solidFill>
                </w14:textFill>
              </w:rPr>
              <w:t>|||||</w:t>
            </w:r>
            <w:r w:rsidRPr="00EB6544">
              <w:rPr>
                <w:b/>
                <w:color w:val="000000"/>
                <w:spacing w:val="1"/>
                <w:szCs w:val="20"/>
                <w:shd w:val="solid" w:color="000000" w:fill="000000"/>
                <w:fitText w:val="466" w:id="-1236572153"/>
                <w14:textFill>
                  <w14:solidFill>
                    <w14:srgbClr w14:val="000000">
                      <w14:alpha w14:val="100000"/>
                    </w14:srgbClr>
                  </w14:solidFill>
                </w14:textFill>
              </w:rPr>
              <w:t>|</w:t>
            </w:r>
            <w:r w:rsidR="00C56A14">
              <w:rPr>
                <w:vertAlign w:val="superscript"/>
              </w:rPr>
              <w:t>13</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F550974" w14:textId="658C62B7" w:rsidR="00D0791A" w:rsidRPr="00C56A14" w:rsidRDefault="00EB6544" w:rsidP="006A7AE4">
            <w:pPr>
              <w:pStyle w:val="TableText0"/>
              <w:keepLines/>
              <w:jc w:val="center"/>
              <w:rPr>
                <w:rFonts w:cs="Arial"/>
                <w:b/>
                <w:color w:val="000000"/>
                <w:szCs w:val="20"/>
                <w:highlight w:val="lightGray"/>
              </w:rPr>
            </w:pPr>
            <w:r w:rsidRPr="00EB6544">
              <w:rPr>
                <w:b/>
                <w:color w:val="000000"/>
                <w:spacing w:val="38"/>
                <w:szCs w:val="20"/>
                <w:shd w:val="solid" w:color="000000" w:fill="000000"/>
                <w:fitText w:val="466" w:id="-1236572152"/>
                <w14:textFill>
                  <w14:solidFill>
                    <w14:srgbClr w14:val="000000">
                      <w14:alpha w14:val="100000"/>
                    </w14:srgbClr>
                  </w14:solidFill>
                </w14:textFill>
              </w:rPr>
              <w:t>|||||</w:t>
            </w:r>
            <w:r w:rsidRPr="00EB6544">
              <w:rPr>
                <w:b/>
                <w:color w:val="000000"/>
                <w:spacing w:val="1"/>
                <w:szCs w:val="20"/>
                <w:shd w:val="solid" w:color="000000" w:fill="000000"/>
                <w:fitText w:val="466" w:id="-1236572152"/>
                <w14:textFill>
                  <w14:solidFill>
                    <w14:srgbClr w14:val="000000">
                      <w14:alpha w14:val="100000"/>
                    </w14:srgbClr>
                  </w14:solidFill>
                </w14:textFill>
              </w:rPr>
              <w:t>|</w:t>
            </w:r>
            <w:r w:rsidR="00C56A14">
              <w:rPr>
                <w:vertAlign w:val="superscript"/>
              </w:rPr>
              <w:t>15</w:t>
            </w:r>
          </w:p>
        </w:tc>
        <w:tc>
          <w:tcPr>
            <w:tcW w:w="1134"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C58A552" w14:textId="176C9DC3" w:rsidR="00D0791A" w:rsidRPr="00C56A14" w:rsidRDefault="00EB6544" w:rsidP="006A7AE4">
            <w:pPr>
              <w:pStyle w:val="TableText0"/>
              <w:keepLines/>
              <w:jc w:val="center"/>
              <w:rPr>
                <w:rFonts w:cs="Arial"/>
                <w:b/>
                <w:color w:val="000000"/>
                <w:szCs w:val="20"/>
                <w:highlight w:val="lightGray"/>
              </w:rPr>
            </w:pPr>
            <w:r w:rsidRPr="00EB6544">
              <w:rPr>
                <w:b/>
                <w:color w:val="000000"/>
                <w:spacing w:val="38"/>
                <w:szCs w:val="20"/>
                <w:shd w:val="solid" w:color="000000" w:fill="000000"/>
                <w:fitText w:val="466" w:id="-1236572151"/>
                <w14:textFill>
                  <w14:solidFill>
                    <w14:srgbClr w14:val="000000">
                      <w14:alpha w14:val="100000"/>
                    </w14:srgbClr>
                  </w14:solidFill>
                </w14:textFill>
              </w:rPr>
              <w:t>|||||</w:t>
            </w:r>
            <w:r w:rsidRPr="00EB6544">
              <w:rPr>
                <w:b/>
                <w:color w:val="000000"/>
                <w:spacing w:val="1"/>
                <w:szCs w:val="20"/>
                <w:shd w:val="solid" w:color="000000" w:fill="000000"/>
                <w:fitText w:val="466" w:id="-1236572151"/>
                <w14:textFill>
                  <w14:solidFill>
                    <w14:srgbClr w14:val="000000">
                      <w14:alpha w14:val="100000"/>
                    </w14:srgbClr>
                  </w14:solidFill>
                </w14:textFill>
              </w:rPr>
              <w:t>|</w:t>
            </w:r>
            <w:r w:rsidR="00C56A14">
              <w:rPr>
                <w:vertAlign w:val="superscript"/>
              </w:rPr>
              <w:t>17</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tcPr>
          <w:p w14:paraId="5FCB1021" w14:textId="3D5B68DA" w:rsidR="00D0791A" w:rsidRPr="00C56A14" w:rsidRDefault="00EB6544" w:rsidP="006A7AE4">
            <w:pPr>
              <w:pStyle w:val="TableText0"/>
              <w:keepLines/>
              <w:jc w:val="center"/>
              <w:rPr>
                <w:rFonts w:cs="Arial"/>
                <w:b/>
                <w:color w:val="000000"/>
                <w:szCs w:val="20"/>
                <w:highlight w:val="lightGray"/>
              </w:rPr>
            </w:pPr>
            <w:r w:rsidRPr="00EB6544">
              <w:rPr>
                <w:b/>
                <w:color w:val="000000"/>
                <w:spacing w:val="69"/>
                <w:szCs w:val="20"/>
                <w:shd w:val="solid" w:color="000000" w:fill="000000"/>
                <w:fitText w:val="391" w:id="-1236572150"/>
                <w14:textFill>
                  <w14:solidFill>
                    <w14:srgbClr w14:val="000000">
                      <w14:alpha w14:val="100000"/>
                    </w14:srgbClr>
                  </w14:solidFill>
                </w14:textFill>
              </w:rPr>
              <w:t>|||</w:t>
            </w:r>
            <w:r w:rsidRPr="00EB6544">
              <w:rPr>
                <w:b/>
                <w:color w:val="000000"/>
                <w:spacing w:val="1"/>
                <w:szCs w:val="20"/>
                <w:shd w:val="solid" w:color="000000" w:fill="000000"/>
                <w:fitText w:val="391" w:id="-1236572150"/>
                <w14:textFill>
                  <w14:solidFill>
                    <w14:srgbClr w14:val="000000">
                      <w14:alpha w14:val="100000"/>
                    </w14:srgbClr>
                  </w14:solidFill>
                </w14:textFill>
              </w:rPr>
              <w:t>|</w:t>
            </w:r>
            <w:r w:rsidR="00C56A14">
              <w:rPr>
                <w:vertAlign w:val="superscript"/>
              </w:rPr>
              <w:t>18</w:t>
            </w:r>
          </w:p>
        </w:tc>
        <w:tc>
          <w:tcPr>
            <w:tcW w:w="1275" w:type="dxa"/>
            <w:tcBorders>
              <w:top w:val="single" w:sz="4" w:space="0" w:color="auto"/>
              <w:left w:val="nil"/>
              <w:bottom w:val="single" w:sz="4" w:space="0" w:color="auto"/>
              <w:right w:val="single" w:sz="4" w:space="0" w:color="auto"/>
            </w:tcBorders>
            <w:shd w:val="clear" w:color="auto" w:fill="C6D9F1" w:themeFill="text2" w:themeFillTint="33"/>
            <w:vAlign w:val="center"/>
          </w:tcPr>
          <w:p w14:paraId="0C36BDEC" w14:textId="345EC655" w:rsidR="00D0791A" w:rsidRPr="00C56A14" w:rsidRDefault="00EB6544" w:rsidP="006A7AE4">
            <w:pPr>
              <w:pStyle w:val="TableText0"/>
              <w:keepLines/>
              <w:jc w:val="center"/>
              <w:rPr>
                <w:rFonts w:cs="Arial"/>
                <w:b/>
                <w:color w:val="000000"/>
                <w:szCs w:val="20"/>
                <w:highlight w:val="lightGray"/>
              </w:rPr>
            </w:pPr>
            <w:r w:rsidRPr="00EB6544">
              <w:rPr>
                <w:b/>
                <w:color w:val="000000"/>
                <w:spacing w:val="71"/>
                <w:szCs w:val="20"/>
                <w:shd w:val="solid" w:color="000000" w:fill="000000"/>
                <w:fitText w:val="399" w:id="-1236572149"/>
                <w14:textFill>
                  <w14:solidFill>
                    <w14:srgbClr w14:val="000000">
                      <w14:alpha w14:val="100000"/>
                    </w14:srgbClr>
                  </w14:solidFill>
                </w14:textFill>
              </w:rPr>
              <w:t>|||</w:t>
            </w:r>
            <w:r w:rsidRPr="00EB6544">
              <w:rPr>
                <w:b/>
                <w:color w:val="000000"/>
                <w:spacing w:val="3"/>
                <w:szCs w:val="20"/>
                <w:shd w:val="solid" w:color="000000" w:fill="000000"/>
                <w:fitText w:val="399" w:id="-1236572149"/>
                <w14:textFill>
                  <w14:solidFill>
                    <w14:srgbClr w14:val="000000">
                      <w14:alpha w14:val="100000"/>
                    </w14:srgbClr>
                  </w14:solidFill>
                </w14:textFill>
              </w:rPr>
              <w:t>|</w:t>
            </w:r>
            <w:r w:rsidR="00C56A14">
              <w:rPr>
                <w:vertAlign w:val="superscript"/>
              </w:rPr>
              <w:t>18</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B20CAD9" w14:textId="52648AF3" w:rsidR="00D0791A" w:rsidRPr="00C56A14" w:rsidRDefault="00EB6544" w:rsidP="006A7AE4">
            <w:pPr>
              <w:pStyle w:val="TableText0"/>
              <w:keepLines/>
              <w:jc w:val="center"/>
              <w:rPr>
                <w:b/>
                <w:szCs w:val="20"/>
                <w:highlight w:val="lightGray"/>
              </w:rPr>
            </w:pPr>
            <w:r w:rsidRPr="00EB6544">
              <w:rPr>
                <w:b/>
                <w:color w:val="000000"/>
                <w:spacing w:val="69"/>
                <w:szCs w:val="20"/>
                <w:shd w:val="solid" w:color="000000" w:fill="000000"/>
                <w:fitText w:val="391" w:id="-1236572148"/>
                <w14:textFill>
                  <w14:solidFill>
                    <w14:srgbClr w14:val="000000">
                      <w14:alpha w14:val="100000"/>
                    </w14:srgbClr>
                  </w14:solidFill>
                </w14:textFill>
              </w:rPr>
              <w:t>|||</w:t>
            </w:r>
            <w:r w:rsidRPr="00EB6544">
              <w:rPr>
                <w:b/>
                <w:color w:val="000000"/>
                <w:spacing w:val="1"/>
                <w:szCs w:val="20"/>
                <w:shd w:val="solid" w:color="000000" w:fill="000000"/>
                <w:fitText w:val="391" w:id="-1236572148"/>
                <w14:textFill>
                  <w14:solidFill>
                    <w14:srgbClr w14:val="000000">
                      <w14:alpha w14:val="100000"/>
                    </w14:srgbClr>
                  </w14:solidFill>
                </w14:textFill>
              </w:rPr>
              <w:t>|</w:t>
            </w:r>
            <w:r w:rsidR="00C56A14">
              <w:rPr>
                <w:vertAlign w:val="superscript"/>
              </w:rPr>
              <w:t>18</w:t>
            </w:r>
          </w:p>
        </w:tc>
        <w:tc>
          <w:tcPr>
            <w:tcW w:w="1276" w:type="dxa"/>
            <w:tcBorders>
              <w:top w:val="single" w:sz="4" w:space="0" w:color="auto"/>
              <w:left w:val="nil"/>
              <w:bottom w:val="single" w:sz="4" w:space="0" w:color="auto"/>
              <w:right w:val="single" w:sz="4" w:space="0" w:color="auto"/>
            </w:tcBorders>
            <w:shd w:val="clear" w:color="auto" w:fill="C6D9F1" w:themeFill="text2" w:themeFillTint="33"/>
            <w:vAlign w:val="center"/>
          </w:tcPr>
          <w:p w14:paraId="24129E95" w14:textId="5215ECD2" w:rsidR="00D0791A" w:rsidRPr="00C56A14" w:rsidRDefault="00EB6544" w:rsidP="006A7AE4">
            <w:pPr>
              <w:pStyle w:val="TableText0"/>
              <w:keepLines/>
              <w:jc w:val="center"/>
              <w:rPr>
                <w:b/>
                <w:szCs w:val="20"/>
                <w:highlight w:val="lightGray"/>
              </w:rPr>
            </w:pPr>
            <w:r w:rsidRPr="00EB6544">
              <w:rPr>
                <w:b/>
                <w:color w:val="000000"/>
                <w:spacing w:val="69"/>
                <w:szCs w:val="20"/>
                <w:shd w:val="solid" w:color="000000" w:fill="000000"/>
                <w:fitText w:val="391" w:id="-1236572147"/>
                <w14:textFill>
                  <w14:solidFill>
                    <w14:srgbClr w14:val="000000">
                      <w14:alpha w14:val="100000"/>
                    </w14:srgbClr>
                  </w14:solidFill>
                </w14:textFill>
              </w:rPr>
              <w:t>|||</w:t>
            </w:r>
            <w:r w:rsidRPr="00EB6544">
              <w:rPr>
                <w:b/>
                <w:color w:val="000000"/>
                <w:spacing w:val="1"/>
                <w:szCs w:val="20"/>
                <w:shd w:val="solid" w:color="000000" w:fill="000000"/>
                <w:fitText w:val="391" w:id="-1236572147"/>
                <w14:textFill>
                  <w14:solidFill>
                    <w14:srgbClr w14:val="000000">
                      <w14:alpha w14:val="100000"/>
                    </w14:srgbClr>
                  </w14:solidFill>
                </w14:textFill>
              </w:rPr>
              <w:t>|</w:t>
            </w:r>
            <w:r w:rsidR="00C56A14">
              <w:rPr>
                <w:vertAlign w:val="superscript"/>
              </w:rPr>
              <w:t>24</w:t>
            </w:r>
          </w:p>
        </w:tc>
      </w:tr>
      <w:tr w:rsidR="00D0791A" w:rsidRPr="002F733E" w14:paraId="3933BD70" w14:textId="77777777" w:rsidTr="00CC0BB4">
        <w:tc>
          <w:tcPr>
            <w:tcW w:w="988" w:type="dxa"/>
            <w:vMerge/>
            <w:tcBorders>
              <w:left w:val="single" w:sz="4" w:space="0" w:color="auto"/>
              <w:bottom w:val="single" w:sz="4" w:space="0" w:color="auto"/>
              <w:right w:val="single" w:sz="4" w:space="0" w:color="auto"/>
            </w:tcBorders>
            <w:shd w:val="clear" w:color="auto" w:fill="auto"/>
            <w:vAlign w:val="center"/>
          </w:tcPr>
          <w:p w14:paraId="1DFA9BAC" w14:textId="77777777" w:rsidR="00D0791A" w:rsidRPr="002F733E" w:rsidRDefault="00D0791A" w:rsidP="006A7AE4">
            <w:pPr>
              <w:pStyle w:val="TableText0"/>
              <w:keepLines/>
              <w:rPr>
                <w:b/>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232D2DA" w14:textId="16892237" w:rsidR="00D0791A" w:rsidRPr="00C56A14" w:rsidRDefault="00EB6544" w:rsidP="006A7AE4">
            <w:pPr>
              <w:pStyle w:val="TableText0"/>
              <w:keepLines/>
              <w:jc w:val="center"/>
              <w:rPr>
                <w:b/>
                <w:szCs w:val="20"/>
                <w:highlight w:val="lightGray"/>
              </w:rPr>
            </w:pPr>
            <w:r w:rsidRPr="00EB6544">
              <w:rPr>
                <w:color w:val="000000"/>
                <w:spacing w:val="76"/>
                <w:shd w:val="solid" w:color="000000" w:fill="000000"/>
                <w:fitText w:val="400" w:id="-1236572146"/>
                <w14:textFill>
                  <w14:solidFill>
                    <w14:srgbClr w14:val="000000">
                      <w14:alpha w14:val="100000"/>
                    </w14:srgbClr>
                  </w14:solidFill>
                </w14:textFill>
              </w:rPr>
              <w:t>|||</w:t>
            </w:r>
            <w:r w:rsidRPr="00EB6544">
              <w:rPr>
                <w:color w:val="000000"/>
                <w:spacing w:val="2"/>
                <w:shd w:val="solid" w:color="000000" w:fill="000000"/>
                <w:fitText w:val="400" w:id="-1236572146"/>
                <w14:textFill>
                  <w14:solidFill>
                    <w14:srgbClr w14:val="000000">
                      <w14:alpha w14:val="100000"/>
                    </w14:srgbClr>
                  </w14:solidFill>
                </w14:textFill>
              </w:rPr>
              <w:t>|</w:t>
            </w:r>
            <w:r w:rsidR="00C56A14">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tcPr>
          <w:p w14:paraId="62CFC5F7" w14:textId="23C15927" w:rsidR="00D0791A" w:rsidRPr="00C56A14" w:rsidRDefault="00EB6544" w:rsidP="006A7AE4">
            <w:pPr>
              <w:pStyle w:val="TableText0"/>
              <w:keepLines/>
              <w:jc w:val="center"/>
              <w:rPr>
                <w:b/>
                <w:szCs w:val="20"/>
                <w:highlight w:val="lightGray"/>
              </w:rPr>
            </w:pPr>
            <w:r w:rsidRPr="00EB6544">
              <w:rPr>
                <w:color w:val="000000"/>
                <w:spacing w:val="76"/>
                <w:shd w:val="solid" w:color="000000" w:fill="000000"/>
                <w:fitText w:val="400" w:id="-1236572145"/>
                <w14:textFill>
                  <w14:solidFill>
                    <w14:srgbClr w14:val="000000">
                      <w14:alpha w14:val="100000"/>
                    </w14:srgbClr>
                  </w14:solidFill>
                </w14:textFill>
              </w:rPr>
              <w:t>|||</w:t>
            </w:r>
            <w:r w:rsidRPr="00EB6544">
              <w:rPr>
                <w:color w:val="000000"/>
                <w:spacing w:val="2"/>
                <w:shd w:val="solid" w:color="000000" w:fill="000000"/>
                <w:fitText w:val="400" w:id="-1236572145"/>
                <w14:textFill>
                  <w14:solidFill>
                    <w14:srgbClr w14:val="000000">
                      <w14:alpha w14:val="100000"/>
                    </w14:srgbClr>
                  </w14:solidFill>
                </w14:textFill>
              </w:rPr>
              <w:t>|</w:t>
            </w:r>
            <w:r w:rsidR="00C56A14">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tcPr>
          <w:p w14:paraId="57EA8D97" w14:textId="62D7051D" w:rsidR="00D0791A" w:rsidRPr="00C56A14" w:rsidRDefault="00EB6544" w:rsidP="006A7AE4">
            <w:pPr>
              <w:pStyle w:val="TableText0"/>
              <w:keepLines/>
              <w:jc w:val="center"/>
              <w:rPr>
                <w:b/>
                <w:szCs w:val="20"/>
                <w:highlight w:val="lightGray"/>
              </w:rPr>
            </w:pPr>
            <w:r w:rsidRPr="00EB6544">
              <w:rPr>
                <w:color w:val="000000"/>
                <w:spacing w:val="76"/>
                <w:shd w:val="solid" w:color="000000" w:fill="000000"/>
                <w:fitText w:val="399" w:id="-1236572144"/>
                <w14:textFill>
                  <w14:solidFill>
                    <w14:srgbClr w14:val="000000">
                      <w14:alpha w14:val="100000"/>
                    </w14:srgbClr>
                  </w14:solidFill>
                </w14:textFill>
              </w:rPr>
              <w:t>|||</w:t>
            </w:r>
            <w:r w:rsidRPr="00EB6544">
              <w:rPr>
                <w:color w:val="000000"/>
                <w:spacing w:val="1"/>
                <w:shd w:val="solid" w:color="000000" w:fill="000000"/>
                <w:fitText w:val="399" w:id="-1236572144"/>
                <w14:textFill>
                  <w14:solidFill>
                    <w14:srgbClr w14:val="000000">
                      <w14:alpha w14:val="100000"/>
                    </w14:srgbClr>
                  </w14:solidFill>
                </w14:textFill>
              </w:rPr>
              <w:t>|</w:t>
            </w:r>
            <w:r w:rsidR="00C56A14">
              <w:rPr>
                <w:vertAlign w:val="superscript"/>
              </w:rPr>
              <w:t>14</w:t>
            </w:r>
          </w:p>
        </w:tc>
        <w:tc>
          <w:tcPr>
            <w:tcW w:w="1276" w:type="dxa"/>
            <w:tcBorders>
              <w:top w:val="single" w:sz="4" w:space="0" w:color="auto"/>
              <w:left w:val="nil"/>
              <w:bottom w:val="single" w:sz="4" w:space="0" w:color="auto"/>
              <w:right w:val="single" w:sz="4" w:space="0" w:color="auto"/>
            </w:tcBorders>
            <w:shd w:val="clear" w:color="auto" w:fill="auto"/>
          </w:tcPr>
          <w:p w14:paraId="5C46B32B" w14:textId="4384BA6E" w:rsidR="00D0791A" w:rsidRPr="00C56A14" w:rsidRDefault="00EB6544" w:rsidP="006A7AE4">
            <w:pPr>
              <w:pStyle w:val="TableText0"/>
              <w:keepLines/>
              <w:jc w:val="center"/>
              <w:rPr>
                <w:b/>
                <w:szCs w:val="20"/>
                <w:highlight w:val="lightGray"/>
              </w:rPr>
            </w:pPr>
            <w:r w:rsidRPr="00EB6544">
              <w:rPr>
                <w:color w:val="000000"/>
                <w:spacing w:val="51"/>
                <w:shd w:val="solid" w:color="000000" w:fill="000000"/>
                <w:fitText w:val="324" w:id="-1236572160"/>
                <w14:textFill>
                  <w14:solidFill>
                    <w14:srgbClr w14:val="000000">
                      <w14:alpha w14:val="100000"/>
                    </w14:srgbClr>
                  </w14:solidFill>
                </w14:textFill>
              </w:rPr>
              <w:t>|||</w:t>
            </w:r>
            <w:r w:rsidRPr="00EB6544">
              <w:rPr>
                <w:color w:val="000000"/>
                <w:spacing w:val="1"/>
                <w:shd w:val="solid" w:color="000000" w:fill="000000"/>
                <w:fitText w:val="324" w:id="-1236572160"/>
                <w14:textFill>
                  <w14:solidFill>
                    <w14:srgbClr w14:val="000000">
                      <w14:alpha w14:val="100000"/>
                    </w14:srgbClr>
                  </w14:solidFill>
                </w14:textFill>
              </w:rPr>
              <w:t>|</w:t>
            </w:r>
            <w:r w:rsidR="00C56A14">
              <w:rPr>
                <w:vertAlign w:val="superscript"/>
              </w:rPr>
              <w:t>14</w:t>
            </w:r>
          </w:p>
        </w:tc>
        <w:tc>
          <w:tcPr>
            <w:tcW w:w="1275" w:type="dxa"/>
            <w:tcBorders>
              <w:top w:val="single" w:sz="4" w:space="0" w:color="auto"/>
              <w:left w:val="nil"/>
              <w:bottom w:val="single" w:sz="4" w:space="0" w:color="auto"/>
              <w:right w:val="single" w:sz="4" w:space="0" w:color="auto"/>
            </w:tcBorders>
            <w:shd w:val="clear" w:color="auto" w:fill="auto"/>
          </w:tcPr>
          <w:p w14:paraId="1F54663E" w14:textId="343CF085" w:rsidR="00D0791A" w:rsidRPr="00C56A14" w:rsidRDefault="00EB6544" w:rsidP="006A7AE4">
            <w:pPr>
              <w:pStyle w:val="TableText0"/>
              <w:keepLines/>
              <w:jc w:val="center"/>
              <w:rPr>
                <w:b/>
                <w:szCs w:val="20"/>
                <w:highlight w:val="lightGray"/>
              </w:rPr>
            </w:pPr>
            <w:r w:rsidRPr="00EB6544">
              <w:rPr>
                <w:color w:val="000000"/>
                <w:spacing w:val="51"/>
                <w:shd w:val="solid" w:color="000000" w:fill="000000"/>
                <w:fitText w:val="325" w:id="-1236572159"/>
                <w14:textFill>
                  <w14:solidFill>
                    <w14:srgbClr w14:val="000000">
                      <w14:alpha w14:val="100000"/>
                    </w14:srgbClr>
                  </w14:solidFill>
                </w14:textFill>
              </w:rPr>
              <w:t>|||</w:t>
            </w:r>
            <w:r w:rsidRPr="00EB6544">
              <w:rPr>
                <w:color w:val="000000"/>
                <w:spacing w:val="2"/>
                <w:shd w:val="solid" w:color="000000" w:fill="000000"/>
                <w:fitText w:val="325" w:id="-1236572159"/>
                <w14:textFill>
                  <w14:solidFill>
                    <w14:srgbClr w14:val="000000">
                      <w14:alpha w14:val="100000"/>
                    </w14:srgbClr>
                  </w14:solidFill>
                </w14:textFill>
              </w:rPr>
              <w:t>|</w:t>
            </w:r>
            <w:r w:rsidR="00C56A14">
              <w:rPr>
                <w:vertAlign w:val="superscript"/>
              </w:rPr>
              <w:t>16</w:t>
            </w:r>
          </w:p>
        </w:tc>
        <w:tc>
          <w:tcPr>
            <w:tcW w:w="1276" w:type="dxa"/>
            <w:tcBorders>
              <w:top w:val="single" w:sz="4" w:space="0" w:color="auto"/>
              <w:left w:val="nil"/>
              <w:bottom w:val="single" w:sz="4" w:space="0" w:color="auto"/>
              <w:right w:val="single" w:sz="4" w:space="0" w:color="auto"/>
            </w:tcBorders>
            <w:shd w:val="clear" w:color="auto" w:fill="auto"/>
          </w:tcPr>
          <w:p w14:paraId="03E32867" w14:textId="52D8AA69" w:rsidR="00D0791A" w:rsidRPr="00C56A14" w:rsidRDefault="00EB6544" w:rsidP="006A7AE4">
            <w:pPr>
              <w:pStyle w:val="TableText0"/>
              <w:keepLines/>
              <w:jc w:val="center"/>
              <w:rPr>
                <w:b/>
                <w:szCs w:val="20"/>
                <w:highlight w:val="lightGray"/>
              </w:rPr>
            </w:pPr>
            <w:r w:rsidRPr="00EB6544">
              <w:rPr>
                <w:color w:val="000000"/>
                <w:spacing w:val="51"/>
                <w:shd w:val="solid" w:color="000000" w:fill="000000"/>
                <w:fitText w:val="324" w:id="-1236572158"/>
                <w14:textFill>
                  <w14:solidFill>
                    <w14:srgbClr w14:val="000000">
                      <w14:alpha w14:val="100000"/>
                    </w14:srgbClr>
                  </w14:solidFill>
                </w14:textFill>
              </w:rPr>
              <w:t>|||</w:t>
            </w:r>
            <w:r w:rsidRPr="00EB6544">
              <w:rPr>
                <w:color w:val="000000"/>
                <w:spacing w:val="1"/>
                <w:shd w:val="solid" w:color="000000" w:fill="000000"/>
                <w:fitText w:val="324" w:id="-1236572158"/>
                <w14:textFill>
                  <w14:solidFill>
                    <w14:srgbClr w14:val="000000">
                      <w14:alpha w14:val="100000"/>
                    </w14:srgbClr>
                  </w14:solidFill>
                </w14:textFill>
              </w:rPr>
              <w:t>|</w:t>
            </w:r>
            <w:r w:rsidR="00C56A14">
              <w:rPr>
                <w:vertAlign w:val="superscript"/>
              </w:rPr>
              <w:t>16</w:t>
            </w:r>
          </w:p>
        </w:tc>
        <w:tc>
          <w:tcPr>
            <w:tcW w:w="1276" w:type="dxa"/>
            <w:tcBorders>
              <w:top w:val="single" w:sz="4" w:space="0" w:color="auto"/>
              <w:left w:val="nil"/>
              <w:bottom w:val="single" w:sz="4" w:space="0" w:color="auto"/>
              <w:right w:val="single" w:sz="4" w:space="0" w:color="auto"/>
            </w:tcBorders>
            <w:shd w:val="clear" w:color="auto" w:fill="auto"/>
          </w:tcPr>
          <w:p w14:paraId="3C919CA8" w14:textId="198B61A5" w:rsidR="00D0791A" w:rsidRPr="00C56A14" w:rsidRDefault="00EB6544" w:rsidP="006A7AE4">
            <w:pPr>
              <w:pStyle w:val="TableText0"/>
              <w:keepLines/>
              <w:jc w:val="center"/>
              <w:rPr>
                <w:b/>
                <w:szCs w:val="20"/>
                <w:highlight w:val="lightGray"/>
              </w:rPr>
            </w:pPr>
            <w:r w:rsidRPr="00EB6544">
              <w:rPr>
                <w:color w:val="000000"/>
                <w:spacing w:val="51"/>
                <w:shd w:val="solid" w:color="000000" w:fill="000000"/>
                <w:fitText w:val="324" w:id="-1236572157"/>
                <w14:textFill>
                  <w14:solidFill>
                    <w14:srgbClr w14:val="000000">
                      <w14:alpha w14:val="100000"/>
                    </w14:srgbClr>
                  </w14:solidFill>
                </w14:textFill>
              </w:rPr>
              <w:t>|||</w:t>
            </w:r>
            <w:r w:rsidRPr="00EB6544">
              <w:rPr>
                <w:color w:val="000000"/>
                <w:spacing w:val="1"/>
                <w:shd w:val="solid" w:color="000000" w:fill="000000"/>
                <w:fitText w:val="324" w:id="-1236572157"/>
                <w14:textFill>
                  <w14:solidFill>
                    <w14:srgbClr w14:val="000000">
                      <w14:alpha w14:val="100000"/>
                    </w14:srgbClr>
                  </w14:solidFill>
                </w14:textFill>
              </w:rPr>
              <w:t>|</w:t>
            </w:r>
            <w:r w:rsidR="00C56A14">
              <w:rPr>
                <w:vertAlign w:val="superscript"/>
              </w:rPr>
              <w:t>20</w:t>
            </w:r>
          </w:p>
        </w:tc>
      </w:tr>
      <w:tr w:rsidR="00775248" w:rsidRPr="002F733E" w14:paraId="418F797A" w14:textId="77777777" w:rsidTr="00CC0BB4">
        <w:tc>
          <w:tcPr>
            <w:tcW w:w="988" w:type="dxa"/>
            <w:tcBorders>
              <w:left w:val="single" w:sz="4" w:space="0" w:color="auto"/>
              <w:right w:val="single" w:sz="4" w:space="0" w:color="auto"/>
            </w:tcBorders>
            <w:shd w:val="clear" w:color="auto" w:fill="auto"/>
            <w:vAlign w:val="center"/>
          </w:tcPr>
          <w:p w14:paraId="56423A59" w14:textId="56AA811F" w:rsidR="00711B44" w:rsidRPr="002F733E" w:rsidRDefault="00711B44" w:rsidP="00711B44">
            <w:pPr>
              <w:pStyle w:val="TableText0"/>
              <w:keepLines/>
              <w:rPr>
                <w:b/>
                <w:szCs w:val="20"/>
              </w:rPr>
            </w:pPr>
            <w:r w:rsidRPr="002F733E">
              <w:rPr>
                <w:b/>
                <w:szCs w:val="20"/>
              </w:rPr>
              <w:t>PSCR</w:t>
            </w:r>
            <w:r w:rsidRPr="002F733E">
              <w:rPr>
                <w:b/>
                <w:szCs w:val="20"/>
                <w:vertAlign w:val="superscript"/>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C544A5" w14:textId="1E987BAB" w:rsidR="00711B44" w:rsidRPr="00C56A14" w:rsidRDefault="00EB6544" w:rsidP="00711B44">
            <w:pPr>
              <w:pStyle w:val="TableText0"/>
              <w:keepLines/>
              <w:jc w:val="center"/>
              <w:rPr>
                <w:highlight w:val="lightGray"/>
              </w:rPr>
            </w:pPr>
            <w:r w:rsidRPr="00EB6544">
              <w:rPr>
                <w:b/>
                <w:color w:val="000000"/>
                <w:spacing w:val="38"/>
                <w:szCs w:val="20"/>
                <w:shd w:val="solid" w:color="000000" w:fill="000000"/>
                <w:fitText w:val="466" w:id="-1236572156"/>
                <w14:textFill>
                  <w14:solidFill>
                    <w14:srgbClr w14:val="000000">
                      <w14:alpha w14:val="100000"/>
                    </w14:srgbClr>
                  </w14:solidFill>
                </w14:textFill>
              </w:rPr>
              <w:t>|||||</w:t>
            </w:r>
            <w:r w:rsidRPr="00EB6544">
              <w:rPr>
                <w:b/>
                <w:color w:val="000000"/>
                <w:spacing w:val="1"/>
                <w:szCs w:val="20"/>
                <w:shd w:val="solid" w:color="000000" w:fill="000000"/>
                <w:fitText w:val="466" w:id="-1236572156"/>
                <w14:textFill>
                  <w14:solidFill>
                    <w14:srgbClr w14:val="000000">
                      <w14:alpha w14:val="100000"/>
                    </w14:srgbClr>
                  </w14:solidFill>
                </w14:textFill>
              </w:rPr>
              <w:t>|</w:t>
            </w:r>
            <w:r w:rsidR="00C56A14">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tcPr>
          <w:p w14:paraId="3BE73F64" w14:textId="1BE58385" w:rsidR="00711B44" w:rsidRPr="00C56A14" w:rsidRDefault="00EB6544" w:rsidP="00711B44">
            <w:pPr>
              <w:pStyle w:val="TableText0"/>
              <w:keepLines/>
              <w:jc w:val="center"/>
              <w:rPr>
                <w:highlight w:val="lightGray"/>
              </w:rPr>
            </w:pPr>
            <w:r w:rsidRPr="00EB6544">
              <w:rPr>
                <w:b/>
                <w:color w:val="000000"/>
                <w:spacing w:val="38"/>
                <w:szCs w:val="20"/>
                <w:shd w:val="solid" w:color="000000" w:fill="000000"/>
                <w:fitText w:val="466" w:id="-1236572155"/>
                <w14:textFill>
                  <w14:solidFill>
                    <w14:srgbClr w14:val="000000">
                      <w14:alpha w14:val="100000"/>
                    </w14:srgbClr>
                  </w14:solidFill>
                </w14:textFill>
              </w:rPr>
              <w:t>|||||</w:t>
            </w:r>
            <w:r w:rsidRPr="00EB6544">
              <w:rPr>
                <w:b/>
                <w:color w:val="000000"/>
                <w:spacing w:val="1"/>
                <w:szCs w:val="20"/>
                <w:shd w:val="solid" w:color="000000" w:fill="000000"/>
                <w:fitText w:val="466" w:id="-1236572155"/>
                <w14:textFill>
                  <w14:solidFill>
                    <w14:srgbClr w14:val="000000">
                      <w14:alpha w14:val="100000"/>
                    </w14:srgbClr>
                  </w14:solidFill>
                </w14:textFill>
              </w:rPr>
              <w:t>|</w:t>
            </w:r>
            <w:r w:rsidR="00C56A14">
              <w:rPr>
                <w:vertAlign w:val="superscript"/>
              </w:rPr>
              <w:t>13</w:t>
            </w:r>
          </w:p>
        </w:tc>
        <w:tc>
          <w:tcPr>
            <w:tcW w:w="1134" w:type="dxa"/>
            <w:tcBorders>
              <w:top w:val="single" w:sz="4" w:space="0" w:color="auto"/>
              <w:left w:val="nil"/>
              <w:bottom w:val="single" w:sz="4" w:space="0" w:color="auto"/>
              <w:right w:val="single" w:sz="4" w:space="0" w:color="auto"/>
            </w:tcBorders>
            <w:shd w:val="clear" w:color="auto" w:fill="auto"/>
          </w:tcPr>
          <w:p w14:paraId="3177A3D0" w14:textId="7D849C8B" w:rsidR="00711B44" w:rsidRPr="00C56A14" w:rsidRDefault="00EB6544" w:rsidP="00711B44">
            <w:pPr>
              <w:pStyle w:val="TableText0"/>
              <w:keepLines/>
              <w:jc w:val="center"/>
              <w:rPr>
                <w:highlight w:val="lightGray"/>
              </w:rPr>
            </w:pPr>
            <w:r w:rsidRPr="00EB6544">
              <w:rPr>
                <w:b/>
                <w:color w:val="000000"/>
                <w:spacing w:val="38"/>
                <w:szCs w:val="20"/>
                <w:shd w:val="solid" w:color="000000" w:fill="000000"/>
                <w:fitText w:val="466" w:id="-1236572154"/>
                <w14:textFill>
                  <w14:solidFill>
                    <w14:srgbClr w14:val="000000">
                      <w14:alpha w14:val="100000"/>
                    </w14:srgbClr>
                  </w14:solidFill>
                </w14:textFill>
              </w:rPr>
              <w:t>|||||</w:t>
            </w:r>
            <w:r w:rsidRPr="00EB6544">
              <w:rPr>
                <w:b/>
                <w:color w:val="000000"/>
                <w:spacing w:val="1"/>
                <w:szCs w:val="20"/>
                <w:shd w:val="solid" w:color="000000" w:fill="000000"/>
                <w:fitText w:val="466" w:id="-1236572154"/>
                <w14:textFill>
                  <w14:solidFill>
                    <w14:srgbClr w14:val="000000">
                      <w14:alpha w14:val="100000"/>
                    </w14:srgbClr>
                  </w14:solidFill>
                </w14:textFill>
              </w:rPr>
              <w:t>|</w:t>
            </w:r>
            <w:r w:rsidR="00C56A14">
              <w:rPr>
                <w:vertAlign w:val="superscript"/>
              </w:rPr>
              <w:t>14</w:t>
            </w:r>
          </w:p>
        </w:tc>
        <w:tc>
          <w:tcPr>
            <w:tcW w:w="1276" w:type="dxa"/>
            <w:tcBorders>
              <w:top w:val="single" w:sz="4" w:space="0" w:color="auto"/>
              <w:left w:val="nil"/>
              <w:bottom w:val="single" w:sz="4" w:space="0" w:color="auto"/>
              <w:right w:val="single" w:sz="4" w:space="0" w:color="auto"/>
            </w:tcBorders>
            <w:shd w:val="clear" w:color="auto" w:fill="auto"/>
          </w:tcPr>
          <w:p w14:paraId="55D43D26" w14:textId="021CC06D" w:rsidR="00711B44" w:rsidRPr="00C56A14" w:rsidRDefault="00EB6544" w:rsidP="00711B44">
            <w:pPr>
              <w:pStyle w:val="TableText0"/>
              <w:keepLines/>
              <w:jc w:val="center"/>
              <w:rPr>
                <w:highlight w:val="lightGray"/>
              </w:rPr>
            </w:pPr>
            <w:r w:rsidRPr="00EB6544">
              <w:rPr>
                <w:b/>
                <w:color w:val="000000"/>
                <w:spacing w:val="69"/>
                <w:szCs w:val="20"/>
                <w:shd w:val="solid" w:color="000000" w:fill="000000"/>
                <w:fitText w:val="391" w:id="-1236572153"/>
                <w14:textFill>
                  <w14:solidFill>
                    <w14:srgbClr w14:val="000000">
                      <w14:alpha w14:val="100000"/>
                    </w14:srgbClr>
                  </w14:solidFill>
                </w14:textFill>
              </w:rPr>
              <w:t>|||</w:t>
            </w:r>
            <w:r w:rsidRPr="00EB6544">
              <w:rPr>
                <w:b/>
                <w:color w:val="000000"/>
                <w:spacing w:val="1"/>
                <w:szCs w:val="20"/>
                <w:shd w:val="solid" w:color="000000" w:fill="000000"/>
                <w:fitText w:val="391" w:id="-1236572153"/>
                <w14:textFill>
                  <w14:solidFill>
                    <w14:srgbClr w14:val="000000">
                      <w14:alpha w14:val="100000"/>
                    </w14:srgbClr>
                  </w14:solidFill>
                </w14:textFill>
              </w:rPr>
              <w:t>|</w:t>
            </w:r>
            <w:r w:rsidR="00C56A14">
              <w:rPr>
                <w:vertAlign w:val="superscript"/>
              </w:rPr>
              <w:t>14</w:t>
            </w:r>
          </w:p>
        </w:tc>
        <w:tc>
          <w:tcPr>
            <w:tcW w:w="1275" w:type="dxa"/>
            <w:tcBorders>
              <w:top w:val="single" w:sz="4" w:space="0" w:color="auto"/>
              <w:left w:val="nil"/>
              <w:bottom w:val="single" w:sz="4" w:space="0" w:color="auto"/>
              <w:right w:val="single" w:sz="4" w:space="0" w:color="auto"/>
            </w:tcBorders>
            <w:shd w:val="clear" w:color="auto" w:fill="auto"/>
          </w:tcPr>
          <w:p w14:paraId="4A3ACBCC" w14:textId="36573A90" w:rsidR="00711B44" w:rsidRPr="00C56A14" w:rsidRDefault="00EB6544" w:rsidP="00711B44">
            <w:pPr>
              <w:pStyle w:val="TableText0"/>
              <w:keepLines/>
              <w:jc w:val="center"/>
              <w:rPr>
                <w:highlight w:val="lightGray"/>
              </w:rPr>
            </w:pPr>
            <w:r w:rsidRPr="00EB6544">
              <w:rPr>
                <w:b/>
                <w:color w:val="000000"/>
                <w:spacing w:val="71"/>
                <w:szCs w:val="20"/>
                <w:shd w:val="solid" w:color="000000" w:fill="000000"/>
                <w:fitText w:val="399" w:id="-1236572152"/>
                <w14:textFill>
                  <w14:solidFill>
                    <w14:srgbClr w14:val="000000">
                      <w14:alpha w14:val="100000"/>
                    </w14:srgbClr>
                  </w14:solidFill>
                </w14:textFill>
              </w:rPr>
              <w:t>|||</w:t>
            </w:r>
            <w:r w:rsidRPr="00EB6544">
              <w:rPr>
                <w:b/>
                <w:color w:val="000000"/>
                <w:spacing w:val="3"/>
                <w:szCs w:val="20"/>
                <w:shd w:val="solid" w:color="000000" w:fill="000000"/>
                <w:fitText w:val="399" w:id="-1236572152"/>
                <w14:textFill>
                  <w14:solidFill>
                    <w14:srgbClr w14:val="000000">
                      <w14:alpha w14:val="100000"/>
                    </w14:srgbClr>
                  </w14:solidFill>
                </w14:textFill>
              </w:rPr>
              <w:t>|</w:t>
            </w:r>
            <w:r w:rsidR="00C56A14">
              <w:rPr>
                <w:vertAlign w:val="superscript"/>
              </w:rPr>
              <w:t>14</w:t>
            </w:r>
          </w:p>
        </w:tc>
        <w:tc>
          <w:tcPr>
            <w:tcW w:w="1276" w:type="dxa"/>
            <w:tcBorders>
              <w:top w:val="single" w:sz="4" w:space="0" w:color="auto"/>
              <w:left w:val="nil"/>
              <w:bottom w:val="single" w:sz="4" w:space="0" w:color="auto"/>
              <w:right w:val="single" w:sz="4" w:space="0" w:color="auto"/>
            </w:tcBorders>
            <w:shd w:val="clear" w:color="auto" w:fill="auto"/>
          </w:tcPr>
          <w:p w14:paraId="4CA927A7" w14:textId="731C1489" w:rsidR="00711B44" w:rsidRPr="00C56A14" w:rsidRDefault="00EB6544" w:rsidP="00711B44">
            <w:pPr>
              <w:pStyle w:val="TableText0"/>
              <w:keepLines/>
              <w:jc w:val="center"/>
              <w:rPr>
                <w:highlight w:val="lightGray"/>
              </w:rPr>
            </w:pPr>
            <w:r w:rsidRPr="00EB6544">
              <w:rPr>
                <w:b/>
                <w:color w:val="000000"/>
                <w:spacing w:val="69"/>
                <w:szCs w:val="20"/>
                <w:shd w:val="solid" w:color="000000" w:fill="000000"/>
                <w:fitText w:val="391" w:id="-1236572151"/>
                <w14:textFill>
                  <w14:solidFill>
                    <w14:srgbClr w14:val="000000">
                      <w14:alpha w14:val="100000"/>
                    </w14:srgbClr>
                  </w14:solidFill>
                </w14:textFill>
              </w:rPr>
              <w:t>|||</w:t>
            </w:r>
            <w:r w:rsidRPr="00EB6544">
              <w:rPr>
                <w:b/>
                <w:color w:val="000000"/>
                <w:spacing w:val="1"/>
                <w:szCs w:val="20"/>
                <w:shd w:val="solid" w:color="000000" w:fill="000000"/>
                <w:fitText w:val="391" w:id="-1236572151"/>
                <w14:textFill>
                  <w14:solidFill>
                    <w14:srgbClr w14:val="000000">
                      <w14:alpha w14:val="100000"/>
                    </w14:srgbClr>
                  </w14:solidFill>
                </w14:textFill>
              </w:rPr>
              <w:t>|</w:t>
            </w:r>
            <w:r w:rsidR="00C56A14">
              <w:rPr>
                <w:vertAlign w:val="superscript"/>
              </w:rPr>
              <w:t>14</w:t>
            </w:r>
          </w:p>
        </w:tc>
        <w:tc>
          <w:tcPr>
            <w:tcW w:w="1276" w:type="dxa"/>
            <w:tcBorders>
              <w:top w:val="single" w:sz="4" w:space="0" w:color="auto"/>
              <w:left w:val="nil"/>
              <w:bottom w:val="single" w:sz="4" w:space="0" w:color="auto"/>
              <w:right w:val="single" w:sz="4" w:space="0" w:color="auto"/>
            </w:tcBorders>
            <w:shd w:val="clear" w:color="auto" w:fill="auto"/>
          </w:tcPr>
          <w:p w14:paraId="106303A5" w14:textId="300C8CBD" w:rsidR="00711B44" w:rsidRPr="00C56A14" w:rsidRDefault="00EB6544" w:rsidP="00711B44">
            <w:pPr>
              <w:pStyle w:val="TableText0"/>
              <w:keepLines/>
              <w:jc w:val="center"/>
              <w:rPr>
                <w:highlight w:val="lightGray"/>
              </w:rPr>
            </w:pPr>
            <w:r w:rsidRPr="00EB6544">
              <w:rPr>
                <w:b/>
                <w:color w:val="000000"/>
                <w:spacing w:val="69"/>
                <w:szCs w:val="20"/>
                <w:shd w:val="solid" w:color="000000" w:fill="000000"/>
                <w:fitText w:val="391" w:id="-1236572150"/>
                <w14:textFill>
                  <w14:solidFill>
                    <w14:srgbClr w14:val="000000">
                      <w14:alpha w14:val="100000"/>
                    </w14:srgbClr>
                  </w14:solidFill>
                </w14:textFill>
              </w:rPr>
              <w:t>|||</w:t>
            </w:r>
            <w:r w:rsidRPr="00EB6544">
              <w:rPr>
                <w:b/>
                <w:color w:val="000000"/>
                <w:spacing w:val="1"/>
                <w:szCs w:val="20"/>
                <w:shd w:val="solid" w:color="000000" w:fill="000000"/>
                <w:fitText w:val="391" w:id="-1236572150"/>
                <w14:textFill>
                  <w14:solidFill>
                    <w14:srgbClr w14:val="000000">
                      <w14:alpha w14:val="100000"/>
                    </w14:srgbClr>
                  </w14:solidFill>
                </w14:textFill>
              </w:rPr>
              <w:t>|</w:t>
            </w:r>
            <w:r w:rsidR="00C56A14">
              <w:rPr>
                <w:vertAlign w:val="superscript"/>
              </w:rPr>
              <w:t>18</w:t>
            </w:r>
          </w:p>
        </w:tc>
      </w:tr>
      <w:tr w:rsidR="00383028" w:rsidRPr="002F733E" w14:paraId="1E651997" w14:textId="77777777" w:rsidTr="00C56A14">
        <w:tc>
          <w:tcPr>
            <w:tcW w:w="9351" w:type="dxa"/>
            <w:gridSpan w:val="8"/>
            <w:tcBorders>
              <w:left w:val="single" w:sz="4" w:space="0" w:color="auto"/>
              <w:right w:val="single" w:sz="4" w:space="0" w:color="auto"/>
            </w:tcBorders>
            <w:shd w:val="clear" w:color="auto" w:fill="auto"/>
            <w:vAlign w:val="center"/>
          </w:tcPr>
          <w:p w14:paraId="221BC519" w14:textId="28AC7956" w:rsidR="00383028" w:rsidRPr="002F733E" w:rsidRDefault="00383028" w:rsidP="00383028">
            <w:pPr>
              <w:pStyle w:val="TableText0"/>
              <w:keepLines/>
              <w:rPr>
                <w:b/>
                <w:szCs w:val="20"/>
              </w:rPr>
            </w:pPr>
            <w:r w:rsidRPr="002F733E">
              <w:rPr>
                <w:b/>
                <w:szCs w:val="20"/>
              </w:rPr>
              <w:t xml:space="preserve">Pre-PBAC response </w:t>
            </w:r>
          </w:p>
        </w:tc>
      </w:tr>
      <w:tr w:rsidR="00383028" w:rsidRPr="002F733E" w14:paraId="757561D2" w14:textId="77777777" w:rsidTr="00CC0BB4">
        <w:tc>
          <w:tcPr>
            <w:tcW w:w="988" w:type="dxa"/>
            <w:tcBorders>
              <w:left w:val="single" w:sz="4" w:space="0" w:color="auto"/>
              <w:right w:val="single" w:sz="4" w:space="0" w:color="auto"/>
            </w:tcBorders>
            <w:shd w:val="clear" w:color="auto" w:fill="auto"/>
            <w:vAlign w:val="center"/>
          </w:tcPr>
          <w:p w14:paraId="575FCD45" w14:textId="1738D4A6" w:rsidR="00383028" w:rsidRPr="00A16081" w:rsidRDefault="00A16081" w:rsidP="00383028">
            <w:pPr>
              <w:pStyle w:val="TableText0"/>
              <w:keepLines/>
              <w:rPr>
                <w:szCs w:val="20"/>
              </w:rPr>
            </w:pPr>
            <w:bookmarkStart w:id="67" w:name="_Hlk131429372"/>
            <w:r>
              <w:rPr>
                <w:szCs w:val="20"/>
              </w:rPr>
              <w:t>Number of scripts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1152B54C" w14:textId="38FB38D0" w:rsidR="00383028" w:rsidRPr="00C56A14" w:rsidRDefault="00EB6544" w:rsidP="00383028">
            <w:pPr>
              <w:pStyle w:val="TableText0"/>
              <w:keepLines/>
              <w:jc w:val="center"/>
              <w:rPr>
                <w:rStyle w:val="normaltextrun"/>
                <w:rFonts w:cs="Segoe UI"/>
                <w:szCs w:val="20"/>
                <w:highlight w:val="lightGray"/>
              </w:rPr>
            </w:pPr>
            <w:r w:rsidRPr="00EB6544">
              <w:rPr>
                <w:rStyle w:val="normaltextrun"/>
                <w:rFonts w:cs="Segoe UI"/>
                <w:color w:val="000000"/>
                <w:spacing w:val="65"/>
                <w:szCs w:val="20"/>
                <w:shd w:val="solid" w:color="000000" w:fill="000000"/>
                <w:fitText w:val="366" w:id="-1236572149"/>
                <w14:textFill>
                  <w14:solidFill>
                    <w14:srgbClr w14:val="000000">
                      <w14:alpha w14:val="100000"/>
                    </w14:srgbClr>
                  </w14:solidFill>
                </w14:textFill>
              </w:rPr>
              <w:t>|||</w:t>
            </w:r>
            <w:r w:rsidRPr="00EB6544">
              <w:rPr>
                <w:rStyle w:val="normaltextrun"/>
                <w:rFonts w:cs="Segoe UI"/>
                <w:color w:val="000000"/>
                <w:spacing w:val="1"/>
                <w:szCs w:val="20"/>
                <w:shd w:val="solid" w:color="000000" w:fill="000000"/>
                <w:fitText w:val="366" w:id="-1236572149"/>
                <w14:textFill>
                  <w14:solidFill>
                    <w14:srgbClr w14:val="000000">
                      <w14:alpha w14:val="100000"/>
                    </w14:srgbClr>
                  </w14:solidFill>
                </w14:textFill>
              </w:rPr>
              <w:t>|</w:t>
            </w:r>
            <w:r w:rsidR="00C56A14">
              <w:rPr>
                <w:vertAlign w:val="superscript"/>
              </w:rPr>
              <w:t>4</w:t>
            </w:r>
          </w:p>
        </w:tc>
        <w:tc>
          <w:tcPr>
            <w:tcW w:w="1134" w:type="dxa"/>
            <w:tcBorders>
              <w:top w:val="single" w:sz="4" w:space="0" w:color="auto"/>
              <w:left w:val="nil"/>
              <w:bottom w:val="single" w:sz="4" w:space="0" w:color="auto"/>
              <w:right w:val="single" w:sz="4" w:space="0" w:color="auto"/>
            </w:tcBorders>
            <w:shd w:val="clear" w:color="auto" w:fill="auto"/>
          </w:tcPr>
          <w:p w14:paraId="2D01E74C" w14:textId="73BE64B2" w:rsidR="00383028" w:rsidRPr="00C56A14" w:rsidRDefault="00EB6544" w:rsidP="00383028">
            <w:pPr>
              <w:pStyle w:val="TableText0"/>
              <w:keepLines/>
              <w:jc w:val="center"/>
              <w:rPr>
                <w:rStyle w:val="normaltextrun"/>
                <w:rFonts w:cs="Segoe UI"/>
                <w:szCs w:val="20"/>
                <w:highlight w:val="lightGray"/>
              </w:rPr>
            </w:pPr>
            <w:r w:rsidRPr="00EB6544">
              <w:rPr>
                <w:rStyle w:val="normaltextrun"/>
                <w:rFonts w:cs="Segoe UI"/>
                <w:color w:val="000000"/>
                <w:spacing w:val="65"/>
                <w:szCs w:val="20"/>
                <w:shd w:val="solid" w:color="000000" w:fill="000000"/>
                <w:fitText w:val="366" w:id="-1236572148"/>
                <w14:textFill>
                  <w14:solidFill>
                    <w14:srgbClr w14:val="000000">
                      <w14:alpha w14:val="100000"/>
                    </w14:srgbClr>
                  </w14:solidFill>
                </w14:textFill>
              </w:rPr>
              <w:t>|||</w:t>
            </w:r>
            <w:r w:rsidRPr="00EB6544">
              <w:rPr>
                <w:rStyle w:val="normaltextrun"/>
                <w:rFonts w:cs="Segoe UI"/>
                <w:color w:val="000000"/>
                <w:spacing w:val="1"/>
                <w:szCs w:val="20"/>
                <w:shd w:val="solid" w:color="000000" w:fill="000000"/>
                <w:fitText w:val="366" w:id="-1236572148"/>
                <w14:textFill>
                  <w14:solidFill>
                    <w14:srgbClr w14:val="000000">
                      <w14:alpha w14:val="100000"/>
                    </w14:srgbClr>
                  </w14:solidFill>
                </w14:textFill>
              </w:rPr>
              <w:t>|</w:t>
            </w:r>
            <w:r w:rsidR="00C56A14">
              <w:rPr>
                <w:vertAlign w:val="superscript"/>
              </w:rPr>
              <w:t>4</w:t>
            </w:r>
          </w:p>
        </w:tc>
        <w:tc>
          <w:tcPr>
            <w:tcW w:w="1134" w:type="dxa"/>
            <w:tcBorders>
              <w:top w:val="single" w:sz="4" w:space="0" w:color="auto"/>
              <w:left w:val="nil"/>
              <w:bottom w:val="single" w:sz="4" w:space="0" w:color="auto"/>
              <w:right w:val="single" w:sz="4" w:space="0" w:color="auto"/>
            </w:tcBorders>
            <w:shd w:val="clear" w:color="auto" w:fill="auto"/>
          </w:tcPr>
          <w:p w14:paraId="3D131B69" w14:textId="470DB67A" w:rsidR="00383028" w:rsidRPr="00C56A14" w:rsidRDefault="00EB6544" w:rsidP="00383028">
            <w:pPr>
              <w:pStyle w:val="TableText0"/>
              <w:keepLines/>
              <w:jc w:val="center"/>
              <w:rPr>
                <w:rStyle w:val="normaltextrun"/>
                <w:rFonts w:cs="Segoe UI"/>
                <w:szCs w:val="20"/>
                <w:highlight w:val="lightGray"/>
              </w:rPr>
            </w:pPr>
            <w:r w:rsidRPr="00EB6544">
              <w:rPr>
                <w:rStyle w:val="normaltextrun"/>
                <w:rFonts w:cs="Segoe UI"/>
                <w:color w:val="000000"/>
                <w:spacing w:val="65"/>
                <w:szCs w:val="20"/>
                <w:shd w:val="solid" w:color="000000" w:fill="000000"/>
                <w:fitText w:val="366" w:id="-1236572147"/>
                <w14:textFill>
                  <w14:solidFill>
                    <w14:srgbClr w14:val="000000">
                      <w14:alpha w14:val="100000"/>
                    </w14:srgbClr>
                  </w14:solidFill>
                </w14:textFill>
              </w:rPr>
              <w:t>|||</w:t>
            </w:r>
            <w:r w:rsidRPr="00EB6544">
              <w:rPr>
                <w:rStyle w:val="normaltextrun"/>
                <w:rFonts w:cs="Segoe UI"/>
                <w:color w:val="000000"/>
                <w:spacing w:val="1"/>
                <w:szCs w:val="20"/>
                <w:shd w:val="solid" w:color="000000" w:fill="000000"/>
                <w:fitText w:val="366" w:id="-1236572147"/>
                <w14:textFill>
                  <w14:solidFill>
                    <w14:srgbClr w14:val="000000">
                      <w14:alpha w14:val="100000"/>
                    </w14:srgbClr>
                  </w14:solidFill>
                </w14:textFill>
              </w:rPr>
              <w:t>|</w:t>
            </w:r>
            <w:r w:rsidR="00C56A14">
              <w:rPr>
                <w:vertAlign w:val="superscript"/>
              </w:rPr>
              <w:t>1</w:t>
            </w:r>
          </w:p>
        </w:tc>
        <w:tc>
          <w:tcPr>
            <w:tcW w:w="1276" w:type="dxa"/>
            <w:tcBorders>
              <w:top w:val="single" w:sz="4" w:space="0" w:color="auto"/>
              <w:left w:val="nil"/>
              <w:bottom w:val="single" w:sz="4" w:space="0" w:color="auto"/>
              <w:right w:val="single" w:sz="4" w:space="0" w:color="auto"/>
            </w:tcBorders>
            <w:shd w:val="clear" w:color="auto" w:fill="auto"/>
          </w:tcPr>
          <w:p w14:paraId="210F6BF4" w14:textId="62AC0473" w:rsidR="00383028" w:rsidRPr="00C56A14" w:rsidRDefault="00EB6544" w:rsidP="00383028">
            <w:pPr>
              <w:pStyle w:val="TableText0"/>
              <w:keepLines/>
              <w:jc w:val="center"/>
              <w:rPr>
                <w:rStyle w:val="normaltextrun"/>
                <w:rFonts w:cs="Segoe UI"/>
                <w:szCs w:val="20"/>
                <w:highlight w:val="lightGray"/>
              </w:rPr>
            </w:pPr>
            <w:r w:rsidRPr="00EB6544">
              <w:rPr>
                <w:rStyle w:val="normaltextrun"/>
                <w:rFonts w:cs="Segoe UI"/>
                <w:color w:val="000000"/>
                <w:spacing w:val="213"/>
                <w:szCs w:val="20"/>
                <w:shd w:val="solid" w:color="000000" w:fill="000000"/>
                <w:fitText w:val="299" w:id="-1236572146"/>
                <w14:textFill>
                  <w14:solidFill>
                    <w14:srgbClr w14:val="000000">
                      <w14:alpha w14:val="100000"/>
                    </w14:srgbClr>
                  </w14:solidFill>
                </w14:textFill>
              </w:rPr>
              <w:t>|</w:t>
            </w:r>
            <w:r w:rsidRPr="00EB6544">
              <w:rPr>
                <w:rStyle w:val="normaltextrun"/>
                <w:rFonts w:cs="Segoe UI"/>
                <w:color w:val="000000"/>
                <w:spacing w:val="1"/>
                <w:szCs w:val="20"/>
                <w:shd w:val="solid" w:color="000000" w:fill="000000"/>
                <w:fitText w:val="299" w:id="-1236572146"/>
                <w14:textFill>
                  <w14:solidFill>
                    <w14:srgbClr w14:val="000000">
                      <w14:alpha w14:val="100000"/>
                    </w14:srgbClr>
                  </w14:solidFill>
                </w14:textFill>
              </w:rPr>
              <w:t>|</w:t>
            </w:r>
            <w:r w:rsidR="00C56A14">
              <w:rPr>
                <w:vertAlign w:val="superscript"/>
              </w:rPr>
              <w:t>1</w:t>
            </w:r>
          </w:p>
        </w:tc>
        <w:tc>
          <w:tcPr>
            <w:tcW w:w="1275" w:type="dxa"/>
            <w:tcBorders>
              <w:top w:val="single" w:sz="4" w:space="0" w:color="auto"/>
              <w:left w:val="nil"/>
              <w:bottom w:val="single" w:sz="4" w:space="0" w:color="auto"/>
              <w:right w:val="single" w:sz="4" w:space="0" w:color="auto"/>
            </w:tcBorders>
            <w:shd w:val="clear" w:color="auto" w:fill="auto"/>
          </w:tcPr>
          <w:p w14:paraId="67AD3D30" w14:textId="6466E5D5" w:rsidR="00383028" w:rsidRPr="00C56A14" w:rsidRDefault="00EB6544" w:rsidP="00383028">
            <w:pPr>
              <w:pStyle w:val="TableText0"/>
              <w:keepLines/>
              <w:jc w:val="center"/>
              <w:rPr>
                <w:rStyle w:val="normaltextrun"/>
                <w:rFonts w:cs="Segoe UI"/>
                <w:szCs w:val="20"/>
                <w:highlight w:val="lightGray"/>
              </w:rPr>
            </w:pPr>
            <w:r w:rsidRPr="00EB6544">
              <w:rPr>
                <w:rStyle w:val="normaltextrun"/>
                <w:rFonts w:cs="Segoe UI"/>
                <w:color w:val="000000"/>
                <w:spacing w:val="214"/>
                <w:szCs w:val="20"/>
                <w:shd w:val="solid" w:color="000000" w:fill="000000"/>
                <w:fitText w:val="300" w:id="-1236572145"/>
                <w14:textFill>
                  <w14:solidFill>
                    <w14:srgbClr w14:val="000000">
                      <w14:alpha w14:val="100000"/>
                    </w14:srgbClr>
                  </w14:solidFill>
                </w14:textFill>
              </w:rPr>
              <w:t>|</w:t>
            </w:r>
            <w:r w:rsidRPr="00EB6544">
              <w:rPr>
                <w:rStyle w:val="normaltextrun"/>
                <w:rFonts w:cs="Segoe UI"/>
                <w:color w:val="000000"/>
                <w:spacing w:val="1"/>
                <w:szCs w:val="20"/>
                <w:shd w:val="solid" w:color="000000" w:fill="000000"/>
                <w:fitText w:val="300" w:id="-1236572145"/>
                <w14:textFill>
                  <w14:solidFill>
                    <w14:srgbClr w14:val="000000">
                      <w14:alpha w14:val="100000"/>
                    </w14:srgbClr>
                  </w14:solidFill>
                </w14:textFill>
              </w:rPr>
              <w:t>|</w:t>
            </w:r>
            <w:r w:rsidR="00C56A14">
              <w:rPr>
                <w:vertAlign w:val="superscript"/>
              </w:rPr>
              <w:t>1</w:t>
            </w:r>
          </w:p>
        </w:tc>
        <w:tc>
          <w:tcPr>
            <w:tcW w:w="1276" w:type="dxa"/>
            <w:tcBorders>
              <w:top w:val="single" w:sz="4" w:space="0" w:color="auto"/>
              <w:left w:val="nil"/>
              <w:bottom w:val="single" w:sz="4" w:space="0" w:color="auto"/>
              <w:right w:val="single" w:sz="4" w:space="0" w:color="auto"/>
            </w:tcBorders>
            <w:shd w:val="clear" w:color="auto" w:fill="auto"/>
          </w:tcPr>
          <w:p w14:paraId="7C115A90" w14:textId="7B03811B" w:rsidR="00383028" w:rsidRPr="00C56A14" w:rsidRDefault="00EB6544" w:rsidP="00383028">
            <w:pPr>
              <w:pStyle w:val="TableText0"/>
              <w:keepLines/>
              <w:jc w:val="center"/>
              <w:rPr>
                <w:rStyle w:val="normaltextrun"/>
                <w:rFonts w:cs="Segoe UI"/>
                <w:szCs w:val="20"/>
                <w:highlight w:val="lightGray"/>
              </w:rPr>
            </w:pPr>
            <w:r w:rsidRPr="00EB6544">
              <w:rPr>
                <w:rStyle w:val="normaltextrun"/>
                <w:rFonts w:cs="Segoe UI"/>
                <w:color w:val="000000"/>
                <w:spacing w:val="213"/>
                <w:szCs w:val="20"/>
                <w:shd w:val="solid" w:color="000000" w:fill="000000"/>
                <w:fitText w:val="299" w:id="-1236572144"/>
                <w14:textFill>
                  <w14:solidFill>
                    <w14:srgbClr w14:val="000000">
                      <w14:alpha w14:val="100000"/>
                    </w14:srgbClr>
                  </w14:solidFill>
                </w14:textFill>
              </w:rPr>
              <w:t>|</w:t>
            </w:r>
            <w:r w:rsidRPr="00EB6544">
              <w:rPr>
                <w:rStyle w:val="normaltextrun"/>
                <w:rFonts w:cs="Segoe UI"/>
                <w:color w:val="000000"/>
                <w:spacing w:val="1"/>
                <w:szCs w:val="20"/>
                <w:shd w:val="solid" w:color="000000" w:fill="000000"/>
                <w:fitText w:val="299" w:id="-1236572144"/>
                <w14:textFill>
                  <w14:solidFill>
                    <w14:srgbClr w14:val="000000">
                      <w14:alpha w14:val="100000"/>
                    </w14:srgbClr>
                  </w14:solidFill>
                </w14:textFill>
              </w:rPr>
              <w:t>|</w:t>
            </w:r>
            <w:r w:rsidR="00C56A14">
              <w:rPr>
                <w:vertAlign w:val="superscript"/>
              </w:rPr>
              <w:t>1</w:t>
            </w:r>
          </w:p>
        </w:tc>
        <w:tc>
          <w:tcPr>
            <w:tcW w:w="1276" w:type="dxa"/>
            <w:tcBorders>
              <w:top w:val="single" w:sz="4" w:space="0" w:color="auto"/>
              <w:left w:val="nil"/>
              <w:bottom w:val="single" w:sz="4" w:space="0" w:color="auto"/>
              <w:right w:val="single" w:sz="4" w:space="0" w:color="auto"/>
            </w:tcBorders>
            <w:shd w:val="clear" w:color="auto" w:fill="auto"/>
          </w:tcPr>
          <w:p w14:paraId="40CC3761" w14:textId="4CE8C93D" w:rsidR="00383028" w:rsidRPr="00C56A14" w:rsidRDefault="00EB6544" w:rsidP="00383028">
            <w:pPr>
              <w:pStyle w:val="TableText0"/>
              <w:keepLines/>
              <w:jc w:val="center"/>
              <w:rPr>
                <w:rStyle w:val="normaltextrun"/>
                <w:rFonts w:cs="Segoe UI"/>
                <w:szCs w:val="20"/>
                <w:highlight w:val="lightGray"/>
              </w:rPr>
            </w:pPr>
            <w:r w:rsidRPr="00EB6544">
              <w:rPr>
                <w:rStyle w:val="normaltextrun"/>
                <w:rFonts w:cs="Segoe UI"/>
                <w:color w:val="000000"/>
                <w:spacing w:val="51"/>
                <w:szCs w:val="20"/>
                <w:shd w:val="solid" w:color="000000" w:fill="000000"/>
                <w:fitText w:val="324" w:id="-1236572160"/>
                <w14:textFill>
                  <w14:solidFill>
                    <w14:srgbClr w14:val="000000">
                      <w14:alpha w14:val="100000"/>
                    </w14:srgbClr>
                  </w14:solidFill>
                </w14:textFill>
              </w:rPr>
              <w:t>|||</w:t>
            </w:r>
            <w:r w:rsidRPr="00EB6544">
              <w:rPr>
                <w:rStyle w:val="normaltextrun"/>
                <w:rFonts w:cs="Segoe UI"/>
                <w:color w:val="000000"/>
                <w:spacing w:val="1"/>
                <w:szCs w:val="20"/>
                <w:shd w:val="solid" w:color="000000" w:fill="000000"/>
                <w:fitText w:val="324" w:id="-1236572160"/>
                <w14:textFill>
                  <w14:solidFill>
                    <w14:srgbClr w14:val="000000">
                      <w14:alpha w14:val="100000"/>
                    </w14:srgbClr>
                  </w14:solidFill>
                </w14:textFill>
              </w:rPr>
              <w:t>|</w:t>
            </w:r>
            <w:r w:rsidR="00C56A14">
              <w:rPr>
                <w:vertAlign w:val="superscript"/>
              </w:rPr>
              <w:t>26</w:t>
            </w:r>
          </w:p>
        </w:tc>
      </w:tr>
      <w:tr w:rsidR="00383028" w:rsidRPr="002F733E" w14:paraId="556FF51D" w14:textId="77777777" w:rsidTr="00CC0BB4">
        <w:tc>
          <w:tcPr>
            <w:tcW w:w="988" w:type="dxa"/>
            <w:tcBorders>
              <w:left w:val="single" w:sz="4" w:space="0" w:color="auto"/>
              <w:right w:val="single" w:sz="4" w:space="0" w:color="auto"/>
            </w:tcBorders>
            <w:shd w:val="clear" w:color="auto" w:fill="auto"/>
            <w:vAlign w:val="center"/>
          </w:tcPr>
          <w:p w14:paraId="1B184CA5" w14:textId="0A301D4A" w:rsidR="00383028" w:rsidRPr="00A16081" w:rsidRDefault="00383028" w:rsidP="00383028">
            <w:pPr>
              <w:pStyle w:val="TableText0"/>
              <w:keepLines/>
              <w:rPr>
                <w:b/>
                <w:bCs w:val="0"/>
                <w:szCs w:val="20"/>
              </w:rPr>
            </w:pPr>
            <w:r w:rsidRPr="00A16081">
              <w:rPr>
                <w:rFonts w:eastAsia="Times New Roman"/>
                <w:b/>
                <w:bCs w:val="0"/>
                <w:szCs w:val="20"/>
              </w:rPr>
              <w:t xml:space="preserve">Net cost </w:t>
            </w:r>
            <w:r w:rsidR="00A16081">
              <w:rPr>
                <w:rFonts w:eastAsia="Times New Roman"/>
                <w:b/>
                <w:bCs w:val="0"/>
                <w:szCs w:val="20"/>
              </w:rPr>
              <w:t xml:space="preserve">to </w:t>
            </w:r>
            <w:r w:rsidRPr="00A16081">
              <w:rPr>
                <w:rFonts w:eastAsia="Times New Roman"/>
                <w:b/>
                <w:bCs w:val="0"/>
                <w:szCs w:val="20"/>
              </w:rPr>
              <w:t>PBS/RPBS</w:t>
            </w: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4122D2" w14:textId="618A0C5B" w:rsidR="00383028" w:rsidRPr="00C56A14" w:rsidRDefault="00EB6544" w:rsidP="00383028">
            <w:pPr>
              <w:pStyle w:val="TableText0"/>
              <w:keepLines/>
              <w:jc w:val="center"/>
              <w:rPr>
                <w:rStyle w:val="normaltextrun"/>
                <w:rFonts w:cs="Segoe UI"/>
                <w:b/>
                <w:bCs w:val="0"/>
                <w:szCs w:val="20"/>
                <w:highlight w:val="lightGray"/>
              </w:rPr>
            </w:pPr>
            <w:r w:rsidRPr="00EB6544">
              <w:rPr>
                <w:rStyle w:val="normaltextrun"/>
                <w:rFonts w:cs="Segoe UI"/>
                <w:b/>
                <w:bCs w:val="0"/>
                <w:color w:val="000000"/>
                <w:spacing w:val="38"/>
                <w:szCs w:val="20"/>
                <w:shd w:val="solid" w:color="000000" w:fill="000000"/>
                <w:fitText w:val="466" w:id="-1236572159"/>
                <w14:textFill>
                  <w14:solidFill>
                    <w14:srgbClr w14:val="000000">
                      <w14:alpha w14:val="100000"/>
                    </w14:srgbClr>
                  </w14:solidFill>
                </w14:textFill>
              </w:rPr>
              <w:t>|||||</w:t>
            </w:r>
            <w:r w:rsidRPr="00EB6544">
              <w:rPr>
                <w:rStyle w:val="normaltextrun"/>
                <w:rFonts w:cs="Segoe UI"/>
                <w:b/>
                <w:bCs w:val="0"/>
                <w:color w:val="000000"/>
                <w:spacing w:val="1"/>
                <w:szCs w:val="20"/>
                <w:shd w:val="solid" w:color="000000" w:fill="000000"/>
                <w:fitText w:val="466" w:id="-1236572159"/>
                <w14:textFill>
                  <w14:solidFill>
                    <w14:srgbClr w14:val="000000">
                      <w14:alpha w14:val="100000"/>
                    </w14:srgbClr>
                  </w14:solidFill>
                </w14:textFill>
              </w:rPr>
              <w:t>|</w:t>
            </w:r>
            <w:r w:rsidR="00C56A14">
              <w:rPr>
                <w:vertAlign w:val="superscript"/>
              </w:rPr>
              <w:t>22</w:t>
            </w:r>
          </w:p>
        </w:tc>
        <w:tc>
          <w:tcPr>
            <w:tcW w:w="1134" w:type="dxa"/>
            <w:tcBorders>
              <w:top w:val="single" w:sz="4" w:space="0" w:color="auto"/>
              <w:left w:val="nil"/>
              <w:bottom w:val="single" w:sz="4" w:space="0" w:color="auto"/>
              <w:right w:val="single" w:sz="4" w:space="0" w:color="auto"/>
            </w:tcBorders>
            <w:shd w:val="clear" w:color="auto" w:fill="auto"/>
          </w:tcPr>
          <w:p w14:paraId="73E193B3" w14:textId="35721DBA" w:rsidR="00383028" w:rsidRPr="00C56A14" w:rsidRDefault="00EB6544" w:rsidP="00383028">
            <w:pPr>
              <w:pStyle w:val="TableText0"/>
              <w:keepLines/>
              <w:jc w:val="center"/>
              <w:rPr>
                <w:rStyle w:val="normaltextrun"/>
                <w:rFonts w:cs="Segoe UI"/>
                <w:b/>
                <w:bCs w:val="0"/>
                <w:szCs w:val="20"/>
                <w:highlight w:val="lightGray"/>
              </w:rPr>
            </w:pPr>
            <w:r w:rsidRPr="00EB6544">
              <w:rPr>
                <w:rStyle w:val="normaltextrun"/>
                <w:rFonts w:cs="Segoe UI"/>
                <w:b/>
                <w:bCs w:val="0"/>
                <w:color w:val="000000"/>
                <w:spacing w:val="38"/>
                <w:szCs w:val="20"/>
                <w:shd w:val="solid" w:color="000000" w:fill="000000"/>
                <w:fitText w:val="466" w:id="-1236572158"/>
                <w14:textFill>
                  <w14:solidFill>
                    <w14:srgbClr w14:val="000000">
                      <w14:alpha w14:val="100000"/>
                    </w14:srgbClr>
                  </w14:solidFill>
                </w14:textFill>
              </w:rPr>
              <w:t>|||||</w:t>
            </w:r>
            <w:r w:rsidRPr="00EB6544">
              <w:rPr>
                <w:rStyle w:val="normaltextrun"/>
                <w:rFonts w:cs="Segoe UI"/>
                <w:b/>
                <w:bCs w:val="0"/>
                <w:color w:val="000000"/>
                <w:spacing w:val="1"/>
                <w:szCs w:val="20"/>
                <w:shd w:val="solid" w:color="000000" w:fill="000000"/>
                <w:fitText w:val="466" w:id="-1236572158"/>
                <w14:textFill>
                  <w14:solidFill>
                    <w14:srgbClr w14:val="000000">
                      <w14:alpha w14:val="100000"/>
                    </w14:srgbClr>
                  </w14:solidFill>
                </w14:textFill>
              </w:rPr>
              <w:t>|</w:t>
            </w:r>
            <w:r w:rsidR="00C56A14">
              <w:rPr>
                <w:vertAlign w:val="superscript"/>
              </w:rPr>
              <w:t>22</w:t>
            </w:r>
          </w:p>
        </w:tc>
        <w:tc>
          <w:tcPr>
            <w:tcW w:w="1134" w:type="dxa"/>
            <w:tcBorders>
              <w:top w:val="single" w:sz="4" w:space="0" w:color="auto"/>
              <w:left w:val="nil"/>
              <w:bottom w:val="single" w:sz="4" w:space="0" w:color="auto"/>
              <w:right w:val="single" w:sz="4" w:space="0" w:color="auto"/>
            </w:tcBorders>
            <w:shd w:val="clear" w:color="auto" w:fill="auto"/>
          </w:tcPr>
          <w:p w14:paraId="2FEC29D2" w14:textId="2990A158" w:rsidR="00383028" w:rsidRPr="00C56A14" w:rsidRDefault="00EB6544" w:rsidP="00383028">
            <w:pPr>
              <w:pStyle w:val="TableText0"/>
              <w:keepLines/>
              <w:jc w:val="center"/>
              <w:rPr>
                <w:rStyle w:val="normaltextrun"/>
                <w:rFonts w:cs="Segoe UI"/>
                <w:b/>
                <w:bCs w:val="0"/>
                <w:szCs w:val="20"/>
                <w:highlight w:val="lightGray"/>
              </w:rPr>
            </w:pPr>
            <w:r w:rsidRPr="00EB6544">
              <w:rPr>
                <w:rStyle w:val="normaltextrun"/>
                <w:rFonts w:cs="Segoe UI"/>
                <w:b/>
                <w:bCs w:val="0"/>
                <w:color w:val="000000"/>
                <w:spacing w:val="38"/>
                <w:szCs w:val="20"/>
                <w:shd w:val="solid" w:color="000000" w:fill="000000"/>
                <w:fitText w:val="466" w:id="-1236572157"/>
                <w14:textFill>
                  <w14:solidFill>
                    <w14:srgbClr w14:val="000000">
                      <w14:alpha w14:val="100000"/>
                    </w14:srgbClr>
                  </w14:solidFill>
                </w14:textFill>
              </w:rPr>
              <w:t>|||||</w:t>
            </w:r>
            <w:r w:rsidRPr="00EB6544">
              <w:rPr>
                <w:rStyle w:val="normaltextrun"/>
                <w:rFonts w:cs="Segoe UI"/>
                <w:b/>
                <w:bCs w:val="0"/>
                <w:color w:val="000000"/>
                <w:spacing w:val="1"/>
                <w:szCs w:val="20"/>
                <w:shd w:val="solid" w:color="000000" w:fill="000000"/>
                <w:fitText w:val="466" w:id="-1236572157"/>
                <w14:textFill>
                  <w14:solidFill>
                    <w14:srgbClr w14:val="000000">
                      <w14:alpha w14:val="100000"/>
                    </w14:srgbClr>
                  </w14:solidFill>
                </w14:textFill>
              </w:rPr>
              <w:t>|</w:t>
            </w:r>
            <w:r w:rsidR="00C56A14">
              <w:rPr>
                <w:vertAlign w:val="superscript"/>
              </w:rPr>
              <w:t>23</w:t>
            </w:r>
          </w:p>
        </w:tc>
        <w:tc>
          <w:tcPr>
            <w:tcW w:w="1276" w:type="dxa"/>
            <w:tcBorders>
              <w:top w:val="single" w:sz="4" w:space="0" w:color="auto"/>
              <w:left w:val="nil"/>
              <w:bottom w:val="single" w:sz="4" w:space="0" w:color="auto"/>
              <w:right w:val="single" w:sz="4" w:space="0" w:color="auto"/>
            </w:tcBorders>
            <w:shd w:val="clear" w:color="auto" w:fill="auto"/>
          </w:tcPr>
          <w:p w14:paraId="120D376E" w14:textId="41470D54" w:rsidR="00383028" w:rsidRPr="00C56A14" w:rsidRDefault="00EB6544" w:rsidP="00383028">
            <w:pPr>
              <w:pStyle w:val="TableText0"/>
              <w:keepLines/>
              <w:jc w:val="center"/>
              <w:rPr>
                <w:rStyle w:val="normaltextrun"/>
                <w:rFonts w:cs="Segoe UI"/>
                <w:b/>
                <w:bCs w:val="0"/>
                <w:szCs w:val="20"/>
                <w:highlight w:val="lightGray"/>
              </w:rPr>
            </w:pPr>
            <w:r w:rsidRPr="00EB6544">
              <w:rPr>
                <w:rStyle w:val="normaltextrun"/>
                <w:rFonts w:cs="Segoe UI"/>
                <w:b/>
                <w:bCs w:val="0"/>
                <w:color w:val="000000"/>
                <w:spacing w:val="69"/>
                <w:szCs w:val="20"/>
                <w:shd w:val="solid" w:color="000000" w:fill="000000"/>
                <w:fitText w:val="391" w:id="-1236572156"/>
                <w14:textFill>
                  <w14:solidFill>
                    <w14:srgbClr w14:val="000000">
                      <w14:alpha w14:val="100000"/>
                    </w14:srgbClr>
                  </w14:solidFill>
                </w14:textFill>
              </w:rPr>
              <w:t>|||</w:t>
            </w:r>
            <w:r w:rsidRPr="00EB6544">
              <w:rPr>
                <w:rStyle w:val="normaltextrun"/>
                <w:rFonts w:cs="Segoe UI"/>
                <w:b/>
                <w:bCs w:val="0"/>
                <w:color w:val="000000"/>
                <w:spacing w:val="1"/>
                <w:szCs w:val="20"/>
                <w:shd w:val="solid" w:color="000000" w:fill="000000"/>
                <w:fitText w:val="391" w:id="-1236572156"/>
                <w14:textFill>
                  <w14:solidFill>
                    <w14:srgbClr w14:val="000000">
                      <w14:alpha w14:val="100000"/>
                    </w14:srgbClr>
                  </w14:solidFill>
                </w14:textFill>
              </w:rPr>
              <w:t>|</w:t>
            </w:r>
            <w:r w:rsidR="00C56A14">
              <w:rPr>
                <w:vertAlign w:val="superscript"/>
              </w:rPr>
              <w:t>23</w:t>
            </w:r>
          </w:p>
        </w:tc>
        <w:tc>
          <w:tcPr>
            <w:tcW w:w="1275" w:type="dxa"/>
            <w:tcBorders>
              <w:top w:val="single" w:sz="4" w:space="0" w:color="auto"/>
              <w:left w:val="nil"/>
              <w:bottom w:val="single" w:sz="4" w:space="0" w:color="auto"/>
              <w:right w:val="single" w:sz="4" w:space="0" w:color="auto"/>
            </w:tcBorders>
            <w:shd w:val="clear" w:color="auto" w:fill="auto"/>
          </w:tcPr>
          <w:p w14:paraId="20143E25" w14:textId="49208C34" w:rsidR="00383028" w:rsidRPr="00C56A14" w:rsidRDefault="00EB6544" w:rsidP="00383028">
            <w:pPr>
              <w:pStyle w:val="TableText0"/>
              <w:keepLines/>
              <w:jc w:val="center"/>
              <w:rPr>
                <w:rStyle w:val="normaltextrun"/>
                <w:rFonts w:cs="Segoe UI"/>
                <w:b/>
                <w:bCs w:val="0"/>
                <w:szCs w:val="20"/>
                <w:highlight w:val="lightGray"/>
              </w:rPr>
            </w:pPr>
            <w:r w:rsidRPr="00EB6544">
              <w:rPr>
                <w:rStyle w:val="normaltextrun"/>
                <w:rFonts w:cs="Segoe UI"/>
                <w:b/>
                <w:bCs w:val="0"/>
                <w:color w:val="000000"/>
                <w:spacing w:val="71"/>
                <w:szCs w:val="20"/>
                <w:shd w:val="solid" w:color="000000" w:fill="000000"/>
                <w:fitText w:val="399" w:id="-1236572155"/>
                <w14:textFill>
                  <w14:solidFill>
                    <w14:srgbClr w14:val="000000">
                      <w14:alpha w14:val="100000"/>
                    </w14:srgbClr>
                  </w14:solidFill>
                </w14:textFill>
              </w:rPr>
              <w:t>|||</w:t>
            </w:r>
            <w:r w:rsidRPr="00EB6544">
              <w:rPr>
                <w:rStyle w:val="normaltextrun"/>
                <w:rFonts w:cs="Segoe UI"/>
                <w:b/>
                <w:bCs w:val="0"/>
                <w:color w:val="000000"/>
                <w:spacing w:val="3"/>
                <w:szCs w:val="20"/>
                <w:shd w:val="solid" w:color="000000" w:fill="000000"/>
                <w:fitText w:val="399" w:id="-1236572155"/>
                <w14:textFill>
                  <w14:solidFill>
                    <w14:srgbClr w14:val="000000">
                      <w14:alpha w14:val="100000"/>
                    </w14:srgbClr>
                  </w14:solidFill>
                </w14:textFill>
              </w:rPr>
              <w:t>|</w:t>
            </w:r>
            <w:r w:rsidR="00C56A14">
              <w:rPr>
                <w:vertAlign w:val="superscript"/>
              </w:rPr>
              <w:t>23</w:t>
            </w:r>
          </w:p>
        </w:tc>
        <w:tc>
          <w:tcPr>
            <w:tcW w:w="1276" w:type="dxa"/>
            <w:tcBorders>
              <w:top w:val="single" w:sz="4" w:space="0" w:color="auto"/>
              <w:left w:val="nil"/>
              <w:bottom w:val="single" w:sz="4" w:space="0" w:color="auto"/>
              <w:right w:val="single" w:sz="4" w:space="0" w:color="auto"/>
            </w:tcBorders>
            <w:shd w:val="clear" w:color="auto" w:fill="auto"/>
          </w:tcPr>
          <w:p w14:paraId="43A0DA59" w14:textId="32D9F910" w:rsidR="00383028" w:rsidRPr="00C56A14" w:rsidRDefault="00EB6544" w:rsidP="00383028">
            <w:pPr>
              <w:pStyle w:val="TableText0"/>
              <w:keepLines/>
              <w:jc w:val="center"/>
              <w:rPr>
                <w:rStyle w:val="normaltextrun"/>
                <w:rFonts w:cs="Segoe UI"/>
                <w:b/>
                <w:bCs w:val="0"/>
                <w:szCs w:val="20"/>
                <w:highlight w:val="lightGray"/>
              </w:rPr>
            </w:pPr>
            <w:r w:rsidRPr="00EB6544">
              <w:rPr>
                <w:rStyle w:val="normaltextrun"/>
                <w:rFonts w:cs="Segoe UI"/>
                <w:b/>
                <w:bCs w:val="0"/>
                <w:color w:val="000000"/>
                <w:spacing w:val="69"/>
                <w:szCs w:val="20"/>
                <w:shd w:val="solid" w:color="000000" w:fill="000000"/>
                <w:fitText w:val="391" w:id="-1236572154"/>
                <w14:textFill>
                  <w14:solidFill>
                    <w14:srgbClr w14:val="000000">
                      <w14:alpha w14:val="100000"/>
                    </w14:srgbClr>
                  </w14:solidFill>
                </w14:textFill>
              </w:rPr>
              <w:t>|||</w:t>
            </w:r>
            <w:r w:rsidRPr="00EB6544">
              <w:rPr>
                <w:rStyle w:val="normaltextrun"/>
                <w:rFonts w:cs="Segoe UI"/>
                <w:b/>
                <w:bCs w:val="0"/>
                <w:color w:val="000000"/>
                <w:spacing w:val="1"/>
                <w:szCs w:val="20"/>
                <w:shd w:val="solid" w:color="000000" w:fill="000000"/>
                <w:fitText w:val="391" w:id="-1236572154"/>
                <w14:textFill>
                  <w14:solidFill>
                    <w14:srgbClr w14:val="000000">
                      <w14:alpha w14:val="100000"/>
                    </w14:srgbClr>
                  </w14:solidFill>
                </w14:textFill>
              </w:rPr>
              <w:t>|</w:t>
            </w:r>
            <w:r w:rsidR="00C56A14">
              <w:rPr>
                <w:vertAlign w:val="superscript"/>
              </w:rPr>
              <w:t>23</w:t>
            </w:r>
          </w:p>
        </w:tc>
        <w:tc>
          <w:tcPr>
            <w:tcW w:w="1276" w:type="dxa"/>
            <w:tcBorders>
              <w:top w:val="single" w:sz="4" w:space="0" w:color="auto"/>
              <w:left w:val="nil"/>
              <w:bottom w:val="single" w:sz="4" w:space="0" w:color="auto"/>
              <w:right w:val="single" w:sz="4" w:space="0" w:color="auto"/>
            </w:tcBorders>
            <w:shd w:val="clear" w:color="auto" w:fill="auto"/>
          </w:tcPr>
          <w:p w14:paraId="0CE5580F" w14:textId="57D588E8" w:rsidR="00383028" w:rsidRPr="00C56A14" w:rsidRDefault="00EB6544" w:rsidP="00383028">
            <w:pPr>
              <w:pStyle w:val="TableText0"/>
              <w:keepLines/>
              <w:jc w:val="center"/>
              <w:rPr>
                <w:rStyle w:val="normaltextrun"/>
                <w:rFonts w:cs="Segoe UI"/>
                <w:b/>
                <w:bCs w:val="0"/>
                <w:szCs w:val="20"/>
                <w:highlight w:val="lightGray"/>
              </w:rPr>
            </w:pPr>
            <w:r w:rsidRPr="00EB6544">
              <w:rPr>
                <w:rStyle w:val="normaltextrun"/>
                <w:rFonts w:cs="Segoe UI"/>
                <w:b/>
                <w:bCs w:val="0"/>
                <w:color w:val="000000"/>
                <w:spacing w:val="69"/>
                <w:szCs w:val="20"/>
                <w:shd w:val="solid" w:color="000000" w:fill="000000"/>
                <w:fitText w:val="391" w:id="-1236572153"/>
                <w14:textFill>
                  <w14:solidFill>
                    <w14:srgbClr w14:val="000000">
                      <w14:alpha w14:val="100000"/>
                    </w14:srgbClr>
                  </w14:solidFill>
                </w14:textFill>
              </w:rPr>
              <w:t>|||</w:t>
            </w:r>
            <w:r w:rsidRPr="00EB6544">
              <w:rPr>
                <w:rStyle w:val="normaltextrun"/>
                <w:rFonts w:cs="Segoe UI"/>
                <w:b/>
                <w:bCs w:val="0"/>
                <w:color w:val="000000"/>
                <w:spacing w:val="1"/>
                <w:szCs w:val="20"/>
                <w:shd w:val="solid" w:color="000000" w:fill="000000"/>
                <w:fitText w:val="391" w:id="-1236572153"/>
                <w14:textFill>
                  <w14:solidFill>
                    <w14:srgbClr w14:val="000000">
                      <w14:alpha w14:val="100000"/>
                    </w14:srgbClr>
                  </w14:solidFill>
                </w14:textFill>
              </w:rPr>
              <w:t>|</w:t>
            </w:r>
            <w:r w:rsidR="00C56A14">
              <w:rPr>
                <w:vertAlign w:val="superscript"/>
              </w:rPr>
              <w:t>25</w:t>
            </w:r>
          </w:p>
        </w:tc>
      </w:tr>
    </w:tbl>
    <w:bookmarkEnd w:id="66"/>
    <w:bookmarkEnd w:id="67"/>
    <w:p w14:paraId="770720EB" w14:textId="77777777" w:rsidR="00CA7FC4" w:rsidRPr="002F733E" w:rsidRDefault="00CA7FC4" w:rsidP="00CA7FC4">
      <w:pPr>
        <w:pStyle w:val="TableFigureFooter"/>
        <w:keepNext/>
        <w:spacing w:after="0"/>
        <w:rPr>
          <w:iCs/>
        </w:rPr>
      </w:pPr>
      <w:r w:rsidRPr="002F733E">
        <w:rPr>
          <w:iCs/>
          <w:shd w:val="clear" w:color="auto" w:fill="B8CCE4" w:themeFill="accent1" w:themeFillTint="66"/>
        </w:rPr>
        <w:t>Blue</w:t>
      </w:r>
      <w:r w:rsidRPr="002F733E">
        <w:rPr>
          <w:iCs/>
        </w:rPr>
        <w:t xml:space="preserve"> shading represents information previously considered by the PBAC.</w:t>
      </w:r>
    </w:p>
    <w:p w14:paraId="236EDBD9" w14:textId="77777777" w:rsidR="009734FD" w:rsidRPr="00DD325E" w:rsidRDefault="009734FD" w:rsidP="009734FD">
      <w:pPr>
        <w:pStyle w:val="TableFigureFooter"/>
        <w:keepNext/>
        <w:keepLines/>
        <w:rPr>
          <w:rStyle w:val="CommentReference"/>
          <w:b w:val="0"/>
          <w:sz w:val="18"/>
          <w:szCs w:val="22"/>
        </w:rPr>
      </w:pPr>
      <w:r w:rsidRPr="002F733E">
        <w:rPr>
          <w:rStyle w:val="CommentReference"/>
          <w:b w:val="0"/>
          <w:sz w:val="18"/>
          <w:szCs w:val="22"/>
        </w:rPr>
        <w:t xml:space="preserve">Source: Tables 4.2-1,4.2-6, 4.5-1, 4.5-2, 4.5-4, 4.5-5 of the submission </w:t>
      </w:r>
      <w:r w:rsidRPr="00DD325E">
        <w:rPr>
          <w:rStyle w:val="CommentReference"/>
          <w:b w:val="0"/>
          <w:sz w:val="18"/>
          <w:szCs w:val="22"/>
        </w:rPr>
        <w:t>and compiled during the evaluation</w:t>
      </w:r>
    </w:p>
    <w:p w14:paraId="6EF4E7AD" w14:textId="77777777" w:rsidR="009734FD" w:rsidRPr="002F733E" w:rsidRDefault="009734FD" w:rsidP="009734FD">
      <w:pPr>
        <w:pStyle w:val="TableFigureFooter"/>
        <w:keepNext/>
        <w:keepLines/>
      </w:pPr>
      <w:r w:rsidRPr="002F733E">
        <w:t>pop = population, pt = patient; yr = year, 14245= infusion cost for immunotherapy.</w:t>
      </w:r>
    </w:p>
    <w:p w14:paraId="4468BB81" w14:textId="708ADBBE" w:rsidR="009734FD" w:rsidRPr="002F733E" w:rsidRDefault="009734FD" w:rsidP="00B12EEF">
      <w:pPr>
        <w:pStyle w:val="TableFigureFooter"/>
        <w:keepNext/>
        <w:keepLines/>
        <w:ind w:left="165" w:hanging="165"/>
      </w:pPr>
      <w:r w:rsidRPr="002F733E">
        <w:t>^</w:t>
      </w:r>
      <w:r w:rsidRPr="002F733E">
        <w:tab/>
      </w:r>
      <w:r w:rsidR="00B12EEF" w:rsidRPr="002F733E">
        <w:t xml:space="preserve">Note despite accounting </w:t>
      </w:r>
      <w:r w:rsidRPr="002F733E">
        <w:t>grandfather patients (n=</w:t>
      </w:r>
      <w:r w:rsidR="00EB6544" w:rsidRPr="00EB6544">
        <w:rPr>
          <w:color w:val="000000"/>
          <w:spacing w:val="22"/>
          <w:shd w:val="solid" w:color="000000" w:fill="000000"/>
          <w:fitText w:val="471" w:id="-1236572152"/>
          <w14:textFill>
            <w14:solidFill>
              <w14:srgbClr w14:val="000000">
                <w14:alpha w14:val="100000"/>
              </w14:srgbClr>
            </w14:solidFill>
          </w14:textFill>
        </w:rPr>
        <w:t>|||  ||</w:t>
      </w:r>
      <w:r w:rsidR="00EB6544" w:rsidRPr="00EB6544">
        <w:rPr>
          <w:color w:val="000000"/>
          <w:spacing w:val="5"/>
          <w:shd w:val="solid" w:color="000000" w:fill="000000"/>
          <w:fitText w:val="471" w:id="-1236572152"/>
          <w14:textFill>
            <w14:solidFill>
              <w14:srgbClr w14:val="000000">
                <w14:alpha w14:val="100000"/>
              </w14:srgbClr>
            </w14:solidFill>
          </w14:textFill>
        </w:rPr>
        <w:t>|</w:t>
      </w:r>
      <w:r w:rsidRPr="002F733E">
        <w:t xml:space="preserve">) </w:t>
      </w:r>
      <w:r w:rsidR="00B12EEF" w:rsidRPr="002F733E">
        <w:t xml:space="preserve">in total patient years in Year 1, </w:t>
      </w:r>
      <w:r w:rsidRPr="002F733E">
        <w:t xml:space="preserve">continuing treatment </w:t>
      </w:r>
      <w:r w:rsidR="00B12EEF" w:rsidRPr="002F733E">
        <w:t>scripts for these patient</w:t>
      </w:r>
      <w:r w:rsidR="00781A0F" w:rsidRPr="002F733E">
        <w:t>s</w:t>
      </w:r>
      <w:r w:rsidR="00B12EEF" w:rsidRPr="002F733E">
        <w:t xml:space="preserve"> </w:t>
      </w:r>
      <w:r w:rsidRPr="002F733E">
        <w:t>after 6mth</w:t>
      </w:r>
      <w:r w:rsidR="00B12EEF" w:rsidRPr="002F733E">
        <w:t xml:space="preserve"> in Yr 1 have not been included in the submission’s estimates</w:t>
      </w:r>
      <w:r w:rsidRPr="002F733E">
        <w:t>.</w:t>
      </w:r>
    </w:p>
    <w:p w14:paraId="00EE0DD2" w14:textId="357AD430" w:rsidR="009734FD" w:rsidRPr="002F733E" w:rsidRDefault="009734FD" w:rsidP="009734FD">
      <w:pPr>
        <w:pStyle w:val="TableFigureFooter"/>
        <w:keepNext/>
        <w:keepLines/>
      </w:pPr>
      <w:r w:rsidRPr="002F733E">
        <w:t>*</w:t>
      </w:r>
      <w:r w:rsidRPr="002F733E">
        <w:tab/>
        <w:t>The resubmission’s estimates did not include MBS infusion costs for grandfather patients.</w:t>
      </w:r>
    </w:p>
    <w:p w14:paraId="442AFA5F" w14:textId="3CB071DB" w:rsidR="00333B9E" w:rsidRDefault="00333B9E" w:rsidP="009734FD">
      <w:pPr>
        <w:pStyle w:val="TableFigureFooter"/>
        <w:keepNext/>
        <w:keepLines/>
      </w:pPr>
      <w:r w:rsidRPr="002F733E">
        <w:t># The PSCR applied a continuation rate of 77.55%</w:t>
      </w:r>
      <w:r w:rsidR="00403C72" w:rsidRPr="002F733E">
        <w:t xml:space="preserve"> following </w:t>
      </w:r>
      <w:r w:rsidRPr="002F733E">
        <w:t xml:space="preserve">a transcription error </w:t>
      </w:r>
      <w:r w:rsidR="00403C72" w:rsidRPr="002F733E">
        <w:t>in the commentary.</w:t>
      </w:r>
      <w:r w:rsidRPr="002F733E">
        <w:t xml:space="preserve"> </w:t>
      </w:r>
      <w:r w:rsidR="00403C72" w:rsidRPr="002F733E">
        <w:t xml:space="preserve">The </w:t>
      </w:r>
      <w:r w:rsidRPr="002F733E">
        <w:t xml:space="preserve">actual rate </w:t>
      </w:r>
      <w:r w:rsidR="00403C72" w:rsidRPr="002F733E">
        <w:t xml:space="preserve">was </w:t>
      </w:r>
      <w:r w:rsidRPr="002F733E">
        <w:t>70.55</w:t>
      </w:r>
      <w:r w:rsidR="00F17591" w:rsidRPr="002F733E">
        <w:t>%</w:t>
      </w:r>
      <w:r w:rsidR="00711B44" w:rsidRPr="002F733E">
        <w:t>.</w:t>
      </w:r>
      <w:r w:rsidR="002D3FB8" w:rsidRPr="002F733E">
        <w:t xml:space="preserve"> Corrected values are presented above.</w:t>
      </w:r>
      <w:r w:rsidR="009F553A" w:rsidRPr="002F733E">
        <w:t xml:space="preserve"> Other changes to the </w:t>
      </w:r>
      <w:r w:rsidR="00775248" w:rsidRPr="002F733E">
        <w:t>financial estimates were as per the PSCR.</w:t>
      </w:r>
    </w:p>
    <w:p w14:paraId="580CC117" w14:textId="50627C5C" w:rsidR="00C56A14" w:rsidRPr="00EB6544" w:rsidRDefault="00C56A14" w:rsidP="009734FD">
      <w:pPr>
        <w:pStyle w:val="TableFigureFooter"/>
        <w:keepNext/>
        <w:keepLines/>
        <w:rPr>
          <w:i/>
          <w:iCs/>
        </w:rPr>
      </w:pPr>
      <w:r w:rsidRPr="00EB6544">
        <w:rPr>
          <w:i/>
          <w:iCs/>
        </w:rPr>
        <w:t>The redacted values correspond to the following ranges:</w:t>
      </w:r>
    </w:p>
    <w:p w14:paraId="6D49BEFE" w14:textId="7E20341E" w:rsidR="00C56A14" w:rsidRPr="00EB6544" w:rsidRDefault="00C56A14" w:rsidP="00C56A14">
      <w:pPr>
        <w:pStyle w:val="TableFigureFooter"/>
        <w:keepNext/>
        <w:keepLines/>
        <w:tabs>
          <w:tab w:val="left" w:pos="1761"/>
        </w:tabs>
        <w:rPr>
          <w:i/>
          <w:iCs/>
        </w:rPr>
      </w:pPr>
      <w:r w:rsidRPr="00EB6544">
        <w:rPr>
          <w:i/>
          <w:iCs/>
          <w:vertAlign w:val="superscript"/>
        </w:rPr>
        <w:t>1</w:t>
      </w:r>
      <w:r w:rsidRPr="00EB6544">
        <w:rPr>
          <w:i/>
          <w:iCs/>
        </w:rPr>
        <w:t xml:space="preserve"> 10,000 to &lt; 20,000</w:t>
      </w:r>
    </w:p>
    <w:p w14:paraId="347C4EDF" w14:textId="1646E8BD" w:rsidR="00C56A14" w:rsidRPr="00EB6544" w:rsidRDefault="00C56A14" w:rsidP="00C56A14">
      <w:pPr>
        <w:pStyle w:val="TableFigureFooter"/>
        <w:keepNext/>
        <w:keepLines/>
        <w:tabs>
          <w:tab w:val="left" w:pos="1761"/>
        </w:tabs>
        <w:rPr>
          <w:i/>
          <w:iCs/>
        </w:rPr>
      </w:pPr>
      <w:r w:rsidRPr="00EB6544">
        <w:rPr>
          <w:i/>
          <w:iCs/>
          <w:vertAlign w:val="superscript"/>
        </w:rPr>
        <w:t>2</w:t>
      </w:r>
      <w:r w:rsidRPr="00EB6544">
        <w:rPr>
          <w:i/>
          <w:iCs/>
        </w:rPr>
        <w:t xml:space="preserve"> 20,000 to &lt; 30,000</w:t>
      </w:r>
    </w:p>
    <w:p w14:paraId="395B64C4" w14:textId="6F049D16" w:rsidR="00C56A14" w:rsidRPr="00EB6544" w:rsidRDefault="00C56A14" w:rsidP="00C56A14">
      <w:pPr>
        <w:pStyle w:val="TableFigureFooter"/>
        <w:keepNext/>
        <w:keepLines/>
        <w:tabs>
          <w:tab w:val="left" w:pos="1761"/>
        </w:tabs>
        <w:rPr>
          <w:i/>
          <w:iCs/>
        </w:rPr>
      </w:pPr>
      <w:r w:rsidRPr="00EB6544">
        <w:rPr>
          <w:i/>
          <w:iCs/>
          <w:vertAlign w:val="superscript"/>
        </w:rPr>
        <w:t>3</w:t>
      </w:r>
      <w:r w:rsidRPr="00EB6544">
        <w:rPr>
          <w:i/>
          <w:iCs/>
        </w:rPr>
        <w:t xml:space="preserve"> 100,000 to &lt; 200,000</w:t>
      </w:r>
    </w:p>
    <w:p w14:paraId="1F0B35A7" w14:textId="0048905F" w:rsidR="00C56A14" w:rsidRPr="00EB6544" w:rsidRDefault="00C56A14" w:rsidP="00C56A14">
      <w:pPr>
        <w:pStyle w:val="TableFigureFooter"/>
        <w:keepNext/>
        <w:keepLines/>
        <w:tabs>
          <w:tab w:val="left" w:pos="1761"/>
        </w:tabs>
        <w:rPr>
          <w:i/>
          <w:iCs/>
        </w:rPr>
      </w:pPr>
      <w:r w:rsidRPr="00EB6544">
        <w:rPr>
          <w:i/>
          <w:iCs/>
          <w:vertAlign w:val="superscript"/>
        </w:rPr>
        <w:t>4</w:t>
      </w:r>
      <w:r w:rsidRPr="00EB6544">
        <w:rPr>
          <w:i/>
          <w:iCs/>
        </w:rPr>
        <w:t xml:space="preserve"> 5,000 to &lt; 10,000</w:t>
      </w:r>
    </w:p>
    <w:p w14:paraId="7AD72B01" w14:textId="66B101B2" w:rsidR="00C56A14" w:rsidRPr="00EB6544" w:rsidRDefault="00C56A14" w:rsidP="00C56A14">
      <w:pPr>
        <w:pStyle w:val="TableFigureFooter"/>
        <w:keepNext/>
        <w:keepLines/>
        <w:tabs>
          <w:tab w:val="left" w:pos="1761"/>
        </w:tabs>
        <w:rPr>
          <w:i/>
          <w:iCs/>
        </w:rPr>
      </w:pPr>
      <w:r w:rsidRPr="00EB6544">
        <w:rPr>
          <w:i/>
          <w:iCs/>
          <w:vertAlign w:val="superscript"/>
        </w:rPr>
        <w:t>5</w:t>
      </w:r>
      <w:r w:rsidRPr="00EB6544">
        <w:rPr>
          <w:i/>
          <w:iCs/>
        </w:rPr>
        <w:t xml:space="preserve"> 500 to &lt; 5,000</w:t>
      </w:r>
    </w:p>
    <w:p w14:paraId="2F9AFD34" w14:textId="049C5156" w:rsidR="00C56A14" w:rsidRPr="00EB6544" w:rsidRDefault="00C56A14" w:rsidP="00C56A14">
      <w:pPr>
        <w:pStyle w:val="TableFigureFooter"/>
        <w:keepNext/>
        <w:keepLines/>
        <w:tabs>
          <w:tab w:val="left" w:pos="1761"/>
        </w:tabs>
        <w:rPr>
          <w:i/>
          <w:iCs/>
        </w:rPr>
      </w:pPr>
      <w:r w:rsidRPr="00EB6544">
        <w:rPr>
          <w:i/>
          <w:iCs/>
          <w:vertAlign w:val="superscript"/>
        </w:rPr>
        <w:t>6</w:t>
      </w:r>
      <w:r w:rsidRPr="00EB6544">
        <w:rPr>
          <w:i/>
          <w:iCs/>
        </w:rPr>
        <w:t xml:space="preserve"> 30,000 to &lt; 40,000</w:t>
      </w:r>
    </w:p>
    <w:p w14:paraId="7BE8FB53" w14:textId="35580B1A" w:rsidR="00C56A14" w:rsidRPr="00EB6544" w:rsidRDefault="00C56A14" w:rsidP="00C56A14">
      <w:pPr>
        <w:pStyle w:val="TableFigureFooter"/>
        <w:keepNext/>
        <w:keepLines/>
        <w:tabs>
          <w:tab w:val="left" w:pos="1761"/>
        </w:tabs>
        <w:rPr>
          <w:i/>
          <w:iCs/>
        </w:rPr>
      </w:pPr>
      <w:r w:rsidRPr="00EB6544">
        <w:rPr>
          <w:i/>
          <w:iCs/>
          <w:vertAlign w:val="superscript"/>
        </w:rPr>
        <w:t>7</w:t>
      </w:r>
      <w:r w:rsidRPr="00EB6544">
        <w:rPr>
          <w:i/>
          <w:iCs/>
        </w:rPr>
        <w:t xml:space="preserve"> 40,000 to &lt; 50,000</w:t>
      </w:r>
    </w:p>
    <w:p w14:paraId="0DAEC601" w14:textId="6E6EFF4B" w:rsidR="00C56A14" w:rsidRPr="00EB6544" w:rsidRDefault="00C56A14" w:rsidP="00C56A14">
      <w:pPr>
        <w:pStyle w:val="TableFigureFooter"/>
        <w:keepNext/>
        <w:keepLines/>
        <w:tabs>
          <w:tab w:val="left" w:pos="1761"/>
        </w:tabs>
        <w:rPr>
          <w:i/>
          <w:iCs/>
        </w:rPr>
      </w:pPr>
      <w:r w:rsidRPr="00EB6544">
        <w:rPr>
          <w:i/>
          <w:iCs/>
          <w:vertAlign w:val="superscript"/>
        </w:rPr>
        <w:t>8</w:t>
      </w:r>
      <w:r w:rsidRPr="00EB6544">
        <w:rPr>
          <w:i/>
          <w:iCs/>
        </w:rPr>
        <w:t xml:space="preserve"> 60,000 to &lt; 70,000</w:t>
      </w:r>
    </w:p>
    <w:p w14:paraId="3344D86F" w14:textId="508AC7A0" w:rsidR="00C56A14" w:rsidRPr="00EB6544" w:rsidRDefault="00C56A14" w:rsidP="00C56A14">
      <w:pPr>
        <w:pStyle w:val="TableFigureFooter"/>
        <w:keepNext/>
        <w:keepLines/>
        <w:tabs>
          <w:tab w:val="left" w:pos="1761"/>
        </w:tabs>
        <w:rPr>
          <w:i/>
          <w:iCs/>
        </w:rPr>
      </w:pPr>
      <w:r w:rsidRPr="00EB6544">
        <w:rPr>
          <w:i/>
          <w:iCs/>
          <w:vertAlign w:val="superscript"/>
        </w:rPr>
        <w:t>9</w:t>
      </w:r>
      <w:r w:rsidRPr="00EB6544">
        <w:rPr>
          <w:i/>
          <w:iCs/>
        </w:rPr>
        <w:t xml:space="preserve"> 80,000 to &lt; 90,000</w:t>
      </w:r>
    </w:p>
    <w:p w14:paraId="77191A9D" w14:textId="50D41119" w:rsidR="00C56A14" w:rsidRPr="00EB6544" w:rsidRDefault="00C56A14" w:rsidP="00C56A14">
      <w:pPr>
        <w:pStyle w:val="TableFigureFooter"/>
        <w:keepNext/>
        <w:keepLines/>
        <w:tabs>
          <w:tab w:val="left" w:pos="1761"/>
        </w:tabs>
        <w:rPr>
          <w:i/>
          <w:iCs/>
        </w:rPr>
      </w:pPr>
      <w:r w:rsidRPr="00EB6544">
        <w:rPr>
          <w:i/>
          <w:iCs/>
          <w:vertAlign w:val="superscript"/>
        </w:rPr>
        <w:t>10</w:t>
      </w:r>
      <w:r w:rsidRPr="00EB6544">
        <w:rPr>
          <w:i/>
          <w:iCs/>
        </w:rPr>
        <w:t xml:space="preserve"> 90,000 to &lt; 100,000</w:t>
      </w:r>
    </w:p>
    <w:p w14:paraId="72A0D3B5" w14:textId="00FA0EED" w:rsidR="00C56A14" w:rsidRPr="00EB6544" w:rsidRDefault="00C56A14" w:rsidP="00C56A14">
      <w:pPr>
        <w:pStyle w:val="TableFigureFooter"/>
        <w:keepNext/>
        <w:keepLines/>
        <w:tabs>
          <w:tab w:val="left" w:pos="1761"/>
        </w:tabs>
        <w:rPr>
          <w:i/>
          <w:iCs/>
        </w:rPr>
      </w:pPr>
      <w:r w:rsidRPr="00EB6544">
        <w:rPr>
          <w:i/>
          <w:iCs/>
          <w:vertAlign w:val="superscript"/>
        </w:rPr>
        <w:t>11</w:t>
      </w:r>
      <w:r w:rsidRPr="00EB6544">
        <w:rPr>
          <w:i/>
          <w:iCs/>
        </w:rPr>
        <w:t xml:space="preserve"> 300,000 to &lt; 400,000</w:t>
      </w:r>
    </w:p>
    <w:p w14:paraId="141B458F" w14:textId="61221CA2" w:rsidR="00C56A14" w:rsidRPr="00EB6544" w:rsidRDefault="00C56A14" w:rsidP="00C56A14">
      <w:pPr>
        <w:pStyle w:val="TableFigureFooter"/>
        <w:keepNext/>
        <w:keepLines/>
        <w:tabs>
          <w:tab w:val="left" w:pos="1761"/>
        </w:tabs>
        <w:rPr>
          <w:i/>
          <w:iCs/>
        </w:rPr>
      </w:pPr>
      <w:r w:rsidRPr="00EB6544">
        <w:rPr>
          <w:i/>
          <w:iCs/>
          <w:vertAlign w:val="superscript"/>
        </w:rPr>
        <w:t>12</w:t>
      </w:r>
      <w:r w:rsidRPr="00EB6544">
        <w:rPr>
          <w:i/>
          <w:iCs/>
        </w:rPr>
        <w:t xml:space="preserve"> 100,000 to &lt; 200,000</w:t>
      </w:r>
    </w:p>
    <w:p w14:paraId="74B1512F" w14:textId="0F5B3F8B" w:rsidR="00C56A14" w:rsidRPr="00EB6544" w:rsidRDefault="00C56A14" w:rsidP="00C56A14">
      <w:pPr>
        <w:pStyle w:val="TableFigureFooter"/>
        <w:keepNext/>
        <w:keepLines/>
        <w:tabs>
          <w:tab w:val="left" w:pos="1761"/>
        </w:tabs>
        <w:rPr>
          <w:i/>
          <w:iCs/>
        </w:rPr>
      </w:pPr>
      <w:r w:rsidRPr="00EB6544">
        <w:rPr>
          <w:i/>
          <w:iCs/>
          <w:vertAlign w:val="superscript"/>
        </w:rPr>
        <w:t>13</w:t>
      </w:r>
      <w:r w:rsidRPr="00EB6544">
        <w:rPr>
          <w:i/>
          <w:iCs/>
        </w:rPr>
        <w:t xml:space="preserve"> $20 million to &lt; $30 million</w:t>
      </w:r>
    </w:p>
    <w:p w14:paraId="3AA16102" w14:textId="1D641395" w:rsidR="00C56A14" w:rsidRPr="00EB6544" w:rsidRDefault="00C56A14" w:rsidP="00C56A14">
      <w:pPr>
        <w:pStyle w:val="TableFigureFooter"/>
        <w:keepNext/>
        <w:keepLines/>
        <w:tabs>
          <w:tab w:val="left" w:pos="1761"/>
        </w:tabs>
        <w:rPr>
          <w:i/>
          <w:iCs/>
        </w:rPr>
      </w:pPr>
      <w:r w:rsidRPr="00EB6544">
        <w:rPr>
          <w:i/>
          <w:iCs/>
          <w:vertAlign w:val="superscript"/>
        </w:rPr>
        <w:t>14</w:t>
      </w:r>
      <w:r w:rsidRPr="00EB6544">
        <w:rPr>
          <w:i/>
          <w:iCs/>
        </w:rPr>
        <w:t xml:space="preserve"> $30 million to &lt; $40 million</w:t>
      </w:r>
    </w:p>
    <w:p w14:paraId="23500B87" w14:textId="0D2AA858" w:rsidR="00C56A14" w:rsidRPr="00EB6544" w:rsidRDefault="00C56A14" w:rsidP="00C56A14">
      <w:pPr>
        <w:pStyle w:val="TableFigureFooter"/>
        <w:keepNext/>
        <w:keepLines/>
        <w:tabs>
          <w:tab w:val="left" w:pos="1761"/>
        </w:tabs>
        <w:rPr>
          <w:i/>
          <w:iCs/>
        </w:rPr>
      </w:pPr>
      <w:r w:rsidRPr="00EB6544">
        <w:rPr>
          <w:i/>
          <w:iCs/>
          <w:vertAlign w:val="superscript"/>
        </w:rPr>
        <w:t>15</w:t>
      </w:r>
      <w:r w:rsidRPr="00EB6544">
        <w:rPr>
          <w:i/>
          <w:iCs/>
        </w:rPr>
        <w:t xml:space="preserve"> $50 million to &lt; $60 million</w:t>
      </w:r>
    </w:p>
    <w:p w14:paraId="3888DF9B" w14:textId="65E1AB6B" w:rsidR="00C56A14" w:rsidRPr="00EB6544" w:rsidRDefault="00C56A14" w:rsidP="00C56A14">
      <w:pPr>
        <w:pStyle w:val="TableFigureFooter"/>
        <w:keepNext/>
        <w:keepLines/>
        <w:tabs>
          <w:tab w:val="left" w:pos="1761"/>
        </w:tabs>
        <w:rPr>
          <w:i/>
          <w:iCs/>
        </w:rPr>
      </w:pPr>
      <w:r w:rsidRPr="00EB6544">
        <w:rPr>
          <w:i/>
          <w:iCs/>
          <w:vertAlign w:val="superscript"/>
        </w:rPr>
        <w:t>16</w:t>
      </w:r>
      <w:r w:rsidRPr="00EB6544">
        <w:rPr>
          <w:i/>
          <w:iCs/>
        </w:rPr>
        <w:t xml:space="preserve"> $40 million to &lt; $50 million</w:t>
      </w:r>
    </w:p>
    <w:p w14:paraId="1D7A187E" w14:textId="23B13691" w:rsidR="00C56A14" w:rsidRPr="00EB6544" w:rsidRDefault="00C56A14" w:rsidP="00C56A14">
      <w:pPr>
        <w:pStyle w:val="TableFigureFooter"/>
        <w:keepNext/>
        <w:keepLines/>
        <w:tabs>
          <w:tab w:val="left" w:pos="1761"/>
        </w:tabs>
        <w:rPr>
          <w:i/>
          <w:iCs/>
        </w:rPr>
      </w:pPr>
      <w:r w:rsidRPr="00EB6544">
        <w:rPr>
          <w:i/>
          <w:iCs/>
          <w:vertAlign w:val="superscript"/>
        </w:rPr>
        <w:t>17</w:t>
      </w:r>
      <w:r w:rsidRPr="00EB6544">
        <w:rPr>
          <w:i/>
          <w:iCs/>
        </w:rPr>
        <w:t xml:space="preserve"> $80 million to &lt; $90 million</w:t>
      </w:r>
    </w:p>
    <w:p w14:paraId="60871152" w14:textId="4A57A528" w:rsidR="00C56A14" w:rsidRPr="00EB6544" w:rsidRDefault="00C56A14" w:rsidP="00C56A14">
      <w:pPr>
        <w:pStyle w:val="TableFigureFooter"/>
        <w:keepNext/>
        <w:keepLines/>
        <w:tabs>
          <w:tab w:val="left" w:pos="1761"/>
        </w:tabs>
        <w:rPr>
          <w:i/>
          <w:iCs/>
        </w:rPr>
      </w:pPr>
      <w:r w:rsidRPr="00EB6544">
        <w:rPr>
          <w:i/>
          <w:iCs/>
          <w:vertAlign w:val="superscript"/>
        </w:rPr>
        <w:t>18</w:t>
      </w:r>
      <w:r w:rsidRPr="00EB6544">
        <w:rPr>
          <w:i/>
          <w:iCs/>
        </w:rPr>
        <w:t xml:space="preserve"> $100 million to &lt; $200 million</w:t>
      </w:r>
    </w:p>
    <w:p w14:paraId="1F67C9D2" w14:textId="0918D5AE" w:rsidR="00C56A14" w:rsidRPr="00EB6544" w:rsidRDefault="00C56A14" w:rsidP="00C56A14">
      <w:pPr>
        <w:pStyle w:val="TableFigureFooter"/>
        <w:keepNext/>
        <w:keepLines/>
        <w:tabs>
          <w:tab w:val="left" w:pos="1761"/>
        </w:tabs>
        <w:rPr>
          <w:i/>
          <w:iCs/>
        </w:rPr>
      </w:pPr>
      <w:r w:rsidRPr="00EB6544">
        <w:rPr>
          <w:i/>
          <w:iCs/>
          <w:vertAlign w:val="superscript"/>
        </w:rPr>
        <w:t>19</w:t>
      </w:r>
      <w:r w:rsidRPr="00EB6544">
        <w:rPr>
          <w:i/>
          <w:iCs/>
        </w:rPr>
        <w:t xml:space="preserve"> $500 million to &lt; $600 million</w:t>
      </w:r>
    </w:p>
    <w:p w14:paraId="18CA1D80" w14:textId="5510B3E9" w:rsidR="00C56A14" w:rsidRPr="00EB6544" w:rsidRDefault="00C56A14" w:rsidP="00C56A14">
      <w:pPr>
        <w:pStyle w:val="TableFigureFooter"/>
        <w:keepNext/>
        <w:keepLines/>
        <w:tabs>
          <w:tab w:val="left" w:pos="1761"/>
        </w:tabs>
        <w:rPr>
          <w:i/>
          <w:iCs/>
        </w:rPr>
      </w:pPr>
      <w:r w:rsidRPr="00EB6544">
        <w:rPr>
          <w:i/>
          <w:iCs/>
          <w:vertAlign w:val="superscript"/>
        </w:rPr>
        <w:t xml:space="preserve">20 </w:t>
      </w:r>
      <w:r w:rsidRPr="00EB6544">
        <w:rPr>
          <w:i/>
          <w:iCs/>
        </w:rPr>
        <w:t>$200 million to &lt; $300 million</w:t>
      </w:r>
    </w:p>
    <w:p w14:paraId="7CD2D79E" w14:textId="32C9549E" w:rsidR="00C56A14" w:rsidRPr="00EB6544" w:rsidRDefault="00C56A14" w:rsidP="00C56A14">
      <w:pPr>
        <w:pStyle w:val="TableFigureFooter"/>
        <w:keepNext/>
        <w:keepLines/>
        <w:tabs>
          <w:tab w:val="left" w:pos="1761"/>
        </w:tabs>
        <w:rPr>
          <w:i/>
          <w:iCs/>
        </w:rPr>
      </w:pPr>
      <w:r w:rsidRPr="00EB6544">
        <w:rPr>
          <w:i/>
          <w:iCs/>
          <w:vertAlign w:val="superscript"/>
        </w:rPr>
        <w:t>21</w:t>
      </w:r>
      <w:r w:rsidRPr="00EB6544">
        <w:rPr>
          <w:i/>
          <w:iCs/>
        </w:rPr>
        <w:t xml:space="preserve"> net cost saving</w:t>
      </w:r>
    </w:p>
    <w:p w14:paraId="70BFF774" w14:textId="78BEC2A9" w:rsidR="00C56A14" w:rsidRPr="00EB6544" w:rsidRDefault="00C56A14" w:rsidP="00C56A14">
      <w:pPr>
        <w:pStyle w:val="TableFigureFooter"/>
        <w:keepNext/>
        <w:keepLines/>
        <w:tabs>
          <w:tab w:val="left" w:pos="1761"/>
        </w:tabs>
        <w:rPr>
          <w:i/>
          <w:iCs/>
        </w:rPr>
      </w:pPr>
      <w:r w:rsidRPr="00EB6544">
        <w:rPr>
          <w:i/>
          <w:iCs/>
          <w:vertAlign w:val="superscript"/>
        </w:rPr>
        <w:t>22</w:t>
      </w:r>
      <w:r w:rsidRPr="00EB6544">
        <w:rPr>
          <w:i/>
          <w:iCs/>
        </w:rPr>
        <w:t xml:space="preserve"> $0 to &lt; $10 million</w:t>
      </w:r>
    </w:p>
    <w:p w14:paraId="493ECC66" w14:textId="2BB3C148" w:rsidR="00C56A14" w:rsidRPr="00EB6544" w:rsidRDefault="00C56A14" w:rsidP="00C56A14">
      <w:pPr>
        <w:pStyle w:val="TableFigureFooter"/>
        <w:keepNext/>
        <w:keepLines/>
        <w:tabs>
          <w:tab w:val="left" w:pos="1761"/>
        </w:tabs>
        <w:rPr>
          <w:i/>
          <w:iCs/>
        </w:rPr>
      </w:pPr>
      <w:r w:rsidRPr="00EB6544">
        <w:rPr>
          <w:i/>
          <w:iCs/>
          <w:vertAlign w:val="superscript"/>
        </w:rPr>
        <w:t>23</w:t>
      </w:r>
      <w:r w:rsidRPr="00EB6544">
        <w:rPr>
          <w:i/>
          <w:iCs/>
        </w:rPr>
        <w:t xml:space="preserve"> $10 million to &lt; $20 million</w:t>
      </w:r>
    </w:p>
    <w:p w14:paraId="2A0AA619" w14:textId="541EB8D6" w:rsidR="00C56A14" w:rsidRPr="00EB6544" w:rsidRDefault="00C56A14" w:rsidP="00C56A14">
      <w:pPr>
        <w:pStyle w:val="TableFigureFooter"/>
        <w:keepNext/>
        <w:keepLines/>
        <w:tabs>
          <w:tab w:val="left" w:pos="1761"/>
        </w:tabs>
        <w:rPr>
          <w:i/>
          <w:iCs/>
        </w:rPr>
      </w:pPr>
      <w:r w:rsidRPr="00EB6544">
        <w:rPr>
          <w:i/>
          <w:iCs/>
          <w:vertAlign w:val="superscript"/>
        </w:rPr>
        <w:t>24</w:t>
      </w:r>
      <w:r w:rsidRPr="00EB6544">
        <w:rPr>
          <w:i/>
          <w:iCs/>
        </w:rPr>
        <w:t xml:space="preserve"> $600 million to &lt; $700 million</w:t>
      </w:r>
    </w:p>
    <w:p w14:paraId="39A5C382" w14:textId="78CCCE4B" w:rsidR="00C56A14" w:rsidRPr="00EB6544" w:rsidRDefault="00C56A14" w:rsidP="00C56A14">
      <w:pPr>
        <w:pStyle w:val="TableFigureFooter"/>
        <w:keepNext/>
        <w:keepLines/>
        <w:tabs>
          <w:tab w:val="left" w:pos="1761"/>
        </w:tabs>
        <w:rPr>
          <w:i/>
          <w:iCs/>
        </w:rPr>
      </w:pPr>
      <w:r w:rsidRPr="00EB6544">
        <w:rPr>
          <w:i/>
          <w:iCs/>
          <w:vertAlign w:val="superscript"/>
        </w:rPr>
        <w:t>25</w:t>
      </w:r>
      <w:r w:rsidRPr="00EB6544">
        <w:rPr>
          <w:i/>
          <w:iCs/>
        </w:rPr>
        <w:t xml:space="preserve"> $60 million to &lt; $70 million</w:t>
      </w:r>
    </w:p>
    <w:p w14:paraId="641315D8" w14:textId="265ECD14" w:rsidR="00C56A14" w:rsidRPr="00EB6544" w:rsidRDefault="00C56A14" w:rsidP="00C56A14">
      <w:pPr>
        <w:pStyle w:val="TableFigureFooter"/>
        <w:keepNext/>
        <w:keepLines/>
        <w:tabs>
          <w:tab w:val="left" w:pos="1761"/>
        </w:tabs>
        <w:rPr>
          <w:i/>
          <w:iCs/>
        </w:rPr>
      </w:pPr>
      <w:r w:rsidRPr="00EB6544">
        <w:rPr>
          <w:i/>
          <w:iCs/>
          <w:vertAlign w:val="superscript"/>
        </w:rPr>
        <w:t>26</w:t>
      </w:r>
      <w:r w:rsidRPr="00EB6544">
        <w:rPr>
          <w:i/>
          <w:iCs/>
        </w:rPr>
        <w:t xml:space="preserve"> 70,000 to &lt; 80,000</w:t>
      </w:r>
    </w:p>
    <w:p w14:paraId="119CF059" w14:textId="23215FA3" w:rsidR="009734FD" w:rsidRPr="002F733E" w:rsidRDefault="009734FD" w:rsidP="009734FD">
      <w:pPr>
        <w:pStyle w:val="3-BodyText"/>
      </w:pPr>
      <w:bookmarkStart w:id="68" w:name="_Ref127282611"/>
      <w:r w:rsidRPr="002F733E">
        <w:t xml:space="preserve">The financial impact </w:t>
      </w:r>
      <w:r w:rsidR="00DC7889">
        <w:t xml:space="preserve">estimated in the pre-PBAC response </w:t>
      </w:r>
      <w:r w:rsidRPr="002F733E">
        <w:t xml:space="preserve">may </w:t>
      </w:r>
      <w:r w:rsidR="00640B1D" w:rsidRPr="002F733E">
        <w:t xml:space="preserve">still </w:t>
      </w:r>
      <w:r w:rsidRPr="002F733E">
        <w:t xml:space="preserve">be </w:t>
      </w:r>
      <w:r w:rsidRPr="00DC7889">
        <w:t>overestimated</w:t>
      </w:r>
      <w:r w:rsidR="00DC7889">
        <w:t xml:space="preserve"> as</w:t>
      </w:r>
      <w:r w:rsidRPr="002F733E">
        <w:t>:</w:t>
      </w:r>
      <w:bookmarkEnd w:id="68"/>
    </w:p>
    <w:p w14:paraId="652629CE" w14:textId="37A25E36" w:rsidR="0022383E" w:rsidRPr="002F733E" w:rsidRDefault="0022383E" w:rsidP="00DC7889">
      <w:pPr>
        <w:pStyle w:val="ListParagraph"/>
        <w:numPr>
          <w:ilvl w:val="0"/>
          <w:numId w:val="14"/>
        </w:numPr>
        <w:ind w:left="993" w:hanging="284"/>
      </w:pPr>
      <w:r w:rsidRPr="002F733E">
        <w:t>Given grandfather patients were not removed from the prevalent pool of eligible patients, there was potential double counting of patients in Year 1.</w:t>
      </w:r>
      <w:r w:rsidR="00711B44" w:rsidRPr="002F733E">
        <w:t xml:space="preserve"> The PSCR provided revised estimates which reduced the number of grandfather patients from </w:t>
      </w:r>
      <w:r w:rsidR="00C56A14">
        <w:t>&lt;</w:t>
      </w:r>
      <w:r w:rsidR="00612BA3">
        <w:t> </w:t>
      </w:r>
      <w:r w:rsidR="00C56A14">
        <w:t>500</w:t>
      </w:r>
      <w:r w:rsidR="00612BA3">
        <w:t xml:space="preserve"> </w:t>
      </w:r>
      <w:r w:rsidR="00711B44" w:rsidRPr="002F733E">
        <w:t xml:space="preserve">to </w:t>
      </w:r>
      <w:r w:rsidR="00C56A14">
        <w:t>&lt;</w:t>
      </w:r>
      <w:r w:rsidR="00612BA3">
        <w:t> </w:t>
      </w:r>
      <w:r w:rsidR="00C56A14">
        <w:t>500</w:t>
      </w:r>
      <w:r w:rsidR="00711B44" w:rsidRPr="002F733E">
        <w:t>.</w:t>
      </w:r>
    </w:p>
    <w:p w14:paraId="4DB18B48" w14:textId="6328B27C" w:rsidR="00B40AB8" w:rsidRPr="002F733E" w:rsidRDefault="009734FD" w:rsidP="00DC7889">
      <w:pPr>
        <w:pStyle w:val="ListParagraph"/>
        <w:numPr>
          <w:ilvl w:val="0"/>
          <w:numId w:val="14"/>
        </w:numPr>
        <w:ind w:left="993" w:hanging="284"/>
      </w:pPr>
      <w:r w:rsidRPr="002F733E">
        <w:t>Similar to the July 2022 submission, the resubmission’s financial estimates did not account for patient mortality,</w:t>
      </w:r>
      <w:r w:rsidR="00EC1833" w:rsidRPr="002F733E">
        <w:t xml:space="preserve"> and</w:t>
      </w:r>
      <w:r w:rsidRPr="002F733E">
        <w:t xml:space="preserve"> there</w:t>
      </w:r>
      <w:r w:rsidR="00EC1833" w:rsidRPr="002F733E">
        <w:t>fore</w:t>
      </w:r>
      <w:r w:rsidRPr="002F733E">
        <w:t xml:space="preserve"> may overestimate the length of time on treatment.</w:t>
      </w:r>
      <w:r w:rsidR="005B71BA" w:rsidRPr="002F733E">
        <w:t xml:space="preserve">  </w:t>
      </w:r>
    </w:p>
    <w:p w14:paraId="00E63A87" w14:textId="1B7E3182" w:rsidR="00781A0F" w:rsidRPr="002F733E" w:rsidRDefault="00781A0F" w:rsidP="00781A0F">
      <w:pPr>
        <w:pStyle w:val="4-SubsectionHeading"/>
      </w:pPr>
      <w:bookmarkStart w:id="69" w:name="_Toc22897648"/>
      <w:bookmarkStart w:id="70" w:name="_Toc124521455"/>
      <w:r w:rsidRPr="002F733E">
        <w:t>Quality Use of Medicines</w:t>
      </w:r>
      <w:bookmarkEnd w:id="69"/>
      <w:bookmarkEnd w:id="70"/>
    </w:p>
    <w:p w14:paraId="68F4D4EE" w14:textId="0F659BE6" w:rsidR="00781A0F" w:rsidRPr="002F733E" w:rsidRDefault="00781A0F" w:rsidP="00781A0F">
      <w:pPr>
        <w:pStyle w:val="3-BodyText"/>
      </w:pPr>
      <w:r w:rsidRPr="002F733E">
        <w:t>There were no material changes compared to the July 2022 submission. The resubmission referred to the AstraZeneca Global Patient Safety group which manages pharmacovigilance activities locally. The resubmission stated that there was minimal risk of incorrect administration as anifrolumab is administered by health care professionals with a flat 300</w:t>
      </w:r>
      <w:r w:rsidR="00C56A14">
        <w:t xml:space="preserve"> </w:t>
      </w:r>
      <w:r w:rsidRPr="002F733E">
        <w:t xml:space="preserve">mg dosage. </w:t>
      </w:r>
    </w:p>
    <w:p w14:paraId="38BD0AEF" w14:textId="2D020BE6" w:rsidR="00576972" w:rsidRPr="002F733E" w:rsidRDefault="007735B1" w:rsidP="007735B1">
      <w:pPr>
        <w:pStyle w:val="3-BodyText"/>
      </w:pPr>
      <w:r w:rsidRPr="002F733E">
        <w:t>The resubmission also mentioned plans to provide educational materials to patients and healthcare professionals including a website and text message reminders for infusions.</w:t>
      </w:r>
    </w:p>
    <w:p w14:paraId="6015A395" w14:textId="1A15567F" w:rsidR="00576972" w:rsidRPr="002F733E" w:rsidRDefault="00576972" w:rsidP="00606FBA">
      <w:pPr>
        <w:pStyle w:val="4-SubsectionHeading"/>
      </w:pPr>
      <w:bookmarkStart w:id="71" w:name="_Toc22897649"/>
      <w:bookmarkStart w:id="72" w:name="_Toc124521456"/>
      <w:r w:rsidRPr="002F733E">
        <w:t>Financial Management – Risk Sharing Arrangements</w:t>
      </w:r>
      <w:bookmarkEnd w:id="71"/>
      <w:bookmarkEnd w:id="72"/>
    </w:p>
    <w:p w14:paraId="4486E432" w14:textId="0EF50567" w:rsidR="007735B1" w:rsidRPr="002F733E" w:rsidRDefault="007735B1" w:rsidP="007735B1">
      <w:pPr>
        <w:pStyle w:val="3-BodyText"/>
      </w:pPr>
      <w:r w:rsidRPr="002F733E">
        <w:t xml:space="preserve">The resubmission stated that the sponsor </w:t>
      </w:r>
      <w:r w:rsidR="00640B1D" w:rsidRPr="002F733E">
        <w:t>wa</w:t>
      </w:r>
      <w:r w:rsidRPr="002F733E">
        <w:t>s amenable to discussing appropriate risk sharing arrangements to address any areas of uncertainty to the PBS and the Commonwealth. However, no details were provided in the resubmission.</w:t>
      </w:r>
    </w:p>
    <w:p w14:paraId="5F909642" w14:textId="77777777" w:rsidR="00477A57" w:rsidRPr="002F733E" w:rsidRDefault="007735B1" w:rsidP="00477A57">
      <w:pPr>
        <w:pStyle w:val="3-BodyText"/>
      </w:pPr>
      <w:r w:rsidRPr="002F733E">
        <w:t>The PBAC in its evaluation of the July 2022 anifrolumab submission considered a risk share arrangement with a rebate for use over the expenditure caps would be required given the uncertain size of the patient population (paragraph 7.13 anifrolumab PSD, July 2022 PBAC meeting). In the consideration of belimumab, the PBAC also considered there was a high risk of use outside the restriction given that only a small subset of SLE patients will meet the proposed PBS restriction (paragraph 7.11, belimumab PSD, July 2020 PBAC meeting).</w:t>
      </w:r>
    </w:p>
    <w:p w14:paraId="47062ADC" w14:textId="1EB9F8F5" w:rsidR="00477A57" w:rsidRPr="002F733E" w:rsidRDefault="00477A57" w:rsidP="00477A57">
      <w:pPr>
        <w:pStyle w:val="3-BodyText"/>
        <w:numPr>
          <w:ilvl w:val="0"/>
          <w:numId w:val="0"/>
        </w:numPr>
        <w:ind w:left="720"/>
        <w:rPr>
          <w:i/>
          <w:iCs/>
        </w:rPr>
      </w:pPr>
      <w:r w:rsidRPr="002F733E">
        <w:rPr>
          <w:i/>
          <w:iCs/>
        </w:rPr>
        <w:t>For more detail on PBAC’s view, see section 7 PBAC outcome.</w:t>
      </w:r>
    </w:p>
    <w:p w14:paraId="536BF4FE" w14:textId="77777777" w:rsidR="00477A57" w:rsidRPr="002F733E" w:rsidRDefault="00477A57" w:rsidP="00477A57">
      <w:pPr>
        <w:pStyle w:val="2-SectionHeading"/>
      </w:pPr>
      <w:bookmarkStart w:id="73" w:name="_Hlk76381249"/>
      <w:bookmarkStart w:id="74" w:name="_Hlk76377955"/>
      <w:bookmarkStart w:id="75" w:name="_Hlk128483596"/>
      <w:r w:rsidRPr="002F733E">
        <w:t>PBAC Outcome</w:t>
      </w:r>
    </w:p>
    <w:p w14:paraId="1DD3B931" w14:textId="68103E04" w:rsidR="00CB1436" w:rsidRPr="002F733E" w:rsidRDefault="00CB1436" w:rsidP="00477A57">
      <w:pPr>
        <w:widowControl w:val="0"/>
        <w:numPr>
          <w:ilvl w:val="1"/>
          <w:numId w:val="1"/>
        </w:numPr>
        <w:spacing w:after="120"/>
        <w:rPr>
          <w:rFonts w:asciiTheme="minorHAnsi" w:hAnsiTheme="minorHAnsi"/>
          <w:snapToGrid w:val="0"/>
        </w:rPr>
      </w:pPr>
      <w:bookmarkStart w:id="76" w:name="_Hlk111543188"/>
      <w:r w:rsidRPr="002F733E">
        <w:rPr>
          <w:rFonts w:asciiTheme="minorHAnsi" w:hAnsiTheme="minorHAnsi"/>
          <w:snapToGrid w:val="0"/>
        </w:rPr>
        <w:t>The PBAC did not recommend the listing of anifrol</w:t>
      </w:r>
      <w:r w:rsidR="001A662A" w:rsidRPr="002F733E">
        <w:rPr>
          <w:rFonts w:asciiTheme="minorHAnsi" w:hAnsiTheme="minorHAnsi"/>
          <w:snapToGrid w:val="0"/>
        </w:rPr>
        <w:t>um</w:t>
      </w:r>
      <w:r w:rsidRPr="002F733E">
        <w:rPr>
          <w:rFonts w:asciiTheme="minorHAnsi" w:hAnsiTheme="minorHAnsi"/>
          <w:snapToGrid w:val="0"/>
        </w:rPr>
        <w:t>ab for the treatment of systemic lupus erythematosus (SLE) with high disease activity despite standard of care</w:t>
      </w:r>
      <w:r w:rsidR="00DD325E">
        <w:rPr>
          <w:rFonts w:asciiTheme="minorHAnsi" w:hAnsiTheme="minorHAnsi"/>
          <w:snapToGrid w:val="0"/>
        </w:rPr>
        <w:t xml:space="preserve"> (SOC)</w:t>
      </w:r>
      <w:r w:rsidRPr="002F733E">
        <w:rPr>
          <w:rFonts w:asciiTheme="minorHAnsi" w:hAnsiTheme="minorHAnsi"/>
          <w:snapToGrid w:val="0"/>
        </w:rPr>
        <w:t xml:space="preserve">. The PBAC acknowledged that there is a clinical need for the requested </w:t>
      </w:r>
      <w:r w:rsidR="001A662A" w:rsidRPr="002F733E">
        <w:rPr>
          <w:rFonts w:asciiTheme="minorHAnsi" w:hAnsiTheme="minorHAnsi"/>
          <w:snapToGrid w:val="0"/>
        </w:rPr>
        <w:t>population but</w:t>
      </w:r>
      <w:r w:rsidRPr="002F733E">
        <w:rPr>
          <w:rFonts w:asciiTheme="minorHAnsi" w:hAnsiTheme="minorHAnsi"/>
          <w:snapToGrid w:val="0"/>
        </w:rPr>
        <w:t xml:space="preserve"> remained concerned that the magnitude of benefit associated with anifrolumab was uncertain. The PBAC also considered that the economic model remained highly uncertain and was unreliable for decision making.</w:t>
      </w:r>
    </w:p>
    <w:bookmarkEnd w:id="76"/>
    <w:p w14:paraId="002F9819" w14:textId="3A9664E6" w:rsidR="008E6E58" w:rsidRPr="002F733E" w:rsidRDefault="008E6E58" w:rsidP="008E6E58">
      <w:pPr>
        <w:widowControl w:val="0"/>
        <w:numPr>
          <w:ilvl w:val="1"/>
          <w:numId w:val="1"/>
        </w:numPr>
        <w:spacing w:after="120"/>
        <w:rPr>
          <w:rFonts w:asciiTheme="minorHAnsi" w:hAnsiTheme="minorHAnsi"/>
          <w:snapToGrid w:val="0"/>
        </w:rPr>
      </w:pPr>
      <w:r w:rsidRPr="002F733E">
        <w:rPr>
          <w:rFonts w:asciiTheme="minorHAnsi" w:hAnsiTheme="minorHAnsi"/>
          <w:snapToGrid w:val="0"/>
        </w:rPr>
        <w:t>The PBAC</w:t>
      </w:r>
      <w:r w:rsidR="00DD325E">
        <w:rPr>
          <w:rFonts w:asciiTheme="minorHAnsi" w:hAnsiTheme="minorHAnsi"/>
          <w:snapToGrid w:val="0"/>
        </w:rPr>
        <w:t xml:space="preserve"> not</w:t>
      </w:r>
      <w:r w:rsidR="00A16081">
        <w:rPr>
          <w:rFonts w:asciiTheme="minorHAnsi" w:hAnsiTheme="minorHAnsi"/>
          <w:snapToGrid w:val="0"/>
        </w:rPr>
        <w:t>ed the strong</w:t>
      </w:r>
      <w:r w:rsidR="00DD325E">
        <w:rPr>
          <w:rFonts w:asciiTheme="minorHAnsi" w:hAnsiTheme="minorHAnsi"/>
          <w:snapToGrid w:val="0"/>
        </w:rPr>
        <w:t xml:space="preserve"> consumer support for this item</w:t>
      </w:r>
      <w:r w:rsidR="00A16081">
        <w:rPr>
          <w:rFonts w:asciiTheme="minorHAnsi" w:hAnsiTheme="minorHAnsi"/>
          <w:snapToGrid w:val="0"/>
        </w:rPr>
        <w:t xml:space="preserve"> and agreed that </w:t>
      </w:r>
      <w:r w:rsidRPr="002F733E">
        <w:rPr>
          <w:rFonts w:asciiTheme="minorHAnsi" w:hAnsiTheme="minorHAnsi"/>
          <w:snapToGrid w:val="0"/>
        </w:rPr>
        <w:t>there is a clinical need for effective treatments in the requested population</w:t>
      </w:r>
      <w:r w:rsidRPr="002F733E">
        <w:t>.</w:t>
      </w:r>
      <w:r w:rsidR="008F63A8" w:rsidRPr="002F733E">
        <w:rPr>
          <w:iCs/>
        </w:rPr>
        <w:t xml:space="preserve"> </w:t>
      </w:r>
      <w:r w:rsidR="00291882" w:rsidRPr="002F733E">
        <w:rPr>
          <w:iCs/>
        </w:rPr>
        <w:t xml:space="preserve">The PBAC </w:t>
      </w:r>
      <w:r w:rsidR="00DC7889">
        <w:rPr>
          <w:iCs/>
        </w:rPr>
        <w:t xml:space="preserve">also </w:t>
      </w:r>
      <w:r w:rsidR="00291882" w:rsidRPr="002F733E">
        <w:rPr>
          <w:iCs/>
        </w:rPr>
        <w:t>noted that SLE is an area of significant research interest with numerous therapies in clinical development</w:t>
      </w:r>
      <w:r w:rsidR="00291882" w:rsidRPr="002F733E">
        <w:rPr>
          <w:rStyle w:val="FootnoteReference"/>
          <w:iCs/>
        </w:rPr>
        <w:footnoteReference w:id="14"/>
      </w:r>
      <w:r w:rsidR="00291882" w:rsidRPr="002F733E">
        <w:rPr>
          <w:iCs/>
        </w:rPr>
        <w:t>.</w:t>
      </w:r>
    </w:p>
    <w:p w14:paraId="3CEAA4F0" w14:textId="46BA56E4" w:rsidR="008E6E58" w:rsidRPr="002F733E" w:rsidRDefault="0093122C" w:rsidP="00C93286">
      <w:pPr>
        <w:widowControl w:val="0"/>
        <w:numPr>
          <w:ilvl w:val="1"/>
          <w:numId w:val="1"/>
        </w:numPr>
        <w:spacing w:after="120"/>
        <w:rPr>
          <w:rFonts w:asciiTheme="minorHAnsi" w:hAnsiTheme="minorHAnsi"/>
          <w:snapToGrid w:val="0"/>
        </w:rPr>
      </w:pPr>
      <w:r w:rsidRPr="002F733E">
        <w:t>Consistent with its July 2022 advice, t</w:t>
      </w:r>
      <w:r w:rsidR="008E6E58" w:rsidRPr="002F733E">
        <w:t>he PBAC considered that the proposed clinical place for anifrolumab, which was in patients with persistent disease activity despite receiving SOC, was appropriate</w:t>
      </w:r>
      <w:r w:rsidR="008F63A8" w:rsidRPr="002F733E">
        <w:t>.</w:t>
      </w:r>
      <w:r w:rsidR="00A16081">
        <w:t xml:space="preserve"> The PBAC noted that the approved TGA indication for anifrolumab excluded two groups with a particularly high clinical need, patients with sever</w:t>
      </w:r>
      <w:r w:rsidR="00160A0A">
        <w:t>e</w:t>
      </w:r>
      <w:r w:rsidR="00A16081">
        <w:t xml:space="preserve"> active lupus nephritis and those with sever</w:t>
      </w:r>
      <w:r w:rsidR="00160A0A">
        <w:t>e</w:t>
      </w:r>
      <w:r w:rsidR="00A16081">
        <w:t xml:space="preserve"> active central nervous system lupus.</w:t>
      </w:r>
    </w:p>
    <w:p w14:paraId="63D2C348" w14:textId="1FDAAE47" w:rsidR="008F63A8" w:rsidRPr="002F733E" w:rsidRDefault="008F63A8" w:rsidP="007A16B3">
      <w:pPr>
        <w:pStyle w:val="3-BodyText"/>
        <w:widowControl w:val="0"/>
      </w:pPr>
      <w:r w:rsidRPr="002F733E">
        <w:t xml:space="preserve">The data to support the clinical claim was </w:t>
      </w:r>
      <w:r w:rsidR="00DC7889">
        <w:t xml:space="preserve">again </w:t>
      </w:r>
      <w:r w:rsidRPr="002F733E">
        <w:t>drawn from three head-to-head randomised controlled trials comparing anifrolumab to SOC alone in adults with moderate to severe SLE (TULIP 1, TULIP 2, and MUSE)</w:t>
      </w:r>
      <w:r w:rsidR="00DC7889">
        <w:t xml:space="preserve"> and an extension study (MUSE LTE), with additional clinical data up to 4 years from the TULIP extension study (TULIP LTE)</w:t>
      </w:r>
      <w:r w:rsidR="00A16081">
        <w:t>.</w:t>
      </w:r>
      <w:r w:rsidRPr="002F733E">
        <w:t xml:space="preserve"> While TULIP LTE demonstrated a sustained benefit associated with continued anifrolumab treatment </w:t>
      </w:r>
      <w:r w:rsidR="00A16081">
        <w:t xml:space="preserve">in terms of a </w:t>
      </w:r>
      <w:r w:rsidRPr="002F733E">
        <w:t xml:space="preserve">reduction in Systemic Lupus Erythematosus Disease Activity Index 2000 (SLEDAI-2K), the results for other outcomes were less </w:t>
      </w:r>
      <w:r w:rsidR="00DC7889">
        <w:t>certain</w:t>
      </w:r>
      <w:r w:rsidR="00160A0A">
        <w:t xml:space="preserve">. For example, </w:t>
      </w:r>
      <w:r w:rsidRPr="002F733E">
        <w:t xml:space="preserve">the mean time to first Systemic Lupus International Collaborating Clinics/American College of Rheumatology Damage Index (SDI) worsening (a measure of organ damage) was not statistically significantly different (HR </w:t>
      </w:r>
      <w:r w:rsidR="00A16081">
        <w:t xml:space="preserve">= </w:t>
      </w:r>
      <w:r w:rsidRPr="002F733E">
        <w:t>0.82</w:t>
      </w:r>
      <w:r w:rsidR="00A16081">
        <w:t xml:space="preserve">; </w:t>
      </w:r>
      <w:r w:rsidRPr="002F733E">
        <w:t>95% CI: 0.50, 1.39</w:t>
      </w:r>
      <w:r w:rsidR="00160A0A">
        <w:t xml:space="preserve">); </w:t>
      </w:r>
      <w:r w:rsidR="00A16081">
        <w:t>although oral corticosteroid dose was reduced by an average of 2 mg per day, the clinical significance of this was not discussed in the submission</w:t>
      </w:r>
      <w:r w:rsidRPr="002F733E">
        <w:t>)</w:t>
      </w:r>
      <w:r w:rsidR="00160A0A">
        <w:t xml:space="preserve">; </w:t>
      </w:r>
      <w:r w:rsidRPr="002F733E">
        <w:t xml:space="preserve">and there were no statistically significant differences between anifrolumab and placebo in </w:t>
      </w:r>
      <w:r w:rsidR="00A16081">
        <w:t xml:space="preserve">terms of </w:t>
      </w:r>
      <w:r w:rsidRPr="002F733E">
        <w:t>quality of life (EQ-5D-5L) at Week 208. The PBAC noted that the primary outcomes of TULIP LTE were safety, not efficacy outcomes, and considered that, on balance, the new evidence was not sufficient to alter the clinical conclusions from the previous consideration.</w:t>
      </w:r>
    </w:p>
    <w:p w14:paraId="51A5833F" w14:textId="73088612" w:rsidR="008F63A8" w:rsidRPr="002F733E" w:rsidRDefault="008F63A8" w:rsidP="008F63A8">
      <w:pPr>
        <w:pStyle w:val="3-BodyText"/>
      </w:pPr>
      <w:r w:rsidRPr="002F733E">
        <w:t>Consistent with its July consideration, the PBAC considered the claim of superiority to SOC alone in terms of effectiveness was supported based on improvement in disease activity for some patients</w:t>
      </w:r>
      <w:r w:rsidR="00DD325E">
        <w:t>;</w:t>
      </w:r>
      <w:r w:rsidRPr="002F733E">
        <w:t xml:space="preserve"> however</w:t>
      </w:r>
      <w:r w:rsidR="00DD325E">
        <w:t>,</w:t>
      </w:r>
      <w:r w:rsidRPr="002F733E">
        <w:t xml:space="preserve"> the magnitude of benefit was modest and uncertain. The PBAC considered the claim of inferior safety to SOC alone was reasonable.</w:t>
      </w:r>
    </w:p>
    <w:p w14:paraId="6AD515F3" w14:textId="105DED33" w:rsidR="00DC5384" w:rsidRPr="002F733E" w:rsidRDefault="008F63A8" w:rsidP="00DC5384">
      <w:pPr>
        <w:widowControl w:val="0"/>
        <w:numPr>
          <w:ilvl w:val="1"/>
          <w:numId w:val="1"/>
        </w:numPr>
        <w:spacing w:after="120"/>
      </w:pPr>
      <w:r w:rsidRPr="002F733E">
        <w:t xml:space="preserve">The PBAC noted that the economic model </w:t>
      </w:r>
      <w:r w:rsidR="00DC5384" w:rsidRPr="002F733E">
        <w:t xml:space="preserve">was informed by an exploratory </w:t>
      </w:r>
      <w:r w:rsidRPr="002F733E">
        <w:t xml:space="preserve">subgroup </w:t>
      </w:r>
      <w:r w:rsidR="00DC5384" w:rsidRPr="002F733E">
        <w:t xml:space="preserve">analysis </w:t>
      </w:r>
      <w:r w:rsidRPr="002F733E">
        <w:t>of patients in the TULIP trials with a SLEDAI-2K ≥</w:t>
      </w:r>
      <w:r w:rsidR="00DD325E">
        <w:t xml:space="preserve"> </w:t>
      </w:r>
      <w:r w:rsidRPr="002F733E">
        <w:t>10</w:t>
      </w:r>
      <w:r w:rsidR="00FB6586" w:rsidRPr="002F733E">
        <w:t xml:space="preserve"> which reflected the proposed restriction</w:t>
      </w:r>
      <w:r w:rsidR="00DC5384" w:rsidRPr="002F733E">
        <w:t xml:space="preserve">.  The PBAC </w:t>
      </w:r>
      <w:r w:rsidRPr="002F733E">
        <w:t xml:space="preserve">considered this was </w:t>
      </w:r>
      <w:r w:rsidR="00DC5384" w:rsidRPr="002F733E">
        <w:t>reasonable</w:t>
      </w:r>
      <w:r w:rsidR="00DC7889">
        <w:t>;</w:t>
      </w:r>
      <w:r w:rsidR="00DC5384" w:rsidRPr="002F733E">
        <w:t xml:space="preserve"> however</w:t>
      </w:r>
      <w:r w:rsidR="00DC7889">
        <w:t>,</w:t>
      </w:r>
      <w:r w:rsidR="00DC5384" w:rsidRPr="002F733E">
        <w:t xml:space="preserve"> </w:t>
      </w:r>
      <w:r w:rsidR="00DC7889">
        <w:t xml:space="preserve">noted that </w:t>
      </w:r>
      <w:r w:rsidR="00DC5384" w:rsidRPr="002F733E">
        <w:t xml:space="preserve">there was </w:t>
      </w:r>
      <w:r w:rsidR="00DC5384" w:rsidRPr="00DC5384">
        <w:t>low confidence in the magnitude of benefit due to heterogeneity of responses between the trials and by outcome</w:t>
      </w:r>
      <w:r w:rsidR="00DC5384" w:rsidRPr="002F733E">
        <w:t xml:space="preserve">, and because of the amendments to outcome assessment that likely favoured anifrolumab (see paragraph </w:t>
      </w:r>
      <w:r w:rsidR="00DC5384" w:rsidRPr="002F733E">
        <w:fldChar w:fldCharType="begin" w:fldLock="1"/>
      </w:r>
      <w:r w:rsidR="00DC5384" w:rsidRPr="002F733E">
        <w:instrText xml:space="preserve"> REF _Ref122442844 \r \h </w:instrText>
      </w:r>
      <w:r w:rsidR="00DC5384" w:rsidRPr="002F733E">
        <w:fldChar w:fldCharType="separate"/>
      </w:r>
      <w:r w:rsidR="00DC5384" w:rsidRPr="002F733E">
        <w:t>6.10</w:t>
      </w:r>
      <w:r w:rsidR="00DC5384" w:rsidRPr="002F733E">
        <w:fldChar w:fldCharType="end"/>
      </w:r>
      <w:r w:rsidR="00DC5384" w:rsidRPr="002F733E">
        <w:t xml:space="preserve"> regarding potential </w:t>
      </w:r>
      <w:r w:rsidR="00DC5384" w:rsidRPr="00DC5384">
        <w:t>outcomes selection bias</w:t>
      </w:r>
      <w:r w:rsidR="00DC5384" w:rsidRPr="002F733E">
        <w:t xml:space="preserve"> resulting from changes in trial design).</w:t>
      </w:r>
    </w:p>
    <w:p w14:paraId="00E31088" w14:textId="290C5D12" w:rsidR="00DC7889" w:rsidRDefault="00DC7889" w:rsidP="00DC7889">
      <w:pPr>
        <w:pStyle w:val="3-BodyText"/>
      </w:pPr>
      <w:r w:rsidRPr="002F733E">
        <w:t>Overall, the PBAC considered that the model did not provide robust estimates for decision making in the Australian context</w:t>
      </w:r>
      <w:r>
        <w:t>.</w:t>
      </w:r>
      <w:r w:rsidRPr="002F733E">
        <w:t xml:space="preserve"> </w:t>
      </w:r>
      <w:r w:rsidR="00FB6586" w:rsidRPr="002F733E">
        <w:t xml:space="preserve">The PBAC noted that the resubmission presented a largely unchanged microsimulation model and the majority of concerns about the economic model identified at the July PBAC 2022 consideration had not been </w:t>
      </w:r>
      <w:r w:rsidR="00932007">
        <w:t>adequately</w:t>
      </w:r>
      <w:r w:rsidR="00FB6586" w:rsidRPr="002F733E">
        <w:t xml:space="preserve"> addressed (see </w:t>
      </w:r>
      <w:r w:rsidR="00FB6586" w:rsidRPr="002F733E">
        <w:fldChar w:fldCharType="begin" w:fldLock="1"/>
      </w:r>
      <w:r w:rsidR="00FB6586" w:rsidRPr="002F733E">
        <w:instrText xml:space="preserve"> REF _Ref121698161 \h </w:instrText>
      </w:r>
      <w:r w:rsidR="00FB6586" w:rsidRPr="002F733E">
        <w:fldChar w:fldCharType="separate"/>
      </w:r>
      <w:r w:rsidR="00FB6586" w:rsidRPr="002F733E">
        <w:t>Table 8</w:t>
      </w:r>
      <w:r w:rsidR="00FB6586" w:rsidRPr="002F733E">
        <w:fldChar w:fldCharType="end"/>
      </w:r>
      <w:r w:rsidR="00FB6586" w:rsidRPr="002F733E">
        <w:t>)</w:t>
      </w:r>
      <w:r>
        <w:t>, including that:</w:t>
      </w:r>
      <w:r w:rsidR="00FB6586" w:rsidRPr="002F733E">
        <w:t xml:space="preserve">  </w:t>
      </w:r>
    </w:p>
    <w:p w14:paraId="1A8F99D7" w14:textId="77777777" w:rsidR="00A16081" w:rsidRDefault="00DC7889" w:rsidP="00DC7889">
      <w:pPr>
        <w:pStyle w:val="3-BodyText"/>
        <w:numPr>
          <w:ilvl w:val="1"/>
          <w:numId w:val="21"/>
        </w:numPr>
        <w:ind w:left="1080"/>
      </w:pPr>
      <w:r w:rsidRPr="002F733E">
        <w:t>Although the resubmission included data from TULIP LTE up to a total of 4 years follow up, there remained limited data to populate the model particularly for longer term events such as organ damage and mortality.</w:t>
      </w:r>
      <w:r>
        <w:t xml:space="preserve"> </w:t>
      </w:r>
    </w:p>
    <w:p w14:paraId="6C2691F6" w14:textId="120D8707" w:rsidR="00DC7889" w:rsidRPr="002F733E" w:rsidRDefault="00DC7889" w:rsidP="00DC7889">
      <w:pPr>
        <w:pStyle w:val="3-BodyText"/>
        <w:numPr>
          <w:ilvl w:val="1"/>
          <w:numId w:val="21"/>
        </w:numPr>
        <w:ind w:left="1080"/>
      </w:pPr>
      <w:r w:rsidRPr="002F733E">
        <w:t xml:space="preserve">Events in the model were again based on multiple predictive regression models of disease progression and these remained highly uncertain, with concerns regarding reverse causality within the regression analyses, appropriateness of model fit and the extrapolation of the regression coefficients across the time horizon. SLEDAI-2K remained a significant driver in most of the predictive models. There remained a high chance of double counting the SLEDAI-2K effect, particularly as SLEDAI-2K and flares acted as regressors to each other, and both were used in predictions of other model components. </w:t>
      </w:r>
    </w:p>
    <w:p w14:paraId="28AE99A0" w14:textId="2C01DAAE" w:rsidR="00DC7889" w:rsidRPr="002F733E" w:rsidRDefault="00DC7889" w:rsidP="00DC7889">
      <w:pPr>
        <w:pStyle w:val="3-BodyText"/>
        <w:numPr>
          <w:ilvl w:val="1"/>
          <w:numId w:val="21"/>
        </w:numPr>
        <w:ind w:left="1080"/>
      </w:pPr>
      <w:r w:rsidRPr="002F733E">
        <w:t>Some of the changes to the regressions in the resubmission resulted in very different</w:t>
      </w:r>
      <w:r>
        <w:t>,</w:t>
      </w:r>
      <w:r w:rsidRPr="002F733E">
        <w:t xml:space="preserve"> and likely clinically implausible</w:t>
      </w:r>
      <w:r>
        <w:t>,</w:t>
      </w:r>
      <w:r w:rsidRPr="002F733E">
        <w:t xml:space="preserve"> outcomes compared to those presented in the July 2022 submission, e.g., incremental quality of life gain became a key driver of the ICER in the resubmission instead of survival, such that sensitivity analyses improving survival in the SOC arm would decrease the ICER; and average utility in the absence of organ damage was &lt;</w:t>
      </w:r>
      <w:r>
        <w:t xml:space="preserve"> </w:t>
      </w:r>
      <w:r w:rsidRPr="002F733E">
        <w:t>0.3 across the time horizon compared to &gt;</w:t>
      </w:r>
      <w:r>
        <w:t xml:space="preserve"> </w:t>
      </w:r>
      <w:r w:rsidRPr="002F733E">
        <w:t>0.8 in the July 2022 submission. The changes to the inputs also demonstrated that the model was not robust and therefore the results were highly uncertain.</w:t>
      </w:r>
    </w:p>
    <w:p w14:paraId="263EFE39" w14:textId="1D636DD2" w:rsidR="00FB6586" w:rsidRPr="002F733E" w:rsidRDefault="00FB6586" w:rsidP="00DC7889">
      <w:pPr>
        <w:pStyle w:val="3-BodyText"/>
      </w:pPr>
      <w:r w:rsidRPr="002F733E">
        <w:t xml:space="preserve">The PBAC considered that a revised economic model </w:t>
      </w:r>
      <w:r w:rsidR="00DC7889">
        <w:t xml:space="preserve">that </w:t>
      </w:r>
      <w:r w:rsidRPr="002F733E">
        <w:t>address</w:t>
      </w:r>
      <w:r w:rsidR="00DC7889">
        <w:t xml:space="preserve">ed </w:t>
      </w:r>
      <w:r w:rsidRPr="002F733E">
        <w:t xml:space="preserve">the ESC’s concerns, along with a price reduction, would be required to achieve acceptable cost-effectiveness.  </w:t>
      </w:r>
    </w:p>
    <w:p w14:paraId="1F127E14" w14:textId="76C0BEE7" w:rsidR="00E50172" w:rsidRPr="002F733E" w:rsidRDefault="00FB6586" w:rsidP="00BD59D9">
      <w:pPr>
        <w:widowControl w:val="0"/>
        <w:numPr>
          <w:ilvl w:val="1"/>
          <w:numId w:val="1"/>
        </w:numPr>
        <w:spacing w:after="120"/>
      </w:pPr>
      <w:bookmarkStart w:id="77" w:name="_Ref110346315"/>
      <w:r w:rsidRPr="002F733E">
        <w:rPr>
          <w:rFonts w:asciiTheme="minorHAnsi" w:hAnsiTheme="minorHAnsi"/>
          <w:snapToGrid w:val="0"/>
        </w:rPr>
        <w:t xml:space="preserve">The PBAC noted that the net cost to the PBS/RPBS </w:t>
      </w:r>
      <w:r w:rsidR="00DC7889">
        <w:rPr>
          <w:rFonts w:asciiTheme="minorHAnsi" w:hAnsiTheme="minorHAnsi"/>
          <w:snapToGrid w:val="0"/>
        </w:rPr>
        <w:t xml:space="preserve">over the first 6 years of listing </w:t>
      </w:r>
      <w:r w:rsidRPr="002F733E">
        <w:rPr>
          <w:rFonts w:asciiTheme="minorHAnsi" w:hAnsiTheme="minorHAnsi"/>
          <w:snapToGrid w:val="0"/>
        </w:rPr>
        <w:t>was revised from $</w:t>
      </w:r>
      <w:r w:rsidR="00965F66">
        <w:rPr>
          <w:rFonts w:asciiTheme="minorHAnsi" w:hAnsiTheme="minorHAnsi"/>
          <w:snapToGrid w:val="0"/>
        </w:rPr>
        <w:t>100</w:t>
      </w:r>
      <w:r w:rsidR="0064490A">
        <w:rPr>
          <w:rFonts w:asciiTheme="minorHAnsi" w:hAnsiTheme="minorHAnsi"/>
          <w:snapToGrid w:val="0"/>
        </w:rPr>
        <w:t> </w:t>
      </w:r>
      <w:r w:rsidR="00965F66">
        <w:rPr>
          <w:rFonts w:asciiTheme="minorHAnsi" w:hAnsiTheme="minorHAnsi"/>
          <w:snapToGrid w:val="0"/>
        </w:rPr>
        <w:t>million</w:t>
      </w:r>
      <w:r w:rsidR="0064490A">
        <w:rPr>
          <w:rFonts w:asciiTheme="minorHAnsi" w:hAnsiTheme="minorHAnsi"/>
          <w:snapToGrid w:val="0"/>
        </w:rPr>
        <w:t> </w:t>
      </w:r>
      <w:r w:rsidR="00965F66">
        <w:rPr>
          <w:rFonts w:asciiTheme="minorHAnsi" w:hAnsiTheme="minorHAnsi"/>
          <w:snapToGrid w:val="0"/>
        </w:rPr>
        <w:t>to</w:t>
      </w:r>
      <w:r w:rsidR="0064490A">
        <w:rPr>
          <w:rFonts w:asciiTheme="minorHAnsi" w:hAnsiTheme="minorHAnsi"/>
          <w:snapToGrid w:val="0"/>
        </w:rPr>
        <w:t> </w:t>
      </w:r>
      <w:r w:rsidR="00965F66">
        <w:rPr>
          <w:rFonts w:asciiTheme="minorHAnsi" w:hAnsiTheme="minorHAnsi"/>
          <w:snapToGrid w:val="0"/>
        </w:rPr>
        <w:t>&lt;</w:t>
      </w:r>
      <w:r w:rsidR="0064490A">
        <w:rPr>
          <w:rFonts w:asciiTheme="minorHAnsi" w:hAnsiTheme="minorHAnsi"/>
          <w:snapToGrid w:val="0"/>
        </w:rPr>
        <w:t> </w:t>
      </w:r>
      <w:r w:rsidR="00965F66">
        <w:rPr>
          <w:rFonts w:asciiTheme="minorHAnsi" w:hAnsiTheme="minorHAnsi"/>
          <w:snapToGrid w:val="0"/>
        </w:rPr>
        <w:t>$200</w:t>
      </w:r>
      <w:r w:rsidRPr="002F733E">
        <w:rPr>
          <w:rFonts w:asciiTheme="minorHAnsi" w:hAnsiTheme="minorHAnsi"/>
          <w:snapToGrid w:val="0"/>
        </w:rPr>
        <w:t xml:space="preserve"> million in the </w:t>
      </w:r>
      <w:r w:rsidR="0036568F" w:rsidRPr="002F733E">
        <w:rPr>
          <w:rFonts w:asciiTheme="minorHAnsi" w:hAnsiTheme="minorHAnsi"/>
          <w:snapToGrid w:val="0"/>
        </w:rPr>
        <w:t>re</w:t>
      </w:r>
      <w:r w:rsidRPr="002F733E">
        <w:rPr>
          <w:rFonts w:asciiTheme="minorHAnsi" w:hAnsiTheme="minorHAnsi"/>
          <w:snapToGrid w:val="0"/>
        </w:rPr>
        <w:t>submission to $</w:t>
      </w:r>
      <w:r w:rsidR="00965F66">
        <w:rPr>
          <w:rFonts w:asciiTheme="minorHAnsi" w:hAnsiTheme="minorHAnsi"/>
          <w:snapToGrid w:val="0"/>
        </w:rPr>
        <w:t>60</w:t>
      </w:r>
      <w:r w:rsidR="00EB6544">
        <w:rPr>
          <w:rFonts w:asciiTheme="minorHAnsi" w:hAnsiTheme="minorHAnsi"/>
          <w:b/>
          <w:snapToGrid w:val="0"/>
        </w:rPr>
        <w:t> </w:t>
      </w:r>
      <w:r w:rsidR="00965F66">
        <w:rPr>
          <w:rFonts w:asciiTheme="minorHAnsi" w:hAnsiTheme="minorHAnsi"/>
          <w:snapToGrid w:val="0"/>
        </w:rPr>
        <w:t>million</w:t>
      </w:r>
      <w:r w:rsidR="00EB6544">
        <w:rPr>
          <w:rFonts w:asciiTheme="minorHAnsi" w:hAnsiTheme="minorHAnsi"/>
          <w:snapToGrid w:val="0"/>
        </w:rPr>
        <w:t> </w:t>
      </w:r>
      <w:r w:rsidR="00965F66">
        <w:rPr>
          <w:rFonts w:asciiTheme="minorHAnsi" w:hAnsiTheme="minorHAnsi"/>
          <w:snapToGrid w:val="0"/>
        </w:rPr>
        <w:t>to</w:t>
      </w:r>
      <w:r w:rsidR="00EB6544">
        <w:rPr>
          <w:rFonts w:asciiTheme="minorHAnsi" w:hAnsiTheme="minorHAnsi"/>
          <w:snapToGrid w:val="0"/>
        </w:rPr>
        <w:t> </w:t>
      </w:r>
      <w:r w:rsidR="00965F66">
        <w:rPr>
          <w:rFonts w:asciiTheme="minorHAnsi" w:hAnsiTheme="minorHAnsi"/>
          <w:snapToGrid w:val="0"/>
        </w:rPr>
        <w:t>&lt;</w:t>
      </w:r>
      <w:r w:rsidR="00EB6544">
        <w:rPr>
          <w:rFonts w:asciiTheme="minorHAnsi" w:hAnsiTheme="minorHAnsi"/>
          <w:snapToGrid w:val="0"/>
        </w:rPr>
        <w:t> </w:t>
      </w:r>
      <w:r w:rsidR="00965F66">
        <w:rPr>
          <w:rFonts w:asciiTheme="minorHAnsi" w:hAnsiTheme="minorHAnsi"/>
          <w:snapToGrid w:val="0"/>
        </w:rPr>
        <w:t>$70</w:t>
      </w:r>
      <w:r w:rsidR="00EB6544">
        <w:rPr>
          <w:rFonts w:asciiTheme="minorHAnsi" w:hAnsiTheme="minorHAnsi"/>
          <w:snapToGrid w:val="0"/>
        </w:rPr>
        <w:t> </w:t>
      </w:r>
      <w:r w:rsidRPr="002F733E">
        <w:rPr>
          <w:rFonts w:asciiTheme="minorHAnsi" w:hAnsiTheme="minorHAnsi"/>
          <w:snapToGrid w:val="0"/>
        </w:rPr>
        <w:t>million in the pre-PBAC response</w:t>
      </w:r>
      <w:r w:rsidRPr="002F733E">
        <w:t>.</w:t>
      </w:r>
      <w:r w:rsidRPr="002F733E">
        <w:rPr>
          <w:rFonts w:asciiTheme="minorHAnsi" w:hAnsiTheme="minorHAnsi"/>
          <w:snapToGrid w:val="0"/>
        </w:rPr>
        <w:t xml:space="preserve"> </w:t>
      </w:r>
      <w:bookmarkEnd w:id="77"/>
      <w:r w:rsidR="0036568F" w:rsidRPr="002F733E">
        <w:rPr>
          <w:rFonts w:asciiTheme="minorHAnsi" w:hAnsiTheme="minorHAnsi"/>
          <w:snapToGrid w:val="0"/>
        </w:rPr>
        <w:t>T</w:t>
      </w:r>
      <w:r w:rsidRPr="002F733E">
        <w:t>he PBAC considered that the utilisation estimates for anifrolumab remained high despite the revised inputs in the pre-PBAC response.</w:t>
      </w:r>
    </w:p>
    <w:p w14:paraId="308DA7EC" w14:textId="6EE2CCB0" w:rsidR="00777FA8" w:rsidRPr="002F733E" w:rsidRDefault="00777FA8" w:rsidP="00777FA8">
      <w:pPr>
        <w:widowControl w:val="0"/>
        <w:numPr>
          <w:ilvl w:val="1"/>
          <w:numId w:val="1"/>
        </w:numPr>
        <w:spacing w:after="120"/>
        <w:rPr>
          <w:snapToGrid w:val="0"/>
        </w:rPr>
      </w:pPr>
      <w:r w:rsidRPr="002F733E">
        <w:rPr>
          <w:snapToGrid w:val="0"/>
        </w:rPr>
        <w:t xml:space="preserve">The PBAC acknowledged that the low level of certainty in the evidence and the small </w:t>
      </w:r>
      <w:r w:rsidR="00A16081">
        <w:rPr>
          <w:snapToGrid w:val="0"/>
        </w:rPr>
        <w:t>incremental benefit</w:t>
      </w:r>
      <w:r w:rsidR="00A16081" w:rsidRPr="002F733E">
        <w:rPr>
          <w:snapToGrid w:val="0"/>
        </w:rPr>
        <w:t xml:space="preserve"> </w:t>
      </w:r>
      <w:r w:rsidRPr="002F733E">
        <w:rPr>
          <w:snapToGrid w:val="0"/>
        </w:rPr>
        <w:t>between anifrolumab and placebo likely reflects, in part, the complex and variable nature of the condition and the challenges associated with assessing outcomes in SLE. The PBAC noted that there is no core outcomes set for SLE (i.e. there is a lack of consensus on core outcomes for use in clinical trials in SLE, unlike in rheumatoid arthritis where the American College of Rhe</w:t>
      </w:r>
      <w:r w:rsidR="002F733E">
        <w:rPr>
          <w:snapToGrid w:val="0"/>
        </w:rPr>
        <w:t>u</w:t>
      </w:r>
      <w:r w:rsidRPr="002F733E">
        <w:rPr>
          <w:snapToGrid w:val="0"/>
        </w:rPr>
        <w:t xml:space="preserve">matology (ACR) response criteria are used, or psoriasis where the Psoriasis Area and Severity Index (PASI) score is used). The PBAC noted that these challenges added considerable uncertainty to the economic evaluation and expressed a desire for a </w:t>
      </w:r>
      <w:r w:rsidR="00A16081">
        <w:rPr>
          <w:snapToGrid w:val="0"/>
        </w:rPr>
        <w:t xml:space="preserve">simpler, more robust </w:t>
      </w:r>
      <w:r w:rsidRPr="002F733E">
        <w:rPr>
          <w:snapToGrid w:val="0"/>
        </w:rPr>
        <w:t xml:space="preserve">model for SLE that </w:t>
      </w:r>
      <w:r w:rsidR="00A16081">
        <w:rPr>
          <w:snapToGrid w:val="0"/>
        </w:rPr>
        <w:t xml:space="preserve">was based on conservative assumptions and </w:t>
      </w:r>
      <w:r w:rsidRPr="002F733E">
        <w:rPr>
          <w:snapToGrid w:val="0"/>
        </w:rPr>
        <w:t>would provide more reliable estimates of cost-effectiveness for this population.</w:t>
      </w:r>
    </w:p>
    <w:p w14:paraId="7904CF51" w14:textId="77777777" w:rsidR="0036568F" w:rsidRPr="002F733E" w:rsidRDefault="0036568F" w:rsidP="0036568F">
      <w:pPr>
        <w:widowControl w:val="0"/>
        <w:numPr>
          <w:ilvl w:val="1"/>
          <w:numId w:val="1"/>
        </w:numPr>
        <w:spacing w:after="120"/>
        <w:rPr>
          <w:rFonts w:asciiTheme="minorHAnsi" w:hAnsiTheme="minorHAnsi"/>
          <w:bCs/>
          <w:snapToGrid w:val="0"/>
        </w:rPr>
      </w:pPr>
      <w:r w:rsidRPr="002F733E">
        <w:rPr>
          <w:rFonts w:asciiTheme="minorHAnsi" w:hAnsiTheme="minorHAnsi"/>
          <w:bCs/>
          <w:snapToGrid w:val="0"/>
        </w:rPr>
        <w:t xml:space="preserve">The PBAC noted that this submission is eligible for an Independent Review. </w:t>
      </w:r>
    </w:p>
    <w:p w14:paraId="3871BDF7" w14:textId="77777777" w:rsidR="00477A57" w:rsidRPr="002F733E" w:rsidRDefault="00477A57" w:rsidP="00477A57">
      <w:pPr>
        <w:spacing w:before="240"/>
        <w:rPr>
          <w:rFonts w:asciiTheme="minorHAnsi" w:hAnsiTheme="minorHAnsi"/>
          <w:b/>
          <w:bCs/>
          <w:snapToGrid w:val="0"/>
        </w:rPr>
      </w:pPr>
      <w:r w:rsidRPr="002F733E">
        <w:rPr>
          <w:rFonts w:asciiTheme="minorHAnsi" w:hAnsiTheme="minorHAnsi"/>
          <w:b/>
          <w:bCs/>
          <w:snapToGrid w:val="0"/>
        </w:rPr>
        <w:t>Outcome:</w:t>
      </w:r>
    </w:p>
    <w:p w14:paraId="7E9187BA" w14:textId="617FEE7C" w:rsidR="00477A57" w:rsidRPr="002F733E" w:rsidRDefault="0036568F" w:rsidP="00477A57">
      <w:pPr>
        <w:rPr>
          <w:rFonts w:asciiTheme="minorHAnsi" w:hAnsiTheme="minorHAnsi"/>
          <w:bCs/>
          <w:snapToGrid w:val="0"/>
        </w:rPr>
      </w:pPr>
      <w:r w:rsidRPr="002F733E">
        <w:rPr>
          <w:rFonts w:asciiTheme="minorHAnsi" w:hAnsiTheme="minorHAnsi"/>
          <w:bCs/>
          <w:snapToGrid w:val="0"/>
        </w:rPr>
        <w:t>Not recommended</w:t>
      </w:r>
    </w:p>
    <w:p w14:paraId="3010EEBF" w14:textId="7A41AAEC" w:rsidR="00477A57" w:rsidRDefault="00477A57" w:rsidP="00477A57">
      <w:pPr>
        <w:widowControl w:val="0"/>
        <w:rPr>
          <w:rFonts w:asciiTheme="minorHAnsi" w:hAnsiTheme="minorHAnsi"/>
          <w:b/>
          <w:bCs/>
          <w:snapToGrid w:val="0"/>
        </w:rPr>
      </w:pPr>
    </w:p>
    <w:p w14:paraId="7A212B48" w14:textId="29FDDE58" w:rsidR="00CB7A26" w:rsidRPr="00CB7A26" w:rsidRDefault="00CB7A26" w:rsidP="00CB7A26">
      <w:pPr>
        <w:pStyle w:val="2-SectionHeading"/>
      </w:pPr>
      <w:r w:rsidRPr="00C07617">
        <w:t>Context for Decision</w:t>
      </w:r>
    </w:p>
    <w:p w14:paraId="6586727F" w14:textId="77777777" w:rsidR="00CB7A26" w:rsidRPr="007129F2" w:rsidRDefault="00CB7A26" w:rsidP="00400864">
      <w:pPr>
        <w:spacing w:after="120"/>
        <w:ind w:left="68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71E37063" w14:textId="79D396CA" w:rsidR="00CB7A26" w:rsidRPr="00CB7A26" w:rsidRDefault="00CB7A26" w:rsidP="00CB7A26">
      <w:pPr>
        <w:pStyle w:val="2-SectionHeading"/>
      </w:pPr>
      <w:r>
        <w:t>Sponsor’s Comment</w:t>
      </w:r>
    </w:p>
    <w:p w14:paraId="7B95CD06" w14:textId="13082897" w:rsidR="00CB7A26" w:rsidRPr="001179AC" w:rsidRDefault="00CB7A26" w:rsidP="00400864">
      <w:pPr>
        <w:spacing w:after="120"/>
        <w:ind w:left="596" w:firstLine="84"/>
        <w:rPr>
          <w:rFonts w:asciiTheme="minorHAnsi" w:hAnsiTheme="minorHAnsi"/>
          <w:bCs/>
        </w:rPr>
      </w:pPr>
      <w:r w:rsidRPr="00C07617">
        <w:rPr>
          <w:rFonts w:asciiTheme="minorHAnsi" w:hAnsiTheme="minorHAnsi"/>
          <w:bCs/>
        </w:rPr>
        <w:t>The sponsor had no comment.</w:t>
      </w:r>
    </w:p>
    <w:bookmarkEnd w:id="73"/>
    <w:bookmarkEnd w:id="74"/>
    <w:bookmarkEnd w:id="75"/>
    <w:p w14:paraId="44471BBE" w14:textId="77777777" w:rsidR="00CB7A26" w:rsidRPr="002F733E" w:rsidRDefault="00CB7A26" w:rsidP="00477A57">
      <w:pPr>
        <w:widowControl w:val="0"/>
        <w:rPr>
          <w:rFonts w:asciiTheme="minorHAnsi" w:hAnsiTheme="minorHAnsi"/>
          <w:b/>
          <w:bCs/>
          <w:snapToGrid w:val="0"/>
        </w:rPr>
      </w:pPr>
    </w:p>
    <w:sectPr w:rsidR="00CB7A26" w:rsidRPr="002F733E" w:rsidSect="00A1789B">
      <w:headerReference w:type="even" r:id="rId21"/>
      <w:headerReference w:type="default" r:id="rId22"/>
      <w:footerReference w:type="even" r:id="rId23"/>
      <w:footerReference w:type="default" r:id="rId24"/>
      <w:headerReference w:type="first" r:id="rId25"/>
      <w:footerReference w:type="first" r:id="rId26"/>
      <w:pgSz w:w="11907" w:h="16840"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AD4FB" w14:textId="77777777" w:rsidR="00915922" w:rsidRDefault="00915922" w:rsidP="00124A51">
      <w:r>
        <w:separator/>
      </w:r>
    </w:p>
    <w:p w14:paraId="19698B0F" w14:textId="77777777" w:rsidR="00915922" w:rsidRDefault="00915922"/>
    <w:p w14:paraId="01088B2E" w14:textId="77777777" w:rsidR="00915922" w:rsidRDefault="00915922"/>
  </w:endnote>
  <w:endnote w:type="continuationSeparator" w:id="0">
    <w:p w14:paraId="2D165E1D" w14:textId="77777777" w:rsidR="00915922" w:rsidRDefault="00915922" w:rsidP="00124A51">
      <w:r>
        <w:continuationSeparator/>
      </w:r>
    </w:p>
    <w:p w14:paraId="4E253D06" w14:textId="77777777" w:rsidR="00915922" w:rsidRDefault="00915922"/>
    <w:p w14:paraId="05A2FBC1" w14:textId="77777777" w:rsidR="00915922" w:rsidRDefault="00915922"/>
  </w:endnote>
  <w:endnote w:type="continuationNotice" w:id="1">
    <w:p w14:paraId="2D449B78" w14:textId="77777777" w:rsidR="00021907" w:rsidRDefault="0002190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2F339" w14:textId="77777777" w:rsidR="00F54998" w:rsidRDefault="00F549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77777777" w:rsidR="00915922" w:rsidRDefault="00915922" w:rsidP="00753B29">
    <w:pPr>
      <w:pStyle w:val="Footer"/>
      <w:jc w:val="center"/>
    </w:pPr>
  </w:p>
  <w:p w14:paraId="37484CD3" w14:textId="008EC42B" w:rsidR="00915922" w:rsidRPr="007E56D1" w:rsidRDefault="0090762C" w:rsidP="00753B29">
    <w:pPr>
      <w:pStyle w:val="Footer"/>
      <w:jc w:val="center"/>
      <w:rPr>
        <w:b/>
        <w:bCs/>
      </w:rPr>
    </w:pPr>
    <w:sdt>
      <w:sdtPr>
        <w:id w:val="1036156457"/>
        <w:docPartObj>
          <w:docPartGallery w:val="Page Numbers (Bottom of Page)"/>
          <w:docPartUnique/>
        </w:docPartObj>
      </w:sdtPr>
      <w:sdtEndPr>
        <w:rPr>
          <w:b/>
          <w:bCs/>
          <w:noProof/>
        </w:rPr>
      </w:sdtEndPr>
      <w:sdtContent>
        <w:r w:rsidR="00915922" w:rsidRPr="007E56D1">
          <w:rPr>
            <w:b/>
            <w:bCs/>
          </w:rPr>
          <w:fldChar w:fldCharType="begin"/>
        </w:r>
        <w:r w:rsidR="00915922" w:rsidRPr="007E56D1">
          <w:rPr>
            <w:b/>
            <w:bCs/>
          </w:rPr>
          <w:instrText xml:space="preserve"> PAGE   \* MERGEFORMAT </w:instrText>
        </w:r>
        <w:r w:rsidR="00915922" w:rsidRPr="007E56D1">
          <w:rPr>
            <w:b/>
            <w:bCs/>
          </w:rPr>
          <w:fldChar w:fldCharType="separate"/>
        </w:r>
        <w:r w:rsidR="00915922" w:rsidRPr="007E56D1">
          <w:rPr>
            <w:b/>
            <w:bCs/>
            <w:noProof/>
          </w:rPr>
          <w:t>2</w:t>
        </w:r>
        <w:r w:rsidR="00915922" w:rsidRPr="007E56D1">
          <w:rPr>
            <w:b/>
            <w:bCs/>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4D7991" w14:textId="77777777" w:rsidR="00F54998" w:rsidRDefault="00F549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D3CBC" w14:textId="77777777" w:rsidR="00915922" w:rsidRDefault="00915922" w:rsidP="00124A51">
      <w:r>
        <w:separator/>
      </w:r>
    </w:p>
    <w:p w14:paraId="028FF6B4" w14:textId="77777777" w:rsidR="00915922" w:rsidRDefault="00915922"/>
    <w:p w14:paraId="67F81B59" w14:textId="77777777" w:rsidR="00915922" w:rsidRDefault="00915922"/>
  </w:footnote>
  <w:footnote w:type="continuationSeparator" w:id="0">
    <w:p w14:paraId="4DC01220" w14:textId="77777777" w:rsidR="00915922" w:rsidRDefault="00915922" w:rsidP="00124A51">
      <w:r>
        <w:continuationSeparator/>
      </w:r>
    </w:p>
    <w:p w14:paraId="5C8446D7" w14:textId="77777777" w:rsidR="00915922" w:rsidRDefault="00915922"/>
    <w:p w14:paraId="599E918D" w14:textId="77777777" w:rsidR="00915922" w:rsidRDefault="00915922"/>
  </w:footnote>
  <w:footnote w:type="continuationNotice" w:id="1">
    <w:p w14:paraId="21EDE031" w14:textId="77777777" w:rsidR="00021907" w:rsidRDefault="00021907"/>
  </w:footnote>
  <w:footnote w:id="2">
    <w:p w14:paraId="5015EE5A" w14:textId="77777777" w:rsidR="00915922" w:rsidRDefault="00915922" w:rsidP="004B7098">
      <w:pPr>
        <w:pStyle w:val="FootnoteText"/>
      </w:pPr>
      <w:r>
        <w:rPr>
          <w:rStyle w:val="FootnoteReference"/>
        </w:rPr>
        <w:footnoteRef/>
      </w:r>
      <w:r>
        <w:t xml:space="preserve"> CADTH reimbursement recommendation (draft) – anifrolumab, July 2022, available from: </w:t>
      </w:r>
      <w:hyperlink r:id="rId1" w:history="1">
        <w:r w:rsidRPr="001F2DB3">
          <w:rPr>
            <w:rStyle w:val="Hyperlink"/>
          </w:rPr>
          <w:t>https://www.cadth.ca/anifrolumab</w:t>
        </w:r>
      </w:hyperlink>
      <w:r>
        <w:t>, accessed 14/11/2022.</w:t>
      </w:r>
    </w:p>
  </w:footnote>
  <w:footnote w:id="3">
    <w:p w14:paraId="30358AD8" w14:textId="77777777" w:rsidR="00915922" w:rsidRDefault="00915922" w:rsidP="004B7098">
      <w:pPr>
        <w:pStyle w:val="FootnoteText"/>
      </w:pPr>
      <w:r>
        <w:rPr>
          <w:rStyle w:val="FootnoteReference"/>
        </w:rPr>
        <w:footnoteRef/>
      </w:r>
      <w:r>
        <w:t xml:space="preserve"> NICE anifrolumab, available from: </w:t>
      </w:r>
      <w:hyperlink r:id="rId2" w:history="1">
        <w:r w:rsidRPr="004373A5">
          <w:rPr>
            <w:rStyle w:val="Hyperlink"/>
          </w:rPr>
          <w:t>https://www.nice.org.uk/guidance/ta793/resources/anifrolumab-for-treating-active-autoantibodypositive-systemic-lupus-erythematosus-terminated-appraisal-pdf-82611615622597</w:t>
        </w:r>
      </w:hyperlink>
      <w:r>
        <w:t>, accessed 14/11/2022.</w:t>
      </w:r>
    </w:p>
  </w:footnote>
  <w:footnote w:id="4">
    <w:p w14:paraId="25447CEA" w14:textId="77777777" w:rsidR="00915922" w:rsidRDefault="00915922" w:rsidP="00C664C8">
      <w:pPr>
        <w:pStyle w:val="FootnoteText"/>
      </w:pPr>
      <w:r>
        <w:rPr>
          <w:rStyle w:val="FootnoteReference"/>
        </w:rPr>
        <w:footnoteRef/>
      </w:r>
      <w:r>
        <w:t xml:space="preserve"> Centre for Community-Driven Research (CCDR) (2021). Personal Experience Expectations and Knowledge (PEEK) study: People who have experienced lupus. Volume 4, Issue 1.</w:t>
      </w:r>
    </w:p>
  </w:footnote>
  <w:footnote w:id="5">
    <w:p w14:paraId="4F78E3AA" w14:textId="77777777" w:rsidR="00915922" w:rsidRDefault="00915922" w:rsidP="00C664C8">
      <w:pPr>
        <w:pStyle w:val="FootnoteText"/>
      </w:pPr>
      <w:r>
        <w:rPr>
          <w:rStyle w:val="FootnoteReference"/>
        </w:rPr>
        <w:footnoteRef/>
      </w:r>
      <w:r>
        <w:t xml:space="preserve"> Littlejohn G, Ciciriello S and Deakin C (2021). </w:t>
      </w:r>
      <w:r w:rsidRPr="001D7010">
        <w:t>The demographics, burden of disease and real-world treatment patterns of patients with systemic lupus erythematosus and other forms of lupus in Australia: an analysis from the OPAL-QUMI dataset</w:t>
      </w:r>
      <w:r>
        <w:t xml:space="preserve">. </w:t>
      </w:r>
      <w:r w:rsidRPr="001D7010">
        <w:t>OPAL Rheumatology Pty Ltd.</w:t>
      </w:r>
    </w:p>
  </w:footnote>
  <w:footnote w:id="6">
    <w:p w14:paraId="6BC2D59C" w14:textId="77777777" w:rsidR="00915922" w:rsidRDefault="00915922" w:rsidP="00C664C8">
      <w:pPr>
        <w:pStyle w:val="FootnoteText"/>
      </w:pPr>
      <w:r>
        <w:rPr>
          <w:rStyle w:val="FootnoteReference"/>
        </w:rPr>
        <w:footnoteRef/>
      </w:r>
      <w:r>
        <w:t xml:space="preserve"> </w:t>
      </w:r>
      <w:r w:rsidRPr="001D7010">
        <w:t xml:space="preserve">Hoi A, </w:t>
      </w:r>
      <w:r>
        <w:t xml:space="preserve">Kandane-Rathnayake R, </w:t>
      </w:r>
      <w:r w:rsidRPr="001D7010">
        <w:t>Koelmeyer R, Bonin J</w:t>
      </w:r>
      <w:r>
        <w:t xml:space="preserve"> </w:t>
      </w:r>
      <w:r w:rsidRPr="001D7010">
        <w:t xml:space="preserve">and Morand E (2021). </w:t>
      </w:r>
      <w:r>
        <w:t>Inadequate disease control and correlates of improved disease activity in Australian SLE patients</w:t>
      </w:r>
      <w:r w:rsidRPr="001D7010">
        <w:t>.</w:t>
      </w:r>
      <w:r>
        <w:t xml:space="preserve"> Final report 14 December 2021.</w:t>
      </w:r>
    </w:p>
  </w:footnote>
  <w:footnote w:id="7">
    <w:p w14:paraId="2C89AE3F" w14:textId="77777777" w:rsidR="00915922" w:rsidRDefault="00915922" w:rsidP="00C664C8">
      <w:pPr>
        <w:pStyle w:val="FootnoteText"/>
      </w:pPr>
      <w:r>
        <w:rPr>
          <w:rStyle w:val="FootnoteReference"/>
        </w:rPr>
        <w:footnoteRef/>
      </w:r>
      <w:r>
        <w:t xml:space="preserve"> Fanouriakis A, Nikolaos T, Bertsias G and Boumpa DT (2021). Update οn the diagnosis and management of systemic lupus erythematosus. </w:t>
      </w:r>
      <w:r w:rsidRPr="00545B03">
        <w:t>Annals of the Rheumatic Diseases</w:t>
      </w:r>
      <w:r>
        <w:t xml:space="preserve"> 80(1):14-25.</w:t>
      </w:r>
    </w:p>
  </w:footnote>
  <w:footnote w:id="8">
    <w:p w14:paraId="68A57828" w14:textId="77777777" w:rsidR="00915922" w:rsidRDefault="00915922" w:rsidP="000A24F1">
      <w:pPr>
        <w:pStyle w:val="FootnoteText"/>
      </w:pPr>
      <w:r>
        <w:rPr>
          <w:rStyle w:val="FootnoteReference"/>
        </w:rPr>
        <w:footnoteRef/>
      </w:r>
      <w:r>
        <w:t xml:space="preserve"> </w:t>
      </w:r>
      <w:r w:rsidRPr="00085A06">
        <w:t>Bruce IN, Furie</w:t>
      </w:r>
      <w:r>
        <w:t xml:space="preserve"> RA</w:t>
      </w:r>
      <w:r w:rsidRPr="00085A06">
        <w:t>, Morand</w:t>
      </w:r>
      <w:r>
        <w:t xml:space="preserve"> EF</w:t>
      </w:r>
      <w:r w:rsidRPr="00085A06">
        <w:t>, Manzi</w:t>
      </w:r>
      <w:r>
        <w:t xml:space="preserve"> S</w:t>
      </w:r>
      <w:r w:rsidRPr="00085A06">
        <w:t>, Tanaka</w:t>
      </w:r>
      <w:r>
        <w:t xml:space="preserve"> Y</w:t>
      </w:r>
      <w:r w:rsidRPr="00085A06">
        <w:t>, Kalunian</w:t>
      </w:r>
      <w:r>
        <w:t xml:space="preserve"> KC</w:t>
      </w:r>
      <w:r w:rsidRPr="00085A06">
        <w:t>, Merrill</w:t>
      </w:r>
      <w:r>
        <w:t xml:space="preserve"> JT</w:t>
      </w:r>
      <w:r w:rsidRPr="00085A06">
        <w:t>, Puzio</w:t>
      </w:r>
      <w:r>
        <w:t xml:space="preserve"> P</w:t>
      </w:r>
      <w:r w:rsidRPr="00085A06">
        <w:t>, Maho</w:t>
      </w:r>
      <w:r>
        <w:t xml:space="preserve"> E</w:t>
      </w:r>
      <w:r w:rsidRPr="00085A06">
        <w:t>, Kleoudis</w:t>
      </w:r>
      <w:r>
        <w:t xml:space="preserve"> C</w:t>
      </w:r>
      <w:r w:rsidRPr="00085A06">
        <w:t>, Albulescu</w:t>
      </w:r>
      <w:r>
        <w:t xml:space="preserve"> M</w:t>
      </w:r>
      <w:r w:rsidRPr="00085A06">
        <w:t>, Hultquist</w:t>
      </w:r>
      <w:r>
        <w:t xml:space="preserve"> M</w:t>
      </w:r>
      <w:r w:rsidRPr="00085A06">
        <w:t xml:space="preserve"> and Tummala</w:t>
      </w:r>
      <w:r>
        <w:t xml:space="preserve"> R</w:t>
      </w:r>
      <w:r w:rsidRPr="00085A06">
        <w:t xml:space="preserve"> (2022a). Concordance and discordance in SLE clinical trial outcome measures: Analysis of three anifrolumab phase 2/3 trials. Annals of the Rheumatic Diseases 81(7):962-969.</w:t>
      </w:r>
    </w:p>
  </w:footnote>
  <w:footnote w:id="9">
    <w:p w14:paraId="32571C20" w14:textId="77777777" w:rsidR="00915922" w:rsidRDefault="00915922" w:rsidP="009006C2">
      <w:pPr>
        <w:pStyle w:val="FootnoteText"/>
      </w:pPr>
      <w:r>
        <w:rPr>
          <w:rStyle w:val="FootnoteReference"/>
        </w:rPr>
        <w:footnoteRef/>
      </w:r>
      <w:r>
        <w:t xml:space="preserve"> </w:t>
      </w:r>
      <w:r w:rsidRPr="009A2ED2">
        <w:t xml:space="preserve">Furie R, </w:t>
      </w:r>
      <w:r>
        <w:t xml:space="preserve">Morand </w:t>
      </w:r>
      <w:r w:rsidRPr="009A2ED2">
        <w:t>EF, Askanase</w:t>
      </w:r>
      <w:r>
        <w:t xml:space="preserve"> AD</w:t>
      </w:r>
      <w:r w:rsidRPr="009A2ED2">
        <w:t>, Vital</w:t>
      </w:r>
      <w:r>
        <w:t xml:space="preserve"> EM</w:t>
      </w:r>
      <w:r w:rsidRPr="009A2ED2">
        <w:t>, Merrill</w:t>
      </w:r>
      <w:r>
        <w:t xml:space="preserve"> JT</w:t>
      </w:r>
      <w:r w:rsidRPr="009A2ED2">
        <w:t>, Kalyani</w:t>
      </w:r>
      <w:r>
        <w:t xml:space="preserve"> RN</w:t>
      </w:r>
      <w:r w:rsidRPr="009A2ED2">
        <w:t>, Abreu</w:t>
      </w:r>
      <w:r>
        <w:t xml:space="preserve"> G</w:t>
      </w:r>
      <w:r w:rsidRPr="009A2ED2">
        <w:t>, Pineda</w:t>
      </w:r>
      <w:r>
        <w:t xml:space="preserve"> L</w:t>
      </w:r>
      <w:r w:rsidRPr="009A2ED2">
        <w:t xml:space="preserve"> and </w:t>
      </w:r>
      <w:r>
        <w:t>T</w:t>
      </w:r>
      <w:r w:rsidRPr="009A2ED2">
        <w:t>ummala</w:t>
      </w:r>
      <w:r>
        <w:t xml:space="preserve"> R</w:t>
      </w:r>
      <w:r w:rsidRPr="009A2ED2">
        <w:t xml:space="preserve"> (2021b). Anifrolumab reduces flare rates in patients with moderate to severe systemic lupus erythematosus. Lupus 30(8):1254-1263.</w:t>
      </w:r>
    </w:p>
  </w:footnote>
  <w:footnote w:id="10">
    <w:p w14:paraId="52DEBB82" w14:textId="77777777" w:rsidR="00915922" w:rsidRDefault="00915922" w:rsidP="009006C2">
      <w:pPr>
        <w:pStyle w:val="FootnoteText"/>
      </w:pPr>
      <w:r>
        <w:rPr>
          <w:rStyle w:val="FootnoteReference"/>
        </w:rPr>
        <w:footnoteRef/>
      </w:r>
      <w:r>
        <w:t xml:space="preserve"> </w:t>
      </w:r>
      <w:r w:rsidRPr="009A2ED2">
        <w:t>Vital EM, Merrill</w:t>
      </w:r>
      <w:r>
        <w:t xml:space="preserve"> JT</w:t>
      </w:r>
      <w:r w:rsidRPr="009A2ED2">
        <w:t>, Morand</w:t>
      </w:r>
      <w:r>
        <w:t xml:space="preserve"> EF</w:t>
      </w:r>
      <w:r w:rsidRPr="009A2ED2">
        <w:t>, Furie</w:t>
      </w:r>
      <w:r>
        <w:t xml:space="preserve"> RA</w:t>
      </w:r>
      <w:r w:rsidRPr="009A2ED2">
        <w:t>, Bruce</w:t>
      </w:r>
      <w:r>
        <w:t xml:space="preserve"> IN</w:t>
      </w:r>
      <w:r w:rsidRPr="009A2ED2">
        <w:t>, Tanaka</w:t>
      </w:r>
      <w:r>
        <w:t xml:space="preserve"> Y</w:t>
      </w:r>
      <w:r w:rsidRPr="009A2ED2">
        <w:t>, Manzi</w:t>
      </w:r>
      <w:r>
        <w:t xml:space="preserve"> S</w:t>
      </w:r>
      <w:r w:rsidRPr="009A2ED2">
        <w:t>, Kalunian</w:t>
      </w:r>
      <w:r>
        <w:t xml:space="preserve"> KC</w:t>
      </w:r>
      <w:r w:rsidRPr="009A2ED2">
        <w:t>, Kalyani</w:t>
      </w:r>
      <w:r>
        <w:t xml:space="preserve"> RN</w:t>
      </w:r>
      <w:r w:rsidRPr="009A2ED2">
        <w:t>, Streicher</w:t>
      </w:r>
      <w:r>
        <w:t xml:space="preserve"> K</w:t>
      </w:r>
      <w:r w:rsidRPr="009A2ED2">
        <w:t>, Abreu</w:t>
      </w:r>
      <w:r>
        <w:t xml:space="preserve"> G</w:t>
      </w:r>
      <w:r w:rsidRPr="009A2ED2">
        <w:t xml:space="preserve"> and Tummala</w:t>
      </w:r>
      <w:r>
        <w:t xml:space="preserve"> R</w:t>
      </w:r>
      <w:r w:rsidRPr="009A2ED2">
        <w:t xml:space="preserve"> (2022). Anifrolumab efficacy and safety by type I interferon gene signature and clinical subgroups in patients with SLE: post hoc analysis of pooled data from two phase III trials. Annals of the Rheumatic Diseases 81(7):951-961.</w:t>
      </w:r>
    </w:p>
  </w:footnote>
  <w:footnote w:id="11">
    <w:p w14:paraId="0B2C5FC0" w14:textId="77777777" w:rsidR="00915922" w:rsidRDefault="00915922" w:rsidP="009006C2">
      <w:pPr>
        <w:pStyle w:val="FootnoteText"/>
      </w:pPr>
      <w:r>
        <w:rPr>
          <w:rStyle w:val="FootnoteReference"/>
        </w:rPr>
        <w:footnoteRef/>
      </w:r>
      <w:r>
        <w:t xml:space="preserve"> </w:t>
      </w:r>
      <w:r w:rsidRPr="009A2ED2">
        <w:t>Morand EF, Abreu G, Furie R and T</w:t>
      </w:r>
      <w:r>
        <w:t>ummala</w:t>
      </w:r>
      <w:r w:rsidRPr="009A2ED2">
        <w:t xml:space="preserve"> R (202</w:t>
      </w:r>
      <w:r>
        <w:t>1</w:t>
      </w:r>
      <w:r w:rsidRPr="009A2ED2">
        <w:t>). Attainment of the Lupus Low Disease Activity State in Response to Anifrolumab in 2 Phase 3 Trials [abstract</w:t>
      </w:r>
      <w:r>
        <w:t xml:space="preserve"> no. 1459</w:t>
      </w:r>
      <w:r w:rsidRPr="009A2ED2">
        <w:t>]. American College of Rheumatology Conference</w:t>
      </w:r>
      <w:r>
        <w:t xml:space="preserve"> November 8 2021.</w:t>
      </w:r>
    </w:p>
  </w:footnote>
  <w:footnote w:id="12">
    <w:p w14:paraId="22164E18" w14:textId="5DB8C5BD" w:rsidR="00915922" w:rsidRPr="00993B93" w:rsidRDefault="00915922" w:rsidP="00DF78AE">
      <w:pPr>
        <w:pStyle w:val="FootnoteText"/>
        <w:rPr>
          <w:lang w:val="en-US"/>
        </w:rPr>
      </w:pPr>
      <w:r>
        <w:rPr>
          <w:rStyle w:val="FootnoteReference"/>
        </w:rPr>
        <w:footnoteRef/>
      </w:r>
      <w:r>
        <w:t xml:space="preserve"> </w:t>
      </w:r>
      <w:r>
        <w:rPr>
          <w:lang w:val="en-US"/>
        </w:rPr>
        <w:t xml:space="preserve">National Institute for Health and Care Excellence. </w:t>
      </w:r>
      <w:r w:rsidRPr="00C70035">
        <w:rPr>
          <w:lang w:val="en-US"/>
        </w:rPr>
        <w:t>Belimumab for treating active autoantibody-positive systemic lupus erythematosus</w:t>
      </w:r>
      <w:r>
        <w:rPr>
          <w:lang w:val="en-US"/>
        </w:rPr>
        <w:t xml:space="preserve"> Appraisal Consultation Document.</w:t>
      </w:r>
      <w:r w:rsidR="00460FDD">
        <w:rPr>
          <w:lang w:val="en-US"/>
        </w:rPr>
        <w:t xml:space="preserve"> </w:t>
      </w:r>
      <w:r w:rsidRPr="00C70035">
        <w:rPr>
          <w:lang w:val="en-US"/>
        </w:rPr>
        <w:t>Technology appraisal guidance [TA</w:t>
      </w:r>
      <w:r>
        <w:rPr>
          <w:lang w:val="en-US"/>
        </w:rPr>
        <w:t>397</w:t>
      </w:r>
      <w:r w:rsidRPr="00C70035">
        <w:rPr>
          <w:lang w:val="en-US"/>
        </w:rPr>
        <w:t>]</w:t>
      </w:r>
      <w:r>
        <w:rPr>
          <w:lang w:val="en-US"/>
        </w:rPr>
        <w:t>. July 2013.</w:t>
      </w:r>
    </w:p>
  </w:footnote>
  <w:footnote w:id="13">
    <w:p w14:paraId="3C9A55E9" w14:textId="77777777" w:rsidR="00915922" w:rsidRDefault="00915922" w:rsidP="00C775AE">
      <w:pPr>
        <w:pStyle w:val="FootnoteText"/>
      </w:pPr>
      <w:r>
        <w:rPr>
          <w:rStyle w:val="FootnoteReference"/>
        </w:rPr>
        <w:footnoteRef/>
      </w:r>
      <w:r>
        <w:t xml:space="preserve"> </w:t>
      </w:r>
      <w:r w:rsidRPr="00085B38">
        <w:t>Hill DD, Eudy AM, Egger PJ, et al. Impact of systemic lupus erythematosus disease activity, hydroxychloroquine and NSAID on the risk of subsequent organ system damage and death: analysis in a single US medical centre. Lupus Science &amp; Medicine 2021;8:e000446. doi:10.1136/ lupus-2020-000446</w:t>
      </w:r>
    </w:p>
  </w:footnote>
  <w:footnote w:id="14">
    <w:p w14:paraId="148A7F1A" w14:textId="0F378077" w:rsidR="00291882" w:rsidRDefault="00291882">
      <w:pPr>
        <w:pStyle w:val="FootnoteText"/>
      </w:pPr>
      <w:r>
        <w:rPr>
          <w:rStyle w:val="FootnoteReference"/>
        </w:rPr>
        <w:footnoteRef/>
      </w:r>
      <w:r>
        <w:t xml:space="preserve"> </w:t>
      </w:r>
      <w:r w:rsidRPr="00291882">
        <w:t>Tsang-A-Sjoe MWP, Bultink IEM. New developments in systemic lupus erythematosus. Rheumatology (Oxford). 2021 Dec 24;60(Suppl 6):vi21-vi28.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AD59E" w14:textId="77777777" w:rsidR="00F54998" w:rsidRDefault="00F549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396390B1" w:rsidR="00915922" w:rsidRPr="00195452" w:rsidRDefault="00CB7A26" w:rsidP="00D822E2">
    <w:pPr>
      <w:pStyle w:val="Header"/>
      <w:rPr>
        <w:rFonts w:asciiTheme="minorHAnsi" w:hAnsiTheme="minorHAnsi"/>
        <w:i/>
        <w:color w:val="808080"/>
      </w:rPr>
    </w:pPr>
    <w:r>
      <w:rPr>
        <w:rFonts w:asciiTheme="minorHAnsi" w:hAnsiTheme="minorHAnsi"/>
        <w:i/>
        <w:color w:val="808080"/>
      </w:rPr>
      <w:t>Public Summary Document</w:t>
    </w:r>
    <w:r w:rsidR="00190F8D">
      <w:rPr>
        <w:rFonts w:asciiTheme="minorHAnsi" w:hAnsiTheme="minorHAnsi"/>
        <w:i/>
        <w:color w:val="808080"/>
      </w:rPr>
      <w:t xml:space="preserve"> </w:t>
    </w:r>
    <w:r w:rsidR="007E56D1">
      <w:rPr>
        <w:rFonts w:asciiTheme="minorHAnsi" w:hAnsiTheme="minorHAnsi"/>
        <w:i/>
        <w:color w:val="808080"/>
      </w:rPr>
      <w:t xml:space="preserve">- </w:t>
    </w:r>
    <w:r w:rsidR="00915922">
      <w:rPr>
        <w:rFonts w:asciiTheme="minorHAnsi" w:hAnsiTheme="minorHAnsi"/>
        <w:i/>
        <w:color w:val="808080"/>
      </w:rPr>
      <w:t xml:space="preserve">March 2023 </w:t>
    </w:r>
    <w:r w:rsidR="00915922" w:rsidRPr="00195452">
      <w:rPr>
        <w:rFonts w:asciiTheme="minorHAnsi" w:hAnsiTheme="minorHAnsi"/>
        <w:i/>
        <w:color w:val="808080"/>
      </w:rPr>
      <w:t>PBAC Meeting</w:t>
    </w:r>
  </w:p>
  <w:p w14:paraId="03AF943B" w14:textId="77777777" w:rsidR="00915922" w:rsidRPr="008C7ECB" w:rsidRDefault="0091592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1D7E" w14:textId="77777777" w:rsidR="00F54998" w:rsidRDefault="00F549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EF87AD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13986CC5"/>
    <w:multiLevelType w:val="multilevel"/>
    <w:tmpl w:val="42260E50"/>
    <w:styleLink w:val="HeadingListStyle"/>
    <w:lvl w:ilvl="0">
      <w:start w:val="1"/>
      <w:numFmt w:val="decimal"/>
      <w:lvlText w:val="Section %1"/>
      <w:lvlJc w:val="left"/>
      <w:pPr>
        <w:ind w:left="2268" w:hanging="2268"/>
      </w:pPr>
      <w:rPr>
        <w:rFonts w:hint="default"/>
      </w:rPr>
    </w:lvl>
    <w:lvl w:ilvl="1">
      <w:start w:val="1"/>
      <w:numFmt w:val="upperLetter"/>
      <w:lvlText w:val="Section %1%2"/>
      <w:lvlJc w:val="left"/>
      <w:pPr>
        <w:ind w:left="2268" w:hanging="2268"/>
      </w:pPr>
      <w:rPr>
        <w:rFonts w:hint="default"/>
      </w:rPr>
    </w:lvl>
    <w:lvl w:ilvl="2">
      <w:start w:val="1"/>
      <w:numFmt w:val="decimal"/>
      <w:lvlRestart w:val="1"/>
      <w:lvlText w:val="%1.%3"/>
      <w:lvlJc w:val="left"/>
      <w:pPr>
        <w:ind w:left="1134" w:hanging="1134"/>
      </w:pPr>
      <w:rPr>
        <w:rFonts w:hint="default"/>
      </w:rPr>
    </w:lvl>
    <w:lvl w:ilvl="3">
      <w:start w:val="1"/>
      <w:numFmt w:val="decimal"/>
      <w:lvlRestart w:val="2"/>
      <w:lvlText w:val="%1%2.%4"/>
      <w:lvlJc w:val="left"/>
      <w:pPr>
        <w:ind w:left="1134" w:hanging="1134"/>
      </w:pPr>
      <w:rPr>
        <w:rFonts w:hint="default"/>
      </w:rPr>
    </w:lvl>
    <w:lvl w:ilvl="4">
      <w:start w:val="1"/>
      <w:numFmt w:val="decimal"/>
      <w:lvlRestart w:val="3"/>
      <w:lvlText w:val="%1.%3.%5"/>
      <w:lvlJc w:val="left"/>
      <w:pPr>
        <w:ind w:left="1134" w:hanging="1134"/>
      </w:pPr>
      <w:rPr>
        <w:rFonts w:hint="default"/>
      </w:rPr>
    </w:lvl>
    <w:lvl w:ilvl="5">
      <w:start w:val="1"/>
      <w:numFmt w:val="decimal"/>
      <w:lvlRestart w:val="4"/>
      <w:lvlText w:val="%1%2.%4.%6"/>
      <w:lvlJc w:val="left"/>
      <w:pPr>
        <w:ind w:left="1134" w:hanging="1134"/>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A946125"/>
    <w:multiLevelType w:val="hybridMultilevel"/>
    <w:tmpl w:val="2BD60D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22D160FE"/>
    <w:multiLevelType w:val="hybridMultilevel"/>
    <w:tmpl w:val="66C64A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B6274A"/>
    <w:multiLevelType w:val="hybridMultilevel"/>
    <w:tmpl w:val="399A2208"/>
    <w:lvl w:ilvl="0" w:tplc="CFF6B4E2">
      <w:start w:val="1"/>
      <w:numFmt w:val="decimal"/>
      <w:lvlText w:val="%1."/>
      <w:lvlJc w:val="left"/>
      <w:pPr>
        <w:ind w:left="363" w:hanging="360"/>
      </w:pPr>
      <w:rPr>
        <w:rFonts w:hint="default"/>
        <w:i w:val="0"/>
        <w:iCs/>
        <w:color w:val="auto"/>
      </w:rPr>
    </w:lvl>
    <w:lvl w:ilvl="1" w:tplc="0C090019">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5" w15:restartNumberingAfterBreak="0">
    <w:nsid w:val="29A852D0"/>
    <w:multiLevelType w:val="multilevel"/>
    <w:tmpl w:val="965A8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9720272"/>
    <w:multiLevelType w:val="hybridMultilevel"/>
    <w:tmpl w:val="DB48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CC46BD6"/>
    <w:multiLevelType w:val="hybridMultilevel"/>
    <w:tmpl w:val="6C30060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DD3A05"/>
    <w:multiLevelType w:val="hybridMultilevel"/>
    <w:tmpl w:val="BA028D1E"/>
    <w:lvl w:ilvl="0" w:tplc="0C090001">
      <w:start w:val="1"/>
      <w:numFmt w:val="bullet"/>
      <w:lvlText w:val=""/>
      <w:lvlJc w:val="left"/>
      <w:pPr>
        <w:ind w:left="1040" w:hanging="360"/>
      </w:pPr>
      <w:rPr>
        <w:rFonts w:ascii="Symbol" w:hAnsi="Symbol" w:hint="default"/>
      </w:rPr>
    </w:lvl>
    <w:lvl w:ilvl="1" w:tplc="0C090003">
      <w:start w:val="1"/>
      <w:numFmt w:val="bullet"/>
      <w:lvlText w:val="o"/>
      <w:lvlJc w:val="left"/>
      <w:pPr>
        <w:ind w:left="1760" w:hanging="360"/>
      </w:pPr>
      <w:rPr>
        <w:rFonts w:ascii="Courier New" w:hAnsi="Courier New" w:cs="Courier New" w:hint="default"/>
      </w:rPr>
    </w:lvl>
    <w:lvl w:ilvl="2" w:tplc="2E34DEC6">
      <w:numFmt w:val="bullet"/>
      <w:lvlText w:val="•"/>
      <w:lvlJc w:val="left"/>
      <w:pPr>
        <w:ind w:left="2480" w:hanging="360"/>
      </w:pPr>
      <w:rPr>
        <w:rFonts w:ascii="Calibri" w:eastAsia="Times New Roman" w:hAnsi="Calibri" w:cs="Calibri" w:hint="default"/>
      </w:rPr>
    </w:lvl>
    <w:lvl w:ilvl="3" w:tplc="0C090001" w:tentative="1">
      <w:start w:val="1"/>
      <w:numFmt w:val="bullet"/>
      <w:lvlText w:val=""/>
      <w:lvlJc w:val="left"/>
      <w:pPr>
        <w:ind w:left="3200" w:hanging="360"/>
      </w:pPr>
      <w:rPr>
        <w:rFonts w:ascii="Symbol" w:hAnsi="Symbol" w:hint="default"/>
      </w:rPr>
    </w:lvl>
    <w:lvl w:ilvl="4" w:tplc="0C090003" w:tentative="1">
      <w:start w:val="1"/>
      <w:numFmt w:val="bullet"/>
      <w:lvlText w:val="o"/>
      <w:lvlJc w:val="left"/>
      <w:pPr>
        <w:ind w:left="3920" w:hanging="360"/>
      </w:pPr>
      <w:rPr>
        <w:rFonts w:ascii="Courier New" w:hAnsi="Courier New" w:cs="Courier New" w:hint="default"/>
      </w:rPr>
    </w:lvl>
    <w:lvl w:ilvl="5" w:tplc="0C090005" w:tentative="1">
      <w:start w:val="1"/>
      <w:numFmt w:val="bullet"/>
      <w:lvlText w:val=""/>
      <w:lvlJc w:val="left"/>
      <w:pPr>
        <w:ind w:left="4640" w:hanging="360"/>
      </w:pPr>
      <w:rPr>
        <w:rFonts w:ascii="Wingdings" w:hAnsi="Wingdings" w:hint="default"/>
      </w:rPr>
    </w:lvl>
    <w:lvl w:ilvl="6" w:tplc="0C090001" w:tentative="1">
      <w:start w:val="1"/>
      <w:numFmt w:val="bullet"/>
      <w:lvlText w:val=""/>
      <w:lvlJc w:val="left"/>
      <w:pPr>
        <w:ind w:left="5360" w:hanging="360"/>
      </w:pPr>
      <w:rPr>
        <w:rFonts w:ascii="Symbol" w:hAnsi="Symbol" w:hint="default"/>
      </w:rPr>
    </w:lvl>
    <w:lvl w:ilvl="7" w:tplc="0C090003" w:tentative="1">
      <w:start w:val="1"/>
      <w:numFmt w:val="bullet"/>
      <w:lvlText w:val="o"/>
      <w:lvlJc w:val="left"/>
      <w:pPr>
        <w:ind w:left="6080" w:hanging="360"/>
      </w:pPr>
      <w:rPr>
        <w:rFonts w:ascii="Courier New" w:hAnsi="Courier New" w:cs="Courier New" w:hint="default"/>
      </w:rPr>
    </w:lvl>
    <w:lvl w:ilvl="8" w:tplc="0C090005" w:tentative="1">
      <w:start w:val="1"/>
      <w:numFmt w:val="bullet"/>
      <w:lvlText w:val=""/>
      <w:lvlJc w:val="left"/>
      <w:pPr>
        <w:ind w:left="6800" w:hanging="360"/>
      </w:pPr>
      <w:rPr>
        <w:rFonts w:ascii="Wingdings" w:hAnsi="Wingdings" w:hint="default"/>
      </w:rPr>
    </w:lvl>
  </w:abstractNum>
  <w:abstractNum w:abstractNumId="9" w15:restartNumberingAfterBreak="0">
    <w:nsid w:val="3D760B88"/>
    <w:multiLevelType w:val="hybridMultilevel"/>
    <w:tmpl w:val="6240AD6A"/>
    <w:lvl w:ilvl="0" w:tplc="C504DE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E0349E0"/>
    <w:multiLevelType w:val="hybridMultilevel"/>
    <w:tmpl w:val="D81E9AF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F418C8"/>
    <w:multiLevelType w:val="hybridMultilevel"/>
    <w:tmpl w:val="B3D4835A"/>
    <w:lvl w:ilvl="0" w:tplc="E8885C82">
      <w:start w:val="1"/>
      <w:numFmt w:val="lowerLetter"/>
      <w:lvlText w:val="(%1)"/>
      <w:lvlJc w:val="left"/>
      <w:pPr>
        <w:ind w:left="360" w:hanging="360"/>
      </w:pPr>
      <w:rPr>
        <w:rFonts w:hint="default"/>
        <w:i w:val="0"/>
        <w:iCs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20B6ECC"/>
    <w:multiLevelType w:val="hybridMultilevel"/>
    <w:tmpl w:val="C23E7B90"/>
    <w:lvl w:ilvl="0" w:tplc="ED1E5F1E">
      <w:start w:val="1"/>
      <w:numFmt w:val="bullet"/>
      <w:pStyle w:val="BulletedList"/>
      <w:lvlText w:val=""/>
      <w:lvlJc w:val="left"/>
      <w:pPr>
        <w:ind w:left="720" w:hanging="360"/>
      </w:pPr>
      <w:rPr>
        <w:rFonts w:ascii="Symbol" w:hAnsi="Symbol" w:hint="default"/>
      </w:rPr>
    </w:lvl>
    <w:lvl w:ilvl="1" w:tplc="9452778A" w:tentative="1">
      <w:start w:val="1"/>
      <w:numFmt w:val="bullet"/>
      <w:lvlText w:val="o"/>
      <w:lvlJc w:val="left"/>
      <w:pPr>
        <w:ind w:left="1440" w:hanging="360"/>
      </w:pPr>
      <w:rPr>
        <w:rFonts w:ascii="Courier New" w:hAnsi="Courier New" w:hint="default"/>
      </w:rPr>
    </w:lvl>
    <w:lvl w:ilvl="2" w:tplc="87E4D1D6" w:tentative="1">
      <w:start w:val="1"/>
      <w:numFmt w:val="bullet"/>
      <w:lvlText w:val=""/>
      <w:lvlJc w:val="left"/>
      <w:pPr>
        <w:ind w:left="2160" w:hanging="360"/>
      </w:pPr>
      <w:rPr>
        <w:rFonts w:ascii="Wingdings" w:hAnsi="Wingdings" w:hint="default"/>
      </w:rPr>
    </w:lvl>
    <w:lvl w:ilvl="3" w:tplc="B26EBE3C" w:tentative="1">
      <w:start w:val="1"/>
      <w:numFmt w:val="bullet"/>
      <w:lvlText w:val=""/>
      <w:lvlJc w:val="left"/>
      <w:pPr>
        <w:ind w:left="2880" w:hanging="360"/>
      </w:pPr>
      <w:rPr>
        <w:rFonts w:ascii="Symbol" w:hAnsi="Symbol" w:hint="default"/>
      </w:rPr>
    </w:lvl>
    <w:lvl w:ilvl="4" w:tplc="AF3E72D2" w:tentative="1">
      <w:start w:val="1"/>
      <w:numFmt w:val="bullet"/>
      <w:lvlText w:val="o"/>
      <w:lvlJc w:val="left"/>
      <w:pPr>
        <w:ind w:left="3600" w:hanging="360"/>
      </w:pPr>
      <w:rPr>
        <w:rFonts w:ascii="Courier New" w:hAnsi="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13" w15:restartNumberingAfterBreak="0">
    <w:nsid w:val="42376C72"/>
    <w:multiLevelType w:val="hybridMultilevel"/>
    <w:tmpl w:val="24264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8D67A6"/>
    <w:multiLevelType w:val="hybridMultilevel"/>
    <w:tmpl w:val="0E540C6E"/>
    <w:lvl w:ilvl="0" w:tplc="2E34DEC6">
      <w:numFmt w:val="bullet"/>
      <w:pStyle w:val="ListParagraph"/>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EB00DC8"/>
    <w:multiLevelType w:val="multilevel"/>
    <w:tmpl w:val="D3444D2A"/>
    <w:lvl w:ilvl="0">
      <w:start w:val="1"/>
      <w:numFmt w:val="bullet"/>
      <w:lvlText w:val=""/>
      <w:lvlJc w:val="left"/>
      <w:pPr>
        <w:ind w:left="1440" w:hanging="720"/>
      </w:pPr>
      <w:rPr>
        <w:rFonts w:ascii="Symbol" w:hAnsi="Symbol" w:hint="default"/>
        <w:b/>
      </w:rPr>
    </w:lvl>
    <w:lvl w:ilvl="1">
      <w:start w:val="1"/>
      <w:numFmt w:val="bullet"/>
      <w:lvlText w:val=""/>
      <w:lvlJc w:val="left"/>
      <w:pPr>
        <w:ind w:left="108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1080"/>
      </w:pPr>
      <w:rPr>
        <w:rFonts w:hint="default"/>
      </w:rPr>
    </w:lvl>
    <w:lvl w:ilvl="4">
      <w:start w:val="1"/>
      <w:numFmt w:val="bullet"/>
      <w:lvlText w:val=""/>
      <w:lvlJc w:val="left"/>
      <w:pPr>
        <w:ind w:left="1760" w:hanging="360"/>
      </w:pPr>
      <w:rPr>
        <w:rFonts w:ascii="Symbol" w:hAnsi="Symbol" w:hint="default"/>
      </w:rPr>
    </w:lvl>
    <w:lvl w:ilvl="5">
      <w:start w:val="1"/>
      <w:numFmt w:val="decimal"/>
      <w:lvlText w:val="%1.%2.%3.%4.%5.%6"/>
      <w:lvlJc w:val="left"/>
      <w:pPr>
        <w:ind w:left="216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520" w:hanging="1800"/>
      </w:pPr>
      <w:rPr>
        <w:rFonts w:hint="default"/>
      </w:rPr>
    </w:lvl>
    <w:lvl w:ilvl="8">
      <w:start w:val="1"/>
      <w:numFmt w:val="decimal"/>
      <w:lvlText w:val="%1.%2.%3.%4.%5.%6.%7.%8.%9"/>
      <w:lvlJc w:val="left"/>
      <w:pPr>
        <w:ind w:left="2520" w:hanging="1800"/>
      </w:pPr>
      <w:rPr>
        <w:rFonts w:hint="default"/>
      </w:rPr>
    </w:lvl>
  </w:abstractNum>
  <w:abstractNum w:abstractNumId="17" w15:restartNumberingAfterBreak="0">
    <w:nsid w:val="5AF1161E"/>
    <w:multiLevelType w:val="hybridMultilevel"/>
    <w:tmpl w:val="E9FAA0F4"/>
    <w:lvl w:ilvl="0" w:tplc="5F42CC44">
      <w:start w:val="2"/>
      <w:numFmt w:val="bullet"/>
      <w:lvlText w:val="-"/>
      <w:lvlJc w:val="left"/>
      <w:pPr>
        <w:ind w:left="720" w:hanging="360"/>
      </w:pPr>
      <w:rPr>
        <w:rFonts w:ascii="Arial Narrow" w:eastAsia="Calibri" w:hAnsi="Arial Narrow"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506034"/>
    <w:multiLevelType w:val="hybridMultilevel"/>
    <w:tmpl w:val="0A1E9174"/>
    <w:lvl w:ilvl="0" w:tplc="6254C846">
      <w:numFmt w:val="bullet"/>
      <w:lvlText w:val="-"/>
      <w:lvlJc w:val="left"/>
      <w:pPr>
        <w:ind w:left="360" w:hanging="360"/>
      </w:pPr>
      <w:rPr>
        <w:rFonts w:ascii="Calibri" w:eastAsiaTheme="minorHAnsi" w:hAnsi="Calibri" w:cstheme="minorBid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618C032D"/>
    <w:multiLevelType w:val="multilevel"/>
    <w:tmpl w:val="20581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3E773B0"/>
    <w:multiLevelType w:val="multilevel"/>
    <w:tmpl w:val="E8D8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46E195B"/>
    <w:multiLevelType w:val="hybridMultilevel"/>
    <w:tmpl w:val="66FA0E62"/>
    <w:lvl w:ilvl="0" w:tplc="4ACCC8F0">
      <w:start w:val="1"/>
      <w:numFmt w:val="lowerRoman"/>
      <w:pStyle w:val="bullet"/>
      <w:lvlText w:val="%1."/>
      <w:lvlJc w:val="righ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68530CE1"/>
    <w:multiLevelType w:val="hybridMultilevel"/>
    <w:tmpl w:val="661827A6"/>
    <w:lvl w:ilvl="0" w:tplc="0C09001B">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 w15:restartNumberingAfterBreak="0">
    <w:nsid w:val="733178BD"/>
    <w:multiLevelType w:val="hybridMultilevel"/>
    <w:tmpl w:val="D040A732"/>
    <w:lvl w:ilvl="0" w:tplc="A88A3E72">
      <w:start w:val="1"/>
      <w:numFmt w:val="lowerLetter"/>
      <w:lvlText w:val="(%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66C6B6E"/>
    <w:multiLevelType w:val="hybridMultilevel"/>
    <w:tmpl w:val="5ABC69E4"/>
    <w:lvl w:ilvl="0" w:tplc="DD6287E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784D033C"/>
    <w:multiLevelType w:val="multilevel"/>
    <w:tmpl w:val="45FC285E"/>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720" w:hanging="720"/>
      </w:pPr>
      <w:rPr>
        <w:rFonts w:asciiTheme="minorHAnsi" w:hAnsiTheme="minorHAnsi" w:cstheme="minorHAnsi" w:hint="default"/>
        <w:b w:val="0"/>
        <w:bCs w:val="0"/>
        <w:i w:val="0"/>
        <w:iCs w:val="0"/>
        <w:caps w:val="0"/>
        <w:smallCaps w:val="0"/>
        <w:strike w:val="0"/>
        <w:dstrike w:val="0"/>
        <w:outline w:val="0"/>
        <w:shadow w:val="0"/>
        <w:emboss w:val="0"/>
        <w:imprint w:val="0"/>
        <w:noProof w:val="0"/>
        <w:vanish w:val="0"/>
        <w:color w:val="auto"/>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7F8F67FC"/>
    <w:multiLevelType w:val="multilevel"/>
    <w:tmpl w:val="1E20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4"/>
  </w:num>
  <w:num w:numId="3">
    <w:abstractNumId w:val="15"/>
  </w:num>
  <w:num w:numId="4">
    <w:abstractNumId w:val="0"/>
  </w:num>
  <w:num w:numId="5">
    <w:abstractNumId w:val="25"/>
  </w:num>
  <w:num w:numId="6">
    <w:abstractNumId w:val="3"/>
  </w:num>
  <w:num w:numId="7">
    <w:abstractNumId w:val="6"/>
  </w:num>
  <w:num w:numId="8">
    <w:abstractNumId w:val="13"/>
  </w:num>
  <w:num w:numId="9">
    <w:abstractNumId w:val="21"/>
  </w:num>
  <w:num w:numId="10">
    <w:abstractNumId w:val="12"/>
  </w:num>
  <w:num w:numId="11">
    <w:abstractNumId w:val="1"/>
  </w:num>
  <w:num w:numId="12">
    <w:abstractNumId w:val="2"/>
  </w:num>
  <w:num w:numId="13">
    <w:abstractNumId w:val="8"/>
  </w:num>
  <w:num w:numId="14">
    <w:abstractNumId w:val="16"/>
  </w:num>
  <w:num w:numId="15">
    <w:abstractNumId w:val="18"/>
  </w:num>
  <w:num w:numId="16">
    <w:abstractNumId w:val="17"/>
  </w:num>
  <w:num w:numId="17">
    <w:abstractNumId w:val="10"/>
  </w:num>
  <w:num w:numId="18">
    <w:abstractNumId w:val="4"/>
  </w:num>
  <w:num w:numId="19">
    <w:abstractNumId w:val="9"/>
  </w:num>
  <w:num w:numId="20">
    <w:abstractNumId w:val="23"/>
  </w:num>
  <w:num w:numId="21">
    <w:abstractNumId w:val="7"/>
  </w:num>
  <w:num w:numId="22">
    <w:abstractNumId w:val="24"/>
  </w:num>
  <w:num w:numId="23">
    <w:abstractNumId w:val="11"/>
  </w:num>
  <w:num w:numId="24">
    <w:abstractNumId w:val="22"/>
  </w:num>
  <w:num w:numId="25">
    <w:abstractNumId w:val="25"/>
  </w:num>
  <w:num w:numId="26">
    <w:abstractNumId w:val="25"/>
  </w:num>
  <w:num w:numId="27">
    <w:abstractNumId w:val="20"/>
  </w:num>
  <w:num w:numId="28">
    <w:abstractNumId w:val="19"/>
  </w:num>
  <w:num w:numId="29">
    <w:abstractNumId w:val="26"/>
  </w:num>
  <w:num w:numId="30">
    <w:abstractNumId w:val="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170"/>
  <w:characterSpacingControl w:val="doNotCompress"/>
  <w:hdrShapeDefaults>
    <o:shapedefaults v:ext="edit" spidmax="9625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Social Science and Medicine&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s>
  <w:rsids>
    <w:rsidRoot w:val="00E65E79"/>
    <w:rsid w:val="00000790"/>
    <w:rsid w:val="0000110B"/>
    <w:rsid w:val="00003499"/>
    <w:rsid w:val="000039B7"/>
    <w:rsid w:val="00003BA4"/>
    <w:rsid w:val="00005026"/>
    <w:rsid w:val="000056B9"/>
    <w:rsid w:val="0000639A"/>
    <w:rsid w:val="000074ED"/>
    <w:rsid w:val="00007B61"/>
    <w:rsid w:val="00010614"/>
    <w:rsid w:val="0001095E"/>
    <w:rsid w:val="00011A89"/>
    <w:rsid w:val="0001271A"/>
    <w:rsid w:val="00013247"/>
    <w:rsid w:val="00015033"/>
    <w:rsid w:val="00015886"/>
    <w:rsid w:val="00015E49"/>
    <w:rsid w:val="000162EF"/>
    <w:rsid w:val="000207C9"/>
    <w:rsid w:val="00020CAD"/>
    <w:rsid w:val="00021907"/>
    <w:rsid w:val="0002225F"/>
    <w:rsid w:val="00022F73"/>
    <w:rsid w:val="000231DA"/>
    <w:rsid w:val="00023763"/>
    <w:rsid w:val="00024EB5"/>
    <w:rsid w:val="0002628D"/>
    <w:rsid w:val="000274B8"/>
    <w:rsid w:val="00032E65"/>
    <w:rsid w:val="00033335"/>
    <w:rsid w:val="00033863"/>
    <w:rsid w:val="00033DCE"/>
    <w:rsid w:val="00033DF2"/>
    <w:rsid w:val="0003474D"/>
    <w:rsid w:val="00035DC0"/>
    <w:rsid w:val="00036829"/>
    <w:rsid w:val="000407C3"/>
    <w:rsid w:val="00040895"/>
    <w:rsid w:val="00040C91"/>
    <w:rsid w:val="000410A0"/>
    <w:rsid w:val="000417CB"/>
    <w:rsid w:val="000435EE"/>
    <w:rsid w:val="0004383C"/>
    <w:rsid w:val="00043C37"/>
    <w:rsid w:val="00045017"/>
    <w:rsid w:val="00045A2B"/>
    <w:rsid w:val="00045CD6"/>
    <w:rsid w:val="0004634C"/>
    <w:rsid w:val="0004698F"/>
    <w:rsid w:val="00046D64"/>
    <w:rsid w:val="000470C9"/>
    <w:rsid w:val="000508C2"/>
    <w:rsid w:val="00050E60"/>
    <w:rsid w:val="000539D0"/>
    <w:rsid w:val="00054621"/>
    <w:rsid w:val="000546D7"/>
    <w:rsid w:val="00054A8D"/>
    <w:rsid w:val="00054BFC"/>
    <w:rsid w:val="00056ECF"/>
    <w:rsid w:val="000604DF"/>
    <w:rsid w:val="00061871"/>
    <w:rsid w:val="000653B5"/>
    <w:rsid w:val="00065F74"/>
    <w:rsid w:val="00066360"/>
    <w:rsid w:val="00066AF8"/>
    <w:rsid w:val="00070FE6"/>
    <w:rsid w:val="00071248"/>
    <w:rsid w:val="000720B9"/>
    <w:rsid w:val="000737F7"/>
    <w:rsid w:val="00075D2A"/>
    <w:rsid w:val="0007672F"/>
    <w:rsid w:val="00076B54"/>
    <w:rsid w:val="000774F0"/>
    <w:rsid w:val="00080909"/>
    <w:rsid w:val="000812CA"/>
    <w:rsid w:val="00081E63"/>
    <w:rsid w:val="0008258D"/>
    <w:rsid w:val="00083E99"/>
    <w:rsid w:val="00084A9E"/>
    <w:rsid w:val="00084FA8"/>
    <w:rsid w:val="000856C5"/>
    <w:rsid w:val="00085A06"/>
    <w:rsid w:val="00085C31"/>
    <w:rsid w:val="000902D9"/>
    <w:rsid w:val="00090C7E"/>
    <w:rsid w:val="000911AC"/>
    <w:rsid w:val="00092567"/>
    <w:rsid w:val="00092600"/>
    <w:rsid w:val="0009262B"/>
    <w:rsid w:val="00093310"/>
    <w:rsid w:val="00093E39"/>
    <w:rsid w:val="0009445C"/>
    <w:rsid w:val="00095200"/>
    <w:rsid w:val="00095C30"/>
    <w:rsid w:val="00095FE5"/>
    <w:rsid w:val="00096284"/>
    <w:rsid w:val="00097397"/>
    <w:rsid w:val="000A0F8D"/>
    <w:rsid w:val="000A105B"/>
    <w:rsid w:val="000A1BC0"/>
    <w:rsid w:val="000A24F1"/>
    <w:rsid w:val="000A2A34"/>
    <w:rsid w:val="000A2F9E"/>
    <w:rsid w:val="000A3E47"/>
    <w:rsid w:val="000A4A48"/>
    <w:rsid w:val="000A522B"/>
    <w:rsid w:val="000A6039"/>
    <w:rsid w:val="000A7453"/>
    <w:rsid w:val="000A7D08"/>
    <w:rsid w:val="000B0121"/>
    <w:rsid w:val="000B0670"/>
    <w:rsid w:val="000B0E75"/>
    <w:rsid w:val="000B2DCB"/>
    <w:rsid w:val="000B3B4B"/>
    <w:rsid w:val="000B40EB"/>
    <w:rsid w:val="000B4647"/>
    <w:rsid w:val="000B5CE0"/>
    <w:rsid w:val="000B6CAC"/>
    <w:rsid w:val="000B7355"/>
    <w:rsid w:val="000B7612"/>
    <w:rsid w:val="000B78AE"/>
    <w:rsid w:val="000B79DF"/>
    <w:rsid w:val="000C05F5"/>
    <w:rsid w:val="000C0C35"/>
    <w:rsid w:val="000C188F"/>
    <w:rsid w:val="000C3DF9"/>
    <w:rsid w:val="000C4CF2"/>
    <w:rsid w:val="000C5F57"/>
    <w:rsid w:val="000C6713"/>
    <w:rsid w:val="000D1B42"/>
    <w:rsid w:val="000D1BFC"/>
    <w:rsid w:val="000D1C1F"/>
    <w:rsid w:val="000D1CCE"/>
    <w:rsid w:val="000D1D5D"/>
    <w:rsid w:val="000D23E0"/>
    <w:rsid w:val="000D2548"/>
    <w:rsid w:val="000D281A"/>
    <w:rsid w:val="000D2848"/>
    <w:rsid w:val="000D326A"/>
    <w:rsid w:val="000D51FB"/>
    <w:rsid w:val="000D52EC"/>
    <w:rsid w:val="000E0640"/>
    <w:rsid w:val="000E135D"/>
    <w:rsid w:val="000E1CAF"/>
    <w:rsid w:val="000E61BF"/>
    <w:rsid w:val="000F00BA"/>
    <w:rsid w:val="000F300B"/>
    <w:rsid w:val="000F316A"/>
    <w:rsid w:val="000F3C61"/>
    <w:rsid w:val="000F3C74"/>
    <w:rsid w:val="000F41E0"/>
    <w:rsid w:val="000F4BB8"/>
    <w:rsid w:val="000F4FA9"/>
    <w:rsid w:val="000F53FB"/>
    <w:rsid w:val="000F6AA6"/>
    <w:rsid w:val="000F7127"/>
    <w:rsid w:val="000F7B54"/>
    <w:rsid w:val="001000B3"/>
    <w:rsid w:val="0010033D"/>
    <w:rsid w:val="00100E85"/>
    <w:rsid w:val="00100F8A"/>
    <w:rsid w:val="00100FE3"/>
    <w:rsid w:val="00102080"/>
    <w:rsid w:val="0010452E"/>
    <w:rsid w:val="00105AE2"/>
    <w:rsid w:val="001060C6"/>
    <w:rsid w:val="00106B80"/>
    <w:rsid w:val="0010717C"/>
    <w:rsid w:val="001071D0"/>
    <w:rsid w:val="0011032E"/>
    <w:rsid w:val="00110938"/>
    <w:rsid w:val="00110C4C"/>
    <w:rsid w:val="0011348B"/>
    <w:rsid w:val="00115982"/>
    <w:rsid w:val="00116C53"/>
    <w:rsid w:val="00120DA9"/>
    <w:rsid w:val="00121799"/>
    <w:rsid w:val="001222FC"/>
    <w:rsid w:val="001231E2"/>
    <w:rsid w:val="00123902"/>
    <w:rsid w:val="00124A51"/>
    <w:rsid w:val="00126621"/>
    <w:rsid w:val="00126B1D"/>
    <w:rsid w:val="001278FA"/>
    <w:rsid w:val="00127D49"/>
    <w:rsid w:val="001301E9"/>
    <w:rsid w:val="00130CE9"/>
    <w:rsid w:val="001316D2"/>
    <w:rsid w:val="00131D82"/>
    <w:rsid w:val="001329F3"/>
    <w:rsid w:val="00132B22"/>
    <w:rsid w:val="00133D36"/>
    <w:rsid w:val="00137645"/>
    <w:rsid w:val="0014015A"/>
    <w:rsid w:val="00140E14"/>
    <w:rsid w:val="00140E99"/>
    <w:rsid w:val="00141962"/>
    <w:rsid w:val="00143F67"/>
    <w:rsid w:val="00145234"/>
    <w:rsid w:val="00145540"/>
    <w:rsid w:val="001456B0"/>
    <w:rsid w:val="0014692E"/>
    <w:rsid w:val="00151C80"/>
    <w:rsid w:val="00152369"/>
    <w:rsid w:val="001528F3"/>
    <w:rsid w:val="001547AB"/>
    <w:rsid w:val="001558B3"/>
    <w:rsid w:val="001563D0"/>
    <w:rsid w:val="00156F8F"/>
    <w:rsid w:val="00157130"/>
    <w:rsid w:val="001576B1"/>
    <w:rsid w:val="00160066"/>
    <w:rsid w:val="0016047B"/>
    <w:rsid w:val="00160576"/>
    <w:rsid w:val="00160A0A"/>
    <w:rsid w:val="00160A4C"/>
    <w:rsid w:val="00160B7A"/>
    <w:rsid w:val="00162913"/>
    <w:rsid w:val="001630F0"/>
    <w:rsid w:val="00163EFF"/>
    <w:rsid w:val="00163F66"/>
    <w:rsid w:val="0016478E"/>
    <w:rsid w:val="00165EC4"/>
    <w:rsid w:val="001661FB"/>
    <w:rsid w:val="001671A0"/>
    <w:rsid w:val="0016767F"/>
    <w:rsid w:val="0017158E"/>
    <w:rsid w:val="00172CC0"/>
    <w:rsid w:val="00173045"/>
    <w:rsid w:val="00173565"/>
    <w:rsid w:val="00173B07"/>
    <w:rsid w:val="001751FA"/>
    <w:rsid w:val="001778CC"/>
    <w:rsid w:val="00181025"/>
    <w:rsid w:val="001816B4"/>
    <w:rsid w:val="00181C10"/>
    <w:rsid w:val="00181D9C"/>
    <w:rsid w:val="001828E2"/>
    <w:rsid w:val="0018309D"/>
    <w:rsid w:val="001837FF"/>
    <w:rsid w:val="00184B0E"/>
    <w:rsid w:val="00184B7C"/>
    <w:rsid w:val="0018512A"/>
    <w:rsid w:val="001855B5"/>
    <w:rsid w:val="0018752F"/>
    <w:rsid w:val="00187A41"/>
    <w:rsid w:val="00190F8D"/>
    <w:rsid w:val="0019113C"/>
    <w:rsid w:val="00192154"/>
    <w:rsid w:val="00193838"/>
    <w:rsid w:val="00193CB4"/>
    <w:rsid w:val="00194AD8"/>
    <w:rsid w:val="00195222"/>
    <w:rsid w:val="00195452"/>
    <w:rsid w:val="00196A1A"/>
    <w:rsid w:val="001973D8"/>
    <w:rsid w:val="001975D8"/>
    <w:rsid w:val="001A178E"/>
    <w:rsid w:val="001A2AFB"/>
    <w:rsid w:val="001A2E6F"/>
    <w:rsid w:val="001A43FA"/>
    <w:rsid w:val="001A47C5"/>
    <w:rsid w:val="001A59FB"/>
    <w:rsid w:val="001A5B89"/>
    <w:rsid w:val="001A5E9E"/>
    <w:rsid w:val="001A6354"/>
    <w:rsid w:val="001A6366"/>
    <w:rsid w:val="001A662A"/>
    <w:rsid w:val="001A7AE8"/>
    <w:rsid w:val="001A7F4E"/>
    <w:rsid w:val="001B204E"/>
    <w:rsid w:val="001B2372"/>
    <w:rsid w:val="001B2481"/>
    <w:rsid w:val="001B3443"/>
    <w:rsid w:val="001B4D20"/>
    <w:rsid w:val="001B4EDF"/>
    <w:rsid w:val="001B507F"/>
    <w:rsid w:val="001B648B"/>
    <w:rsid w:val="001B64DC"/>
    <w:rsid w:val="001B7ECA"/>
    <w:rsid w:val="001B7F84"/>
    <w:rsid w:val="001C0A39"/>
    <w:rsid w:val="001C2A9B"/>
    <w:rsid w:val="001C3DD6"/>
    <w:rsid w:val="001C4299"/>
    <w:rsid w:val="001C4874"/>
    <w:rsid w:val="001C5F94"/>
    <w:rsid w:val="001C6E66"/>
    <w:rsid w:val="001D0A62"/>
    <w:rsid w:val="001D1100"/>
    <w:rsid w:val="001D1252"/>
    <w:rsid w:val="001D1391"/>
    <w:rsid w:val="001D1539"/>
    <w:rsid w:val="001D25D7"/>
    <w:rsid w:val="001D4711"/>
    <w:rsid w:val="001D50B2"/>
    <w:rsid w:val="001D68B0"/>
    <w:rsid w:val="001D71F4"/>
    <w:rsid w:val="001D7645"/>
    <w:rsid w:val="001E1E86"/>
    <w:rsid w:val="001E238E"/>
    <w:rsid w:val="001E2483"/>
    <w:rsid w:val="001E2B1E"/>
    <w:rsid w:val="001E2CFF"/>
    <w:rsid w:val="001E2F24"/>
    <w:rsid w:val="001E30D4"/>
    <w:rsid w:val="001E34DF"/>
    <w:rsid w:val="001E3906"/>
    <w:rsid w:val="001E52EB"/>
    <w:rsid w:val="001E61D2"/>
    <w:rsid w:val="001E73C1"/>
    <w:rsid w:val="001E740C"/>
    <w:rsid w:val="001E7F3F"/>
    <w:rsid w:val="001F0C0E"/>
    <w:rsid w:val="001F1235"/>
    <w:rsid w:val="001F1CB3"/>
    <w:rsid w:val="001F38B5"/>
    <w:rsid w:val="001F4081"/>
    <w:rsid w:val="001F594A"/>
    <w:rsid w:val="001F7361"/>
    <w:rsid w:val="00200647"/>
    <w:rsid w:val="002011B0"/>
    <w:rsid w:val="00203181"/>
    <w:rsid w:val="00203612"/>
    <w:rsid w:val="00203783"/>
    <w:rsid w:val="0020385F"/>
    <w:rsid w:val="00204E68"/>
    <w:rsid w:val="002062BC"/>
    <w:rsid w:val="0020637A"/>
    <w:rsid w:val="002068A0"/>
    <w:rsid w:val="00207021"/>
    <w:rsid w:val="0020732F"/>
    <w:rsid w:val="00207D00"/>
    <w:rsid w:val="002105C1"/>
    <w:rsid w:val="002116FD"/>
    <w:rsid w:val="00211BE4"/>
    <w:rsid w:val="00213EF5"/>
    <w:rsid w:val="00216BF5"/>
    <w:rsid w:val="00216CDE"/>
    <w:rsid w:val="0022383E"/>
    <w:rsid w:val="00223A22"/>
    <w:rsid w:val="00223B49"/>
    <w:rsid w:val="00223D5A"/>
    <w:rsid w:val="00224DD4"/>
    <w:rsid w:val="00224F20"/>
    <w:rsid w:val="0022703A"/>
    <w:rsid w:val="0022766D"/>
    <w:rsid w:val="002278A0"/>
    <w:rsid w:val="00227FD3"/>
    <w:rsid w:val="002302DC"/>
    <w:rsid w:val="002306B2"/>
    <w:rsid w:val="002309CC"/>
    <w:rsid w:val="00230EBF"/>
    <w:rsid w:val="002316AC"/>
    <w:rsid w:val="00231BA9"/>
    <w:rsid w:val="0023209F"/>
    <w:rsid w:val="00232192"/>
    <w:rsid w:val="002334FC"/>
    <w:rsid w:val="00233C01"/>
    <w:rsid w:val="0023413C"/>
    <w:rsid w:val="002346F0"/>
    <w:rsid w:val="002350C7"/>
    <w:rsid w:val="002353D0"/>
    <w:rsid w:val="0023629D"/>
    <w:rsid w:val="0023638E"/>
    <w:rsid w:val="00237255"/>
    <w:rsid w:val="00237361"/>
    <w:rsid w:val="0024068F"/>
    <w:rsid w:val="00241797"/>
    <w:rsid w:val="002419E6"/>
    <w:rsid w:val="002424AF"/>
    <w:rsid w:val="002439DC"/>
    <w:rsid w:val="002441D2"/>
    <w:rsid w:val="00244DC8"/>
    <w:rsid w:val="002458BA"/>
    <w:rsid w:val="00245CE9"/>
    <w:rsid w:val="0024636C"/>
    <w:rsid w:val="0024765D"/>
    <w:rsid w:val="00247925"/>
    <w:rsid w:val="00250A1E"/>
    <w:rsid w:val="00251006"/>
    <w:rsid w:val="00251C02"/>
    <w:rsid w:val="002524D5"/>
    <w:rsid w:val="00253B1D"/>
    <w:rsid w:val="00254D91"/>
    <w:rsid w:val="00254DCF"/>
    <w:rsid w:val="0025534B"/>
    <w:rsid w:val="002559B4"/>
    <w:rsid w:val="00255BB7"/>
    <w:rsid w:val="00255F6D"/>
    <w:rsid w:val="00257541"/>
    <w:rsid w:val="00257A39"/>
    <w:rsid w:val="00257AC4"/>
    <w:rsid w:val="00257BBE"/>
    <w:rsid w:val="00261DD8"/>
    <w:rsid w:val="00261EEF"/>
    <w:rsid w:val="00262A1A"/>
    <w:rsid w:val="00262A87"/>
    <w:rsid w:val="00264D26"/>
    <w:rsid w:val="00267642"/>
    <w:rsid w:val="00267AEA"/>
    <w:rsid w:val="002700E6"/>
    <w:rsid w:val="00271256"/>
    <w:rsid w:val="0027294B"/>
    <w:rsid w:val="00272C70"/>
    <w:rsid w:val="00273EB4"/>
    <w:rsid w:val="00274288"/>
    <w:rsid w:val="00274682"/>
    <w:rsid w:val="00274CD6"/>
    <w:rsid w:val="0027507D"/>
    <w:rsid w:val="00275158"/>
    <w:rsid w:val="00275818"/>
    <w:rsid w:val="00275C5A"/>
    <w:rsid w:val="00280163"/>
    <w:rsid w:val="00281014"/>
    <w:rsid w:val="00282908"/>
    <w:rsid w:val="002845CC"/>
    <w:rsid w:val="00285BCE"/>
    <w:rsid w:val="00285E34"/>
    <w:rsid w:val="0028665D"/>
    <w:rsid w:val="00286DF0"/>
    <w:rsid w:val="00286FC2"/>
    <w:rsid w:val="0029160D"/>
    <w:rsid w:val="00291882"/>
    <w:rsid w:val="00297CF8"/>
    <w:rsid w:val="002A14AB"/>
    <w:rsid w:val="002A2ADE"/>
    <w:rsid w:val="002A2F50"/>
    <w:rsid w:val="002A3572"/>
    <w:rsid w:val="002A6213"/>
    <w:rsid w:val="002A6B63"/>
    <w:rsid w:val="002A7943"/>
    <w:rsid w:val="002B05A1"/>
    <w:rsid w:val="002B09A4"/>
    <w:rsid w:val="002B1C1F"/>
    <w:rsid w:val="002B3BBC"/>
    <w:rsid w:val="002B432F"/>
    <w:rsid w:val="002B62B3"/>
    <w:rsid w:val="002B6754"/>
    <w:rsid w:val="002B6A44"/>
    <w:rsid w:val="002B6CCE"/>
    <w:rsid w:val="002B773C"/>
    <w:rsid w:val="002B7EC7"/>
    <w:rsid w:val="002C2510"/>
    <w:rsid w:val="002C2775"/>
    <w:rsid w:val="002C27C1"/>
    <w:rsid w:val="002C34DB"/>
    <w:rsid w:val="002C36E3"/>
    <w:rsid w:val="002C5095"/>
    <w:rsid w:val="002C5099"/>
    <w:rsid w:val="002C5338"/>
    <w:rsid w:val="002C5837"/>
    <w:rsid w:val="002C5889"/>
    <w:rsid w:val="002C603B"/>
    <w:rsid w:val="002C6FDF"/>
    <w:rsid w:val="002C71CE"/>
    <w:rsid w:val="002D08F8"/>
    <w:rsid w:val="002D2975"/>
    <w:rsid w:val="002D2E87"/>
    <w:rsid w:val="002D3FB8"/>
    <w:rsid w:val="002D577C"/>
    <w:rsid w:val="002D5F3E"/>
    <w:rsid w:val="002D7832"/>
    <w:rsid w:val="002E0156"/>
    <w:rsid w:val="002E0501"/>
    <w:rsid w:val="002E0C32"/>
    <w:rsid w:val="002E1071"/>
    <w:rsid w:val="002E15B9"/>
    <w:rsid w:val="002E17FA"/>
    <w:rsid w:val="002E2158"/>
    <w:rsid w:val="002E2E42"/>
    <w:rsid w:val="002E37A9"/>
    <w:rsid w:val="002E4F02"/>
    <w:rsid w:val="002E7722"/>
    <w:rsid w:val="002E7EB4"/>
    <w:rsid w:val="002F07BA"/>
    <w:rsid w:val="002F0DA9"/>
    <w:rsid w:val="002F1014"/>
    <w:rsid w:val="002F1173"/>
    <w:rsid w:val="002F1465"/>
    <w:rsid w:val="002F1E3B"/>
    <w:rsid w:val="002F29EE"/>
    <w:rsid w:val="002F3345"/>
    <w:rsid w:val="002F3E80"/>
    <w:rsid w:val="002F643C"/>
    <w:rsid w:val="002F71C0"/>
    <w:rsid w:val="002F733E"/>
    <w:rsid w:val="002F74F1"/>
    <w:rsid w:val="003007B4"/>
    <w:rsid w:val="00301017"/>
    <w:rsid w:val="0030155F"/>
    <w:rsid w:val="0030159E"/>
    <w:rsid w:val="0030584C"/>
    <w:rsid w:val="0030587B"/>
    <w:rsid w:val="00305EC4"/>
    <w:rsid w:val="00306D98"/>
    <w:rsid w:val="0030786C"/>
    <w:rsid w:val="00307AA0"/>
    <w:rsid w:val="00310315"/>
    <w:rsid w:val="0031031A"/>
    <w:rsid w:val="00310981"/>
    <w:rsid w:val="00311D9B"/>
    <w:rsid w:val="003124D9"/>
    <w:rsid w:val="00312594"/>
    <w:rsid w:val="003134CF"/>
    <w:rsid w:val="00314A44"/>
    <w:rsid w:val="00314F13"/>
    <w:rsid w:val="00315498"/>
    <w:rsid w:val="00316055"/>
    <w:rsid w:val="00316474"/>
    <w:rsid w:val="0031678F"/>
    <w:rsid w:val="00321D9F"/>
    <w:rsid w:val="00322107"/>
    <w:rsid w:val="00322355"/>
    <w:rsid w:val="003225E0"/>
    <w:rsid w:val="00322846"/>
    <w:rsid w:val="00324C7B"/>
    <w:rsid w:val="0032508A"/>
    <w:rsid w:val="00325998"/>
    <w:rsid w:val="00326944"/>
    <w:rsid w:val="00326DA7"/>
    <w:rsid w:val="003270E4"/>
    <w:rsid w:val="0033022C"/>
    <w:rsid w:val="00330894"/>
    <w:rsid w:val="00330DAA"/>
    <w:rsid w:val="00330F5C"/>
    <w:rsid w:val="00331962"/>
    <w:rsid w:val="00333B9E"/>
    <w:rsid w:val="003358C4"/>
    <w:rsid w:val="003366C9"/>
    <w:rsid w:val="003371B0"/>
    <w:rsid w:val="00337682"/>
    <w:rsid w:val="00340105"/>
    <w:rsid w:val="00340DF1"/>
    <w:rsid w:val="00341073"/>
    <w:rsid w:val="00341BBB"/>
    <w:rsid w:val="0034439E"/>
    <w:rsid w:val="003451DF"/>
    <w:rsid w:val="003457F4"/>
    <w:rsid w:val="00350823"/>
    <w:rsid w:val="003517F9"/>
    <w:rsid w:val="00351BA9"/>
    <w:rsid w:val="0035494B"/>
    <w:rsid w:val="00354F64"/>
    <w:rsid w:val="0035620E"/>
    <w:rsid w:val="00356D69"/>
    <w:rsid w:val="003571D6"/>
    <w:rsid w:val="003575BE"/>
    <w:rsid w:val="00360345"/>
    <w:rsid w:val="00361A05"/>
    <w:rsid w:val="00362346"/>
    <w:rsid w:val="003624C4"/>
    <w:rsid w:val="00363B00"/>
    <w:rsid w:val="003654AC"/>
    <w:rsid w:val="0036568F"/>
    <w:rsid w:val="003664A0"/>
    <w:rsid w:val="00370417"/>
    <w:rsid w:val="003710CF"/>
    <w:rsid w:val="0037358A"/>
    <w:rsid w:val="0037408B"/>
    <w:rsid w:val="003750F6"/>
    <w:rsid w:val="003760FC"/>
    <w:rsid w:val="00383028"/>
    <w:rsid w:val="0038365C"/>
    <w:rsid w:val="0038369B"/>
    <w:rsid w:val="00383B78"/>
    <w:rsid w:val="00383FCF"/>
    <w:rsid w:val="00385A9D"/>
    <w:rsid w:val="003865EB"/>
    <w:rsid w:val="00387121"/>
    <w:rsid w:val="003902B1"/>
    <w:rsid w:val="003911AA"/>
    <w:rsid w:val="0039179C"/>
    <w:rsid w:val="003953E4"/>
    <w:rsid w:val="0039550C"/>
    <w:rsid w:val="00396896"/>
    <w:rsid w:val="00396C58"/>
    <w:rsid w:val="00396FD0"/>
    <w:rsid w:val="003A07B1"/>
    <w:rsid w:val="003A0FCF"/>
    <w:rsid w:val="003A1A7A"/>
    <w:rsid w:val="003A2392"/>
    <w:rsid w:val="003A2831"/>
    <w:rsid w:val="003A37A4"/>
    <w:rsid w:val="003A3CB6"/>
    <w:rsid w:val="003A3ED1"/>
    <w:rsid w:val="003A44DB"/>
    <w:rsid w:val="003A4C14"/>
    <w:rsid w:val="003A5509"/>
    <w:rsid w:val="003A64E0"/>
    <w:rsid w:val="003B1BD2"/>
    <w:rsid w:val="003B3971"/>
    <w:rsid w:val="003B485E"/>
    <w:rsid w:val="003B55D1"/>
    <w:rsid w:val="003B5B61"/>
    <w:rsid w:val="003B63F9"/>
    <w:rsid w:val="003B76E4"/>
    <w:rsid w:val="003C0020"/>
    <w:rsid w:val="003C1654"/>
    <w:rsid w:val="003C264C"/>
    <w:rsid w:val="003C3FE4"/>
    <w:rsid w:val="003C4DE3"/>
    <w:rsid w:val="003C54E2"/>
    <w:rsid w:val="003C5542"/>
    <w:rsid w:val="003C6E5A"/>
    <w:rsid w:val="003C76AD"/>
    <w:rsid w:val="003C7C15"/>
    <w:rsid w:val="003C7D19"/>
    <w:rsid w:val="003C7D2F"/>
    <w:rsid w:val="003D0C5A"/>
    <w:rsid w:val="003D1024"/>
    <w:rsid w:val="003D1828"/>
    <w:rsid w:val="003D1DE4"/>
    <w:rsid w:val="003D1E9A"/>
    <w:rsid w:val="003D20E8"/>
    <w:rsid w:val="003D2422"/>
    <w:rsid w:val="003D39A1"/>
    <w:rsid w:val="003D3FBF"/>
    <w:rsid w:val="003D4223"/>
    <w:rsid w:val="003D4A30"/>
    <w:rsid w:val="003D4B48"/>
    <w:rsid w:val="003D5001"/>
    <w:rsid w:val="003D6599"/>
    <w:rsid w:val="003D7452"/>
    <w:rsid w:val="003D79BB"/>
    <w:rsid w:val="003D7C98"/>
    <w:rsid w:val="003D7D9D"/>
    <w:rsid w:val="003E0543"/>
    <w:rsid w:val="003E098B"/>
    <w:rsid w:val="003E15C2"/>
    <w:rsid w:val="003E5603"/>
    <w:rsid w:val="003E568B"/>
    <w:rsid w:val="003E6DB6"/>
    <w:rsid w:val="003E749E"/>
    <w:rsid w:val="003E7884"/>
    <w:rsid w:val="003F0C1C"/>
    <w:rsid w:val="003F4156"/>
    <w:rsid w:val="003F5ADF"/>
    <w:rsid w:val="003F783A"/>
    <w:rsid w:val="00400864"/>
    <w:rsid w:val="00400B29"/>
    <w:rsid w:val="00402812"/>
    <w:rsid w:val="00403C72"/>
    <w:rsid w:val="0040504B"/>
    <w:rsid w:val="004059F4"/>
    <w:rsid w:val="00407FE5"/>
    <w:rsid w:val="004101B0"/>
    <w:rsid w:val="00410326"/>
    <w:rsid w:val="00410708"/>
    <w:rsid w:val="00410EC7"/>
    <w:rsid w:val="00411B39"/>
    <w:rsid w:val="00411CA3"/>
    <w:rsid w:val="004127A7"/>
    <w:rsid w:val="00413A1E"/>
    <w:rsid w:val="0041414F"/>
    <w:rsid w:val="00414416"/>
    <w:rsid w:val="00414476"/>
    <w:rsid w:val="00414C2E"/>
    <w:rsid w:val="004151CF"/>
    <w:rsid w:val="00416364"/>
    <w:rsid w:val="0042047F"/>
    <w:rsid w:val="00420AA6"/>
    <w:rsid w:val="00420B9F"/>
    <w:rsid w:val="004217B1"/>
    <w:rsid w:val="0042192C"/>
    <w:rsid w:val="00422260"/>
    <w:rsid w:val="0042413F"/>
    <w:rsid w:val="00424EDB"/>
    <w:rsid w:val="00425F8C"/>
    <w:rsid w:val="004319F8"/>
    <w:rsid w:val="00431E55"/>
    <w:rsid w:val="004321F6"/>
    <w:rsid w:val="00433044"/>
    <w:rsid w:val="00434088"/>
    <w:rsid w:val="004375B9"/>
    <w:rsid w:val="004415E2"/>
    <w:rsid w:val="00442744"/>
    <w:rsid w:val="004428D0"/>
    <w:rsid w:val="00444185"/>
    <w:rsid w:val="004443A7"/>
    <w:rsid w:val="0044442C"/>
    <w:rsid w:val="00445581"/>
    <w:rsid w:val="00445941"/>
    <w:rsid w:val="004464EB"/>
    <w:rsid w:val="00447D26"/>
    <w:rsid w:val="00447DFC"/>
    <w:rsid w:val="00447F17"/>
    <w:rsid w:val="0045450E"/>
    <w:rsid w:val="00455D45"/>
    <w:rsid w:val="0045634B"/>
    <w:rsid w:val="00460FDD"/>
    <w:rsid w:val="004618FF"/>
    <w:rsid w:val="004621BC"/>
    <w:rsid w:val="00464595"/>
    <w:rsid w:val="00464F6E"/>
    <w:rsid w:val="00465673"/>
    <w:rsid w:val="004658B5"/>
    <w:rsid w:val="00466BAF"/>
    <w:rsid w:val="004676A9"/>
    <w:rsid w:val="00471063"/>
    <w:rsid w:val="00471EA5"/>
    <w:rsid w:val="00472A79"/>
    <w:rsid w:val="00473F19"/>
    <w:rsid w:val="00474996"/>
    <w:rsid w:val="00474C95"/>
    <w:rsid w:val="00474E23"/>
    <w:rsid w:val="00475E22"/>
    <w:rsid w:val="00477A57"/>
    <w:rsid w:val="0048088E"/>
    <w:rsid w:val="00480F2B"/>
    <w:rsid w:val="00482720"/>
    <w:rsid w:val="00482BA2"/>
    <w:rsid w:val="004834AC"/>
    <w:rsid w:val="004835E7"/>
    <w:rsid w:val="00484115"/>
    <w:rsid w:val="004859E1"/>
    <w:rsid w:val="004867E2"/>
    <w:rsid w:val="00487BBC"/>
    <w:rsid w:val="00490B17"/>
    <w:rsid w:val="00491B3A"/>
    <w:rsid w:val="00492CFD"/>
    <w:rsid w:val="00494207"/>
    <w:rsid w:val="00494DD5"/>
    <w:rsid w:val="004962D2"/>
    <w:rsid w:val="004A0610"/>
    <w:rsid w:val="004A0DA1"/>
    <w:rsid w:val="004A13D6"/>
    <w:rsid w:val="004A1B73"/>
    <w:rsid w:val="004A52E9"/>
    <w:rsid w:val="004A6040"/>
    <w:rsid w:val="004A6597"/>
    <w:rsid w:val="004A7848"/>
    <w:rsid w:val="004A793B"/>
    <w:rsid w:val="004B1C38"/>
    <w:rsid w:val="004B1CB4"/>
    <w:rsid w:val="004B1E5D"/>
    <w:rsid w:val="004B2F18"/>
    <w:rsid w:val="004B3DDB"/>
    <w:rsid w:val="004B44FD"/>
    <w:rsid w:val="004B5CFC"/>
    <w:rsid w:val="004B6D51"/>
    <w:rsid w:val="004B6DCC"/>
    <w:rsid w:val="004B6F79"/>
    <w:rsid w:val="004B7098"/>
    <w:rsid w:val="004B774D"/>
    <w:rsid w:val="004B7DB1"/>
    <w:rsid w:val="004C06D3"/>
    <w:rsid w:val="004C1608"/>
    <w:rsid w:val="004C2AC2"/>
    <w:rsid w:val="004C4AED"/>
    <w:rsid w:val="004C5F71"/>
    <w:rsid w:val="004C75D0"/>
    <w:rsid w:val="004D0387"/>
    <w:rsid w:val="004D1B58"/>
    <w:rsid w:val="004D2C2D"/>
    <w:rsid w:val="004D4384"/>
    <w:rsid w:val="004D4387"/>
    <w:rsid w:val="004D54CB"/>
    <w:rsid w:val="004D69B5"/>
    <w:rsid w:val="004D7227"/>
    <w:rsid w:val="004D7B5E"/>
    <w:rsid w:val="004E0E7F"/>
    <w:rsid w:val="004E0EB8"/>
    <w:rsid w:val="004E18E9"/>
    <w:rsid w:val="004E18FA"/>
    <w:rsid w:val="004E2ADC"/>
    <w:rsid w:val="004E43B2"/>
    <w:rsid w:val="004E676D"/>
    <w:rsid w:val="004F0932"/>
    <w:rsid w:val="004F1D02"/>
    <w:rsid w:val="004F2679"/>
    <w:rsid w:val="004F2F21"/>
    <w:rsid w:val="004F3DE5"/>
    <w:rsid w:val="004F500D"/>
    <w:rsid w:val="004F5A41"/>
    <w:rsid w:val="004F6478"/>
    <w:rsid w:val="004F6809"/>
    <w:rsid w:val="004F6913"/>
    <w:rsid w:val="004F7865"/>
    <w:rsid w:val="00500B88"/>
    <w:rsid w:val="00501499"/>
    <w:rsid w:val="0050174E"/>
    <w:rsid w:val="00501854"/>
    <w:rsid w:val="0050219B"/>
    <w:rsid w:val="00503D9D"/>
    <w:rsid w:val="00503E3F"/>
    <w:rsid w:val="00503F17"/>
    <w:rsid w:val="00503F3A"/>
    <w:rsid w:val="0050660E"/>
    <w:rsid w:val="00506928"/>
    <w:rsid w:val="00507192"/>
    <w:rsid w:val="005077EF"/>
    <w:rsid w:val="00510C04"/>
    <w:rsid w:val="00511AD5"/>
    <w:rsid w:val="00511DC7"/>
    <w:rsid w:val="00512BBA"/>
    <w:rsid w:val="005142C5"/>
    <w:rsid w:val="0051501B"/>
    <w:rsid w:val="005152B5"/>
    <w:rsid w:val="005156E3"/>
    <w:rsid w:val="00515886"/>
    <w:rsid w:val="00517442"/>
    <w:rsid w:val="00517FA3"/>
    <w:rsid w:val="005210CE"/>
    <w:rsid w:val="0052123C"/>
    <w:rsid w:val="00521319"/>
    <w:rsid w:val="00522303"/>
    <w:rsid w:val="00522BC8"/>
    <w:rsid w:val="00523C28"/>
    <w:rsid w:val="00530A14"/>
    <w:rsid w:val="0053176B"/>
    <w:rsid w:val="005327E0"/>
    <w:rsid w:val="005339E8"/>
    <w:rsid w:val="005341B3"/>
    <w:rsid w:val="005352FF"/>
    <w:rsid w:val="00536E73"/>
    <w:rsid w:val="00536F42"/>
    <w:rsid w:val="00537182"/>
    <w:rsid w:val="00541EDD"/>
    <w:rsid w:val="00542743"/>
    <w:rsid w:val="00542C2D"/>
    <w:rsid w:val="005450A2"/>
    <w:rsid w:val="00546351"/>
    <w:rsid w:val="005478BD"/>
    <w:rsid w:val="005479E3"/>
    <w:rsid w:val="00551985"/>
    <w:rsid w:val="00552937"/>
    <w:rsid w:val="00552BD3"/>
    <w:rsid w:val="005532A0"/>
    <w:rsid w:val="00553B8C"/>
    <w:rsid w:val="00555109"/>
    <w:rsid w:val="00556B35"/>
    <w:rsid w:val="00556F89"/>
    <w:rsid w:val="0055741A"/>
    <w:rsid w:val="005611B7"/>
    <w:rsid w:val="005618D4"/>
    <w:rsid w:val="00562494"/>
    <w:rsid w:val="00564867"/>
    <w:rsid w:val="005648FF"/>
    <w:rsid w:val="00565AEA"/>
    <w:rsid w:val="00565C79"/>
    <w:rsid w:val="00565DF0"/>
    <w:rsid w:val="0056696F"/>
    <w:rsid w:val="00572269"/>
    <w:rsid w:val="0057244A"/>
    <w:rsid w:val="00572F26"/>
    <w:rsid w:val="005750C5"/>
    <w:rsid w:val="005752DE"/>
    <w:rsid w:val="00575A22"/>
    <w:rsid w:val="00575D60"/>
    <w:rsid w:val="00575D8D"/>
    <w:rsid w:val="00576972"/>
    <w:rsid w:val="00577248"/>
    <w:rsid w:val="00580AE9"/>
    <w:rsid w:val="005821E2"/>
    <w:rsid w:val="00583699"/>
    <w:rsid w:val="005847EF"/>
    <w:rsid w:val="00585514"/>
    <w:rsid w:val="00585CDD"/>
    <w:rsid w:val="00587058"/>
    <w:rsid w:val="0059051D"/>
    <w:rsid w:val="00591738"/>
    <w:rsid w:val="00591957"/>
    <w:rsid w:val="0059219C"/>
    <w:rsid w:val="00593ED1"/>
    <w:rsid w:val="005972A8"/>
    <w:rsid w:val="00597BF9"/>
    <w:rsid w:val="005A0C11"/>
    <w:rsid w:val="005A309A"/>
    <w:rsid w:val="005A373D"/>
    <w:rsid w:val="005A4A0A"/>
    <w:rsid w:val="005A67D0"/>
    <w:rsid w:val="005B0B58"/>
    <w:rsid w:val="005B0BC7"/>
    <w:rsid w:val="005B1258"/>
    <w:rsid w:val="005B46EF"/>
    <w:rsid w:val="005B4E53"/>
    <w:rsid w:val="005B5126"/>
    <w:rsid w:val="005B5857"/>
    <w:rsid w:val="005B71BA"/>
    <w:rsid w:val="005C19C4"/>
    <w:rsid w:val="005C1B83"/>
    <w:rsid w:val="005C25FF"/>
    <w:rsid w:val="005C2D55"/>
    <w:rsid w:val="005C346B"/>
    <w:rsid w:val="005C5A7B"/>
    <w:rsid w:val="005C5ABC"/>
    <w:rsid w:val="005C643B"/>
    <w:rsid w:val="005D044D"/>
    <w:rsid w:val="005D0ABD"/>
    <w:rsid w:val="005D18AD"/>
    <w:rsid w:val="005D26B4"/>
    <w:rsid w:val="005D6360"/>
    <w:rsid w:val="005E1728"/>
    <w:rsid w:val="005E1995"/>
    <w:rsid w:val="005E4B3B"/>
    <w:rsid w:val="005E6CBC"/>
    <w:rsid w:val="005E72FF"/>
    <w:rsid w:val="005E73C0"/>
    <w:rsid w:val="005F07ED"/>
    <w:rsid w:val="005F1A35"/>
    <w:rsid w:val="005F2706"/>
    <w:rsid w:val="005F2AB3"/>
    <w:rsid w:val="005F4213"/>
    <w:rsid w:val="005F6A8F"/>
    <w:rsid w:val="005F6BB7"/>
    <w:rsid w:val="005F7588"/>
    <w:rsid w:val="00603548"/>
    <w:rsid w:val="00603DB9"/>
    <w:rsid w:val="00606112"/>
    <w:rsid w:val="00606FBA"/>
    <w:rsid w:val="00607669"/>
    <w:rsid w:val="006076F4"/>
    <w:rsid w:val="00607AFD"/>
    <w:rsid w:val="00611B12"/>
    <w:rsid w:val="00612BA3"/>
    <w:rsid w:val="00612F97"/>
    <w:rsid w:val="0061345D"/>
    <w:rsid w:val="00613B3B"/>
    <w:rsid w:val="00614658"/>
    <w:rsid w:val="006152BC"/>
    <w:rsid w:val="0061549B"/>
    <w:rsid w:val="006162B5"/>
    <w:rsid w:val="00616802"/>
    <w:rsid w:val="00617E12"/>
    <w:rsid w:val="00620C25"/>
    <w:rsid w:val="00621477"/>
    <w:rsid w:val="00621ADA"/>
    <w:rsid w:val="006224B8"/>
    <w:rsid w:val="00623F7B"/>
    <w:rsid w:val="00624BD4"/>
    <w:rsid w:val="00627180"/>
    <w:rsid w:val="00630A1F"/>
    <w:rsid w:val="0063158F"/>
    <w:rsid w:val="00631B3F"/>
    <w:rsid w:val="00631D6B"/>
    <w:rsid w:val="00632183"/>
    <w:rsid w:val="006330A1"/>
    <w:rsid w:val="0063479F"/>
    <w:rsid w:val="006353F0"/>
    <w:rsid w:val="006357B5"/>
    <w:rsid w:val="006364A1"/>
    <w:rsid w:val="0063678E"/>
    <w:rsid w:val="006376ED"/>
    <w:rsid w:val="00637BFD"/>
    <w:rsid w:val="00637C5C"/>
    <w:rsid w:val="006402B2"/>
    <w:rsid w:val="0064052D"/>
    <w:rsid w:val="00640B1D"/>
    <w:rsid w:val="006413D5"/>
    <w:rsid w:val="00641C4E"/>
    <w:rsid w:val="00641FB3"/>
    <w:rsid w:val="0064339A"/>
    <w:rsid w:val="00643438"/>
    <w:rsid w:val="0064434C"/>
    <w:rsid w:val="0064490A"/>
    <w:rsid w:val="00644BAA"/>
    <w:rsid w:val="0064688A"/>
    <w:rsid w:val="006471CC"/>
    <w:rsid w:val="006472FE"/>
    <w:rsid w:val="00647A29"/>
    <w:rsid w:val="00647EC6"/>
    <w:rsid w:val="006502B7"/>
    <w:rsid w:val="0065079F"/>
    <w:rsid w:val="0065123E"/>
    <w:rsid w:val="00652A28"/>
    <w:rsid w:val="00652E1E"/>
    <w:rsid w:val="0065379F"/>
    <w:rsid w:val="00653E2C"/>
    <w:rsid w:val="00654EDA"/>
    <w:rsid w:val="00655186"/>
    <w:rsid w:val="00656188"/>
    <w:rsid w:val="00656DB8"/>
    <w:rsid w:val="0065715A"/>
    <w:rsid w:val="006610F1"/>
    <w:rsid w:val="00661C6B"/>
    <w:rsid w:val="00662D3E"/>
    <w:rsid w:val="00662FD7"/>
    <w:rsid w:val="00663860"/>
    <w:rsid w:val="00665520"/>
    <w:rsid w:val="006663B2"/>
    <w:rsid w:val="00667BE3"/>
    <w:rsid w:val="00671004"/>
    <w:rsid w:val="0067115F"/>
    <w:rsid w:val="00672228"/>
    <w:rsid w:val="00672646"/>
    <w:rsid w:val="00674E42"/>
    <w:rsid w:val="00674F4F"/>
    <w:rsid w:val="00676563"/>
    <w:rsid w:val="00680593"/>
    <w:rsid w:val="00680BE6"/>
    <w:rsid w:val="006813F8"/>
    <w:rsid w:val="00682112"/>
    <w:rsid w:val="00682BA6"/>
    <w:rsid w:val="00684C13"/>
    <w:rsid w:val="006853F4"/>
    <w:rsid w:val="00686957"/>
    <w:rsid w:val="00686DB6"/>
    <w:rsid w:val="006872BA"/>
    <w:rsid w:val="00690795"/>
    <w:rsid w:val="00691648"/>
    <w:rsid w:val="006917D7"/>
    <w:rsid w:val="00691A7B"/>
    <w:rsid w:val="0069426D"/>
    <w:rsid w:val="0069434C"/>
    <w:rsid w:val="00694D36"/>
    <w:rsid w:val="00694F44"/>
    <w:rsid w:val="00695540"/>
    <w:rsid w:val="00695EFC"/>
    <w:rsid w:val="00696A51"/>
    <w:rsid w:val="00696EF9"/>
    <w:rsid w:val="00696F51"/>
    <w:rsid w:val="006979A5"/>
    <w:rsid w:val="006A016F"/>
    <w:rsid w:val="006A0431"/>
    <w:rsid w:val="006A0DF7"/>
    <w:rsid w:val="006A4321"/>
    <w:rsid w:val="006A43D9"/>
    <w:rsid w:val="006A5427"/>
    <w:rsid w:val="006A6B99"/>
    <w:rsid w:val="006A724C"/>
    <w:rsid w:val="006A7AE4"/>
    <w:rsid w:val="006A7E5F"/>
    <w:rsid w:val="006B261B"/>
    <w:rsid w:val="006B298E"/>
    <w:rsid w:val="006B2C90"/>
    <w:rsid w:val="006B32A8"/>
    <w:rsid w:val="006B35E6"/>
    <w:rsid w:val="006B465A"/>
    <w:rsid w:val="006B6DD0"/>
    <w:rsid w:val="006B70A0"/>
    <w:rsid w:val="006B7142"/>
    <w:rsid w:val="006C0399"/>
    <w:rsid w:val="006C0B2D"/>
    <w:rsid w:val="006C0C7A"/>
    <w:rsid w:val="006C0E18"/>
    <w:rsid w:val="006C1585"/>
    <w:rsid w:val="006C2A8E"/>
    <w:rsid w:val="006C3255"/>
    <w:rsid w:val="006C3F26"/>
    <w:rsid w:val="006C707A"/>
    <w:rsid w:val="006C7CFD"/>
    <w:rsid w:val="006C7EFA"/>
    <w:rsid w:val="006D0D17"/>
    <w:rsid w:val="006D1B66"/>
    <w:rsid w:val="006D1E9B"/>
    <w:rsid w:val="006D3010"/>
    <w:rsid w:val="006D3C7D"/>
    <w:rsid w:val="006D4659"/>
    <w:rsid w:val="006D5D5F"/>
    <w:rsid w:val="006D6409"/>
    <w:rsid w:val="006D68FB"/>
    <w:rsid w:val="006D77A5"/>
    <w:rsid w:val="006E0687"/>
    <w:rsid w:val="006E2868"/>
    <w:rsid w:val="006E46EB"/>
    <w:rsid w:val="006E5C36"/>
    <w:rsid w:val="006E7118"/>
    <w:rsid w:val="006F168D"/>
    <w:rsid w:val="006F1C8C"/>
    <w:rsid w:val="006F306C"/>
    <w:rsid w:val="006F5DE5"/>
    <w:rsid w:val="006F63A5"/>
    <w:rsid w:val="006F6E09"/>
    <w:rsid w:val="006F78DE"/>
    <w:rsid w:val="0070142B"/>
    <w:rsid w:val="00702473"/>
    <w:rsid w:val="0070276E"/>
    <w:rsid w:val="00702F8F"/>
    <w:rsid w:val="007032AD"/>
    <w:rsid w:val="00703AFB"/>
    <w:rsid w:val="007059A2"/>
    <w:rsid w:val="007062DC"/>
    <w:rsid w:val="007073D7"/>
    <w:rsid w:val="007079FC"/>
    <w:rsid w:val="00711A36"/>
    <w:rsid w:val="00711B44"/>
    <w:rsid w:val="007125D3"/>
    <w:rsid w:val="00714C26"/>
    <w:rsid w:val="0071529C"/>
    <w:rsid w:val="00715AFA"/>
    <w:rsid w:val="007165BD"/>
    <w:rsid w:val="007170DA"/>
    <w:rsid w:val="007172AD"/>
    <w:rsid w:val="00717546"/>
    <w:rsid w:val="00720801"/>
    <w:rsid w:val="007213D2"/>
    <w:rsid w:val="00721DE2"/>
    <w:rsid w:val="00722B1B"/>
    <w:rsid w:val="00722DDD"/>
    <w:rsid w:val="00723AB1"/>
    <w:rsid w:val="0072416F"/>
    <w:rsid w:val="007244CA"/>
    <w:rsid w:val="00727C94"/>
    <w:rsid w:val="00731B0A"/>
    <w:rsid w:val="00731EAE"/>
    <w:rsid w:val="00733073"/>
    <w:rsid w:val="0073427C"/>
    <w:rsid w:val="00735033"/>
    <w:rsid w:val="00735328"/>
    <w:rsid w:val="00735F79"/>
    <w:rsid w:val="0073685B"/>
    <w:rsid w:val="00736C58"/>
    <w:rsid w:val="00741566"/>
    <w:rsid w:val="007429BB"/>
    <w:rsid w:val="007437EE"/>
    <w:rsid w:val="007440CC"/>
    <w:rsid w:val="007449BF"/>
    <w:rsid w:val="007463FE"/>
    <w:rsid w:val="00746BC0"/>
    <w:rsid w:val="007477E4"/>
    <w:rsid w:val="007510B4"/>
    <w:rsid w:val="0075202E"/>
    <w:rsid w:val="00752142"/>
    <w:rsid w:val="007523F9"/>
    <w:rsid w:val="00752B2F"/>
    <w:rsid w:val="0075357E"/>
    <w:rsid w:val="00753593"/>
    <w:rsid w:val="00753B29"/>
    <w:rsid w:val="0075573F"/>
    <w:rsid w:val="007563C9"/>
    <w:rsid w:val="007573E8"/>
    <w:rsid w:val="00760C4E"/>
    <w:rsid w:val="00760F9E"/>
    <w:rsid w:val="007616E6"/>
    <w:rsid w:val="007627BE"/>
    <w:rsid w:val="00764784"/>
    <w:rsid w:val="00764F03"/>
    <w:rsid w:val="00765306"/>
    <w:rsid w:val="00765B1A"/>
    <w:rsid w:val="00765DC1"/>
    <w:rsid w:val="007668F7"/>
    <w:rsid w:val="007735B1"/>
    <w:rsid w:val="00775248"/>
    <w:rsid w:val="00777335"/>
    <w:rsid w:val="00777FA8"/>
    <w:rsid w:val="007806BC"/>
    <w:rsid w:val="00780D0A"/>
    <w:rsid w:val="00781A0F"/>
    <w:rsid w:val="007843F2"/>
    <w:rsid w:val="007846FA"/>
    <w:rsid w:val="00784EDD"/>
    <w:rsid w:val="00785A9F"/>
    <w:rsid w:val="0078765F"/>
    <w:rsid w:val="00791058"/>
    <w:rsid w:val="007925DF"/>
    <w:rsid w:val="007926E0"/>
    <w:rsid w:val="00793907"/>
    <w:rsid w:val="00795C49"/>
    <w:rsid w:val="007A08AA"/>
    <w:rsid w:val="007A0A12"/>
    <w:rsid w:val="007A132D"/>
    <w:rsid w:val="007A1345"/>
    <w:rsid w:val="007A2DDB"/>
    <w:rsid w:val="007A4E95"/>
    <w:rsid w:val="007A5FEF"/>
    <w:rsid w:val="007A70BA"/>
    <w:rsid w:val="007B0D68"/>
    <w:rsid w:val="007B1F59"/>
    <w:rsid w:val="007B251D"/>
    <w:rsid w:val="007B3533"/>
    <w:rsid w:val="007B4F58"/>
    <w:rsid w:val="007B508D"/>
    <w:rsid w:val="007B528D"/>
    <w:rsid w:val="007B63CA"/>
    <w:rsid w:val="007B77D1"/>
    <w:rsid w:val="007C0293"/>
    <w:rsid w:val="007C07C7"/>
    <w:rsid w:val="007C1CD9"/>
    <w:rsid w:val="007C1D7C"/>
    <w:rsid w:val="007C32EF"/>
    <w:rsid w:val="007C361D"/>
    <w:rsid w:val="007C4B84"/>
    <w:rsid w:val="007C5A6C"/>
    <w:rsid w:val="007C70FF"/>
    <w:rsid w:val="007C7AD1"/>
    <w:rsid w:val="007C7C25"/>
    <w:rsid w:val="007D004F"/>
    <w:rsid w:val="007D035F"/>
    <w:rsid w:val="007D06B2"/>
    <w:rsid w:val="007D0B38"/>
    <w:rsid w:val="007D5440"/>
    <w:rsid w:val="007D69EB"/>
    <w:rsid w:val="007D7862"/>
    <w:rsid w:val="007E0A26"/>
    <w:rsid w:val="007E128F"/>
    <w:rsid w:val="007E2392"/>
    <w:rsid w:val="007E56D1"/>
    <w:rsid w:val="007E5DEE"/>
    <w:rsid w:val="007F1017"/>
    <w:rsid w:val="007F31A7"/>
    <w:rsid w:val="007F4A3F"/>
    <w:rsid w:val="007F4A61"/>
    <w:rsid w:val="007F5255"/>
    <w:rsid w:val="007F56CC"/>
    <w:rsid w:val="007F5F7B"/>
    <w:rsid w:val="007F61C2"/>
    <w:rsid w:val="007F6FAC"/>
    <w:rsid w:val="007F76FC"/>
    <w:rsid w:val="0080060C"/>
    <w:rsid w:val="00801F21"/>
    <w:rsid w:val="00802603"/>
    <w:rsid w:val="00805142"/>
    <w:rsid w:val="00805FCE"/>
    <w:rsid w:val="00807A8B"/>
    <w:rsid w:val="008104DF"/>
    <w:rsid w:val="00811383"/>
    <w:rsid w:val="00812149"/>
    <w:rsid w:val="00812CAC"/>
    <w:rsid w:val="008159DB"/>
    <w:rsid w:val="00816361"/>
    <w:rsid w:val="008166EF"/>
    <w:rsid w:val="00816FEF"/>
    <w:rsid w:val="00820A8C"/>
    <w:rsid w:val="008215FB"/>
    <w:rsid w:val="008220CC"/>
    <w:rsid w:val="00823174"/>
    <w:rsid w:val="0082330C"/>
    <w:rsid w:val="00825588"/>
    <w:rsid w:val="00825751"/>
    <w:rsid w:val="008264EB"/>
    <w:rsid w:val="008268CE"/>
    <w:rsid w:val="00827C23"/>
    <w:rsid w:val="00830404"/>
    <w:rsid w:val="008308E8"/>
    <w:rsid w:val="00831D1C"/>
    <w:rsid w:val="00832207"/>
    <w:rsid w:val="00833B05"/>
    <w:rsid w:val="00834DC0"/>
    <w:rsid w:val="008362B4"/>
    <w:rsid w:val="00837A56"/>
    <w:rsid w:val="00837A62"/>
    <w:rsid w:val="00840100"/>
    <w:rsid w:val="00840CA2"/>
    <w:rsid w:val="0084374F"/>
    <w:rsid w:val="00844A22"/>
    <w:rsid w:val="008456A5"/>
    <w:rsid w:val="00847703"/>
    <w:rsid w:val="00847DF5"/>
    <w:rsid w:val="0085065B"/>
    <w:rsid w:val="008521F7"/>
    <w:rsid w:val="0085309D"/>
    <w:rsid w:val="008533A5"/>
    <w:rsid w:val="008542B8"/>
    <w:rsid w:val="00856897"/>
    <w:rsid w:val="008569AC"/>
    <w:rsid w:val="00856BD4"/>
    <w:rsid w:val="00856E9A"/>
    <w:rsid w:val="00857C1E"/>
    <w:rsid w:val="0086075D"/>
    <w:rsid w:val="00860D8E"/>
    <w:rsid w:val="008612CA"/>
    <w:rsid w:val="008619FA"/>
    <w:rsid w:val="00862502"/>
    <w:rsid w:val="0086278F"/>
    <w:rsid w:val="00862CC1"/>
    <w:rsid w:val="00863866"/>
    <w:rsid w:val="008642A7"/>
    <w:rsid w:val="008660D4"/>
    <w:rsid w:val="00870F01"/>
    <w:rsid w:val="00871FA9"/>
    <w:rsid w:val="008728E9"/>
    <w:rsid w:val="00874BB8"/>
    <w:rsid w:val="00882874"/>
    <w:rsid w:val="00882E3C"/>
    <w:rsid w:val="0088308A"/>
    <w:rsid w:val="00883637"/>
    <w:rsid w:val="00883787"/>
    <w:rsid w:val="008855E4"/>
    <w:rsid w:val="00886CD2"/>
    <w:rsid w:val="00891E6F"/>
    <w:rsid w:val="0089275D"/>
    <w:rsid w:val="00892A36"/>
    <w:rsid w:val="00893239"/>
    <w:rsid w:val="0089364D"/>
    <w:rsid w:val="00894489"/>
    <w:rsid w:val="00894628"/>
    <w:rsid w:val="00894ACF"/>
    <w:rsid w:val="00894CD6"/>
    <w:rsid w:val="00894CDB"/>
    <w:rsid w:val="00896233"/>
    <w:rsid w:val="008963A5"/>
    <w:rsid w:val="00896845"/>
    <w:rsid w:val="00896D5D"/>
    <w:rsid w:val="00897505"/>
    <w:rsid w:val="00897832"/>
    <w:rsid w:val="008A3158"/>
    <w:rsid w:val="008A3363"/>
    <w:rsid w:val="008A3371"/>
    <w:rsid w:val="008A372F"/>
    <w:rsid w:val="008A3C3E"/>
    <w:rsid w:val="008A4088"/>
    <w:rsid w:val="008A5492"/>
    <w:rsid w:val="008A684D"/>
    <w:rsid w:val="008A79DE"/>
    <w:rsid w:val="008B02BF"/>
    <w:rsid w:val="008B1757"/>
    <w:rsid w:val="008B1C33"/>
    <w:rsid w:val="008B49EC"/>
    <w:rsid w:val="008B4B6F"/>
    <w:rsid w:val="008B77B5"/>
    <w:rsid w:val="008B7992"/>
    <w:rsid w:val="008B7D7E"/>
    <w:rsid w:val="008C4E51"/>
    <w:rsid w:val="008C4F84"/>
    <w:rsid w:val="008C5610"/>
    <w:rsid w:val="008C5739"/>
    <w:rsid w:val="008C7282"/>
    <w:rsid w:val="008C7ECB"/>
    <w:rsid w:val="008D0F5B"/>
    <w:rsid w:val="008D2583"/>
    <w:rsid w:val="008D29E8"/>
    <w:rsid w:val="008D3B86"/>
    <w:rsid w:val="008D4063"/>
    <w:rsid w:val="008D43FD"/>
    <w:rsid w:val="008D4755"/>
    <w:rsid w:val="008D4C3D"/>
    <w:rsid w:val="008D743C"/>
    <w:rsid w:val="008D7F39"/>
    <w:rsid w:val="008E0B16"/>
    <w:rsid w:val="008E0D3C"/>
    <w:rsid w:val="008E1B9E"/>
    <w:rsid w:val="008E34A0"/>
    <w:rsid w:val="008E4695"/>
    <w:rsid w:val="008E501E"/>
    <w:rsid w:val="008E55AB"/>
    <w:rsid w:val="008E6E58"/>
    <w:rsid w:val="008E714F"/>
    <w:rsid w:val="008E7715"/>
    <w:rsid w:val="008F03DF"/>
    <w:rsid w:val="008F120A"/>
    <w:rsid w:val="008F193F"/>
    <w:rsid w:val="008F23C7"/>
    <w:rsid w:val="008F27E0"/>
    <w:rsid w:val="008F48EB"/>
    <w:rsid w:val="008F4A57"/>
    <w:rsid w:val="008F4F0B"/>
    <w:rsid w:val="008F63A8"/>
    <w:rsid w:val="009006C2"/>
    <w:rsid w:val="0090229C"/>
    <w:rsid w:val="0090237D"/>
    <w:rsid w:val="00902BB0"/>
    <w:rsid w:val="009046C4"/>
    <w:rsid w:val="00904F77"/>
    <w:rsid w:val="009062A5"/>
    <w:rsid w:val="00906391"/>
    <w:rsid w:val="0090762C"/>
    <w:rsid w:val="00907699"/>
    <w:rsid w:val="00910FA7"/>
    <w:rsid w:val="00911272"/>
    <w:rsid w:val="00911339"/>
    <w:rsid w:val="00912649"/>
    <w:rsid w:val="009135D6"/>
    <w:rsid w:val="00913B18"/>
    <w:rsid w:val="00914C77"/>
    <w:rsid w:val="00915922"/>
    <w:rsid w:val="0091627B"/>
    <w:rsid w:val="00921ACB"/>
    <w:rsid w:val="00922E98"/>
    <w:rsid w:val="0092369B"/>
    <w:rsid w:val="00923EA3"/>
    <w:rsid w:val="0093122C"/>
    <w:rsid w:val="00932007"/>
    <w:rsid w:val="00933985"/>
    <w:rsid w:val="009344DC"/>
    <w:rsid w:val="009348A8"/>
    <w:rsid w:val="00934988"/>
    <w:rsid w:val="00937089"/>
    <w:rsid w:val="00944F1D"/>
    <w:rsid w:val="00944F8A"/>
    <w:rsid w:val="009469FA"/>
    <w:rsid w:val="00946E87"/>
    <w:rsid w:val="0095014A"/>
    <w:rsid w:val="009510A2"/>
    <w:rsid w:val="00952653"/>
    <w:rsid w:val="00952B91"/>
    <w:rsid w:val="00952E9E"/>
    <w:rsid w:val="00953257"/>
    <w:rsid w:val="0095474C"/>
    <w:rsid w:val="00955373"/>
    <w:rsid w:val="00955D17"/>
    <w:rsid w:val="00957D92"/>
    <w:rsid w:val="00962CB9"/>
    <w:rsid w:val="00963541"/>
    <w:rsid w:val="00964147"/>
    <w:rsid w:val="00964312"/>
    <w:rsid w:val="00965124"/>
    <w:rsid w:val="00965B8A"/>
    <w:rsid w:val="00965F66"/>
    <w:rsid w:val="009677DA"/>
    <w:rsid w:val="00967894"/>
    <w:rsid w:val="009705E3"/>
    <w:rsid w:val="0097071F"/>
    <w:rsid w:val="009717AC"/>
    <w:rsid w:val="00971E28"/>
    <w:rsid w:val="00972041"/>
    <w:rsid w:val="009734FD"/>
    <w:rsid w:val="00973948"/>
    <w:rsid w:val="009751C1"/>
    <w:rsid w:val="009752C1"/>
    <w:rsid w:val="009811F1"/>
    <w:rsid w:val="00983E57"/>
    <w:rsid w:val="009840C5"/>
    <w:rsid w:val="00985DE2"/>
    <w:rsid w:val="0098675D"/>
    <w:rsid w:val="00986BC0"/>
    <w:rsid w:val="00987BA4"/>
    <w:rsid w:val="0099036C"/>
    <w:rsid w:val="00991583"/>
    <w:rsid w:val="009926E0"/>
    <w:rsid w:val="00993B93"/>
    <w:rsid w:val="0099451E"/>
    <w:rsid w:val="00995554"/>
    <w:rsid w:val="00996B1A"/>
    <w:rsid w:val="009A0009"/>
    <w:rsid w:val="009A18F6"/>
    <w:rsid w:val="009A2DCC"/>
    <w:rsid w:val="009A2ED2"/>
    <w:rsid w:val="009A2F23"/>
    <w:rsid w:val="009A3505"/>
    <w:rsid w:val="009A47DF"/>
    <w:rsid w:val="009A48A8"/>
    <w:rsid w:val="009A5ABC"/>
    <w:rsid w:val="009A7F10"/>
    <w:rsid w:val="009B09BC"/>
    <w:rsid w:val="009B1E83"/>
    <w:rsid w:val="009B2DA0"/>
    <w:rsid w:val="009B3E26"/>
    <w:rsid w:val="009B518F"/>
    <w:rsid w:val="009B5479"/>
    <w:rsid w:val="009B7807"/>
    <w:rsid w:val="009B7AD7"/>
    <w:rsid w:val="009C1271"/>
    <w:rsid w:val="009C3706"/>
    <w:rsid w:val="009C3A3A"/>
    <w:rsid w:val="009C6CEA"/>
    <w:rsid w:val="009C7B85"/>
    <w:rsid w:val="009D0254"/>
    <w:rsid w:val="009D0F95"/>
    <w:rsid w:val="009D105D"/>
    <w:rsid w:val="009D1A64"/>
    <w:rsid w:val="009D1C13"/>
    <w:rsid w:val="009D28F7"/>
    <w:rsid w:val="009D36AE"/>
    <w:rsid w:val="009D5B91"/>
    <w:rsid w:val="009D721F"/>
    <w:rsid w:val="009D792E"/>
    <w:rsid w:val="009E0DFE"/>
    <w:rsid w:val="009E1100"/>
    <w:rsid w:val="009E31F6"/>
    <w:rsid w:val="009E33D8"/>
    <w:rsid w:val="009E4C07"/>
    <w:rsid w:val="009E6F7D"/>
    <w:rsid w:val="009E7161"/>
    <w:rsid w:val="009E777F"/>
    <w:rsid w:val="009F381B"/>
    <w:rsid w:val="009F553A"/>
    <w:rsid w:val="009F6120"/>
    <w:rsid w:val="009F6EF3"/>
    <w:rsid w:val="009F7236"/>
    <w:rsid w:val="00A00AFE"/>
    <w:rsid w:val="00A00D76"/>
    <w:rsid w:val="00A01184"/>
    <w:rsid w:val="00A01449"/>
    <w:rsid w:val="00A032F8"/>
    <w:rsid w:val="00A037C2"/>
    <w:rsid w:val="00A03D43"/>
    <w:rsid w:val="00A04380"/>
    <w:rsid w:val="00A04786"/>
    <w:rsid w:val="00A04D90"/>
    <w:rsid w:val="00A05472"/>
    <w:rsid w:val="00A059EC"/>
    <w:rsid w:val="00A05C32"/>
    <w:rsid w:val="00A0653F"/>
    <w:rsid w:val="00A105EC"/>
    <w:rsid w:val="00A119FB"/>
    <w:rsid w:val="00A11CD0"/>
    <w:rsid w:val="00A13948"/>
    <w:rsid w:val="00A142C1"/>
    <w:rsid w:val="00A14865"/>
    <w:rsid w:val="00A1555B"/>
    <w:rsid w:val="00A155C5"/>
    <w:rsid w:val="00A16081"/>
    <w:rsid w:val="00A16AD8"/>
    <w:rsid w:val="00A17709"/>
    <w:rsid w:val="00A1789B"/>
    <w:rsid w:val="00A2021E"/>
    <w:rsid w:val="00A21C95"/>
    <w:rsid w:val="00A21CF3"/>
    <w:rsid w:val="00A22369"/>
    <w:rsid w:val="00A24813"/>
    <w:rsid w:val="00A252A8"/>
    <w:rsid w:val="00A27A80"/>
    <w:rsid w:val="00A27AEC"/>
    <w:rsid w:val="00A312BF"/>
    <w:rsid w:val="00A320DB"/>
    <w:rsid w:val="00A3335C"/>
    <w:rsid w:val="00A351B0"/>
    <w:rsid w:val="00A351E3"/>
    <w:rsid w:val="00A35CDF"/>
    <w:rsid w:val="00A35D16"/>
    <w:rsid w:val="00A37BCD"/>
    <w:rsid w:val="00A41689"/>
    <w:rsid w:val="00A42592"/>
    <w:rsid w:val="00A43ACD"/>
    <w:rsid w:val="00A43C59"/>
    <w:rsid w:val="00A4517D"/>
    <w:rsid w:val="00A47757"/>
    <w:rsid w:val="00A50ECD"/>
    <w:rsid w:val="00A51560"/>
    <w:rsid w:val="00A518F3"/>
    <w:rsid w:val="00A52729"/>
    <w:rsid w:val="00A53675"/>
    <w:rsid w:val="00A56016"/>
    <w:rsid w:val="00A564D7"/>
    <w:rsid w:val="00A56B6A"/>
    <w:rsid w:val="00A578DC"/>
    <w:rsid w:val="00A640E2"/>
    <w:rsid w:val="00A64D65"/>
    <w:rsid w:val="00A65120"/>
    <w:rsid w:val="00A6725B"/>
    <w:rsid w:val="00A70605"/>
    <w:rsid w:val="00A7300A"/>
    <w:rsid w:val="00A73134"/>
    <w:rsid w:val="00A7365A"/>
    <w:rsid w:val="00A74193"/>
    <w:rsid w:val="00A76001"/>
    <w:rsid w:val="00A7644F"/>
    <w:rsid w:val="00A76D83"/>
    <w:rsid w:val="00A76D9D"/>
    <w:rsid w:val="00A777B2"/>
    <w:rsid w:val="00A80C8B"/>
    <w:rsid w:val="00A825D4"/>
    <w:rsid w:val="00A828F6"/>
    <w:rsid w:val="00A82B73"/>
    <w:rsid w:val="00A84F87"/>
    <w:rsid w:val="00A86721"/>
    <w:rsid w:val="00A86D77"/>
    <w:rsid w:val="00A86E8B"/>
    <w:rsid w:val="00A87164"/>
    <w:rsid w:val="00A91364"/>
    <w:rsid w:val="00A93072"/>
    <w:rsid w:val="00A938BD"/>
    <w:rsid w:val="00A93953"/>
    <w:rsid w:val="00A94198"/>
    <w:rsid w:val="00A94606"/>
    <w:rsid w:val="00A959D8"/>
    <w:rsid w:val="00A96706"/>
    <w:rsid w:val="00A97ACF"/>
    <w:rsid w:val="00A97C3B"/>
    <w:rsid w:val="00AA113D"/>
    <w:rsid w:val="00AA2AD5"/>
    <w:rsid w:val="00AA3E26"/>
    <w:rsid w:val="00AA403B"/>
    <w:rsid w:val="00AA5D5F"/>
    <w:rsid w:val="00AA6979"/>
    <w:rsid w:val="00AA6BD5"/>
    <w:rsid w:val="00AA6BD8"/>
    <w:rsid w:val="00AA6C7D"/>
    <w:rsid w:val="00AA7FB7"/>
    <w:rsid w:val="00AA7FD6"/>
    <w:rsid w:val="00AB00F6"/>
    <w:rsid w:val="00AB042A"/>
    <w:rsid w:val="00AB11AD"/>
    <w:rsid w:val="00AB19EF"/>
    <w:rsid w:val="00AB2495"/>
    <w:rsid w:val="00AB2D34"/>
    <w:rsid w:val="00AB3430"/>
    <w:rsid w:val="00AB37B9"/>
    <w:rsid w:val="00AB3F8C"/>
    <w:rsid w:val="00AB4525"/>
    <w:rsid w:val="00AB4AD1"/>
    <w:rsid w:val="00AB5E07"/>
    <w:rsid w:val="00AB7CFA"/>
    <w:rsid w:val="00AC1935"/>
    <w:rsid w:val="00AC5B42"/>
    <w:rsid w:val="00AC5B48"/>
    <w:rsid w:val="00AC6768"/>
    <w:rsid w:val="00AD1450"/>
    <w:rsid w:val="00AD15E8"/>
    <w:rsid w:val="00AD356D"/>
    <w:rsid w:val="00AD3A1F"/>
    <w:rsid w:val="00AD6502"/>
    <w:rsid w:val="00AD66FF"/>
    <w:rsid w:val="00AD7632"/>
    <w:rsid w:val="00AE0695"/>
    <w:rsid w:val="00AE1304"/>
    <w:rsid w:val="00AE1919"/>
    <w:rsid w:val="00AE352E"/>
    <w:rsid w:val="00AE3E7E"/>
    <w:rsid w:val="00AE5216"/>
    <w:rsid w:val="00AE5D3D"/>
    <w:rsid w:val="00AE6C29"/>
    <w:rsid w:val="00AE7845"/>
    <w:rsid w:val="00AE7E53"/>
    <w:rsid w:val="00AF0AB5"/>
    <w:rsid w:val="00AF1114"/>
    <w:rsid w:val="00AF1315"/>
    <w:rsid w:val="00AF15B9"/>
    <w:rsid w:val="00AF19BF"/>
    <w:rsid w:val="00AF2DC3"/>
    <w:rsid w:val="00AF4B39"/>
    <w:rsid w:val="00AF4D59"/>
    <w:rsid w:val="00AF5E5B"/>
    <w:rsid w:val="00AF62A8"/>
    <w:rsid w:val="00AF72F3"/>
    <w:rsid w:val="00B02EFA"/>
    <w:rsid w:val="00B033E5"/>
    <w:rsid w:val="00B03A63"/>
    <w:rsid w:val="00B03C0F"/>
    <w:rsid w:val="00B115AF"/>
    <w:rsid w:val="00B129A4"/>
    <w:rsid w:val="00B12EEF"/>
    <w:rsid w:val="00B131C9"/>
    <w:rsid w:val="00B16D90"/>
    <w:rsid w:val="00B17563"/>
    <w:rsid w:val="00B201A4"/>
    <w:rsid w:val="00B201D1"/>
    <w:rsid w:val="00B213A6"/>
    <w:rsid w:val="00B21B32"/>
    <w:rsid w:val="00B22D7A"/>
    <w:rsid w:val="00B235B0"/>
    <w:rsid w:val="00B24DF6"/>
    <w:rsid w:val="00B27A61"/>
    <w:rsid w:val="00B30D0F"/>
    <w:rsid w:val="00B31240"/>
    <w:rsid w:val="00B33A1B"/>
    <w:rsid w:val="00B33A1C"/>
    <w:rsid w:val="00B34FE2"/>
    <w:rsid w:val="00B35166"/>
    <w:rsid w:val="00B357D8"/>
    <w:rsid w:val="00B360F4"/>
    <w:rsid w:val="00B36A00"/>
    <w:rsid w:val="00B37862"/>
    <w:rsid w:val="00B3792B"/>
    <w:rsid w:val="00B37BFC"/>
    <w:rsid w:val="00B37ED1"/>
    <w:rsid w:val="00B40358"/>
    <w:rsid w:val="00B40AB8"/>
    <w:rsid w:val="00B415B3"/>
    <w:rsid w:val="00B41614"/>
    <w:rsid w:val="00B42851"/>
    <w:rsid w:val="00B42F80"/>
    <w:rsid w:val="00B435CB"/>
    <w:rsid w:val="00B4370E"/>
    <w:rsid w:val="00B45E1B"/>
    <w:rsid w:val="00B464C2"/>
    <w:rsid w:val="00B465EC"/>
    <w:rsid w:val="00B4682C"/>
    <w:rsid w:val="00B505C8"/>
    <w:rsid w:val="00B50DB8"/>
    <w:rsid w:val="00B51EDC"/>
    <w:rsid w:val="00B53654"/>
    <w:rsid w:val="00B536D3"/>
    <w:rsid w:val="00B53905"/>
    <w:rsid w:val="00B546DB"/>
    <w:rsid w:val="00B54B5B"/>
    <w:rsid w:val="00B5562E"/>
    <w:rsid w:val="00B55862"/>
    <w:rsid w:val="00B55916"/>
    <w:rsid w:val="00B55D65"/>
    <w:rsid w:val="00B56305"/>
    <w:rsid w:val="00B56D66"/>
    <w:rsid w:val="00B57000"/>
    <w:rsid w:val="00B6059E"/>
    <w:rsid w:val="00B60939"/>
    <w:rsid w:val="00B60AFD"/>
    <w:rsid w:val="00B62715"/>
    <w:rsid w:val="00B65611"/>
    <w:rsid w:val="00B708C8"/>
    <w:rsid w:val="00B70E8E"/>
    <w:rsid w:val="00B7244A"/>
    <w:rsid w:val="00B73C05"/>
    <w:rsid w:val="00B76C92"/>
    <w:rsid w:val="00B77024"/>
    <w:rsid w:val="00B8086C"/>
    <w:rsid w:val="00B80EFD"/>
    <w:rsid w:val="00B8160F"/>
    <w:rsid w:val="00B818A4"/>
    <w:rsid w:val="00B81980"/>
    <w:rsid w:val="00B83739"/>
    <w:rsid w:val="00B84117"/>
    <w:rsid w:val="00B84D30"/>
    <w:rsid w:val="00B858F0"/>
    <w:rsid w:val="00B85AA2"/>
    <w:rsid w:val="00B8649C"/>
    <w:rsid w:val="00B8695D"/>
    <w:rsid w:val="00B87F0A"/>
    <w:rsid w:val="00B91075"/>
    <w:rsid w:val="00B92D0B"/>
    <w:rsid w:val="00B93AEE"/>
    <w:rsid w:val="00B94945"/>
    <w:rsid w:val="00B94C0A"/>
    <w:rsid w:val="00B94DD6"/>
    <w:rsid w:val="00B96672"/>
    <w:rsid w:val="00B971F9"/>
    <w:rsid w:val="00BA0E3B"/>
    <w:rsid w:val="00BA322D"/>
    <w:rsid w:val="00BA38BF"/>
    <w:rsid w:val="00BA51A6"/>
    <w:rsid w:val="00BA55CF"/>
    <w:rsid w:val="00BA63FA"/>
    <w:rsid w:val="00BB00B3"/>
    <w:rsid w:val="00BB05C9"/>
    <w:rsid w:val="00BB0BDD"/>
    <w:rsid w:val="00BB0C5F"/>
    <w:rsid w:val="00BB176C"/>
    <w:rsid w:val="00BB2A73"/>
    <w:rsid w:val="00BB320A"/>
    <w:rsid w:val="00BB3A45"/>
    <w:rsid w:val="00BB4ACC"/>
    <w:rsid w:val="00BB703E"/>
    <w:rsid w:val="00BB71AD"/>
    <w:rsid w:val="00BB732D"/>
    <w:rsid w:val="00BB7405"/>
    <w:rsid w:val="00BC0942"/>
    <w:rsid w:val="00BC18E6"/>
    <w:rsid w:val="00BC3631"/>
    <w:rsid w:val="00BC4ADB"/>
    <w:rsid w:val="00BC591F"/>
    <w:rsid w:val="00BC7D6D"/>
    <w:rsid w:val="00BD0144"/>
    <w:rsid w:val="00BD0BDA"/>
    <w:rsid w:val="00BD0D4C"/>
    <w:rsid w:val="00BD2108"/>
    <w:rsid w:val="00BD38EC"/>
    <w:rsid w:val="00BD3CAD"/>
    <w:rsid w:val="00BD3D67"/>
    <w:rsid w:val="00BD58AC"/>
    <w:rsid w:val="00BD68A3"/>
    <w:rsid w:val="00BD6938"/>
    <w:rsid w:val="00BD6CF3"/>
    <w:rsid w:val="00BD7F72"/>
    <w:rsid w:val="00BE05FC"/>
    <w:rsid w:val="00BE0ECA"/>
    <w:rsid w:val="00BE2180"/>
    <w:rsid w:val="00BE21F2"/>
    <w:rsid w:val="00BE23BB"/>
    <w:rsid w:val="00BE3361"/>
    <w:rsid w:val="00BE420C"/>
    <w:rsid w:val="00BE4275"/>
    <w:rsid w:val="00BE7EED"/>
    <w:rsid w:val="00BF06AE"/>
    <w:rsid w:val="00BF0F95"/>
    <w:rsid w:val="00BF2433"/>
    <w:rsid w:val="00BF2E6E"/>
    <w:rsid w:val="00BF3BC9"/>
    <w:rsid w:val="00BF541D"/>
    <w:rsid w:val="00BF5E2E"/>
    <w:rsid w:val="00BF61C9"/>
    <w:rsid w:val="00BF6C94"/>
    <w:rsid w:val="00BF79D3"/>
    <w:rsid w:val="00BF7AF9"/>
    <w:rsid w:val="00C00424"/>
    <w:rsid w:val="00C00BB0"/>
    <w:rsid w:val="00C0589E"/>
    <w:rsid w:val="00C0694F"/>
    <w:rsid w:val="00C0770F"/>
    <w:rsid w:val="00C1179F"/>
    <w:rsid w:val="00C127B9"/>
    <w:rsid w:val="00C128FA"/>
    <w:rsid w:val="00C12C14"/>
    <w:rsid w:val="00C144DB"/>
    <w:rsid w:val="00C14AC4"/>
    <w:rsid w:val="00C15F04"/>
    <w:rsid w:val="00C1731B"/>
    <w:rsid w:val="00C179B3"/>
    <w:rsid w:val="00C17E3F"/>
    <w:rsid w:val="00C200AA"/>
    <w:rsid w:val="00C231F8"/>
    <w:rsid w:val="00C237ED"/>
    <w:rsid w:val="00C24632"/>
    <w:rsid w:val="00C25418"/>
    <w:rsid w:val="00C25D9C"/>
    <w:rsid w:val="00C26E8B"/>
    <w:rsid w:val="00C2778B"/>
    <w:rsid w:val="00C31649"/>
    <w:rsid w:val="00C34149"/>
    <w:rsid w:val="00C3434C"/>
    <w:rsid w:val="00C34891"/>
    <w:rsid w:val="00C37A84"/>
    <w:rsid w:val="00C40385"/>
    <w:rsid w:val="00C41768"/>
    <w:rsid w:val="00C43264"/>
    <w:rsid w:val="00C44F15"/>
    <w:rsid w:val="00C475AA"/>
    <w:rsid w:val="00C506D9"/>
    <w:rsid w:val="00C51114"/>
    <w:rsid w:val="00C51C19"/>
    <w:rsid w:val="00C527C7"/>
    <w:rsid w:val="00C52A9B"/>
    <w:rsid w:val="00C53C98"/>
    <w:rsid w:val="00C54943"/>
    <w:rsid w:val="00C54F94"/>
    <w:rsid w:val="00C56A14"/>
    <w:rsid w:val="00C56E31"/>
    <w:rsid w:val="00C56F8D"/>
    <w:rsid w:val="00C56FCF"/>
    <w:rsid w:val="00C57468"/>
    <w:rsid w:val="00C57B6C"/>
    <w:rsid w:val="00C60245"/>
    <w:rsid w:val="00C61A59"/>
    <w:rsid w:val="00C628A6"/>
    <w:rsid w:val="00C635B2"/>
    <w:rsid w:val="00C639EC"/>
    <w:rsid w:val="00C63CC9"/>
    <w:rsid w:val="00C6407D"/>
    <w:rsid w:val="00C64344"/>
    <w:rsid w:val="00C65108"/>
    <w:rsid w:val="00C65576"/>
    <w:rsid w:val="00C66165"/>
    <w:rsid w:val="00C664C8"/>
    <w:rsid w:val="00C70035"/>
    <w:rsid w:val="00C7060A"/>
    <w:rsid w:val="00C7151A"/>
    <w:rsid w:val="00C717E3"/>
    <w:rsid w:val="00C71F60"/>
    <w:rsid w:val="00C72241"/>
    <w:rsid w:val="00C74C4E"/>
    <w:rsid w:val="00C750C8"/>
    <w:rsid w:val="00C7560F"/>
    <w:rsid w:val="00C775AE"/>
    <w:rsid w:val="00C801B6"/>
    <w:rsid w:val="00C80A0E"/>
    <w:rsid w:val="00C8201C"/>
    <w:rsid w:val="00C8213F"/>
    <w:rsid w:val="00C82F77"/>
    <w:rsid w:val="00C8303F"/>
    <w:rsid w:val="00C85154"/>
    <w:rsid w:val="00C85A70"/>
    <w:rsid w:val="00C8797A"/>
    <w:rsid w:val="00C900B8"/>
    <w:rsid w:val="00C90197"/>
    <w:rsid w:val="00C90C71"/>
    <w:rsid w:val="00C911C5"/>
    <w:rsid w:val="00C91FD1"/>
    <w:rsid w:val="00C92A7D"/>
    <w:rsid w:val="00C931CF"/>
    <w:rsid w:val="00C938CF"/>
    <w:rsid w:val="00C93C12"/>
    <w:rsid w:val="00C94053"/>
    <w:rsid w:val="00C9624D"/>
    <w:rsid w:val="00C969DA"/>
    <w:rsid w:val="00CA1200"/>
    <w:rsid w:val="00CA159E"/>
    <w:rsid w:val="00CA2C77"/>
    <w:rsid w:val="00CA4214"/>
    <w:rsid w:val="00CA427E"/>
    <w:rsid w:val="00CA444F"/>
    <w:rsid w:val="00CA5245"/>
    <w:rsid w:val="00CA71F4"/>
    <w:rsid w:val="00CA7B09"/>
    <w:rsid w:val="00CA7FC4"/>
    <w:rsid w:val="00CB075F"/>
    <w:rsid w:val="00CB12A5"/>
    <w:rsid w:val="00CB1436"/>
    <w:rsid w:val="00CB1CAC"/>
    <w:rsid w:val="00CB2F2A"/>
    <w:rsid w:val="00CB4E9F"/>
    <w:rsid w:val="00CB5B1A"/>
    <w:rsid w:val="00CB66DD"/>
    <w:rsid w:val="00CB6B22"/>
    <w:rsid w:val="00CB6EC2"/>
    <w:rsid w:val="00CB71F8"/>
    <w:rsid w:val="00CB7A26"/>
    <w:rsid w:val="00CB7F5F"/>
    <w:rsid w:val="00CC0A10"/>
    <w:rsid w:val="00CC0BB4"/>
    <w:rsid w:val="00CC1B39"/>
    <w:rsid w:val="00CC1BFA"/>
    <w:rsid w:val="00CC2E9F"/>
    <w:rsid w:val="00CC2FA9"/>
    <w:rsid w:val="00CC319D"/>
    <w:rsid w:val="00CC35EA"/>
    <w:rsid w:val="00CC3848"/>
    <w:rsid w:val="00CC566C"/>
    <w:rsid w:val="00CC588E"/>
    <w:rsid w:val="00CC6D5E"/>
    <w:rsid w:val="00CC705E"/>
    <w:rsid w:val="00CD0200"/>
    <w:rsid w:val="00CD17DB"/>
    <w:rsid w:val="00CD1A6C"/>
    <w:rsid w:val="00CD22A4"/>
    <w:rsid w:val="00CD3F77"/>
    <w:rsid w:val="00CD4CC4"/>
    <w:rsid w:val="00CD6ADC"/>
    <w:rsid w:val="00CD7193"/>
    <w:rsid w:val="00CD72DD"/>
    <w:rsid w:val="00CD7E46"/>
    <w:rsid w:val="00CE1E0B"/>
    <w:rsid w:val="00CE209C"/>
    <w:rsid w:val="00CE2328"/>
    <w:rsid w:val="00CE2C5B"/>
    <w:rsid w:val="00CE38C8"/>
    <w:rsid w:val="00CE524F"/>
    <w:rsid w:val="00CE58CC"/>
    <w:rsid w:val="00CE6274"/>
    <w:rsid w:val="00CE6741"/>
    <w:rsid w:val="00CE67BB"/>
    <w:rsid w:val="00CE77B6"/>
    <w:rsid w:val="00CF067C"/>
    <w:rsid w:val="00CF2B8D"/>
    <w:rsid w:val="00CF3A1B"/>
    <w:rsid w:val="00CF456B"/>
    <w:rsid w:val="00CF50C8"/>
    <w:rsid w:val="00CF5A22"/>
    <w:rsid w:val="00D01C84"/>
    <w:rsid w:val="00D0262E"/>
    <w:rsid w:val="00D02D39"/>
    <w:rsid w:val="00D03679"/>
    <w:rsid w:val="00D0446C"/>
    <w:rsid w:val="00D048DB"/>
    <w:rsid w:val="00D05E3D"/>
    <w:rsid w:val="00D06139"/>
    <w:rsid w:val="00D0791A"/>
    <w:rsid w:val="00D110BD"/>
    <w:rsid w:val="00D11F63"/>
    <w:rsid w:val="00D13675"/>
    <w:rsid w:val="00D141E1"/>
    <w:rsid w:val="00D146B5"/>
    <w:rsid w:val="00D15314"/>
    <w:rsid w:val="00D15A91"/>
    <w:rsid w:val="00D15B48"/>
    <w:rsid w:val="00D1698C"/>
    <w:rsid w:val="00D17D6C"/>
    <w:rsid w:val="00D2123B"/>
    <w:rsid w:val="00D2155B"/>
    <w:rsid w:val="00D23D11"/>
    <w:rsid w:val="00D244B6"/>
    <w:rsid w:val="00D254DF"/>
    <w:rsid w:val="00D2754D"/>
    <w:rsid w:val="00D27B27"/>
    <w:rsid w:val="00D30176"/>
    <w:rsid w:val="00D307D8"/>
    <w:rsid w:val="00D30D5B"/>
    <w:rsid w:val="00D328FC"/>
    <w:rsid w:val="00D32F71"/>
    <w:rsid w:val="00D33BE9"/>
    <w:rsid w:val="00D33F93"/>
    <w:rsid w:val="00D357FF"/>
    <w:rsid w:val="00D36561"/>
    <w:rsid w:val="00D424C7"/>
    <w:rsid w:val="00D43B2A"/>
    <w:rsid w:val="00D43CF1"/>
    <w:rsid w:val="00D43D83"/>
    <w:rsid w:val="00D47575"/>
    <w:rsid w:val="00D52090"/>
    <w:rsid w:val="00D5243B"/>
    <w:rsid w:val="00D533EC"/>
    <w:rsid w:val="00D53AEC"/>
    <w:rsid w:val="00D5476C"/>
    <w:rsid w:val="00D549B5"/>
    <w:rsid w:val="00D54D0B"/>
    <w:rsid w:val="00D56A95"/>
    <w:rsid w:val="00D5709B"/>
    <w:rsid w:val="00D60212"/>
    <w:rsid w:val="00D6076E"/>
    <w:rsid w:val="00D70BE0"/>
    <w:rsid w:val="00D70F16"/>
    <w:rsid w:val="00D70F75"/>
    <w:rsid w:val="00D7126F"/>
    <w:rsid w:val="00D71DE0"/>
    <w:rsid w:val="00D72617"/>
    <w:rsid w:val="00D72F57"/>
    <w:rsid w:val="00D75FD7"/>
    <w:rsid w:val="00D76A44"/>
    <w:rsid w:val="00D815EF"/>
    <w:rsid w:val="00D81839"/>
    <w:rsid w:val="00D81949"/>
    <w:rsid w:val="00D81F26"/>
    <w:rsid w:val="00D822E2"/>
    <w:rsid w:val="00D82498"/>
    <w:rsid w:val="00D8312F"/>
    <w:rsid w:val="00D83EB7"/>
    <w:rsid w:val="00D843F2"/>
    <w:rsid w:val="00D86231"/>
    <w:rsid w:val="00D863B3"/>
    <w:rsid w:val="00D86621"/>
    <w:rsid w:val="00D912AB"/>
    <w:rsid w:val="00D91923"/>
    <w:rsid w:val="00D923CF"/>
    <w:rsid w:val="00D93753"/>
    <w:rsid w:val="00D93885"/>
    <w:rsid w:val="00D975DB"/>
    <w:rsid w:val="00DA0726"/>
    <w:rsid w:val="00DA3167"/>
    <w:rsid w:val="00DA360C"/>
    <w:rsid w:val="00DA4341"/>
    <w:rsid w:val="00DA4DC3"/>
    <w:rsid w:val="00DA4F5C"/>
    <w:rsid w:val="00DA4F8C"/>
    <w:rsid w:val="00DA72A9"/>
    <w:rsid w:val="00DA77A5"/>
    <w:rsid w:val="00DA7DF7"/>
    <w:rsid w:val="00DB0E36"/>
    <w:rsid w:val="00DB3C77"/>
    <w:rsid w:val="00DB3DBF"/>
    <w:rsid w:val="00DB484F"/>
    <w:rsid w:val="00DC04F6"/>
    <w:rsid w:val="00DC0690"/>
    <w:rsid w:val="00DC1D65"/>
    <w:rsid w:val="00DC2740"/>
    <w:rsid w:val="00DC3C57"/>
    <w:rsid w:val="00DC5384"/>
    <w:rsid w:val="00DC5501"/>
    <w:rsid w:val="00DC5DE4"/>
    <w:rsid w:val="00DC7154"/>
    <w:rsid w:val="00DC7889"/>
    <w:rsid w:val="00DC7E8A"/>
    <w:rsid w:val="00DD0F78"/>
    <w:rsid w:val="00DD273C"/>
    <w:rsid w:val="00DD325E"/>
    <w:rsid w:val="00DD3487"/>
    <w:rsid w:val="00DD3F28"/>
    <w:rsid w:val="00DD3F58"/>
    <w:rsid w:val="00DD4446"/>
    <w:rsid w:val="00DD4537"/>
    <w:rsid w:val="00DD4E15"/>
    <w:rsid w:val="00DD6EEC"/>
    <w:rsid w:val="00DD7641"/>
    <w:rsid w:val="00DE2304"/>
    <w:rsid w:val="00DE3138"/>
    <w:rsid w:val="00DE37F8"/>
    <w:rsid w:val="00DE4273"/>
    <w:rsid w:val="00DE4FCB"/>
    <w:rsid w:val="00DE5D07"/>
    <w:rsid w:val="00DE5E0C"/>
    <w:rsid w:val="00DE61A1"/>
    <w:rsid w:val="00DE72A7"/>
    <w:rsid w:val="00DE7832"/>
    <w:rsid w:val="00DF18FC"/>
    <w:rsid w:val="00DF5D2B"/>
    <w:rsid w:val="00DF6341"/>
    <w:rsid w:val="00DF64F7"/>
    <w:rsid w:val="00DF78AE"/>
    <w:rsid w:val="00E00A7B"/>
    <w:rsid w:val="00E00E8E"/>
    <w:rsid w:val="00E0127F"/>
    <w:rsid w:val="00E0295E"/>
    <w:rsid w:val="00E0359A"/>
    <w:rsid w:val="00E04E96"/>
    <w:rsid w:val="00E0518C"/>
    <w:rsid w:val="00E05630"/>
    <w:rsid w:val="00E06DBB"/>
    <w:rsid w:val="00E07590"/>
    <w:rsid w:val="00E07755"/>
    <w:rsid w:val="00E10149"/>
    <w:rsid w:val="00E11340"/>
    <w:rsid w:val="00E122A1"/>
    <w:rsid w:val="00E13FB6"/>
    <w:rsid w:val="00E1507E"/>
    <w:rsid w:val="00E16372"/>
    <w:rsid w:val="00E16AD8"/>
    <w:rsid w:val="00E17FFA"/>
    <w:rsid w:val="00E204A1"/>
    <w:rsid w:val="00E20765"/>
    <w:rsid w:val="00E20E4D"/>
    <w:rsid w:val="00E20ED6"/>
    <w:rsid w:val="00E21358"/>
    <w:rsid w:val="00E21F0D"/>
    <w:rsid w:val="00E2249B"/>
    <w:rsid w:val="00E22618"/>
    <w:rsid w:val="00E22A0D"/>
    <w:rsid w:val="00E244F6"/>
    <w:rsid w:val="00E258DB"/>
    <w:rsid w:val="00E2771E"/>
    <w:rsid w:val="00E30FFE"/>
    <w:rsid w:val="00E311EF"/>
    <w:rsid w:val="00E31A9A"/>
    <w:rsid w:val="00E32180"/>
    <w:rsid w:val="00E34948"/>
    <w:rsid w:val="00E36F72"/>
    <w:rsid w:val="00E37569"/>
    <w:rsid w:val="00E401B2"/>
    <w:rsid w:val="00E41E30"/>
    <w:rsid w:val="00E42F73"/>
    <w:rsid w:val="00E43D70"/>
    <w:rsid w:val="00E4508C"/>
    <w:rsid w:val="00E45E74"/>
    <w:rsid w:val="00E466F3"/>
    <w:rsid w:val="00E47B2C"/>
    <w:rsid w:val="00E50172"/>
    <w:rsid w:val="00E51560"/>
    <w:rsid w:val="00E51821"/>
    <w:rsid w:val="00E5182A"/>
    <w:rsid w:val="00E53FC8"/>
    <w:rsid w:val="00E54347"/>
    <w:rsid w:val="00E55424"/>
    <w:rsid w:val="00E55915"/>
    <w:rsid w:val="00E55BB5"/>
    <w:rsid w:val="00E55C96"/>
    <w:rsid w:val="00E55F5C"/>
    <w:rsid w:val="00E56720"/>
    <w:rsid w:val="00E5738C"/>
    <w:rsid w:val="00E57734"/>
    <w:rsid w:val="00E611DF"/>
    <w:rsid w:val="00E62B29"/>
    <w:rsid w:val="00E63A12"/>
    <w:rsid w:val="00E63D21"/>
    <w:rsid w:val="00E65E79"/>
    <w:rsid w:val="00E66BA2"/>
    <w:rsid w:val="00E67416"/>
    <w:rsid w:val="00E70CB5"/>
    <w:rsid w:val="00E718B6"/>
    <w:rsid w:val="00E71B12"/>
    <w:rsid w:val="00E723BA"/>
    <w:rsid w:val="00E73581"/>
    <w:rsid w:val="00E737F6"/>
    <w:rsid w:val="00E74216"/>
    <w:rsid w:val="00E7484B"/>
    <w:rsid w:val="00E833F7"/>
    <w:rsid w:val="00E83BDF"/>
    <w:rsid w:val="00E83F50"/>
    <w:rsid w:val="00E84284"/>
    <w:rsid w:val="00E8451F"/>
    <w:rsid w:val="00E8495C"/>
    <w:rsid w:val="00E86EBB"/>
    <w:rsid w:val="00E86FCC"/>
    <w:rsid w:val="00E87A1D"/>
    <w:rsid w:val="00E90390"/>
    <w:rsid w:val="00E904D4"/>
    <w:rsid w:val="00E9094A"/>
    <w:rsid w:val="00E91D35"/>
    <w:rsid w:val="00E926A5"/>
    <w:rsid w:val="00E9439A"/>
    <w:rsid w:val="00E962CC"/>
    <w:rsid w:val="00EA17C3"/>
    <w:rsid w:val="00EA17CA"/>
    <w:rsid w:val="00EA2CAA"/>
    <w:rsid w:val="00EA3864"/>
    <w:rsid w:val="00EA49D0"/>
    <w:rsid w:val="00EA4C66"/>
    <w:rsid w:val="00EA7F1C"/>
    <w:rsid w:val="00EB157A"/>
    <w:rsid w:val="00EB15B6"/>
    <w:rsid w:val="00EB1C34"/>
    <w:rsid w:val="00EB3D06"/>
    <w:rsid w:val="00EB45E7"/>
    <w:rsid w:val="00EB4916"/>
    <w:rsid w:val="00EB4934"/>
    <w:rsid w:val="00EB6544"/>
    <w:rsid w:val="00EB7311"/>
    <w:rsid w:val="00EC00C9"/>
    <w:rsid w:val="00EC04A6"/>
    <w:rsid w:val="00EC0DD9"/>
    <w:rsid w:val="00EC1082"/>
    <w:rsid w:val="00EC1833"/>
    <w:rsid w:val="00EC1A8D"/>
    <w:rsid w:val="00EC2649"/>
    <w:rsid w:val="00EC31ED"/>
    <w:rsid w:val="00EC34BD"/>
    <w:rsid w:val="00EC5836"/>
    <w:rsid w:val="00EC688C"/>
    <w:rsid w:val="00EC7B7D"/>
    <w:rsid w:val="00ED0AA3"/>
    <w:rsid w:val="00ED0C44"/>
    <w:rsid w:val="00ED12E3"/>
    <w:rsid w:val="00ED3279"/>
    <w:rsid w:val="00ED3B3A"/>
    <w:rsid w:val="00ED4B04"/>
    <w:rsid w:val="00ED513C"/>
    <w:rsid w:val="00ED56F6"/>
    <w:rsid w:val="00ED57EA"/>
    <w:rsid w:val="00ED5BD4"/>
    <w:rsid w:val="00ED5DE2"/>
    <w:rsid w:val="00ED6AF9"/>
    <w:rsid w:val="00EE07D3"/>
    <w:rsid w:val="00EE14B9"/>
    <w:rsid w:val="00EE1996"/>
    <w:rsid w:val="00EE1C01"/>
    <w:rsid w:val="00EE22AF"/>
    <w:rsid w:val="00EE4098"/>
    <w:rsid w:val="00EE752C"/>
    <w:rsid w:val="00EF0161"/>
    <w:rsid w:val="00EF0171"/>
    <w:rsid w:val="00EF1B25"/>
    <w:rsid w:val="00EF1DA0"/>
    <w:rsid w:val="00EF4747"/>
    <w:rsid w:val="00EF4A9A"/>
    <w:rsid w:val="00EF4BF8"/>
    <w:rsid w:val="00EF6B11"/>
    <w:rsid w:val="00F01B56"/>
    <w:rsid w:val="00F02180"/>
    <w:rsid w:val="00F02253"/>
    <w:rsid w:val="00F0258B"/>
    <w:rsid w:val="00F03AD1"/>
    <w:rsid w:val="00F03C2E"/>
    <w:rsid w:val="00F04A66"/>
    <w:rsid w:val="00F04B4B"/>
    <w:rsid w:val="00F0516C"/>
    <w:rsid w:val="00F067A2"/>
    <w:rsid w:val="00F07B9E"/>
    <w:rsid w:val="00F1116F"/>
    <w:rsid w:val="00F1263A"/>
    <w:rsid w:val="00F12AD2"/>
    <w:rsid w:val="00F139C5"/>
    <w:rsid w:val="00F15B77"/>
    <w:rsid w:val="00F17591"/>
    <w:rsid w:val="00F21236"/>
    <w:rsid w:val="00F22D70"/>
    <w:rsid w:val="00F2361E"/>
    <w:rsid w:val="00F245C0"/>
    <w:rsid w:val="00F24837"/>
    <w:rsid w:val="00F2575F"/>
    <w:rsid w:val="00F257C2"/>
    <w:rsid w:val="00F26AAF"/>
    <w:rsid w:val="00F27565"/>
    <w:rsid w:val="00F310D4"/>
    <w:rsid w:val="00F31D5A"/>
    <w:rsid w:val="00F33975"/>
    <w:rsid w:val="00F33DE9"/>
    <w:rsid w:val="00F33FA9"/>
    <w:rsid w:val="00F342F5"/>
    <w:rsid w:val="00F3443C"/>
    <w:rsid w:val="00F35E6D"/>
    <w:rsid w:val="00F35EF4"/>
    <w:rsid w:val="00F3619A"/>
    <w:rsid w:val="00F40AAA"/>
    <w:rsid w:val="00F40BA7"/>
    <w:rsid w:val="00F40F9D"/>
    <w:rsid w:val="00F41ACD"/>
    <w:rsid w:val="00F43FA2"/>
    <w:rsid w:val="00F4413F"/>
    <w:rsid w:val="00F46CB6"/>
    <w:rsid w:val="00F4756D"/>
    <w:rsid w:val="00F47DE8"/>
    <w:rsid w:val="00F50E17"/>
    <w:rsid w:val="00F5117C"/>
    <w:rsid w:val="00F542C1"/>
    <w:rsid w:val="00F54998"/>
    <w:rsid w:val="00F54C17"/>
    <w:rsid w:val="00F550E3"/>
    <w:rsid w:val="00F55E73"/>
    <w:rsid w:val="00F55EDA"/>
    <w:rsid w:val="00F56C80"/>
    <w:rsid w:val="00F60092"/>
    <w:rsid w:val="00F61C18"/>
    <w:rsid w:val="00F629AD"/>
    <w:rsid w:val="00F62ACC"/>
    <w:rsid w:val="00F6475F"/>
    <w:rsid w:val="00F658BD"/>
    <w:rsid w:val="00F65F4B"/>
    <w:rsid w:val="00F67A69"/>
    <w:rsid w:val="00F70BFF"/>
    <w:rsid w:val="00F70C9D"/>
    <w:rsid w:val="00F711EF"/>
    <w:rsid w:val="00F7303E"/>
    <w:rsid w:val="00F73E08"/>
    <w:rsid w:val="00F74CD9"/>
    <w:rsid w:val="00F75A84"/>
    <w:rsid w:val="00F76AB9"/>
    <w:rsid w:val="00F76CAC"/>
    <w:rsid w:val="00F7744A"/>
    <w:rsid w:val="00F77D0F"/>
    <w:rsid w:val="00F77E1E"/>
    <w:rsid w:val="00F80A7B"/>
    <w:rsid w:val="00F80E5D"/>
    <w:rsid w:val="00F81E78"/>
    <w:rsid w:val="00F8220B"/>
    <w:rsid w:val="00F83916"/>
    <w:rsid w:val="00F851CE"/>
    <w:rsid w:val="00F91219"/>
    <w:rsid w:val="00F92444"/>
    <w:rsid w:val="00F92484"/>
    <w:rsid w:val="00F9393E"/>
    <w:rsid w:val="00F9585C"/>
    <w:rsid w:val="00F96FD0"/>
    <w:rsid w:val="00F972F8"/>
    <w:rsid w:val="00F97A78"/>
    <w:rsid w:val="00FA0B20"/>
    <w:rsid w:val="00FA24E7"/>
    <w:rsid w:val="00FA3AED"/>
    <w:rsid w:val="00FA559C"/>
    <w:rsid w:val="00FA5EE6"/>
    <w:rsid w:val="00FA7956"/>
    <w:rsid w:val="00FB03ED"/>
    <w:rsid w:val="00FB0824"/>
    <w:rsid w:val="00FB2F78"/>
    <w:rsid w:val="00FB2FCB"/>
    <w:rsid w:val="00FB4C9C"/>
    <w:rsid w:val="00FB6586"/>
    <w:rsid w:val="00FB74A4"/>
    <w:rsid w:val="00FB7C55"/>
    <w:rsid w:val="00FC1074"/>
    <w:rsid w:val="00FC11C3"/>
    <w:rsid w:val="00FC1884"/>
    <w:rsid w:val="00FC1D6B"/>
    <w:rsid w:val="00FC2D97"/>
    <w:rsid w:val="00FC371D"/>
    <w:rsid w:val="00FC5513"/>
    <w:rsid w:val="00FC5F0B"/>
    <w:rsid w:val="00FC672D"/>
    <w:rsid w:val="00FD2100"/>
    <w:rsid w:val="00FD323D"/>
    <w:rsid w:val="00FD436C"/>
    <w:rsid w:val="00FD446D"/>
    <w:rsid w:val="00FD4F2C"/>
    <w:rsid w:val="00FD5472"/>
    <w:rsid w:val="00FD622C"/>
    <w:rsid w:val="00FD6394"/>
    <w:rsid w:val="00FD673E"/>
    <w:rsid w:val="00FE0E6C"/>
    <w:rsid w:val="00FE1CDC"/>
    <w:rsid w:val="00FE70C3"/>
    <w:rsid w:val="00FE7129"/>
    <w:rsid w:val="00FF02BB"/>
    <w:rsid w:val="00FF1257"/>
    <w:rsid w:val="00FF1A8B"/>
    <w:rsid w:val="00FF1EA7"/>
    <w:rsid w:val="00FF2585"/>
    <w:rsid w:val="00FF2AD9"/>
    <w:rsid w:val="00FF359F"/>
    <w:rsid w:val="00FF3752"/>
    <w:rsid w:val="00FF3DCF"/>
    <w:rsid w:val="00FF492C"/>
    <w:rsid w:val="00FF4A21"/>
    <w:rsid w:val="00FF5AA3"/>
    <w:rsid w:val="00FF5AD8"/>
    <w:rsid w:val="00FF5CD2"/>
    <w:rsid w:val="00FF752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o:shapelayout v:ext="edit">
      <o:idmap v:ext="edit" data="1"/>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qFormat="1"/>
    <w:lsdException w:name="heading 7" w:semiHidden="1" w:unhideWhenUsed="1"/>
    <w:lsdException w:name="heading 8" w:semiHidden="1" w:uiPriority="7"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qFormat="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86721"/>
    <w:pPr>
      <w:jc w:val="both"/>
    </w:pPr>
    <w:rPr>
      <w:rFonts w:ascii="Calibri" w:hAnsi="Calibri" w:cs="Arial"/>
      <w:sz w:val="24"/>
      <w:szCs w:val="24"/>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basedOn w:val="Normal"/>
    <w:next w:val="Normal"/>
    <w:link w:val="Heading2Char"/>
    <w:qFormat/>
    <w:rsid w:val="001B204E"/>
    <w:pPr>
      <w:outlineLvl w:val="1"/>
    </w:pPr>
    <w:rPr>
      <w:b/>
      <w:i/>
      <w:sz w:val="28"/>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1B204E"/>
    <w:rPr>
      <w:rFonts w:ascii="Calibri" w:hAnsi="Calibri" w:cs="Arial"/>
      <w:b/>
      <w:i/>
      <w:snapToGrid w:val="0"/>
      <w:sz w:val="28"/>
      <w:szCs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TableFooter">
    <w:name w:val="Table Footer"/>
    <w:basedOn w:val="Normal"/>
    <w:link w:val="TableFooterChar"/>
    <w:qFormat/>
    <w:rsid w:val="00E2771E"/>
    <w:rPr>
      <w:rFonts w:ascii="Arial Narrow" w:hAnsi="Arial Narrow"/>
      <w:sz w:val="18"/>
    </w:rPr>
  </w:style>
  <w:style w:type="character" w:customStyle="1" w:styleId="TableFooterChar">
    <w:name w:val="Table Footer Char"/>
    <w:link w:val="TableFooter"/>
    <w:rsid w:val="00322846"/>
    <w:rPr>
      <w:rFonts w:ascii="Arial Narrow" w:hAnsi="Arial Narrow" w:cs="Arial"/>
      <w:snapToGrid w:val="0"/>
      <w:sz w:val="18"/>
      <w:lang w:eastAsia="en-US"/>
    </w:rPr>
  </w:style>
  <w:style w:type="paragraph" w:customStyle="1" w:styleId="TableHeader">
    <w:name w:val="Table Header"/>
    <w:basedOn w:val="Normal"/>
    <w:uiPriority w:val="3"/>
    <w:rsid w:val="000D1BFC"/>
    <w:rPr>
      <w:b/>
      <w:sz w:val="20"/>
    </w:rPr>
  </w:style>
  <w:style w:type="paragraph" w:styleId="Caption">
    <w:name w:val="caption"/>
    <w:aliases w:val="- H17,Bayer Caption,IB Caption,Medical Caption,Caption - H17,! Q,B Caption - 9291,B Caption,Caption2,AZr Caption,Caption Char1,Caption Char Char,Caption Char1 Char Char,Caption Char Char Char Char,Caption Char1 Char,Caption 3,Caption Char2 Char"/>
    <w:basedOn w:val="Normal"/>
    <w:next w:val="Normal"/>
    <w:link w:val="CaptionChar"/>
    <w:unhideWhenUsed/>
    <w:qFormat/>
    <w:rsid w:val="00E16AD8"/>
    <w:pPr>
      <w:keepNext/>
      <w:keepLines/>
    </w:pPr>
    <w:rPr>
      <w:rFonts w:ascii="Arial Narrow" w:hAnsi="Arial Narrow"/>
      <w:b/>
      <w:bCs/>
      <w:sz w:val="20"/>
      <w:szCs w:val="18"/>
    </w:rPr>
  </w:style>
  <w:style w:type="character" w:customStyle="1" w:styleId="CaptionChar">
    <w:name w:val="Caption Char"/>
    <w:aliases w:val="- H17 Char,Bayer Caption Char,IB Caption Char,Medical Caption Char,Caption - H17 Char,! Q Char,B Caption - 9291 Char,B Caption Char,Caption2 Char,AZr Caption Char,Caption Char1 Char1,Caption Char Char Char,Caption Char1 Char Char Char"/>
    <w:link w:val="Caption"/>
    <w:rsid w:val="00E16AD8"/>
    <w:rPr>
      <w:rFonts w:ascii="Arial Narrow" w:hAnsi="Arial Narrow" w:cs="Arial"/>
      <w:b/>
      <w:bCs/>
      <w:szCs w:val="18"/>
    </w:rPr>
  </w:style>
  <w:style w:type="paragraph" w:styleId="Title">
    <w:name w:val="Title"/>
    <w:basedOn w:val="Normal"/>
    <w:next w:val="Normal"/>
    <w:link w:val="TitleChar"/>
    <w:rsid w:val="00124A5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124A51"/>
    <w:rPr>
      <w:rFonts w:ascii="Cambria" w:hAnsi="Cambria"/>
      <w:b/>
      <w:bCs/>
      <w:snapToGrid w:val="0"/>
      <w:kern w:val="28"/>
      <w:sz w:val="32"/>
      <w:szCs w:val="32"/>
      <w:lang w:eastAsia="en-US"/>
    </w:rPr>
  </w:style>
  <w:style w:type="paragraph" w:styleId="BodyText">
    <w:name w:val="Body Text"/>
    <w:basedOn w:val="Normal"/>
    <w:link w:val="BodyTextChar"/>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aliases w:val="Body Text Bullet Points,Numbered para,BulletPoints,List Paragraph1,Bullet point,List Paragraph11,Recommendation,Section heading,Footnote,ES Paragraph,PBAC ES Paragraph,PBAC normal points,Bullet List,L,Bullet Point,Bulletr List Paragraph"/>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ES Paragraph Char,PBAC ES Paragraph Char,L Char"/>
    <w:basedOn w:val="DefaultParagraphFont"/>
    <w:link w:val="ListParagraph"/>
    <w:uiPriority w:val="34"/>
    <w:qFormat/>
    <w:locked/>
    <w:rsid w:val="00BB00B3"/>
    <w:rPr>
      <w:rFonts w:asciiTheme="minorHAnsi" w:hAnsiTheme="minorHAnsi" w:cs="Arial"/>
      <w:snapToGrid w:val="0"/>
      <w:sz w:val="24"/>
      <w:szCs w:val="24"/>
    </w:rPr>
  </w:style>
  <w:style w:type="paragraph" w:customStyle="1" w:styleId="RegularText">
    <w:name w:val="Regular Text"/>
    <w:basedOn w:val="BodyText"/>
    <w:link w:val="RegularTextChar"/>
    <w:rsid w:val="00124A51"/>
    <w:rPr>
      <w:b/>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paragraph" w:styleId="Header">
    <w:name w:val="header"/>
    <w:aliases w:val="Page Header,Header title,he=header,cntr/bld"/>
    <w:basedOn w:val="Normal"/>
    <w:link w:val="HeaderChar"/>
    <w:qFormat/>
    <w:rsid w:val="00EE1996"/>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E1996"/>
    <w:rPr>
      <w:rFonts w:ascii="Calibri" w:hAnsi="Calibri" w:cs="Arial"/>
      <w:sz w:val="24"/>
      <w:szCs w:val="24"/>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Summary box,Table Gridbeth,CMA Table Template,ASD Table,new style,PBAC table,MSD Table Grid,Dossier table,Summary Table"/>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rsid w:val="001E30D4"/>
    <w:rPr>
      <w:rFonts w:ascii="Arial Narrow" w:hAnsi="Arial Narrow"/>
      <w:b/>
      <w:sz w:val="20"/>
      <w:szCs w:val="16"/>
    </w:rPr>
  </w:style>
  <w:style w:type="paragraph" w:customStyle="1" w:styleId="Tabletext">
    <w:name w:val="Table text"/>
    <w:basedOn w:val="Normal"/>
    <w:link w:val="TabletextChar"/>
    <w:rsid w:val="00A518F3"/>
    <w:pPr>
      <w:jc w:val="left"/>
    </w:pPr>
    <w:rPr>
      <w:rFonts w:ascii="Arial Narrow" w:hAnsi="Arial Narrow" w:cs="Times New Roman"/>
      <w:snapToGrid w:val="0"/>
      <w:sz w:val="20"/>
    </w:rPr>
  </w:style>
  <w:style w:type="character" w:customStyle="1" w:styleId="TabletextChar">
    <w:name w:val="Table text Char"/>
    <w:link w:val="Tabletext"/>
    <w:rsid w:val="00A518F3"/>
    <w:rPr>
      <w:rFonts w:ascii="Arial Narrow" w:hAnsi="Arial Narrow"/>
      <w:lang w:eastAsia="en-US"/>
    </w:rPr>
  </w:style>
  <w:style w:type="paragraph" w:customStyle="1" w:styleId="TableHeading">
    <w:name w:val="TableHeading"/>
    <w:basedOn w:val="Normal"/>
    <w:rsid w:val="00A56B6A"/>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8F48EB"/>
    <w:pPr>
      <w:jc w:val="both"/>
    </w:pPr>
    <w:rPr>
      <w:rFonts w:ascii="Times" w:hAnsi="Times" w:cs="Times New Roman"/>
      <w:snapToGrid w:val="0"/>
      <w:lang w:val="en-US"/>
    </w:rPr>
  </w:style>
  <w:style w:type="paragraph" w:styleId="NormalWeb">
    <w:name w:val="Normal (Web)"/>
    <w:basedOn w:val="Normal"/>
    <w:uiPriority w:val="99"/>
    <w:rsid w:val="008F48EB"/>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jc w:val="left"/>
      <w:outlineLvl w:val="9"/>
    </w:pPr>
    <w:rPr>
      <w:rFonts w:asciiTheme="majorHAnsi" w:eastAsiaTheme="majorEastAsia" w:hAnsiTheme="majorHAnsi" w:cstheme="majorBidi"/>
      <w:bCs/>
      <w:snapToGrid w:val="0"/>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CommentText">
    <w:name w:val="annotation text"/>
    <w:basedOn w:val="Normal"/>
    <w:link w:val="CommentTextChar"/>
    <w:uiPriority w:val="99"/>
    <w:rsid w:val="00FD2100"/>
    <w:rPr>
      <w:rFonts w:ascii="Times New Roman" w:hAnsi="Times New Roman" w:cs="Times New Roman"/>
      <w:sz w:val="20"/>
    </w:rPr>
  </w:style>
  <w:style w:type="character" w:customStyle="1" w:styleId="CommentTextChar">
    <w:name w:val="Comment Text Char"/>
    <w:basedOn w:val="DefaultParagraphFont"/>
    <w:link w:val="CommentText"/>
    <w:uiPriority w:val="99"/>
    <w:rsid w:val="00FD2100"/>
    <w:rPr>
      <w:snapToGrid w:val="0"/>
      <w:lang w:eastAsia="en-US"/>
    </w:rPr>
  </w:style>
  <w:style w:type="paragraph" w:customStyle="1" w:styleId="Bulletpoints">
    <w:name w:val="Bullet points"/>
    <w:basedOn w:val="ListParagraph"/>
    <w:rsid w:val="00B70E8E"/>
    <w:pPr>
      <w:numPr>
        <w:numId w:val="2"/>
      </w:numPr>
      <w:contextualSpacing/>
    </w:pPr>
  </w:style>
  <w:style w:type="paragraph" w:customStyle="1" w:styleId="TableName">
    <w:name w:val="TableName"/>
    <w:basedOn w:val="Normal"/>
    <w:rsid w:val="00CA7B09"/>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2C5099"/>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rPr>
      <w:rFonts w:ascii="Times New Roman" w:hAnsi="Times New Roman" w:cs="Times New Roman"/>
      <w:snapToGrid w:val="0"/>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3C5542"/>
    <w:pPr>
      <w:outlineLvl w:val="0"/>
    </w:pPr>
    <w:rPr>
      <w:rFonts w:ascii="Calibri" w:hAnsi="Calibri" w:cs="Arial"/>
      <w:b/>
      <w:snapToGrid w:val="0"/>
      <w:sz w:val="32"/>
      <w:szCs w:val="22"/>
      <w:lang w:eastAsia="en-US"/>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paragraph" w:customStyle="1" w:styleId="Commentitalics">
    <w:name w:val="Comment (italics)"/>
    <w:basedOn w:val="Normal"/>
    <w:next w:val="Normal"/>
    <w:rsid w:val="00B53654"/>
    <w:rPr>
      <w:i/>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TableText0">
    <w:name w:val="Table Text"/>
    <w:link w:val="TableTextChar0"/>
    <w:qFormat/>
    <w:rsid w:val="00EE1996"/>
    <w:pPr>
      <w:keepNext/>
    </w:pPr>
    <w:rPr>
      <w:rFonts w:ascii="Arial Narrow" w:eastAsiaTheme="majorEastAsia" w:hAnsi="Arial Narrow" w:cstheme="majorBidi"/>
      <w:bCs/>
      <w:szCs w:val="24"/>
    </w:rPr>
  </w:style>
  <w:style w:type="paragraph" w:customStyle="1" w:styleId="V50Tablename">
    <w:name w:val="V5.0 Table name"/>
    <w:basedOn w:val="Normal"/>
    <w:link w:val="V50TablenameChar"/>
    <w:rsid w:val="001A178E"/>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1A178E"/>
    <w:rPr>
      <w:rFonts w:asciiTheme="minorHAnsi" w:eastAsiaTheme="minorHAnsi" w:hAnsiTheme="minorHAnsi" w:cstheme="minorBidi"/>
      <w:b/>
      <w:szCs w:val="24"/>
      <w:lang w:val="en-US" w:eastAsia="en-US"/>
    </w:rPr>
  </w:style>
  <w:style w:type="paragraph" w:customStyle="1" w:styleId="GeneralHeading">
    <w:name w:val="General Heading"/>
    <w:qFormat/>
    <w:rsid w:val="00EE1996"/>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EE1996"/>
    <w:pPr>
      <w:keepNext/>
    </w:pPr>
    <w:rPr>
      <w:rFonts w:ascii="Arial Narrow" w:eastAsiaTheme="majorEastAsia" w:hAnsi="Arial Narrow"/>
      <w:b/>
      <w:szCs w:val="24"/>
      <w:lang w:val="en-US"/>
    </w:rPr>
  </w:style>
  <w:style w:type="paragraph" w:customStyle="1" w:styleId="2-SectionHeading">
    <w:name w:val="2-Section Heading"/>
    <w:qFormat/>
    <w:rsid w:val="00EE1996"/>
    <w:pPr>
      <w:keepNext/>
      <w:numPr>
        <w:numId w:val="5"/>
      </w:numPr>
      <w:spacing w:before="240" w:after="120"/>
      <w:outlineLvl w:val="0"/>
    </w:pPr>
    <w:rPr>
      <w:rFonts w:asciiTheme="minorHAnsi" w:hAnsiTheme="minorHAnsi" w:cs="Arial"/>
      <w:b/>
      <w:snapToGrid w:val="0"/>
      <w:sz w:val="32"/>
      <w:szCs w:val="32"/>
    </w:rPr>
  </w:style>
  <w:style w:type="paragraph" w:customStyle="1" w:styleId="1-MainHeading">
    <w:name w:val="1-Main Heading"/>
    <w:link w:val="1-MainHeadingChar"/>
    <w:qFormat/>
    <w:rsid w:val="00EE1996"/>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EE1996"/>
    <w:rPr>
      <w:rFonts w:asciiTheme="minorHAnsi" w:eastAsiaTheme="majorEastAsia" w:hAnsiTheme="minorHAnsi" w:cstheme="majorBidi"/>
      <w:b/>
      <w:spacing w:val="5"/>
      <w:kern w:val="28"/>
      <w:sz w:val="36"/>
      <w:szCs w:val="36"/>
    </w:rPr>
  </w:style>
  <w:style w:type="paragraph" w:customStyle="1" w:styleId="TableFigureHeading">
    <w:name w:val="Table/Figure Heading"/>
    <w:next w:val="In-tableHeading"/>
    <w:link w:val="TableFigureHeadingChar"/>
    <w:qFormat/>
    <w:rsid w:val="005478BD"/>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5478BD"/>
    <w:rPr>
      <w:rFonts w:ascii="Arial Narrow" w:eastAsiaTheme="majorEastAsia" w:hAnsi="Arial Narrow" w:cstheme="majorBidi"/>
      <w:b/>
      <w:bCs/>
      <w:szCs w:val="24"/>
    </w:rPr>
  </w:style>
  <w:style w:type="paragraph" w:customStyle="1" w:styleId="3-BodyText">
    <w:name w:val="3-Body Text"/>
    <w:basedOn w:val="ListParagraph"/>
    <w:link w:val="3-BodyTextChar"/>
    <w:qFormat/>
    <w:rsid w:val="004E18E9"/>
    <w:pPr>
      <w:numPr>
        <w:ilvl w:val="1"/>
        <w:numId w:val="1"/>
      </w:numPr>
    </w:pPr>
  </w:style>
  <w:style w:type="character" w:customStyle="1" w:styleId="3-BodyTextChar">
    <w:name w:val="3-Body Text Char"/>
    <w:basedOn w:val="ListParagraphChar"/>
    <w:link w:val="3-BodyText"/>
    <w:rsid w:val="004E18E9"/>
    <w:rPr>
      <w:rFonts w:asciiTheme="minorHAnsi" w:hAnsiTheme="minorHAnsi" w:cs="Arial"/>
      <w:snapToGrid w:val="0"/>
      <w:sz w:val="24"/>
      <w:szCs w:val="24"/>
    </w:rPr>
  </w:style>
  <w:style w:type="paragraph" w:customStyle="1" w:styleId="PageFooter">
    <w:name w:val="Page Footer"/>
    <w:basedOn w:val="Normal"/>
    <w:link w:val="PageFooterChar"/>
    <w:qFormat/>
    <w:rsid w:val="00EE1996"/>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E1996"/>
    <w:rPr>
      <w:rFonts w:ascii="Calibri" w:hAnsi="Calibri" w:cs="Arial"/>
      <w:b/>
      <w:sz w:val="24"/>
      <w:szCs w:val="24"/>
    </w:rPr>
  </w:style>
  <w:style w:type="paragraph" w:customStyle="1" w:styleId="FooterTableFigure">
    <w:name w:val="Footer Table/Figure"/>
    <w:basedOn w:val="Normal"/>
    <w:link w:val="FooterTableFigureChar"/>
    <w:qFormat/>
    <w:rsid w:val="00EC5836"/>
    <w:pPr>
      <w:spacing w:after="120"/>
      <w:contextualSpacing/>
    </w:pPr>
    <w:rPr>
      <w:rFonts w:ascii="Arial Narrow" w:hAnsi="Arial Narrow"/>
      <w:snapToGrid w:val="0"/>
      <w:sz w:val="18"/>
      <w:szCs w:val="22"/>
    </w:rPr>
  </w:style>
  <w:style w:type="character" w:customStyle="1" w:styleId="FooterTableFigureChar">
    <w:name w:val="Footer Table/Figure Char"/>
    <w:link w:val="FooterTableFigure"/>
    <w:rsid w:val="00EC5836"/>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4-SubsectionHeadingChar">
    <w:name w:val="4-Subsection Heading Char"/>
    <w:basedOn w:val="Heading2Char"/>
    <w:link w:val="4-SubsectionHeading"/>
    <w:rsid w:val="00EE1996"/>
    <w:rPr>
      <w:rFonts w:asciiTheme="minorHAnsi" w:eastAsiaTheme="majorEastAsia" w:hAnsiTheme="minorHAnsi" w:cstheme="majorBidi"/>
      <w:b/>
      <w:i/>
      <w:snapToGrid/>
      <w:spacing w:val="5"/>
      <w:kern w:val="28"/>
      <w:sz w:val="28"/>
      <w:szCs w:val="36"/>
      <w:lang w:eastAsia="en-US"/>
    </w:rPr>
  </w:style>
  <w:style w:type="paragraph" w:customStyle="1" w:styleId="5-SubsectionSubheading">
    <w:name w:val="5-Subsection Subheading"/>
    <w:basedOn w:val="Heading3"/>
    <w:next w:val="3-BodyText"/>
    <w:link w:val="5-SubsectionSubheadingChar"/>
    <w:qFormat/>
    <w:rsid w:val="004A6040"/>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4A6040"/>
    <w:rPr>
      <w:rFonts w:asciiTheme="minorHAnsi" w:eastAsiaTheme="majorEastAsia" w:hAnsiTheme="minorHAnsi" w:cstheme="majorBidi"/>
      <w:b/>
      <w:color w:val="000000" w:themeColor="text1"/>
      <w:sz w:val="24"/>
      <w:szCs w:val="24"/>
    </w:rPr>
  </w:style>
  <w:style w:type="paragraph" w:styleId="ListBullet">
    <w:name w:val="List Bullet"/>
    <w:basedOn w:val="Normal"/>
    <w:unhideWhenUsed/>
    <w:rsid w:val="00EE1996"/>
    <w:pPr>
      <w:numPr>
        <w:numId w:val="4"/>
      </w:numPr>
      <w:contextualSpacing/>
    </w:pPr>
  </w:style>
  <w:style w:type="character" w:customStyle="1" w:styleId="TableTextChar0">
    <w:name w:val="Table Text Char"/>
    <w:basedOn w:val="DefaultParagraphFont"/>
    <w:link w:val="TableText0"/>
    <w:rsid w:val="00EE1996"/>
    <w:rPr>
      <w:rFonts w:ascii="Arial Narrow" w:eastAsiaTheme="majorEastAsia" w:hAnsi="Arial Narrow" w:cstheme="majorBidi"/>
      <w:bCs/>
      <w:szCs w:val="24"/>
    </w:rPr>
  </w:style>
  <w:style w:type="paragraph" w:customStyle="1" w:styleId="ExecSumBodyText">
    <w:name w:val="Exec Sum Body Text"/>
    <w:basedOn w:val="Normal"/>
    <w:link w:val="ExecSumBodyTextChar"/>
    <w:uiPriority w:val="99"/>
    <w:qFormat/>
    <w:rsid w:val="00D30D5B"/>
    <w:pPr>
      <w:spacing w:after="120"/>
      <w:ind w:left="720" w:hanging="720"/>
    </w:pPr>
    <w:rPr>
      <w:rFonts w:asciiTheme="minorHAnsi" w:hAnsiTheme="minorHAnsi"/>
      <w:snapToGrid w:val="0"/>
    </w:rPr>
  </w:style>
  <w:style w:type="character" w:customStyle="1" w:styleId="ExecSumBodyTextChar">
    <w:name w:val="Exec Sum Body Text Char"/>
    <w:basedOn w:val="DefaultParagraphFont"/>
    <w:link w:val="ExecSumBodyText"/>
    <w:uiPriority w:val="99"/>
    <w:rsid w:val="00D30D5B"/>
    <w:rPr>
      <w:rFonts w:asciiTheme="minorHAnsi" w:hAnsiTheme="minorHAnsi" w:cs="Arial"/>
      <w:snapToGrid w:val="0"/>
      <w:sz w:val="24"/>
      <w:szCs w:val="24"/>
    </w:rPr>
  </w:style>
  <w:style w:type="paragraph" w:customStyle="1" w:styleId="bullet">
    <w:name w:val="bullet"/>
    <w:basedOn w:val="ListParagraph"/>
    <w:link w:val="bulletChar"/>
    <w:rsid w:val="00D30D5B"/>
    <w:pPr>
      <w:numPr>
        <w:numId w:val="9"/>
      </w:numPr>
    </w:pPr>
    <w:rPr>
      <w:rFonts w:ascii="Calibri" w:hAnsi="Calibri" w:cstheme="minorBidi"/>
      <w:i/>
      <w:snapToGrid/>
      <w:sz w:val="22"/>
      <w:szCs w:val="22"/>
      <w:lang w:eastAsia="en-US"/>
    </w:rPr>
  </w:style>
  <w:style w:type="character" w:customStyle="1" w:styleId="bulletChar">
    <w:name w:val="bullet Char"/>
    <w:basedOn w:val="DefaultParagraphFont"/>
    <w:link w:val="bullet"/>
    <w:rsid w:val="00D30D5B"/>
    <w:rPr>
      <w:rFonts w:ascii="Calibri" w:hAnsi="Calibri" w:cstheme="minorBidi"/>
      <w:i/>
      <w:sz w:val="22"/>
      <w:szCs w:val="22"/>
      <w:lang w:eastAsia="en-US"/>
    </w:rPr>
  </w:style>
  <w:style w:type="paragraph" w:customStyle="1" w:styleId="Default">
    <w:name w:val="Default"/>
    <w:rsid w:val="00AB11AD"/>
    <w:pPr>
      <w:autoSpaceDE w:val="0"/>
      <w:autoSpaceDN w:val="0"/>
      <w:adjustRightInd w:val="0"/>
    </w:pPr>
    <w:rPr>
      <w:rFonts w:ascii="Calibri" w:hAnsi="Calibri" w:cs="Calibri"/>
      <w:color w:val="000000"/>
      <w:sz w:val="24"/>
      <w:szCs w:val="24"/>
    </w:rPr>
  </w:style>
  <w:style w:type="paragraph" w:customStyle="1" w:styleId="TableFigureFooter">
    <w:name w:val="Table/Figure Footer"/>
    <w:basedOn w:val="Normal"/>
    <w:link w:val="TableFigureFooterChar"/>
    <w:qFormat/>
    <w:rsid w:val="00093E39"/>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093E39"/>
    <w:rPr>
      <w:rFonts w:ascii="Arial Narrow" w:hAnsi="Arial Narrow" w:cs="Arial"/>
      <w:snapToGrid w:val="0"/>
      <w:sz w:val="18"/>
      <w:szCs w:val="22"/>
    </w:rPr>
  </w:style>
  <w:style w:type="paragraph" w:customStyle="1" w:styleId="Footnotes">
    <w:name w:val="Footnotes"/>
    <w:basedOn w:val="Normal"/>
    <w:qFormat/>
    <w:rsid w:val="0027507D"/>
    <w:pPr>
      <w:spacing w:after="360"/>
      <w:contextualSpacing/>
      <w:jc w:val="left"/>
    </w:pPr>
    <w:rPr>
      <w:rFonts w:ascii="Arial" w:eastAsiaTheme="minorHAnsi" w:hAnsi="Arial" w:cstheme="minorBidi"/>
      <w:sz w:val="16"/>
      <w:szCs w:val="22"/>
    </w:rPr>
  </w:style>
  <w:style w:type="paragraph" w:styleId="FootnoteText">
    <w:name w:val="footnote text"/>
    <w:basedOn w:val="Normal"/>
    <w:link w:val="FootnoteTextChar"/>
    <w:unhideWhenUsed/>
    <w:rsid w:val="00663860"/>
    <w:rPr>
      <w:sz w:val="20"/>
      <w:szCs w:val="20"/>
    </w:rPr>
  </w:style>
  <w:style w:type="character" w:customStyle="1" w:styleId="FootnoteTextChar">
    <w:name w:val="Footnote Text Char"/>
    <w:basedOn w:val="DefaultParagraphFont"/>
    <w:link w:val="FootnoteText"/>
    <w:rsid w:val="00663860"/>
    <w:rPr>
      <w:rFonts w:ascii="Calibri" w:hAnsi="Calibri" w:cs="Arial"/>
    </w:rPr>
  </w:style>
  <w:style w:type="character" w:styleId="FootnoteReference">
    <w:name w:val="footnote reference"/>
    <w:basedOn w:val="DefaultParagraphFont"/>
    <w:semiHidden/>
    <w:unhideWhenUsed/>
    <w:rsid w:val="00663860"/>
    <w:rPr>
      <w:vertAlign w:val="superscript"/>
    </w:rPr>
  </w:style>
  <w:style w:type="character" w:styleId="UnresolvedMention">
    <w:name w:val="Unresolved Mention"/>
    <w:basedOn w:val="DefaultParagraphFont"/>
    <w:uiPriority w:val="99"/>
    <w:unhideWhenUsed/>
    <w:rsid w:val="009705E3"/>
    <w:rPr>
      <w:color w:val="605E5C"/>
      <w:shd w:val="clear" w:color="auto" w:fill="E1DFDD"/>
    </w:rPr>
  </w:style>
  <w:style w:type="paragraph" w:customStyle="1" w:styleId="EndNoteBibliography">
    <w:name w:val="EndNote Bibliography"/>
    <w:basedOn w:val="Normal"/>
    <w:link w:val="EndNoteBibliographyChar"/>
    <w:rsid w:val="00B971F9"/>
    <w:pPr>
      <w:spacing w:after="120"/>
    </w:pPr>
    <w:rPr>
      <w:rFonts w:ascii="Arial" w:eastAsiaTheme="minorHAnsi" w:hAnsi="Arial"/>
      <w:noProof/>
      <w:sz w:val="22"/>
      <w:szCs w:val="22"/>
      <w:lang w:val="en-US" w:eastAsia="en-US"/>
    </w:rPr>
  </w:style>
  <w:style w:type="character" w:customStyle="1" w:styleId="EndNoteBibliographyChar">
    <w:name w:val="EndNote Bibliography Char"/>
    <w:basedOn w:val="DefaultParagraphFont"/>
    <w:link w:val="EndNoteBibliography"/>
    <w:rsid w:val="00B971F9"/>
    <w:rPr>
      <w:rFonts w:ascii="Arial" w:eastAsiaTheme="minorHAnsi" w:hAnsi="Arial" w:cs="Arial"/>
      <w:noProof/>
      <w:sz w:val="22"/>
      <w:szCs w:val="22"/>
      <w:lang w:val="en-US" w:eastAsia="en-US"/>
    </w:rPr>
  </w:style>
  <w:style w:type="character" w:styleId="PlaceholderText">
    <w:name w:val="Placeholder Text"/>
    <w:basedOn w:val="DefaultParagraphFont"/>
    <w:uiPriority w:val="99"/>
    <w:semiHidden/>
    <w:rsid w:val="00B971F9"/>
    <w:rPr>
      <w:color w:val="808080"/>
    </w:rPr>
  </w:style>
  <w:style w:type="character" w:customStyle="1" w:styleId="highwire-citation-authors">
    <w:name w:val="highwire-citation-authors"/>
    <w:basedOn w:val="DefaultParagraphFont"/>
    <w:rsid w:val="00B971F9"/>
  </w:style>
  <w:style w:type="character" w:customStyle="1" w:styleId="highwire-citation-author">
    <w:name w:val="highwire-citation-author"/>
    <w:basedOn w:val="DefaultParagraphFont"/>
    <w:rsid w:val="00B971F9"/>
  </w:style>
  <w:style w:type="character" w:customStyle="1" w:styleId="nlm-surname">
    <w:name w:val="nlm-surname"/>
    <w:basedOn w:val="DefaultParagraphFont"/>
    <w:rsid w:val="00B971F9"/>
  </w:style>
  <w:style w:type="character" w:customStyle="1" w:styleId="citation-et">
    <w:name w:val="citation-et"/>
    <w:basedOn w:val="DefaultParagraphFont"/>
    <w:rsid w:val="00B971F9"/>
  </w:style>
  <w:style w:type="character" w:customStyle="1" w:styleId="highwire-cite-metadata-journal">
    <w:name w:val="highwire-cite-metadata-journal"/>
    <w:basedOn w:val="DefaultParagraphFont"/>
    <w:rsid w:val="00B971F9"/>
  </w:style>
  <w:style w:type="character" w:customStyle="1" w:styleId="highwire-cite-metadata-year">
    <w:name w:val="highwire-cite-metadata-year"/>
    <w:basedOn w:val="DefaultParagraphFont"/>
    <w:rsid w:val="00B971F9"/>
  </w:style>
  <w:style w:type="character" w:customStyle="1" w:styleId="highwire-cite-metadata-volume">
    <w:name w:val="highwire-cite-metadata-volume"/>
    <w:basedOn w:val="DefaultParagraphFont"/>
    <w:rsid w:val="00B971F9"/>
  </w:style>
  <w:style w:type="character" w:customStyle="1" w:styleId="highwire-cite-metadata-elocation-id">
    <w:name w:val="highwire-cite-metadata-elocation-id"/>
    <w:basedOn w:val="DefaultParagraphFont"/>
    <w:rsid w:val="00B971F9"/>
  </w:style>
  <w:style w:type="character" w:customStyle="1" w:styleId="highwire-cite-metadata-doi">
    <w:name w:val="highwire-cite-metadata-doi"/>
    <w:basedOn w:val="DefaultParagraphFont"/>
    <w:rsid w:val="00B971F9"/>
  </w:style>
  <w:style w:type="character" w:customStyle="1" w:styleId="label">
    <w:name w:val="label"/>
    <w:basedOn w:val="DefaultParagraphFont"/>
    <w:rsid w:val="00B971F9"/>
  </w:style>
  <w:style w:type="paragraph" w:customStyle="1" w:styleId="BulletedList">
    <w:name w:val="Bulleted List"/>
    <w:basedOn w:val="Normal"/>
    <w:uiPriority w:val="3"/>
    <w:qFormat/>
    <w:rsid w:val="00B971F9"/>
    <w:pPr>
      <w:numPr>
        <w:numId w:val="10"/>
      </w:numPr>
      <w:spacing w:after="240"/>
      <w:ind w:left="357" w:hanging="357"/>
      <w:contextualSpacing/>
    </w:pPr>
    <w:rPr>
      <w:rFonts w:ascii="Candara" w:eastAsiaTheme="majorEastAsia" w:hAnsi="Candara" w:cstheme="majorBidi"/>
      <w:szCs w:val="22"/>
      <w:lang w:eastAsia="en-US"/>
    </w:rPr>
  </w:style>
  <w:style w:type="paragraph" w:customStyle="1" w:styleId="PbacTableHeading">
    <w:name w:val="Pbac Table Heading"/>
    <w:basedOn w:val="PBACTableText"/>
    <w:qFormat/>
    <w:rsid w:val="00B971F9"/>
    <w:pPr>
      <w:spacing w:before="0" w:after="80"/>
    </w:pPr>
    <w:rPr>
      <w:rFonts w:eastAsiaTheme="minorHAnsi" w:cs="Arial"/>
      <w:b/>
    </w:rPr>
  </w:style>
  <w:style w:type="paragraph" w:customStyle="1" w:styleId="PBACTableText">
    <w:name w:val="PBAC Table Text"/>
    <w:basedOn w:val="Normal"/>
    <w:link w:val="PBACTableTextChar"/>
    <w:qFormat/>
    <w:rsid w:val="00B971F9"/>
    <w:pPr>
      <w:spacing w:before="40" w:after="40"/>
      <w:jc w:val="left"/>
    </w:pPr>
    <w:rPr>
      <w:rFonts w:ascii="Arial Narrow" w:hAnsi="Arial Narrow" w:cs="Times New Roman"/>
      <w:sz w:val="20"/>
      <w:szCs w:val="20"/>
      <w:lang w:eastAsia="en-US"/>
    </w:rPr>
  </w:style>
  <w:style w:type="character" w:customStyle="1" w:styleId="PBACTableTextChar">
    <w:name w:val="PBAC Table Text Char"/>
    <w:basedOn w:val="DefaultParagraphFont"/>
    <w:link w:val="PBACTableText"/>
    <w:rsid w:val="00B971F9"/>
    <w:rPr>
      <w:rFonts w:ascii="Arial Narrow" w:hAnsi="Arial Narrow"/>
      <w:lang w:eastAsia="en-US"/>
    </w:rPr>
  </w:style>
  <w:style w:type="paragraph" w:customStyle="1" w:styleId="Bodytextitalics">
    <w:name w:val="Body text italics"/>
    <w:basedOn w:val="BodyText"/>
    <w:qFormat/>
    <w:rsid w:val="00B971F9"/>
    <w:pPr>
      <w:spacing w:after="120"/>
      <w:jc w:val="both"/>
    </w:pPr>
    <w:rPr>
      <w:rFonts w:asciiTheme="minorHAnsi" w:eastAsiaTheme="minorHAnsi" w:hAnsiTheme="minorHAnsi" w:cstheme="minorBidi"/>
      <w:i/>
      <w:szCs w:val="22"/>
    </w:rPr>
  </w:style>
  <w:style w:type="numbering" w:customStyle="1" w:styleId="HeadingListStyle">
    <w:name w:val="Heading List Style"/>
    <w:uiPriority w:val="99"/>
    <w:rsid w:val="008F193F"/>
    <w:pPr>
      <w:numPr>
        <w:numId w:val="11"/>
      </w:numPr>
    </w:pPr>
  </w:style>
  <w:style w:type="paragraph" w:customStyle="1" w:styleId="Heading1Alt">
    <w:name w:val="Heading 1 Alt"/>
    <w:basedOn w:val="Heading1"/>
    <w:qFormat/>
    <w:rsid w:val="008F193F"/>
    <w:pPr>
      <w:keepNext/>
      <w:keepLines/>
      <w:tabs>
        <w:tab w:val="left" w:pos="1134"/>
      </w:tabs>
      <w:spacing w:before="240" w:after="240" w:line="360" w:lineRule="auto"/>
      <w:ind w:left="2268" w:hanging="2268"/>
      <w:jc w:val="left"/>
    </w:pPr>
    <w:rPr>
      <w:rFonts w:ascii="Arial" w:eastAsiaTheme="majorEastAsia" w:hAnsi="Arial" w:cstheme="majorBidi"/>
      <w:caps w:val="0"/>
      <w:smallCaps/>
      <w:color w:val="000000" w:themeColor="text1"/>
      <w:sz w:val="36"/>
      <w:szCs w:val="32"/>
      <w:lang w:eastAsia="en-US"/>
    </w:rPr>
  </w:style>
  <w:style w:type="paragraph" w:customStyle="1" w:styleId="Heading2Alt">
    <w:name w:val="Heading 2 Alt"/>
    <w:basedOn w:val="Heading2"/>
    <w:qFormat/>
    <w:rsid w:val="008F193F"/>
    <w:pPr>
      <w:keepNext/>
      <w:keepLines/>
      <w:spacing w:line="360" w:lineRule="auto"/>
      <w:ind w:left="1134" w:hanging="1134"/>
      <w:jc w:val="left"/>
    </w:pPr>
    <w:rPr>
      <w:rFonts w:ascii="Arial" w:eastAsiaTheme="majorEastAsia" w:hAnsi="Arial" w:cstheme="majorBidi"/>
      <w:i w:val="0"/>
      <w:color w:val="000000" w:themeColor="text1"/>
      <w:sz w:val="32"/>
      <w:szCs w:val="26"/>
      <w:lang w:eastAsia="en-US"/>
    </w:rPr>
  </w:style>
  <w:style w:type="paragraph" w:customStyle="1" w:styleId="Heading3Alt">
    <w:name w:val="Heading 3 Alt"/>
    <w:basedOn w:val="Heading3"/>
    <w:qFormat/>
    <w:rsid w:val="008F193F"/>
    <w:pPr>
      <w:keepNext/>
      <w:keepLines/>
      <w:spacing w:before="40" w:line="360" w:lineRule="auto"/>
      <w:ind w:left="1134" w:hanging="1134"/>
      <w:jc w:val="left"/>
    </w:pPr>
    <w:rPr>
      <w:rFonts w:ascii="Arial" w:eastAsiaTheme="majorEastAsia" w:hAnsi="Arial" w:cstheme="majorBidi"/>
      <w:b/>
      <w:color w:val="000000" w:themeColor="text1"/>
      <w:sz w:val="28"/>
      <w:u w:val="none"/>
      <w:lang w:eastAsia="en-US"/>
    </w:rPr>
  </w:style>
  <w:style w:type="paragraph" w:customStyle="1" w:styleId="TableFootnote">
    <w:name w:val="Table Footnote"/>
    <w:basedOn w:val="Normal"/>
    <w:link w:val="TableFootnoteChar"/>
    <w:uiPriority w:val="2"/>
    <w:qFormat/>
    <w:rsid w:val="008F193F"/>
    <w:pPr>
      <w:keepNext/>
      <w:keepLines/>
      <w:spacing w:before="20"/>
      <w:jc w:val="left"/>
    </w:pPr>
    <w:rPr>
      <w:rFonts w:asciiTheme="minorHAnsi" w:eastAsiaTheme="minorHAnsi" w:hAnsiTheme="minorHAnsi" w:cstheme="minorBidi"/>
      <w:sz w:val="20"/>
      <w:szCs w:val="18"/>
      <w:lang w:val="en-US" w:eastAsia="en-US"/>
    </w:rPr>
  </w:style>
  <w:style w:type="character" w:customStyle="1" w:styleId="TableFootnoteChar">
    <w:name w:val="Table Footnote Char"/>
    <w:basedOn w:val="DefaultParagraphFont"/>
    <w:link w:val="TableFootnote"/>
    <w:uiPriority w:val="2"/>
    <w:rsid w:val="008F193F"/>
    <w:rPr>
      <w:rFonts w:asciiTheme="minorHAnsi" w:eastAsiaTheme="minorHAnsi" w:hAnsiTheme="minorHAnsi" w:cstheme="minorBidi"/>
      <w:szCs w:val="18"/>
      <w:lang w:val="en-US" w:eastAsia="en-US"/>
    </w:rPr>
  </w:style>
  <w:style w:type="paragraph" w:customStyle="1" w:styleId="CaptionFootnote">
    <w:name w:val="Caption Footnote"/>
    <w:basedOn w:val="Caption"/>
    <w:link w:val="CaptionFootnoteChar"/>
    <w:qFormat/>
    <w:rsid w:val="00BD3CAD"/>
    <w:pPr>
      <w:keepNext w:val="0"/>
      <w:keepLines w:val="0"/>
      <w:widowControl w:val="0"/>
      <w:spacing w:after="240"/>
      <w:contextualSpacing/>
      <w:jc w:val="left"/>
    </w:pPr>
    <w:rPr>
      <w:rFonts w:cs="Times New Roman"/>
      <w:b w:val="0"/>
      <w:sz w:val="18"/>
      <w:szCs w:val="22"/>
      <w:lang w:eastAsia="en-US" w:bidi="en-US"/>
    </w:rPr>
  </w:style>
  <w:style w:type="character" w:customStyle="1" w:styleId="CaptionFootnoteChar">
    <w:name w:val="Caption Footnote Char"/>
    <w:link w:val="CaptionFootnote"/>
    <w:rsid w:val="00BD3CAD"/>
    <w:rPr>
      <w:rFonts w:ascii="Arial Narrow" w:eastAsia="SimSun" w:hAnsi="Arial Narrow"/>
      <w:bCs/>
      <w:sz w:val="18"/>
      <w:szCs w:val="22"/>
      <w:lang w:eastAsia="en-US" w:bidi="en-US"/>
    </w:rPr>
  </w:style>
  <w:style w:type="paragraph" w:customStyle="1" w:styleId="Figure">
    <w:name w:val="Figure"/>
    <w:next w:val="Normal"/>
    <w:uiPriority w:val="17"/>
    <w:rsid w:val="00AB4525"/>
    <w:pPr>
      <w:spacing w:after="240"/>
      <w:jc w:val="center"/>
    </w:pPr>
    <w:rPr>
      <w:sz w:val="24"/>
      <w:lang w:val="en-GB" w:eastAsia="en-US"/>
    </w:rPr>
  </w:style>
  <w:style w:type="paragraph" w:customStyle="1" w:styleId="FigureTitle">
    <w:name w:val="Figure Title"/>
    <w:next w:val="Figure"/>
    <w:uiPriority w:val="17"/>
    <w:qFormat/>
    <w:rsid w:val="00AB4525"/>
    <w:pPr>
      <w:keepNext/>
      <w:keepLines/>
      <w:tabs>
        <w:tab w:val="left" w:pos="1701"/>
      </w:tabs>
      <w:spacing w:after="120"/>
      <w:ind w:left="1701" w:hanging="1701"/>
    </w:pPr>
    <w:rPr>
      <w:b/>
      <w:color w:val="000000"/>
      <w:lang w:val="en-GB" w:eastAsia="en-US"/>
    </w:rPr>
  </w:style>
  <w:style w:type="paragraph" w:customStyle="1" w:styleId="TableFootnoteInfo">
    <w:name w:val="Table Footnote Info"/>
    <w:basedOn w:val="Normal"/>
    <w:uiPriority w:val="14"/>
    <w:qFormat/>
    <w:rsid w:val="00AB4525"/>
    <w:pPr>
      <w:keepLines/>
      <w:spacing w:before="40" w:after="40"/>
      <w:jc w:val="left"/>
    </w:pPr>
    <w:rPr>
      <w:rFonts w:ascii="Times New Roman" w:hAnsi="Times New Roman" w:cs="Times New Roman"/>
      <w:sz w:val="20"/>
      <w:szCs w:val="48"/>
      <w:lang w:val="en-GB" w:eastAsia="en-US"/>
    </w:rPr>
  </w:style>
  <w:style w:type="paragraph" w:customStyle="1" w:styleId="TableParagraph">
    <w:name w:val="Table Paragraph"/>
    <w:basedOn w:val="Normal"/>
    <w:uiPriority w:val="1"/>
    <w:qFormat/>
    <w:rsid w:val="00FB74A4"/>
    <w:pPr>
      <w:widowControl w:val="0"/>
      <w:autoSpaceDE w:val="0"/>
      <w:autoSpaceDN w:val="0"/>
      <w:spacing w:line="160" w:lineRule="exact"/>
      <w:ind w:left="108"/>
      <w:jc w:val="center"/>
    </w:pPr>
    <w:rPr>
      <w:rFonts w:ascii="Arial Narrow" w:eastAsia="Arial Narrow" w:hAnsi="Arial Narrow" w:cs="Arial Narrow"/>
      <w:sz w:val="22"/>
      <w:szCs w:val="22"/>
      <w:lang w:val="en-US" w:eastAsia="en-US"/>
    </w:rPr>
  </w:style>
  <w:style w:type="character" w:customStyle="1" w:styleId="normaltextrun">
    <w:name w:val="normaltextrun"/>
    <w:basedOn w:val="DefaultParagraphFont"/>
    <w:rsid w:val="00FB74A4"/>
  </w:style>
  <w:style w:type="character" w:customStyle="1" w:styleId="eop">
    <w:name w:val="eop"/>
    <w:basedOn w:val="DefaultParagraphFont"/>
    <w:rsid w:val="00FB74A4"/>
  </w:style>
  <w:style w:type="paragraph" w:customStyle="1" w:styleId="3-SubsectionHeading">
    <w:name w:val="3-Subsection Heading"/>
    <w:basedOn w:val="Heading2"/>
    <w:next w:val="Normal"/>
    <w:link w:val="3-SubsectionHeadingChar"/>
    <w:qFormat/>
    <w:rsid w:val="00477A57"/>
    <w:pPr>
      <w:keepNext/>
      <w:spacing w:before="120" w:after="120"/>
      <w:outlineLvl w:val="9"/>
    </w:pPr>
    <w:rPr>
      <w:rFonts w:asciiTheme="minorHAnsi" w:eastAsiaTheme="majorEastAsia" w:hAnsiTheme="minorHAnsi" w:cstheme="majorBidi"/>
      <w:spacing w:val="5"/>
      <w:kern w:val="28"/>
      <w:szCs w:val="36"/>
      <w:lang w:eastAsia="en-US"/>
    </w:rPr>
  </w:style>
  <w:style w:type="character" w:customStyle="1" w:styleId="3-SubsectionHeadingChar">
    <w:name w:val="3-Subsection Heading Char"/>
    <w:basedOn w:val="Heading2Char"/>
    <w:link w:val="3-SubsectionHeading"/>
    <w:rsid w:val="00477A57"/>
    <w:rPr>
      <w:rFonts w:asciiTheme="minorHAnsi" w:eastAsiaTheme="majorEastAsia" w:hAnsiTheme="minorHAnsi" w:cstheme="majorBidi"/>
      <w:b/>
      <w:i/>
      <w:snapToGrid/>
      <w:spacing w:val="5"/>
      <w:kern w:val="28"/>
      <w:sz w:val="28"/>
      <w:szCs w:val="36"/>
      <w:lang w:eastAsia="en-US"/>
    </w:rPr>
  </w:style>
  <w:style w:type="character" w:styleId="Mention">
    <w:name w:val="Mention"/>
    <w:basedOn w:val="DefaultParagraphFont"/>
    <w:uiPriority w:val="99"/>
    <w:unhideWhenUsed/>
    <w:rsid w:val="00A7644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824">
      <w:bodyDiv w:val="1"/>
      <w:marLeft w:val="0"/>
      <w:marRight w:val="0"/>
      <w:marTop w:val="0"/>
      <w:marBottom w:val="0"/>
      <w:divBdr>
        <w:top w:val="none" w:sz="0" w:space="0" w:color="auto"/>
        <w:left w:val="none" w:sz="0" w:space="0" w:color="auto"/>
        <w:bottom w:val="none" w:sz="0" w:space="0" w:color="auto"/>
        <w:right w:val="none" w:sz="0" w:space="0" w:color="auto"/>
      </w:divBdr>
      <w:divsChild>
        <w:div w:id="382102972">
          <w:marLeft w:val="547"/>
          <w:marRight w:val="0"/>
          <w:marTop w:val="0"/>
          <w:marBottom w:val="0"/>
          <w:divBdr>
            <w:top w:val="none" w:sz="0" w:space="0" w:color="auto"/>
            <w:left w:val="none" w:sz="0" w:space="0" w:color="auto"/>
            <w:bottom w:val="none" w:sz="0" w:space="0" w:color="auto"/>
            <w:right w:val="none" w:sz="0" w:space="0" w:color="auto"/>
          </w:divBdr>
        </w:div>
      </w:divsChild>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133064577">
      <w:bodyDiv w:val="1"/>
      <w:marLeft w:val="0"/>
      <w:marRight w:val="0"/>
      <w:marTop w:val="0"/>
      <w:marBottom w:val="0"/>
      <w:divBdr>
        <w:top w:val="none" w:sz="0" w:space="0" w:color="auto"/>
        <w:left w:val="none" w:sz="0" w:space="0" w:color="auto"/>
        <w:bottom w:val="none" w:sz="0" w:space="0" w:color="auto"/>
        <w:right w:val="none" w:sz="0" w:space="0" w:color="auto"/>
      </w:divBdr>
    </w:div>
    <w:div w:id="275523895">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684598888">
      <w:bodyDiv w:val="1"/>
      <w:marLeft w:val="0"/>
      <w:marRight w:val="0"/>
      <w:marTop w:val="0"/>
      <w:marBottom w:val="0"/>
      <w:divBdr>
        <w:top w:val="none" w:sz="0" w:space="0" w:color="auto"/>
        <w:left w:val="none" w:sz="0" w:space="0" w:color="auto"/>
        <w:bottom w:val="none" w:sz="0" w:space="0" w:color="auto"/>
        <w:right w:val="none" w:sz="0" w:space="0" w:color="auto"/>
      </w:divBdr>
    </w:div>
    <w:div w:id="739330315">
      <w:bodyDiv w:val="1"/>
      <w:marLeft w:val="0"/>
      <w:marRight w:val="0"/>
      <w:marTop w:val="0"/>
      <w:marBottom w:val="0"/>
      <w:divBdr>
        <w:top w:val="none" w:sz="0" w:space="0" w:color="auto"/>
        <w:left w:val="none" w:sz="0" w:space="0" w:color="auto"/>
        <w:bottom w:val="none" w:sz="0" w:space="0" w:color="auto"/>
        <w:right w:val="none" w:sz="0" w:space="0" w:color="auto"/>
      </w:divBdr>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1008680391">
      <w:bodyDiv w:val="1"/>
      <w:marLeft w:val="0"/>
      <w:marRight w:val="0"/>
      <w:marTop w:val="0"/>
      <w:marBottom w:val="0"/>
      <w:divBdr>
        <w:top w:val="none" w:sz="0" w:space="0" w:color="auto"/>
        <w:left w:val="none" w:sz="0" w:space="0" w:color="auto"/>
        <w:bottom w:val="none" w:sz="0" w:space="0" w:color="auto"/>
        <w:right w:val="none" w:sz="0" w:space="0" w:color="auto"/>
      </w:divBdr>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51423852">
      <w:bodyDiv w:val="1"/>
      <w:marLeft w:val="0"/>
      <w:marRight w:val="0"/>
      <w:marTop w:val="0"/>
      <w:marBottom w:val="0"/>
      <w:divBdr>
        <w:top w:val="none" w:sz="0" w:space="0" w:color="auto"/>
        <w:left w:val="none" w:sz="0" w:space="0" w:color="auto"/>
        <w:bottom w:val="none" w:sz="0" w:space="0" w:color="auto"/>
        <w:right w:val="none" w:sz="0" w:space="0" w:color="auto"/>
      </w:divBdr>
      <w:divsChild>
        <w:div w:id="1436053597">
          <w:marLeft w:val="547"/>
          <w:marRight w:val="0"/>
          <w:marTop w:val="0"/>
          <w:marBottom w:val="0"/>
          <w:divBdr>
            <w:top w:val="none" w:sz="0" w:space="0" w:color="auto"/>
            <w:left w:val="none" w:sz="0" w:space="0" w:color="auto"/>
            <w:bottom w:val="none" w:sz="0" w:space="0" w:color="auto"/>
            <w:right w:val="none" w:sz="0" w:space="0" w:color="auto"/>
          </w:divBdr>
        </w:div>
      </w:divsChild>
    </w:div>
    <w:div w:id="1270619501">
      <w:bodyDiv w:val="1"/>
      <w:marLeft w:val="0"/>
      <w:marRight w:val="0"/>
      <w:marTop w:val="0"/>
      <w:marBottom w:val="0"/>
      <w:divBdr>
        <w:top w:val="none" w:sz="0" w:space="0" w:color="auto"/>
        <w:left w:val="none" w:sz="0" w:space="0" w:color="auto"/>
        <w:bottom w:val="none" w:sz="0" w:space="0" w:color="auto"/>
        <w:right w:val="none" w:sz="0" w:space="0" w:color="auto"/>
      </w:divBdr>
    </w:div>
    <w:div w:id="1280456665">
      <w:bodyDiv w:val="1"/>
      <w:marLeft w:val="0"/>
      <w:marRight w:val="0"/>
      <w:marTop w:val="0"/>
      <w:marBottom w:val="0"/>
      <w:divBdr>
        <w:top w:val="none" w:sz="0" w:space="0" w:color="auto"/>
        <w:left w:val="none" w:sz="0" w:space="0" w:color="auto"/>
        <w:bottom w:val="none" w:sz="0" w:space="0" w:color="auto"/>
        <w:right w:val="none" w:sz="0" w:space="0" w:color="auto"/>
      </w:divBdr>
    </w:div>
    <w:div w:id="1398941355">
      <w:bodyDiv w:val="1"/>
      <w:marLeft w:val="0"/>
      <w:marRight w:val="0"/>
      <w:marTop w:val="0"/>
      <w:marBottom w:val="0"/>
      <w:divBdr>
        <w:top w:val="none" w:sz="0" w:space="0" w:color="auto"/>
        <w:left w:val="none" w:sz="0" w:space="0" w:color="auto"/>
        <w:bottom w:val="none" w:sz="0" w:space="0" w:color="auto"/>
        <w:right w:val="none" w:sz="0" w:space="0" w:color="auto"/>
      </w:divBdr>
    </w:div>
    <w:div w:id="1451898983">
      <w:bodyDiv w:val="1"/>
      <w:marLeft w:val="0"/>
      <w:marRight w:val="0"/>
      <w:marTop w:val="0"/>
      <w:marBottom w:val="0"/>
      <w:divBdr>
        <w:top w:val="none" w:sz="0" w:space="0" w:color="auto"/>
        <w:left w:val="none" w:sz="0" w:space="0" w:color="auto"/>
        <w:bottom w:val="none" w:sz="0" w:space="0" w:color="auto"/>
        <w:right w:val="none" w:sz="0" w:space="0" w:color="auto"/>
      </w:divBdr>
    </w:div>
    <w:div w:id="1523129823">
      <w:bodyDiv w:val="1"/>
      <w:marLeft w:val="0"/>
      <w:marRight w:val="0"/>
      <w:marTop w:val="0"/>
      <w:marBottom w:val="0"/>
      <w:divBdr>
        <w:top w:val="none" w:sz="0" w:space="0" w:color="auto"/>
        <w:left w:val="none" w:sz="0" w:space="0" w:color="auto"/>
        <w:bottom w:val="none" w:sz="0" w:space="0" w:color="auto"/>
        <w:right w:val="none" w:sz="0" w:space="0" w:color="auto"/>
      </w:divBdr>
    </w:div>
    <w:div w:id="1868831402">
      <w:bodyDiv w:val="1"/>
      <w:marLeft w:val="0"/>
      <w:marRight w:val="0"/>
      <w:marTop w:val="0"/>
      <w:marBottom w:val="0"/>
      <w:divBdr>
        <w:top w:val="none" w:sz="0" w:space="0" w:color="auto"/>
        <w:left w:val="none" w:sz="0" w:space="0" w:color="auto"/>
        <w:bottom w:val="none" w:sz="0" w:space="0" w:color="auto"/>
        <w:right w:val="none" w:sz="0" w:space="0" w:color="auto"/>
      </w:divBdr>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123375910">
      <w:bodyDiv w:val="1"/>
      <w:marLeft w:val="0"/>
      <w:marRight w:val="0"/>
      <w:marTop w:val="0"/>
      <w:marBottom w:val="0"/>
      <w:divBdr>
        <w:top w:val="none" w:sz="0" w:space="0" w:color="auto"/>
        <w:left w:val="none" w:sz="0" w:space="0" w:color="auto"/>
        <w:bottom w:val="none" w:sz="0" w:space="0" w:color="auto"/>
        <w:right w:val="none" w:sz="0" w:space="0" w:color="auto"/>
      </w:divBdr>
    </w:div>
    <w:div w:id="212927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umanservicesaustralia.gov.au" TargetMode="External"/><Relationship Id="rId13" Type="http://schemas.openxmlformats.org/officeDocument/2006/relationships/image" Target="media/image2.png"/><Relationship Id="rId18" Type="http://schemas.openxmlformats.org/officeDocument/2006/relationships/image" Target="media/image7.png"/><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image" Target="media/image6.emf"/><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rvicesaustralia.gov.au"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humanservicesaustralia.gov.au"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servicesaustralia.gov.au" TargetMode="External"/><Relationship Id="rId14" Type="http://schemas.openxmlformats.org/officeDocument/2006/relationships/image" Target="media/image3.png"/><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nice.org.uk/guidance/ta793/resources/anifrolumab-for-treating-active-autoantibodypositive-systemic-lupus-erythematosus-terminated-appraisal-pdf-82611615622597" TargetMode="External"/><Relationship Id="rId1" Type="http://schemas.openxmlformats.org/officeDocument/2006/relationships/hyperlink" Target="https://www.cadth.ca/anifroluma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CDDF9-60EC-4760-B9B2-542A128D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21822</Words>
  <Characters>121356</Characters>
  <Application>Microsoft Office Word</Application>
  <DocSecurity>0</DocSecurity>
  <Lines>1011</Lines>
  <Paragraphs>285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142893</CharactersWithSpaces>
  <SharedDoc>false</SharedDoc>
  <HLinks>
    <vt:vector size="36" baseType="variant">
      <vt:variant>
        <vt:i4>1310784</vt:i4>
      </vt:variant>
      <vt:variant>
        <vt:i4>39</vt:i4>
      </vt:variant>
      <vt:variant>
        <vt:i4>0</vt:i4>
      </vt:variant>
      <vt:variant>
        <vt:i4>5</vt:i4>
      </vt:variant>
      <vt:variant>
        <vt:lpwstr>http://www.servicesaustralia.gov.au/</vt:lpwstr>
      </vt:variant>
      <vt:variant>
        <vt:lpwstr/>
      </vt:variant>
      <vt:variant>
        <vt:i4>5242964</vt:i4>
      </vt:variant>
      <vt:variant>
        <vt:i4>36</vt:i4>
      </vt:variant>
      <vt:variant>
        <vt:i4>0</vt:i4>
      </vt:variant>
      <vt:variant>
        <vt:i4>5</vt:i4>
      </vt:variant>
      <vt:variant>
        <vt:lpwstr>http://www.humanservicesaustralia.gov.au/</vt:lpwstr>
      </vt:variant>
      <vt:variant>
        <vt:lpwstr/>
      </vt:variant>
      <vt:variant>
        <vt:i4>1310784</vt:i4>
      </vt:variant>
      <vt:variant>
        <vt:i4>21</vt:i4>
      </vt:variant>
      <vt:variant>
        <vt:i4>0</vt:i4>
      </vt:variant>
      <vt:variant>
        <vt:i4>5</vt:i4>
      </vt:variant>
      <vt:variant>
        <vt:lpwstr>http://www.servicesaustralia.gov.au/</vt:lpwstr>
      </vt:variant>
      <vt:variant>
        <vt:lpwstr/>
      </vt:variant>
      <vt:variant>
        <vt:i4>5242964</vt:i4>
      </vt:variant>
      <vt:variant>
        <vt:i4>18</vt:i4>
      </vt:variant>
      <vt:variant>
        <vt:i4>0</vt:i4>
      </vt:variant>
      <vt:variant>
        <vt:i4>5</vt:i4>
      </vt:variant>
      <vt:variant>
        <vt:lpwstr>http://www.humanservicesaustralia.gov.au/</vt:lpwstr>
      </vt:variant>
      <vt:variant>
        <vt:lpwstr/>
      </vt:variant>
      <vt:variant>
        <vt:i4>7274617</vt:i4>
      </vt:variant>
      <vt:variant>
        <vt:i4>3</vt:i4>
      </vt:variant>
      <vt:variant>
        <vt:i4>0</vt:i4>
      </vt:variant>
      <vt:variant>
        <vt:i4>5</vt:i4>
      </vt:variant>
      <vt:variant>
        <vt:lpwstr>https://www.nice.org.uk/guidance/ta793/resources/anifrolumab-for-treating-active-autoantibodypositive-systemic-lupus-erythematosus-terminated-appraisal-pdf-82611615622597</vt:lpwstr>
      </vt:variant>
      <vt:variant>
        <vt:lpwstr/>
      </vt:variant>
      <vt:variant>
        <vt:i4>720912</vt:i4>
      </vt:variant>
      <vt:variant>
        <vt:i4>0</vt:i4>
      </vt:variant>
      <vt:variant>
        <vt:i4>0</vt:i4>
      </vt:variant>
      <vt:variant>
        <vt:i4>5</vt:i4>
      </vt:variant>
      <vt:variant>
        <vt:lpwstr>https://www.cadth.ca/anifrolumab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2023-06-26T23:43:00Z</dcterms:created>
  <dcterms:modified xsi:type="dcterms:W3CDTF">2023-06-26T23:50:00Z</dcterms:modified>
</cp:coreProperties>
</file>