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6F12" w14:textId="52C73549" w:rsidR="005F3049" w:rsidRPr="00A861E6" w:rsidRDefault="005F3049" w:rsidP="005F3049">
      <w:pPr>
        <w:rPr>
          <w:rFonts w:cs="Calibri"/>
        </w:rPr>
      </w:pPr>
      <w:r w:rsidRPr="00A861E6">
        <w:rPr>
          <w:color w:val="FF0000"/>
        </w:rPr>
        <w:t xml:space="preserve">An addendum has been included at the end of the </w:t>
      </w:r>
      <w:r w:rsidR="003444AB" w:rsidRPr="00A861E6">
        <w:rPr>
          <w:color w:val="FF0000"/>
        </w:rPr>
        <w:t>public summary document</w:t>
      </w:r>
      <w:r w:rsidRPr="00A861E6">
        <w:rPr>
          <w:color w:val="FF0000"/>
        </w:rPr>
        <w:t>.</w:t>
      </w:r>
    </w:p>
    <w:p w14:paraId="4B4BF32C" w14:textId="7501120B" w:rsidR="00C666C3" w:rsidRDefault="00390526" w:rsidP="00A7751B">
      <w:pPr>
        <w:pStyle w:val="1MainTitle"/>
        <w:jc w:val="left"/>
      </w:pPr>
      <w:r>
        <w:t>6.16</w:t>
      </w:r>
      <w:r w:rsidR="00872E8F">
        <w:tab/>
      </w:r>
      <w:r w:rsidR="00662AA7">
        <w:t>B</w:t>
      </w:r>
      <w:r w:rsidR="00C666C3">
        <w:t>UDESONIDE</w:t>
      </w:r>
      <w:r w:rsidR="70971A32">
        <w:t>,</w:t>
      </w:r>
      <w:r w:rsidR="00872E8F">
        <w:br/>
      </w:r>
      <w:r w:rsidR="00662AA7">
        <w:t>Tablet 500</w:t>
      </w:r>
      <w:r w:rsidR="00C666C3">
        <w:t> </w:t>
      </w:r>
      <w:r w:rsidR="00662AA7">
        <w:t>micrograms</w:t>
      </w:r>
      <w:r w:rsidR="00C666C3">
        <w:t xml:space="preserve"> (orally disintegrating)</w:t>
      </w:r>
      <w:r w:rsidR="00662AA7">
        <w:t xml:space="preserve">, </w:t>
      </w:r>
    </w:p>
    <w:p w14:paraId="181DB627" w14:textId="128183D4" w:rsidR="00872E8F" w:rsidRPr="007A5C88" w:rsidRDefault="00662AA7" w:rsidP="00102C19">
      <w:pPr>
        <w:pStyle w:val="1MainTitle"/>
        <w:spacing w:after="0"/>
        <w:ind w:firstLine="0"/>
        <w:jc w:val="left"/>
        <w:outlineLvl w:val="9"/>
      </w:pPr>
      <w:r>
        <w:t>Tablet 1 mg</w:t>
      </w:r>
      <w:r w:rsidR="00C666C3">
        <w:t xml:space="preserve"> (orally disintegrating)</w:t>
      </w:r>
      <w:r>
        <w:t>,</w:t>
      </w:r>
      <w:r w:rsidR="00872E8F">
        <w:br/>
      </w:r>
      <w:r>
        <w:t>Jorveza</w:t>
      </w:r>
      <w:r w:rsidR="70971A32">
        <w:t>®,</w:t>
      </w:r>
      <w:r w:rsidR="00872E8F">
        <w:br/>
      </w:r>
      <w:r>
        <w:t>Dr Falk Pharma Australia Pty Ltd</w:t>
      </w:r>
    </w:p>
    <w:p w14:paraId="5F4D54C1" w14:textId="7DC8FB58" w:rsidR="00E11F44" w:rsidRPr="00E11F44" w:rsidRDefault="007E490F" w:rsidP="00102C19">
      <w:pPr>
        <w:pStyle w:val="2-SectionHeading"/>
        <w:jc w:val="both"/>
        <w:rPr>
          <w:rFonts w:cstheme="minorHAnsi"/>
          <w:color w:val="FF0000"/>
        </w:rPr>
      </w:pPr>
      <w:r w:rsidRPr="0033263D">
        <w:t xml:space="preserve">Purpose of </w:t>
      </w:r>
      <w:r w:rsidR="00FA0B04">
        <w:t>Submission</w:t>
      </w:r>
    </w:p>
    <w:p w14:paraId="21B1BF02" w14:textId="5D9E9A6A" w:rsidR="00EC6FD8" w:rsidRPr="00BE1B85" w:rsidRDefault="00EC6FD8" w:rsidP="00102C19">
      <w:pPr>
        <w:pStyle w:val="3Bodytext"/>
        <w:jc w:val="both"/>
        <w:rPr>
          <w:rFonts w:cstheme="minorHAnsi"/>
          <w:szCs w:val="24"/>
        </w:rPr>
      </w:pPr>
      <w:bookmarkStart w:id="0" w:name="_Hlk126221039"/>
      <w:r>
        <w:rPr>
          <w:rFonts w:cstheme="minorHAnsi"/>
          <w:szCs w:val="24"/>
        </w:rPr>
        <w:t xml:space="preserve">The </w:t>
      </w:r>
      <w:r w:rsidR="00BE1B85">
        <w:rPr>
          <w:rFonts w:cstheme="minorHAnsi"/>
          <w:szCs w:val="24"/>
        </w:rPr>
        <w:t>C</w:t>
      </w:r>
      <w:r>
        <w:rPr>
          <w:rFonts w:cstheme="minorHAnsi"/>
          <w:szCs w:val="24"/>
        </w:rPr>
        <w:t>ategory 3</w:t>
      </w:r>
      <w:r w:rsidR="00C96EC0" w:rsidRPr="00B74F48">
        <w:rPr>
          <w:rFonts w:cstheme="minorHAnsi"/>
          <w:color w:val="FF0000"/>
          <w:szCs w:val="24"/>
        </w:rPr>
        <w:t xml:space="preserve"> </w:t>
      </w:r>
      <w:r w:rsidR="006C6C10" w:rsidRPr="00EF4580">
        <w:rPr>
          <w:rFonts w:cstheme="minorHAnsi"/>
          <w:szCs w:val="24"/>
        </w:rPr>
        <w:t xml:space="preserve">submission </w:t>
      </w:r>
      <w:r w:rsidR="00244BEC">
        <w:rPr>
          <w:rFonts w:cstheme="minorHAnsi"/>
          <w:szCs w:val="24"/>
        </w:rPr>
        <w:t>requested</w:t>
      </w:r>
      <w:r w:rsidR="00332E0B">
        <w:rPr>
          <w:rFonts w:cstheme="minorHAnsi"/>
          <w:szCs w:val="24"/>
        </w:rPr>
        <w:t xml:space="preserve"> </w:t>
      </w:r>
      <w:r w:rsidR="001A66AC">
        <w:rPr>
          <w:rFonts w:cstheme="minorHAnsi"/>
          <w:szCs w:val="24"/>
        </w:rPr>
        <w:t>changes</w:t>
      </w:r>
      <w:r w:rsidR="00332E0B">
        <w:rPr>
          <w:rFonts w:cstheme="minorHAnsi"/>
          <w:szCs w:val="24"/>
        </w:rPr>
        <w:t xml:space="preserve"> to </w:t>
      </w:r>
      <w:r w:rsidR="001A66AC">
        <w:rPr>
          <w:rFonts w:cstheme="minorHAnsi"/>
          <w:szCs w:val="24"/>
        </w:rPr>
        <w:t xml:space="preserve">the current PBS listings of </w:t>
      </w:r>
      <w:r w:rsidRPr="00BE1B85">
        <w:rPr>
          <w:rFonts w:cstheme="minorHAnsi"/>
          <w:szCs w:val="24"/>
        </w:rPr>
        <w:t>budesonide orally disintegrating tablets</w:t>
      </w:r>
      <w:r w:rsidR="00DB3526" w:rsidRPr="00BE1B85">
        <w:rPr>
          <w:rFonts w:cstheme="minorHAnsi"/>
          <w:szCs w:val="24"/>
        </w:rPr>
        <w:t xml:space="preserve"> (BOT)</w:t>
      </w:r>
      <w:r w:rsidR="00F15B60">
        <w:rPr>
          <w:rFonts w:cstheme="minorHAnsi"/>
          <w:szCs w:val="24"/>
        </w:rPr>
        <w:t xml:space="preserve"> </w:t>
      </w:r>
      <w:r w:rsidR="00F15B60" w:rsidRPr="00BE1B85">
        <w:rPr>
          <w:rFonts w:cstheme="minorHAnsi"/>
          <w:szCs w:val="24"/>
        </w:rPr>
        <w:t>500 micrograms and 1 mg</w:t>
      </w:r>
      <w:r w:rsidR="00332E0B">
        <w:rPr>
          <w:rFonts w:cstheme="minorHAnsi"/>
          <w:szCs w:val="24"/>
        </w:rPr>
        <w:t xml:space="preserve"> </w:t>
      </w:r>
      <w:r w:rsidR="001A66AC">
        <w:rPr>
          <w:rFonts w:cstheme="minorHAnsi"/>
          <w:szCs w:val="24"/>
        </w:rPr>
        <w:t xml:space="preserve">for the treatment of eosinophilic oesophagitis (EoE) </w:t>
      </w:r>
      <w:r w:rsidR="00332E0B">
        <w:rPr>
          <w:rFonts w:cstheme="minorHAnsi"/>
          <w:szCs w:val="24"/>
        </w:rPr>
        <w:t>to:</w:t>
      </w:r>
    </w:p>
    <w:p w14:paraId="2390264D" w14:textId="58BC3AC4" w:rsidR="00EC6FD8" w:rsidRPr="00295B12" w:rsidRDefault="00BE1B85" w:rsidP="00102C19">
      <w:pPr>
        <w:pStyle w:val="3Bodytext"/>
        <w:numPr>
          <w:ilvl w:val="0"/>
          <w:numId w:val="23"/>
        </w:numPr>
        <w:jc w:val="both"/>
        <w:rPr>
          <w:rFonts w:cstheme="minorHAnsi"/>
          <w:szCs w:val="24"/>
        </w:rPr>
      </w:pPr>
      <w:r>
        <w:rPr>
          <w:rFonts w:cstheme="minorHAnsi"/>
          <w:szCs w:val="24"/>
        </w:rPr>
        <w:t>remov</w:t>
      </w:r>
      <w:r w:rsidR="00332E0B">
        <w:rPr>
          <w:rFonts w:cstheme="minorHAnsi"/>
          <w:szCs w:val="24"/>
        </w:rPr>
        <w:t>e</w:t>
      </w:r>
      <w:r w:rsidR="00EC6FD8">
        <w:rPr>
          <w:rFonts w:cstheme="minorHAnsi"/>
          <w:szCs w:val="24"/>
        </w:rPr>
        <w:t xml:space="preserve"> the requirement for a histological assessment (endoscopy) to determine </w:t>
      </w:r>
      <w:r w:rsidR="00332E0B">
        <w:rPr>
          <w:rFonts w:cstheme="minorHAnsi"/>
          <w:szCs w:val="24"/>
        </w:rPr>
        <w:t>treatment response/</w:t>
      </w:r>
      <w:r w:rsidR="00EC6FD8">
        <w:rPr>
          <w:rFonts w:cstheme="minorHAnsi"/>
          <w:szCs w:val="24"/>
        </w:rPr>
        <w:t>eligibility for continuing</w:t>
      </w:r>
      <w:r w:rsidR="00332E0B">
        <w:rPr>
          <w:rFonts w:cstheme="minorHAnsi"/>
          <w:szCs w:val="24"/>
        </w:rPr>
        <w:t xml:space="preserve"> </w:t>
      </w:r>
      <w:r w:rsidR="00EC6FD8">
        <w:rPr>
          <w:rFonts w:cstheme="minorHAnsi"/>
          <w:szCs w:val="24"/>
        </w:rPr>
        <w:t>treatment</w:t>
      </w:r>
      <w:r w:rsidR="00332E0B">
        <w:rPr>
          <w:rFonts w:cstheme="minorHAnsi"/>
          <w:szCs w:val="24"/>
        </w:rPr>
        <w:t xml:space="preserve">, and </w:t>
      </w:r>
      <w:r w:rsidR="001A66AC">
        <w:rPr>
          <w:rFonts w:cstheme="minorHAnsi"/>
          <w:szCs w:val="24"/>
        </w:rPr>
        <w:t>subsequently</w:t>
      </w:r>
      <w:r w:rsidR="00332E0B">
        <w:rPr>
          <w:rFonts w:cstheme="minorHAnsi"/>
          <w:szCs w:val="24"/>
        </w:rPr>
        <w:t xml:space="preserve"> </w:t>
      </w:r>
      <w:r w:rsidRPr="00295B12">
        <w:rPr>
          <w:rFonts w:cstheme="minorHAnsi"/>
          <w:szCs w:val="24"/>
        </w:rPr>
        <w:t>c</w:t>
      </w:r>
      <w:r w:rsidR="00EC6FD8" w:rsidRPr="00295B12">
        <w:rPr>
          <w:rFonts w:cstheme="minorHAnsi"/>
          <w:szCs w:val="24"/>
        </w:rPr>
        <w:t>onsolidat</w:t>
      </w:r>
      <w:r w:rsidR="00332E0B">
        <w:rPr>
          <w:rFonts w:cstheme="minorHAnsi"/>
          <w:szCs w:val="24"/>
        </w:rPr>
        <w:t>e</w:t>
      </w:r>
      <w:r w:rsidRPr="00295B12">
        <w:rPr>
          <w:rFonts w:cstheme="minorHAnsi"/>
          <w:szCs w:val="24"/>
        </w:rPr>
        <w:t xml:space="preserve"> </w:t>
      </w:r>
      <w:r w:rsidR="00EC6FD8" w:rsidRPr="00295B12">
        <w:rPr>
          <w:rFonts w:cstheme="minorHAnsi"/>
          <w:szCs w:val="24"/>
        </w:rPr>
        <w:t>the first and subsequent continuing treatment phase</w:t>
      </w:r>
      <w:r w:rsidR="001A66AC">
        <w:rPr>
          <w:rFonts w:cstheme="minorHAnsi"/>
          <w:szCs w:val="24"/>
        </w:rPr>
        <w:t xml:space="preserve"> listings</w:t>
      </w:r>
      <w:r w:rsidR="00CC0A6E">
        <w:rPr>
          <w:rFonts w:cstheme="minorHAnsi"/>
          <w:szCs w:val="24"/>
        </w:rPr>
        <w:t>.</w:t>
      </w:r>
    </w:p>
    <w:p w14:paraId="57031AE3" w14:textId="6A63FC2D" w:rsidR="00172BD0" w:rsidRDefault="00332E0B" w:rsidP="00102C19">
      <w:pPr>
        <w:pStyle w:val="3Bodytext"/>
        <w:numPr>
          <w:ilvl w:val="0"/>
          <w:numId w:val="23"/>
        </w:numPr>
        <w:jc w:val="both"/>
        <w:rPr>
          <w:rFonts w:cstheme="minorHAnsi"/>
          <w:szCs w:val="24"/>
        </w:rPr>
      </w:pPr>
      <w:r>
        <w:rPr>
          <w:rFonts w:cstheme="minorHAnsi"/>
          <w:szCs w:val="24"/>
        </w:rPr>
        <w:t>expand</w:t>
      </w:r>
      <w:r w:rsidR="00EC6FD8">
        <w:rPr>
          <w:rFonts w:cstheme="minorHAnsi"/>
          <w:szCs w:val="24"/>
        </w:rPr>
        <w:t xml:space="preserve"> the treatment criteria</w:t>
      </w:r>
      <w:r w:rsidR="001A66AC">
        <w:rPr>
          <w:rFonts w:cstheme="minorHAnsi"/>
          <w:szCs w:val="24"/>
        </w:rPr>
        <w:t xml:space="preserve"> </w:t>
      </w:r>
      <w:r>
        <w:rPr>
          <w:rFonts w:cstheme="minorHAnsi"/>
          <w:szCs w:val="24"/>
        </w:rPr>
        <w:t xml:space="preserve">from </w:t>
      </w:r>
      <w:r w:rsidR="00BA6B16">
        <w:rPr>
          <w:rFonts w:cstheme="minorHAnsi"/>
          <w:szCs w:val="24"/>
        </w:rPr>
        <w:t>‘</w:t>
      </w:r>
      <w:r w:rsidR="004A0D00">
        <w:rPr>
          <w:rFonts w:cstheme="minorHAnsi"/>
          <w:szCs w:val="24"/>
        </w:rPr>
        <w:t xml:space="preserve">Must </w:t>
      </w:r>
      <w:r w:rsidR="00741BFA">
        <w:rPr>
          <w:rFonts w:cstheme="minorHAnsi"/>
          <w:szCs w:val="24"/>
        </w:rPr>
        <w:t>be treated</w:t>
      </w:r>
      <w:r>
        <w:rPr>
          <w:rFonts w:cstheme="minorHAnsi"/>
          <w:szCs w:val="24"/>
        </w:rPr>
        <w:t xml:space="preserve"> by </w:t>
      </w:r>
      <w:r w:rsidR="00741BFA">
        <w:rPr>
          <w:rFonts w:cstheme="minorHAnsi"/>
          <w:szCs w:val="24"/>
        </w:rPr>
        <w:t xml:space="preserve">a </w:t>
      </w:r>
      <w:r>
        <w:rPr>
          <w:rFonts w:cstheme="minorHAnsi"/>
          <w:szCs w:val="24"/>
        </w:rPr>
        <w:t>gastroenterologist</w:t>
      </w:r>
      <w:r w:rsidR="00BA6B16">
        <w:rPr>
          <w:rFonts w:cstheme="minorHAnsi"/>
          <w:szCs w:val="24"/>
        </w:rPr>
        <w:t>’</w:t>
      </w:r>
      <w:r>
        <w:rPr>
          <w:rFonts w:cstheme="minorHAnsi"/>
          <w:szCs w:val="24"/>
        </w:rPr>
        <w:t xml:space="preserve"> </w:t>
      </w:r>
      <w:r w:rsidR="00EC6FD8">
        <w:rPr>
          <w:rFonts w:cstheme="minorHAnsi"/>
          <w:szCs w:val="24"/>
        </w:rPr>
        <w:t>to</w:t>
      </w:r>
      <w:r>
        <w:rPr>
          <w:rFonts w:cstheme="minorHAnsi"/>
          <w:szCs w:val="24"/>
        </w:rPr>
        <w:t xml:space="preserve"> </w:t>
      </w:r>
      <w:r w:rsidR="00741BFA">
        <w:rPr>
          <w:rFonts w:cstheme="minorHAnsi"/>
          <w:szCs w:val="24"/>
        </w:rPr>
        <w:t xml:space="preserve">include </w:t>
      </w:r>
      <w:r w:rsidR="009C0ADF">
        <w:rPr>
          <w:rFonts w:cstheme="minorHAnsi"/>
          <w:szCs w:val="24"/>
        </w:rPr>
        <w:t xml:space="preserve">being treated </w:t>
      </w:r>
      <w:r w:rsidR="00EC6FD8">
        <w:rPr>
          <w:rFonts w:cstheme="minorHAnsi"/>
          <w:szCs w:val="24"/>
        </w:rPr>
        <w:t>by</w:t>
      </w:r>
      <w:r w:rsidR="00741BFA">
        <w:rPr>
          <w:rFonts w:cstheme="minorHAnsi"/>
          <w:szCs w:val="24"/>
        </w:rPr>
        <w:t xml:space="preserve"> a</w:t>
      </w:r>
      <w:r w:rsidR="00EC6FD8">
        <w:rPr>
          <w:rFonts w:cstheme="minorHAnsi"/>
          <w:szCs w:val="24"/>
        </w:rPr>
        <w:t xml:space="preserve"> physician or surgeon experienced in the diagnosis and management of </w:t>
      </w:r>
      <w:r w:rsidR="00BE1B85">
        <w:rPr>
          <w:rFonts w:cstheme="minorHAnsi"/>
          <w:szCs w:val="24"/>
        </w:rPr>
        <w:t>EoE.</w:t>
      </w:r>
      <w:r w:rsidRPr="00332E0B">
        <w:rPr>
          <w:rFonts w:cstheme="minorHAnsi"/>
          <w:szCs w:val="24"/>
        </w:rPr>
        <w:t xml:space="preserve"> </w:t>
      </w:r>
    </w:p>
    <w:bookmarkEnd w:id="0"/>
    <w:p w14:paraId="5E896011" w14:textId="52021BA8" w:rsidR="00332E0B" w:rsidRDefault="00332E0B" w:rsidP="00102C19">
      <w:pPr>
        <w:pStyle w:val="3Bodytext"/>
        <w:jc w:val="both"/>
      </w:pPr>
      <w:r>
        <w:t>The submission also</w:t>
      </w:r>
      <w:r w:rsidR="00EE207C">
        <w:t xml:space="preserve"> </w:t>
      </w:r>
      <w:r w:rsidR="00AC032C">
        <w:t xml:space="preserve">requested advice from the PBAC about </w:t>
      </w:r>
      <w:r w:rsidR="00EE207C">
        <w:t>the</w:t>
      </w:r>
      <w:r w:rsidR="00EC242B">
        <w:t xml:space="preserve"> Prescribing Instruction on the</w:t>
      </w:r>
      <w:r w:rsidR="00EE207C">
        <w:t xml:space="preserve"> optimal number of biopsies to increase diagnostic sensitivity</w:t>
      </w:r>
      <w:r w:rsidR="00B12FF5">
        <w:t xml:space="preserve"> in the Initial treatment – Induction of remission listing</w:t>
      </w:r>
      <w:r w:rsidR="00AC032C">
        <w:t xml:space="preserve">, and whether </w:t>
      </w:r>
      <w:r w:rsidR="00EC242B">
        <w:t>it</w:t>
      </w:r>
      <w:r w:rsidR="00AC032C">
        <w:t xml:space="preserve"> should be removed </w:t>
      </w:r>
      <w:r w:rsidR="00BA6B16">
        <w:t>(</w:t>
      </w:r>
      <w:r w:rsidR="00AC032C">
        <w:t>or a clarification</w:t>
      </w:r>
      <w:r w:rsidR="00741BFA">
        <w:t xml:space="preserve"> included</w:t>
      </w:r>
      <w:r w:rsidR="00BA6B16">
        <w:t>)</w:t>
      </w:r>
      <w:r w:rsidR="00AC032C">
        <w:t xml:space="preserve"> to avoid it being enforced when determining patient eligibility under this PBS restriction</w:t>
      </w:r>
      <w:r w:rsidR="00B12FF5">
        <w:t>.</w:t>
      </w:r>
      <w:r w:rsidR="00EE207C">
        <w:t xml:space="preserve"> </w:t>
      </w:r>
    </w:p>
    <w:p w14:paraId="3D1D4320" w14:textId="77777777" w:rsidR="007E490F" w:rsidRPr="00FD6D8E" w:rsidRDefault="007E490F" w:rsidP="00102C19">
      <w:pPr>
        <w:pStyle w:val="2-SectionHeading"/>
        <w:numPr>
          <w:ilvl w:val="0"/>
          <w:numId w:val="2"/>
        </w:numPr>
        <w:jc w:val="both"/>
      </w:pPr>
      <w:r w:rsidRPr="009E2E8E">
        <w:t>Background</w:t>
      </w:r>
      <w:r>
        <w:t xml:space="preserve"> </w:t>
      </w:r>
    </w:p>
    <w:p w14:paraId="7D72D165" w14:textId="02A29D84" w:rsidR="00B12FF5" w:rsidRDefault="00EC6FD8" w:rsidP="00102C19">
      <w:pPr>
        <w:pStyle w:val="3Bodytext"/>
        <w:jc w:val="both"/>
      </w:pPr>
      <w:r w:rsidRPr="006B4320">
        <w:t>Budesonide</w:t>
      </w:r>
      <w:r w:rsidR="00B2289D">
        <w:t xml:space="preserve"> </w:t>
      </w:r>
      <w:r w:rsidR="00B2289D" w:rsidRPr="00BE1B85">
        <w:rPr>
          <w:rFonts w:cstheme="minorHAnsi"/>
          <w:szCs w:val="24"/>
        </w:rPr>
        <w:t>500 micrograms and 1 mg orally disintegrating tablets</w:t>
      </w:r>
      <w:r w:rsidR="00BA6B16">
        <w:rPr>
          <w:rFonts w:cstheme="minorHAnsi"/>
          <w:szCs w:val="24"/>
        </w:rPr>
        <w:t xml:space="preserve"> (BOT 0.5 mg and BOT 1 mg, respectively)</w:t>
      </w:r>
      <w:r w:rsidRPr="006B4320">
        <w:t xml:space="preserve"> </w:t>
      </w:r>
      <w:r w:rsidR="00B2289D">
        <w:t>are</w:t>
      </w:r>
      <w:r w:rsidR="00B2289D" w:rsidRPr="006B4320">
        <w:t xml:space="preserve"> </w:t>
      </w:r>
      <w:r w:rsidR="001F2311" w:rsidRPr="006B4320">
        <w:t>currently listed on the</w:t>
      </w:r>
      <w:r w:rsidR="00F15B60">
        <w:t xml:space="preserve"> </w:t>
      </w:r>
      <w:r w:rsidR="001F2311" w:rsidRPr="006B4320">
        <w:t xml:space="preserve">PBS as Authority Required </w:t>
      </w:r>
      <w:r w:rsidR="00E408B8">
        <w:t>(telephone/</w:t>
      </w:r>
      <w:r w:rsidR="001738E6">
        <w:t>online</w:t>
      </w:r>
      <w:r w:rsidR="001F2311" w:rsidRPr="006B4320">
        <w:t>) listing</w:t>
      </w:r>
      <w:r w:rsidR="006404B5">
        <w:t>s</w:t>
      </w:r>
      <w:r w:rsidR="001F2311" w:rsidRPr="006B4320">
        <w:t xml:space="preserve"> for</w:t>
      </w:r>
      <w:r w:rsidR="00860A8E">
        <w:t xml:space="preserve"> the treatment of</w:t>
      </w:r>
      <w:r w:rsidR="00E408B8">
        <w:t xml:space="preserve"> </w:t>
      </w:r>
      <w:r w:rsidR="00B2289D">
        <w:t>EoE</w:t>
      </w:r>
      <w:r w:rsidR="00E408B8">
        <w:t>.</w:t>
      </w:r>
      <w:r w:rsidR="00B12FF5">
        <w:t xml:space="preserve"> BOT 1 mg</w:t>
      </w:r>
      <w:r w:rsidR="00A63F02">
        <w:t xml:space="preserve"> (90 tablets)</w:t>
      </w:r>
      <w:r w:rsidR="00B12FF5">
        <w:t xml:space="preserve"> is PBS listed for </w:t>
      </w:r>
      <w:r w:rsidR="00860A8E">
        <w:t>i</w:t>
      </w:r>
      <w:r w:rsidR="00B12FF5">
        <w:t>nitial</w:t>
      </w:r>
      <w:r w:rsidR="00A63F02">
        <w:t xml:space="preserve"> induction</w:t>
      </w:r>
      <w:r w:rsidR="00B12FF5">
        <w:t xml:space="preserve"> treatment</w:t>
      </w:r>
      <w:r w:rsidR="00860A8E">
        <w:t xml:space="preserve">, while </w:t>
      </w:r>
      <w:r w:rsidR="00B12FF5">
        <w:t>BOT 0.5 mg and 1 mg</w:t>
      </w:r>
      <w:r w:rsidR="00A63F02">
        <w:t xml:space="preserve"> (60 tablets)</w:t>
      </w:r>
      <w:r w:rsidR="00B12FF5">
        <w:t xml:space="preserve"> are PBS listed for continuing</w:t>
      </w:r>
      <w:r w:rsidR="00A63F02">
        <w:t xml:space="preserve"> maintenance</w:t>
      </w:r>
      <w:r w:rsidR="00B12FF5">
        <w:t xml:space="preserve"> treatment.</w:t>
      </w:r>
    </w:p>
    <w:p w14:paraId="28FEFF23" w14:textId="2A19DAEC" w:rsidR="00172BD0" w:rsidRDefault="00B12FF5" w:rsidP="00102C19">
      <w:pPr>
        <w:pStyle w:val="3Bodytext"/>
        <w:jc w:val="both"/>
      </w:pPr>
      <w:r>
        <w:t>The submission stated that Jorveza</w:t>
      </w:r>
      <w:r w:rsidR="00860A8E">
        <w:rPr>
          <w:rFonts w:cstheme="minorHAnsi"/>
        </w:rPr>
        <w:t>®</w:t>
      </w:r>
      <w:r>
        <w:t xml:space="preserve"> is a novel mode of treatment and has been specifically designed to efficiently deliver the active drug to the oesophageal mucosa.</w:t>
      </w:r>
      <w:r w:rsidR="00860A8E">
        <w:rPr>
          <w:rStyle w:val="FootnoteReference"/>
        </w:rPr>
        <w:footnoteReference w:id="2"/>
      </w:r>
      <w:r>
        <w:t xml:space="preserve"> </w:t>
      </w:r>
    </w:p>
    <w:p w14:paraId="4C2F21A4" w14:textId="017D6F07" w:rsidR="00D51794" w:rsidRDefault="00D51794" w:rsidP="00102C19">
      <w:pPr>
        <w:pStyle w:val="4-SubsectionHeading"/>
      </w:pPr>
      <w:r>
        <w:lastRenderedPageBreak/>
        <w:t>Request to remove requirement for histological assessment (endoscopy) for continuing treatment</w:t>
      </w:r>
    </w:p>
    <w:p w14:paraId="36B20187" w14:textId="5F1016E1" w:rsidR="00D51794" w:rsidRDefault="00D51794" w:rsidP="00102C19">
      <w:pPr>
        <w:pStyle w:val="3Bodytext"/>
        <w:jc w:val="both"/>
      </w:pPr>
      <w:r>
        <w:t xml:space="preserve">The current PBS criteria </w:t>
      </w:r>
      <w:r w:rsidR="00860A8E">
        <w:t>state ‘A</w:t>
      </w:r>
      <w:r>
        <w:t>pplications for initial treatment with BOT must be received within 12 weeks of endoscopy/biopsy</w:t>
      </w:r>
      <w:r w:rsidR="00860A8E">
        <w:t>….</w:t>
      </w:r>
      <w:r>
        <w:t xml:space="preserve"> A histologic assessment of the oesophageal biopsy should be planned for approximately 8 weeks after the initiation of the first PBS-subsidised treatment with this drug under this restriction, and no later than 2 weeks prior to the patient completing the PBS-subsidised initial treatment course, to determine the patient’s eligibility for continuing therapy and to avoid an interruption to supply.</w:t>
      </w:r>
      <w:r w:rsidR="00860A8E">
        <w:t>’</w:t>
      </w:r>
      <w:r w:rsidR="00CB5E78">
        <w:t xml:space="preserve"> </w:t>
      </w:r>
    </w:p>
    <w:p w14:paraId="049FEC53" w14:textId="2CC2203D" w:rsidR="00CB5E78" w:rsidRDefault="009B4016" w:rsidP="00102C19">
      <w:pPr>
        <w:pStyle w:val="3Bodytext"/>
        <w:jc w:val="both"/>
      </w:pPr>
      <w:r>
        <w:t>T</w:t>
      </w:r>
      <w:r w:rsidR="00CB5E78">
        <w:t>he</w:t>
      </w:r>
      <w:r w:rsidR="00246841">
        <w:t xml:space="preserve"> initial submission, considered by the PBAC in March 2021,</w:t>
      </w:r>
      <w:r w:rsidR="00CB5E78">
        <w:t xml:space="preserve"> </w:t>
      </w:r>
      <w:r w:rsidR="00246841">
        <w:t>propos</w:t>
      </w:r>
      <w:r w:rsidR="00CB5E78">
        <w:t xml:space="preserve">ed </w:t>
      </w:r>
      <w:r w:rsidRPr="005830D9">
        <w:t>two listing options for BOT 1 mg</w:t>
      </w:r>
      <w:r w:rsidR="00246841" w:rsidRPr="007E5513">
        <w:t>:</w:t>
      </w:r>
      <w:r w:rsidR="00246841" w:rsidRPr="005830D9">
        <w:t xml:space="preserve"> </w:t>
      </w:r>
      <w:r w:rsidR="00CB5E78" w:rsidRPr="007E5513">
        <w:t>a</w:t>
      </w:r>
      <w:r w:rsidRPr="007E5513">
        <w:t xml:space="preserve"> ‘simple’</w:t>
      </w:r>
      <w:r w:rsidR="00CB5E78" w:rsidRPr="007E5513">
        <w:t xml:space="preserve"> restriction that did not specify histological assessment criteria for continuing treatment</w:t>
      </w:r>
      <w:r w:rsidRPr="005830D9">
        <w:t>, and ‘a more complex option comprising evaluation of response to initial treatment, first continuing treatment, and subsequent continuing treatment criteria. The PBAC agreed with the</w:t>
      </w:r>
      <w:r w:rsidR="00246841" w:rsidRPr="005830D9">
        <w:t xml:space="preserve"> </w:t>
      </w:r>
      <w:r w:rsidRPr="005830D9">
        <w:t>ESC</w:t>
      </w:r>
      <w:r w:rsidR="009C23EC" w:rsidRPr="005830D9">
        <w:rPr>
          <w:rStyle w:val="FootnoteReference"/>
        </w:rPr>
        <w:footnoteReference w:id="3"/>
      </w:r>
      <w:r w:rsidRPr="005830D9">
        <w:t xml:space="preserve"> that the proposed ‘simple’ restriction was inconsistent with the clinical evidence presented and</w:t>
      </w:r>
      <w:r w:rsidR="00246841" w:rsidRPr="005830D9">
        <w:t xml:space="preserve"> </w:t>
      </w:r>
      <w:r w:rsidRPr="005830D9">
        <w:t>TGA</w:t>
      </w:r>
      <w:r w:rsidR="009C23EC" w:rsidRPr="005830D9">
        <w:rPr>
          <w:rStyle w:val="FootnoteReference"/>
        </w:rPr>
        <w:footnoteReference w:id="4"/>
      </w:r>
      <w:r w:rsidRPr="005830D9">
        <w:t xml:space="preserve"> dose recommendation in that it would allow all patients to continue treatment regardless of whether they achieved remission or not.’ </w:t>
      </w:r>
      <w:r w:rsidRPr="008D4296">
        <w:t>(paragraph 3.1, budesonide,</w:t>
      </w:r>
      <w:r w:rsidR="00625F6A" w:rsidRPr="008D4296">
        <w:t xml:space="preserve"> Public Summary Document</w:t>
      </w:r>
      <w:r w:rsidRPr="008D4296">
        <w:t xml:space="preserve"> </w:t>
      </w:r>
      <w:r w:rsidR="00625F6A" w:rsidRPr="008D4296">
        <w:t>(</w:t>
      </w:r>
      <w:r w:rsidRPr="008D4296">
        <w:t>PSD</w:t>
      </w:r>
      <w:r w:rsidR="00625F6A" w:rsidRPr="008D4296">
        <w:t>)</w:t>
      </w:r>
      <w:r w:rsidRPr="008D4296">
        <w:t>, March 2021 PBAC meeting).</w:t>
      </w:r>
      <w:r>
        <w:t xml:space="preserve"> The submission stated that feedback</w:t>
      </w:r>
      <w:r w:rsidR="00BC70E2">
        <w:t xml:space="preserve"> sought by the sponsor</w:t>
      </w:r>
      <w:r>
        <w:t xml:space="preserve"> from local clinical experts </w:t>
      </w:r>
      <w:r w:rsidR="005A30FC">
        <w:t xml:space="preserve">following the PBAC’s March 2021 and November 2021 considerations </w:t>
      </w:r>
      <w:r w:rsidR="00BC70E2">
        <w:t>indicated that a ‘complex’ restriction may be feasible/workable in clinical practice and therefore</w:t>
      </w:r>
      <w:r w:rsidR="00246841">
        <w:t xml:space="preserve"> agreed to</w:t>
      </w:r>
      <w:r w:rsidR="00BC70E2">
        <w:t xml:space="preserve"> listing based on this advice.</w:t>
      </w:r>
    </w:p>
    <w:p w14:paraId="008CF05C" w14:textId="77744926" w:rsidR="00295B12" w:rsidRDefault="00332E0B" w:rsidP="00102C19">
      <w:pPr>
        <w:pStyle w:val="3Bodytext"/>
        <w:jc w:val="both"/>
      </w:pPr>
      <w:r>
        <w:t>The submission</w:t>
      </w:r>
      <w:r w:rsidR="00295B12">
        <w:t xml:space="preserve"> stated the following concerns</w:t>
      </w:r>
      <w:r w:rsidR="00BC70E2">
        <w:t xml:space="preserve"> </w:t>
      </w:r>
      <w:r w:rsidR="004A4780">
        <w:t xml:space="preserve">had </w:t>
      </w:r>
      <w:r w:rsidR="00C473D6">
        <w:t xml:space="preserve">been raised by clinicians </w:t>
      </w:r>
      <w:r w:rsidR="00BC70E2">
        <w:t>since PBS listi</w:t>
      </w:r>
      <w:r w:rsidR="00EA6435">
        <w:t>n</w:t>
      </w:r>
      <w:r w:rsidR="00BC70E2">
        <w:t>g</w:t>
      </w:r>
      <w:r w:rsidR="00295B12">
        <w:t xml:space="preserve"> </w:t>
      </w:r>
      <w:r w:rsidR="00EA6435">
        <w:t xml:space="preserve">of BOT </w:t>
      </w:r>
      <w:r w:rsidR="0058748B">
        <w:t xml:space="preserve">regarding </w:t>
      </w:r>
      <w:r w:rsidR="00295B12">
        <w:t xml:space="preserve">the </w:t>
      </w:r>
      <w:r w:rsidR="0058748B">
        <w:t>requirement for</w:t>
      </w:r>
      <w:r w:rsidR="00295B12">
        <w:t xml:space="preserve"> a follow-up endoscopy:</w:t>
      </w:r>
    </w:p>
    <w:p w14:paraId="53C19DED" w14:textId="6ABA24FB" w:rsidR="00295B12" w:rsidRDefault="00C473D6" w:rsidP="00102C19">
      <w:pPr>
        <w:pStyle w:val="3Bodytext"/>
        <w:numPr>
          <w:ilvl w:val="0"/>
          <w:numId w:val="31"/>
        </w:numPr>
        <w:jc w:val="both"/>
      </w:pPr>
      <w:r>
        <w:t xml:space="preserve">some </w:t>
      </w:r>
      <w:r w:rsidR="00332E0B">
        <w:t xml:space="preserve">patients </w:t>
      </w:r>
      <w:r w:rsidR="0058748B">
        <w:t>had</w:t>
      </w:r>
      <w:r w:rsidR="005E5470">
        <w:t xml:space="preserve"> difficulty obtaining follow-up endoscop</w:t>
      </w:r>
      <w:r w:rsidR="0058748B">
        <w:t>ies</w:t>
      </w:r>
      <w:r w:rsidR="005E5470">
        <w:t xml:space="preserve">/biopsies 8-10 weeks </w:t>
      </w:r>
      <w:r>
        <w:t>after</w:t>
      </w:r>
      <w:r w:rsidR="005E5470">
        <w:t xml:space="preserve"> the initial endoscopy</w:t>
      </w:r>
      <w:r w:rsidR="0058748B">
        <w:t>. This was</w:t>
      </w:r>
      <w:r w:rsidR="005E5470">
        <w:t xml:space="preserve"> especially </w:t>
      </w:r>
      <w:r w:rsidR="0058748B">
        <w:t xml:space="preserve">prevalent </w:t>
      </w:r>
      <w:r w:rsidR="005E5470">
        <w:t>in the public sector</w:t>
      </w:r>
      <w:r w:rsidR="00BC70E2">
        <w:t>, with some hospitals unable to schedule endoscopies for up to 12 months or longer</w:t>
      </w:r>
      <w:r w:rsidR="005E5470">
        <w:t xml:space="preserve">. This limited </w:t>
      </w:r>
      <w:r w:rsidR="00EA6435">
        <w:t>the treatment of</w:t>
      </w:r>
      <w:r w:rsidR="005E5470">
        <w:t xml:space="preserve"> patients</w:t>
      </w:r>
      <w:r w:rsidR="00BC70E2">
        <w:t xml:space="preserve"> who </w:t>
      </w:r>
      <w:r>
        <w:t xml:space="preserve">may </w:t>
      </w:r>
      <w:r w:rsidR="00BC70E2">
        <w:t>be eligible and could benefit from treatment</w:t>
      </w:r>
      <w:r w:rsidR="005E5470">
        <w:t xml:space="preserve"> with BOT. </w:t>
      </w:r>
    </w:p>
    <w:p w14:paraId="09623A82" w14:textId="4EEFB82B" w:rsidR="00332E0B" w:rsidRDefault="00295B12" w:rsidP="00102C19">
      <w:pPr>
        <w:pStyle w:val="3Bodytext"/>
        <w:numPr>
          <w:ilvl w:val="0"/>
          <w:numId w:val="31"/>
        </w:numPr>
        <w:jc w:val="both"/>
      </w:pPr>
      <w:r>
        <w:t>i</w:t>
      </w:r>
      <w:r w:rsidR="005E5470">
        <w:t>n other cases</w:t>
      </w:r>
      <w:r w:rsidR="00C473D6">
        <w:t>,</w:t>
      </w:r>
      <w:r w:rsidR="005E5470">
        <w:t xml:space="preserve"> patients </w:t>
      </w:r>
      <w:r w:rsidR="00C473D6">
        <w:t>were</w:t>
      </w:r>
      <w:r w:rsidR="005E5470">
        <w:t xml:space="preserve"> undergoing induction of remission treatment with BOT, but then </w:t>
      </w:r>
      <w:r w:rsidR="00C473D6">
        <w:t>we</w:t>
      </w:r>
      <w:r w:rsidR="005E5470">
        <w:t xml:space="preserve">re forced to cease treatment </w:t>
      </w:r>
      <w:r w:rsidR="00EA6435">
        <w:t xml:space="preserve">as </w:t>
      </w:r>
      <w:r w:rsidR="005E5470">
        <w:t xml:space="preserve">they </w:t>
      </w:r>
      <w:r w:rsidR="00C473D6">
        <w:t>we</w:t>
      </w:r>
      <w:r w:rsidR="005E5470">
        <w:t xml:space="preserve">re unable to access a repeat endoscopy </w:t>
      </w:r>
      <w:r w:rsidR="00C473D6">
        <w:t xml:space="preserve">to confirm treatment response </w:t>
      </w:r>
      <w:r w:rsidR="005E5470">
        <w:t>within the prescribed timeframe of the listing.</w:t>
      </w:r>
      <w:r w:rsidR="00BC70E2">
        <w:t xml:space="preserve"> Th</w:t>
      </w:r>
      <w:r w:rsidR="00C473D6">
        <w:t>e submission stated that this</w:t>
      </w:r>
      <w:r w:rsidR="00BC70E2">
        <w:t xml:space="preserve"> increases the risk of patient</w:t>
      </w:r>
      <w:r w:rsidR="00EA6435">
        <w:t>s</w:t>
      </w:r>
      <w:r w:rsidR="00BC70E2">
        <w:t xml:space="preserve"> relapsing and experiencing adverse sequ</w:t>
      </w:r>
      <w:r w:rsidR="005C6C4D">
        <w:t>e</w:t>
      </w:r>
      <w:r w:rsidR="00BC70E2">
        <w:t>lae</w:t>
      </w:r>
      <w:r w:rsidR="00845F37">
        <w:t>, such as</w:t>
      </w:r>
      <w:r w:rsidR="00051213">
        <w:t xml:space="preserve"> becoming less responsive to pharmacologic treatment </w:t>
      </w:r>
      <w:r w:rsidR="00845F37">
        <w:t>or</w:t>
      </w:r>
      <w:r w:rsidR="00051213">
        <w:t xml:space="preserve"> requiring frequent and urgent endoscopic intervention for food bolus extraction and/or dilatation, increasing demand on public system resources.</w:t>
      </w:r>
    </w:p>
    <w:p w14:paraId="41F9562D" w14:textId="31AB4EC3" w:rsidR="00BC70E2" w:rsidRDefault="00EA6435" w:rsidP="00102C19">
      <w:pPr>
        <w:pStyle w:val="3Bodytext"/>
        <w:jc w:val="both"/>
      </w:pPr>
      <w:r>
        <w:lastRenderedPageBreak/>
        <w:t>The submission concluded that it was too early to accurately identify limitations on patients transitioning to continuing treatment</w:t>
      </w:r>
      <w:r w:rsidR="009C23EC">
        <w:t xml:space="preserve"> through PBS data</w:t>
      </w:r>
      <w:r>
        <w:t xml:space="preserve">. </w:t>
      </w:r>
      <w:r w:rsidR="00BC70E2">
        <w:t xml:space="preserve">The submission provided available PBS data on the number of initial and continuing treatment prescriptions for BOT </w:t>
      </w:r>
      <w:r>
        <w:t xml:space="preserve">from initial </w:t>
      </w:r>
      <w:r w:rsidR="00BC70E2">
        <w:t>listing in May 2022</w:t>
      </w:r>
      <w:r w:rsidR="00051213">
        <w:t xml:space="preserve"> </w:t>
      </w:r>
      <w:r>
        <w:t>until</w:t>
      </w:r>
      <w:r w:rsidR="00051213">
        <w:t xml:space="preserve"> August 2022</w:t>
      </w:r>
      <w:r w:rsidR="00BC70E2">
        <w:t>.</w:t>
      </w:r>
      <w:r w:rsidR="00051213">
        <w:t xml:space="preserve"> </w:t>
      </w:r>
      <w:r w:rsidR="009C23EC">
        <w:t>It</w:t>
      </w:r>
      <w:r w:rsidR="00051213">
        <w:t xml:space="preserve"> was assumed that the majority of continuing treatment reflected patients treated under the grandfather treatment listing as the PBS data reflected 4 months of BOT use on the PBS, consistent with the approximate treatment length during the initial treatment phase. </w:t>
      </w:r>
    </w:p>
    <w:p w14:paraId="29655376" w14:textId="390792DC" w:rsidR="00B85785" w:rsidRDefault="00295B12" w:rsidP="00102C19">
      <w:pPr>
        <w:pStyle w:val="3Bodytext"/>
        <w:jc w:val="both"/>
      </w:pPr>
      <w:r>
        <w:t>The submission stated that the majority of patients</w:t>
      </w:r>
      <w:r w:rsidR="00985F0F">
        <w:t xml:space="preserve"> (</w:t>
      </w:r>
      <w:r w:rsidR="00985F0F">
        <w:rPr>
          <w:rFonts w:cstheme="minorHAnsi"/>
        </w:rPr>
        <w:t>≥</w:t>
      </w:r>
      <w:r w:rsidR="00985F0F">
        <w:t>85%)</w:t>
      </w:r>
      <w:r>
        <w:t xml:space="preserve"> with EoE are expected to achieve clinical and/or histological remission after 12 weeks of treatment with BOT, as supported by data from the pivotal induction of remission clinical trial (EOS-1)</w:t>
      </w:r>
      <w:r w:rsidR="00B85785">
        <w:t>. This trial found that treatment with BOT 1 mg twice daily induced histological remission in 93.2% of patients after 6 weeks, with clinical and clinicohistologic remission achieved in 86.4% and 84.7% of patients, respectively, after a total of 12 weeks of treatment (consistent with the duration of induction treatment in the current PBS listing). The submission therefore proposed that a resolution of clinical symptoms provides an alternat</w:t>
      </w:r>
      <w:r w:rsidR="00845F37">
        <w:t>ive</w:t>
      </w:r>
      <w:r w:rsidR="00B85785">
        <w:t xml:space="preserve"> measure for treatment response in patients with EoE receiving BOT and anticipated a relatively low risk of </w:t>
      </w:r>
      <w:r w:rsidR="000C24B7">
        <w:t xml:space="preserve">use beyond the intended population </w:t>
      </w:r>
      <w:r w:rsidR="00845F37">
        <w:t>if the requirement for follow-up endoscopy were removed</w:t>
      </w:r>
      <w:r w:rsidR="00B85785">
        <w:t>.</w:t>
      </w:r>
      <w:r w:rsidR="00546E09">
        <w:t xml:space="preserve"> Specific criteria to evaluate clinical response were not provided</w:t>
      </w:r>
      <w:r w:rsidR="00845F37">
        <w:t>,</w:t>
      </w:r>
      <w:r w:rsidR="00546E09">
        <w:t xml:space="preserve"> as the rating scale used in the clinical trials for BOT for the assessment of EoE symptom severity is not used in routine clinical practice.</w:t>
      </w:r>
    </w:p>
    <w:p w14:paraId="3419B8A1" w14:textId="0A099B8F" w:rsidR="000F6921" w:rsidRDefault="00546E09" w:rsidP="00102C19">
      <w:pPr>
        <w:pStyle w:val="3Bodytext"/>
        <w:jc w:val="both"/>
      </w:pPr>
      <w:r>
        <w:t xml:space="preserve">The submission noted </w:t>
      </w:r>
      <w:r w:rsidR="009C23EC">
        <w:t>the following recommendations made by the PBAC for treatments for ulcerative colitis (UC), and</w:t>
      </w:r>
      <w:r w:rsidR="000F6921">
        <w:t xml:space="preserve"> stated that these recommendations differed from the </w:t>
      </w:r>
      <w:r w:rsidR="00007089">
        <w:t>primary endpoints in the associated clinical trials which included the endoscopy subscore</w:t>
      </w:r>
      <w:r w:rsidR="00845F37">
        <w:t>:</w:t>
      </w:r>
      <w:r w:rsidR="00007089">
        <w:t xml:space="preserve"> </w:t>
      </w:r>
      <w:r w:rsidR="00E76EA6">
        <w:t xml:space="preserve"> </w:t>
      </w:r>
    </w:p>
    <w:p w14:paraId="67EF55AB" w14:textId="2086919A" w:rsidR="00546E09" w:rsidRDefault="00E76EA6" w:rsidP="00102C19">
      <w:pPr>
        <w:pStyle w:val="3Bodytext"/>
        <w:numPr>
          <w:ilvl w:val="0"/>
          <w:numId w:val="33"/>
        </w:numPr>
        <w:jc w:val="both"/>
      </w:pPr>
      <w:r>
        <w:t>‘With respect to the use of a partial Mayo score to identify eligible patients and/or to assess responders, the PBAC agreed that patients and clinicians are unlikely to use endoscopy on a regular basis in order to assess mucosal healing as required by the full Mayo score. The PBAC therefore accepted the use of a partial Mayo score in the PBS restriction</w:t>
      </w:r>
      <w:r w:rsidR="00BD5B85">
        <w:t>.</w:t>
      </w:r>
      <w:r>
        <w:t>’ (</w:t>
      </w:r>
      <w:r w:rsidR="000F6921">
        <w:t>S</w:t>
      </w:r>
      <w:r>
        <w:t>ection 4</w:t>
      </w:r>
      <w:r w:rsidR="00BD5B85">
        <w:t>,</w:t>
      </w:r>
      <w:r>
        <w:t xml:space="preserve"> infliximab</w:t>
      </w:r>
      <w:r w:rsidR="00625F6A">
        <w:t>,</w:t>
      </w:r>
      <w:r>
        <w:t xml:space="preserve"> PS</w:t>
      </w:r>
      <w:r w:rsidR="00BD5B85">
        <w:t>D</w:t>
      </w:r>
      <w:r>
        <w:t xml:space="preserve">, March 2014 PBAC </w:t>
      </w:r>
      <w:r w:rsidR="00BD5B85">
        <w:t>M</w:t>
      </w:r>
      <w:r>
        <w:t>eeting).</w:t>
      </w:r>
    </w:p>
    <w:p w14:paraId="78FBD2D5" w14:textId="30E20CB2" w:rsidR="000F6921" w:rsidRDefault="000F6921" w:rsidP="00102C19">
      <w:pPr>
        <w:pStyle w:val="3Bodytext"/>
        <w:numPr>
          <w:ilvl w:val="0"/>
          <w:numId w:val="33"/>
        </w:numPr>
        <w:jc w:val="both"/>
      </w:pPr>
      <w:r>
        <w:t>‘</w:t>
      </w:r>
      <w:r w:rsidR="00007089">
        <w:t xml:space="preserve">The PBAC agreed with the Drug Utilisation Sub-Committee (DUSC) that there may be use of adalimumab beyond the restriction in patients who achieve a partial response but do not meet the specified continuation criteria, with use of the partial Mayo score (which does not require endoscopy) rather than the full Mayo score. </w:t>
      </w:r>
      <w:r>
        <w:t>The PBAC agreed with the Pre</w:t>
      </w:r>
      <w:r w:rsidR="00E6056F">
        <w:t>-</w:t>
      </w:r>
      <w:r>
        <w:t>Sub-Committee Response (PSCR)</w:t>
      </w:r>
      <w:r w:rsidR="00371626">
        <w:t xml:space="preserve"> </w:t>
      </w:r>
      <w:r>
        <w:t>that it is not appropriate to undertake a second endoscopy to determine response to adalimumab</w:t>
      </w:r>
      <w:r w:rsidR="00007089">
        <w:t>.</w:t>
      </w:r>
      <w:r>
        <w:t>’ (</w:t>
      </w:r>
      <w:r w:rsidR="00BD5B85">
        <w:t>S</w:t>
      </w:r>
      <w:r>
        <w:t>ection 4</w:t>
      </w:r>
      <w:r w:rsidR="00BD5B85">
        <w:t>,</w:t>
      </w:r>
      <w:r>
        <w:t xml:space="preserve"> adalimumab</w:t>
      </w:r>
      <w:r w:rsidR="00625F6A">
        <w:t>,</w:t>
      </w:r>
      <w:r>
        <w:t xml:space="preserve"> PSD, November 2013 PBAC </w:t>
      </w:r>
      <w:r w:rsidR="00BD5B85">
        <w:t>M</w:t>
      </w:r>
      <w:r>
        <w:t>eeting).</w:t>
      </w:r>
    </w:p>
    <w:p w14:paraId="59DB7405" w14:textId="7BB0E12A" w:rsidR="00B56727" w:rsidRDefault="00B56727" w:rsidP="00102C19">
      <w:pPr>
        <w:pStyle w:val="4-SubsectionHeading"/>
      </w:pPr>
      <w:r>
        <w:t>Request to expand the list of eligible prescribers</w:t>
      </w:r>
    </w:p>
    <w:p w14:paraId="5FF017D2" w14:textId="66664B25" w:rsidR="00B56727" w:rsidRDefault="00B56727" w:rsidP="00102C19">
      <w:pPr>
        <w:pStyle w:val="3Bodytext"/>
        <w:jc w:val="both"/>
      </w:pPr>
      <w:r>
        <w:t xml:space="preserve">The current treatment criteria for initial and first continuing treatment PBS listings for BOT state that patients must be treated by a gastroenterologist. The submission stated that the rationale for this requirement was based on the premise that endoscopic assessment is required to confirm eligibility for the initial and continuing treatment phases with BOT. The subsequent continuing treatment listing states that patients must be treated by a gastroenterologist or in consultation with a gastroenterologist. </w:t>
      </w:r>
    </w:p>
    <w:p w14:paraId="5334AB4F" w14:textId="363E9E8B" w:rsidR="00375A0C" w:rsidRDefault="00375A0C" w:rsidP="00102C19">
      <w:pPr>
        <w:pStyle w:val="3Bodytext"/>
        <w:jc w:val="both"/>
      </w:pPr>
      <w:r>
        <w:t xml:space="preserve">The submission stated that the sponsor has been informed </w:t>
      </w:r>
      <w:r w:rsidR="00BD5B85">
        <w:t>of</w:t>
      </w:r>
      <w:r>
        <w:t xml:space="preserve"> situations where non-gastroenterologist physicians and/or surgeons (particularly in rural and remote locations) are accredited to perform endoscopies/biopsies and are experienced in the diagnosis and management of patients with EoE, however are currently unable to prescribe BOT through the PBS. Th</w:t>
      </w:r>
      <w:r w:rsidR="004C2ED9">
        <w:t>e submission stated that this</w:t>
      </w:r>
      <w:r>
        <w:t xml:space="preserve"> commonly occurs in areas where the closest gastroenterologist may be hundreds to thousands of kilometres away, and therefore inaccessible to most patients with EoE in that area. </w:t>
      </w:r>
    </w:p>
    <w:p w14:paraId="1B55086D" w14:textId="73AC2F39" w:rsidR="00911E63" w:rsidRDefault="00911E63" w:rsidP="00102C19">
      <w:pPr>
        <w:pStyle w:val="3Bodytext"/>
        <w:jc w:val="both"/>
      </w:pPr>
      <w:r>
        <w:t xml:space="preserve">The submission claimed that </w:t>
      </w:r>
      <w:r w:rsidR="00A16240">
        <w:t>including non-gastroenterologist medical practitioners who are experienced in the diagnosis and management of EoE</w:t>
      </w:r>
      <w:r w:rsidR="00942B1E">
        <w:t xml:space="preserve"> as prescribers</w:t>
      </w:r>
      <w:r w:rsidRPr="003D096B">
        <w:t xml:space="preserve"> is consistent with the information provided in the Jorveza Product Information</w:t>
      </w:r>
      <w:r w:rsidR="00A16240">
        <w:t xml:space="preserve"> (PI).</w:t>
      </w:r>
      <w:r w:rsidRPr="003D096B">
        <w:t xml:space="preserve"> </w:t>
      </w:r>
      <w:r w:rsidR="00A16240">
        <w:t>The PI</w:t>
      </w:r>
      <w:r w:rsidRPr="003D096B">
        <w:t xml:space="preserve"> states ‘the treatment with this medicinal product should be initiated by a physician experienced in the diagnosis and treatment of eosinophilic oesophagitis.’</w:t>
      </w:r>
      <w:r>
        <w:t xml:space="preserve"> </w:t>
      </w:r>
    </w:p>
    <w:p w14:paraId="6E4D419C" w14:textId="7AA0191E" w:rsidR="003B3B50" w:rsidRDefault="004B13C8" w:rsidP="00102C19">
      <w:pPr>
        <w:pStyle w:val="3Bodytext"/>
        <w:jc w:val="both"/>
      </w:pPr>
      <w:r>
        <w:t xml:space="preserve">The submission stated that </w:t>
      </w:r>
      <w:r w:rsidR="000021D5">
        <w:t xml:space="preserve">provisions are included in the PBS treatment criteria for medicines for other gastrointestinal conditions to allow treatment </w:t>
      </w:r>
      <w:r>
        <w:t>by non-gastroenterologist surgeons who specialise in the upper gastrointestinal tract/gastroenterology</w:t>
      </w:r>
      <w:r w:rsidR="000021D5">
        <w:t>,</w:t>
      </w:r>
      <w:r w:rsidR="007B2ADD">
        <w:t xml:space="preserve"> </w:t>
      </w:r>
      <w:r w:rsidR="003B3B50">
        <w:t>and cited the following examples:</w:t>
      </w:r>
    </w:p>
    <w:p w14:paraId="1F6BFDA0" w14:textId="2CFD350D" w:rsidR="003B3B50" w:rsidRDefault="003B3B50" w:rsidP="00102C19">
      <w:pPr>
        <w:pStyle w:val="3Bodytext"/>
        <w:numPr>
          <w:ilvl w:val="0"/>
          <w:numId w:val="35"/>
        </w:numPr>
        <w:jc w:val="both"/>
      </w:pPr>
      <w:r>
        <w:t>pantoprazole 40 mg enteric tablets (PBS item code 12277E) for complex gastro-oesophageal reflux disease (GORD): the treatment criteria states ‘Must be treated by a gastroenterologist; OR Must be treated by a surgeon with expertise in the upper gastrointestinal tract; OR Must be treated by a medical practitioner who has consulted at least one of the above mentioned specialists in relation to this current PBS benefit being sought, with the specialist’s name documented in the patient’s medical records for auditing purposes</w:t>
      </w:r>
      <w:r w:rsidR="00BE3243">
        <w:t>…</w:t>
      </w:r>
      <w:r w:rsidR="00513DEC">
        <w:t>.’</w:t>
      </w:r>
    </w:p>
    <w:p w14:paraId="46B8D64E" w14:textId="08E8EF98" w:rsidR="004B13C8" w:rsidRDefault="003B3B50" w:rsidP="00102C19">
      <w:pPr>
        <w:pStyle w:val="3Bodytext"/>
        <w:numPr>
          <w:ilvl w:val="0"/>
          <w:numId w:val="35"/>
        </w:numPr>
        <w:jc w:val="both"/>
      </w:pPr>
      <w:r>
        <w:t xml:space="preserve">tofacitinib 5 mg tablets (PBS item code 12556W) </w:t>
      </w:r>
      <w:r w:rsidR="00513DEC">
        <w:t xml:space="preserve">for moderate to severe </w:t>
      </w:r>
      <w:r w:rsidR="00BE3243">
        <w:t>UC</w:t>
      </w:r>
      <w:r w:rsidR="00513DEC">
        <w:t>: the treatment criteria states ‘Must be treated by a gastroenterologist (code 87); OR Must be treated by a consultant physician [internal medicine specialising in gastroenterology</w:t>
      </w:r>
      <w:r w:rsidR="00FB415E">
        <w:t xml:space="preserve"> (code 81)</w:t>
      </w:r>
      <w:r w:rsidR="00513DEC">
        <w:t>]</w:t>
      </w:r>
      <w:r w:rsidR="00FB415E">
        <w:t>; OR Must be treated by a consultant physician [general medicine specialising in gastroenterology (code 82)]</w:t>
      </w:r>
      <w:r w:rsidR="004B13C8">
        <w:t>.</w:t>
      </w:r>
      <w:r w:rsidR="00FB415E">
        <w:t>’</w:t>
      </w:r>
    </w:p>
    <w:p w14:paraId="1B32B900" w14:textId="62853D40" w:rsidR="003B3B50" w:rsidRDefault="00FB415E" w:rsidP="00102C19">
      <w:pPr>
        <w:pStyle w:val="4-SubsectionHeading"/>
      </w:pPr>
      <w:r>
        <w:t xml:space="preserve">Request </w:t>
      </w:r>
      <w:r w:rsidR="000021D5">
        <w:t xml:space="preserve">for </w:t>
      </w:r>
      <w:r>
        <w:t xml:space="preserve">advice </w:t>
      </w:r>
      <w:r w:rsidR="00862B45">
        <w:t xml:space="preserve">about </w:t>
      </w:r>
      <w:r>
        <w:t>the</w:t>
      </w:r>
      <w:r w:rsidR="00EC242B">
        <w:t xml:space="preserve"> Prescribing Instruction </w:t>
      </w:r>
      <w:r w:rsidR="00862B45">
        <w:t>on</w:t>
      </w:r>
      <w:r w:rsidR="00EC242B">
        <w:t xml:space="preserve"> the</w:t>
      </w:r>
      <w:r>
        <w:t xml:space="preserve"> optimal number of biopsies in the PBS restriction criteria</w:t>
      </w:r>
    </w:p>
    <w:p w14:paraId="7450D6B3" w14:textId="7299D278" w:rsidR="00FB415E" w:rsidRDefault="007B2ADD" w:rsidP="00102C19">
      <w:pPr>
        <w:pStyle w:val="3Bodytext"/>
        <w:jc w:val="both"/>
      </w:pPr>
      <w:r>
        <w:t xml:space="preserve">The submission </w:t>
      </w:r>
      <w:r w:rsidR="00E03376">
        <w:t>noted</w:t>
      </w:r>
      <w:r w:rsidR="002130C0">
        <w:t xml:space="preserve"> </w:t>
      </w:r>
      <w:r w:rsidR="00E03376">
        <w:t>t</w:t>
      </w:r>
      <w:r w:rsidR="00630259">
        <w:t>he Prescribing Instructions in the Initial treatment listing for BOT state</w:t>
      </w:r>
      <w:r w:rsidR="00C44EDD">
        <w:t>,</w:t>
      </w:r>
      <w:r w:rsidR="00630259">
        <w:t xml:space="preserve"> ‘Diagnostic sensitivity increases with the number of biopsies and is optimised after taking at least eight biopsies (minimum of four collected from each of the mid and distal segments, with the distal segment biopsies taken at least 5 cm above the gastroesophageal junction).’</w:t>
      </w:r>
    </w:p>
    <w:p w14:paraId="07D4F4AB" w14:textId="122C298D" w:rsidR="00630259" w:rsidRDefault="00630259" w:rsidP="00102C19">
      <w:pPr>
        <w:pStyle w:val="3Bodytext"/>
        <w:jc w:val="both"/>
      </w:pPr>
      <w:r>
        <w:t>The submission stated that this criteri</w:t>
      </w:r>
      <w:r w:rsidR="00E35687">
        <w:t>on</w:t>
      </w:r>
      <w:r>
        <w:t xml:space="preserve"> </w:t>
      </w:r>
      <w:r w:rsidR="00BE3243">
        <w:t xml:space="preserve">was </w:t>
      </w:r>
      <w:r>
        <w:t>based on advice from an Australian expert and is more stringent than the procedure used in the clinical development program for BOT</w:t>
      </w:r>
      <w:r w:rsidR="000021D5">
        <w:rPr>
          <w:rStyle w:val="FootnoteReference"/>
        </w:rPr>
        <w:footnoteReference w:id="5"/>
      </w:r>
      <w:r w:rsidR="00E35687">
        <w:rPr>
          <w:vertAlign w:val="superscript"/>
        </w:rPr>
        <w:t>,</w:t>
      </w:r>
      <w:r w:rsidR="000021D5">
        <w:rPr>
          <w:rStyle w:val="FootnoteReference"/>
        </w:rPr>
        <w:footnoteReference w:id="6"/>
      </w:r>
      <w:r>
        <w:t xml:space="preserve"> and those outlined in international guidelines.</w:t>
      </w:r>
      <w:r w:rsidR="00E35687">
        <w:rPr>
          <w:rStyle w:val="FootnoteReference"/>
        </w:rPr>
        <w:footnoteReference w:id="7"/>
      </w:r>
      <w:r w:rsidR="00E35687">
        <w:rPr>
          <w:vertAlign w:val="superscript"/>
        </w:rPr>
        <w:t>,</w:t>
      </w:r>
      <w:r w:rsidR="00E35687">
        <w:rPr>
          <w:rStyle w:val="FootnoteReference"/>
        </w:rPr>
        <w:footnoteReference w:id="8"/>
      </w:r>
      <w:r>
        <w:t xml:space="preserve"> The submission stated that </w:t>
      </w:r>
      <w:r w:rsidR="000C016C">
        <w:t>6-8 biopsies from 2-3 oesophageal segments is generally recommended to achieve optimal sensitivity in the determination of eosinophil count.</w:t>
      </w:r>
    </w:p>
    <w:p w14:paraId="4BA083CF" w14:textId="160A3651" w:rsidR="007B2ADD" w:rsidRDefault="002130C0" w:rsidP="00102C19">
      <w:pPr>
        <w:pStyle w:val="3Bodytext"/>
        <w:jc w:val="both"/>
      </w:pPr>
      <w:r>
        <w:t>The submission stated that the sponsor ha</w:t>
      </w:r>
      <w:r w:rsidR="00F81910">
        <w:t>d</w:t>
      </w:r>
      <w:r>
        <w:t xml:space="preserve"> received clinician feedback stating</w:t>
      </w:r>
      <w:r w:rsidR="00E03376">
        <w:t xml:space="preserve"> </w:t>
      </w:r>
      <w:r>
        <w:t xml:space="preserve">that a minimum of eight biopsies taken from the mid and distal segments has been used as </w:t>
      </w:r>
      <w:r w:rsidR="00E35687">
        <w:t xml:space="preserve">a </w:t>
      </w:r>
      <w:r>
        <w:t>mandatory requirement for authorisation from Services Australia to prescribe BOT under the PBS restrictions.</w:t>
      </w:r>
      <w:r w:rsidR="00E6056F">
        <w:t xml:space="preserve"> </w:t>
      </w:r>
      <w:r>
        <w:t>The submission stated that this appears to be a misinterpretation, as the PBS clinical criteria states that eosinophil count of at least 15 from only one high power field (i.e. from a single biopsy) is required.</w:t>
      </w:r>
      <w:r w:rsidR="000C016C">
        <w:t xml:space="preserve"> The sponsor understood that the purpose of this Prescribing Instruction was to provide guidance to the clinician to increase the probability of confirming active EoE.</w:t>
      </w:r>
    </w:p>
    <w:p w14:paraId="55FFA123" w14:textId="471593BB" w:rsidR="004A07AC" w:rsidRPr="005830D9" w:rsidRDefault="00E03376" w:rsidP="00102C19">
      <w:pPr>
        <w:pStyle w:val="3Bodytext"/>
        <w:jc w:val="both"/>
      </w:pPr>
      <w:r w:rsidRPr="005830D9">
        <w:t xml:space="preserve">Services Australia </w:t>
      </w:r>
      <w:r w:rsidR="004C2ED9" w:rsidRPr="005830D9">
        <w:t>advised</w:t>
      </w:r>
      <w:r w:rsidRPr="005830D9">
        <w:t xml:space="preserve"> that the number of biopsies obtained during endoscopy is not currently assessed during the telephone authority application from prescribers. Services Australia further noted that the current wording of the Prescribing Instruction does not mandate a minimum number of biopsies collected during the endoscopy</w:t>
      </w:r>
      <w:r w:rsidR="00C44EDD" w:rsidRPr="005830D9">
        <w:t xml:space="preserve">. </w:t>
      </w:r>
    </w:p>
    <w:p w14:paraId="2EA4CDA0" w14:textId="11F935E3" w:rsidR="00486540" w:rsidRDefault="00486540" w:rsidP="00102C19">
      <w:pPr>
        <w:pStyle w:val="4-SubsectionHeading"/>
      </w:pPr>
      <w:r>
        <w:t>Registration status</w:t>
      </w:r>
    </w:p>
    <w:p w14:paraId="20951305" w14:textId="1955F354" w:rsidR="00486540" w:rsidRPr="00486540" w:rsidRDefault="00F15B60" w:rsidP="00102C19">
      <w:pPr>
        <w:pStyle w:val="3Bodytext"/>
        <w:jc w:val="both"/>
      </w:pPr>
      <w:r>
        <w:t>BOT</w:t>
      </w:r>
      <w:r w:rsidRPr="00172BD0">
        <w:t xml:space="preserve"> was TGA registered on </w:t>
      </w:r>
      <w:r>
        <w:t>15 September 202</w:t>
      </w:r>
      <w:r w:rsidR="004B13C8">
        <w:t>0</w:t>
      </w:r>
      <w:r w:rsidRPr="00172BD0">
        <w:t xml:space="preserve"> for</w:t>
      </w:r>
      <w:r w:rsidRPr="00172BD0" w:rsidDel="009A61CA">
        <w:t xml:space="preserve"> </w:t>
      </w:r>
      <w:r>
        <w:t>the treatment of EoE in adults.</w:t>
      </w:r>
    </w:p>
    <w:p w14:paraId="0094486E" w14:textId="48EC5C7C" w:rsidR="007E490F" w:rsidRDefault="007E490F" w:rsidP="00102C19">
      <w:pPr>
        <w:pStyle w:val="4-SubsectionHeading"/>
      </w:pPr>
      <w:r w:rsidRPr="0012749D">
        <w:t xml:space="preserve">Previous PBAC consideration </w:t>
      </w:r>
    </w:p>
    <w:p w14:paraId="51E4ED4E" w14:textId="633A9F5B" w:rsidR="00837A7A" w:rsidRPr="006B4320" w:rsidRDefault="00837A7A" w:rsidP="00102C19">
      <w:pPr>
        <w:pStyle w:val="3Bodytext"/>
        <w:jc w:val="both"/>
        <w:rPr>
          <w:i/>
        </w:rPr>
      </w:pPr>
      <w:r w:rsidRPr="005830D9">
        <w:rPr>
          <w:iCs/>
        </w:rPr>
        <w:t>BOT 1 mg was previously considered for EoE by the PBAC at its March 2021 meeting. The PBAC did not recommend BOT for the treatment of EoE</w:t>
      </w:r>
      <w:r w:rsidR="00CE6825" w:rsidRPr="005830D9">
        <w:rPr>
          <w:iCs/>
        </w:rPr>
        <w:t xml:space="preserve">, and </w:t>
      </w:r>
      <w:r w:rsidR="007E158B" w:rsidRPr="005830D9">
        <w:rPr>
          <w:iCs/>
        </w:rPr>
        <w:t>‘</w:t>
      </w:r>
      <w:r w:rsidR="00CE6825" w:rsidRPr="005830D9">
        <w:rPr>
          <w:iCs/>
        </w:rPr>
        <w:t>considered</w:t>
      </w:r>
      <w:r w:rsidRPr="005830D9">
        <w:rPr>
          <w:iCs/>
        </w:rPr>
        <w:t xml:space="preserve"> PBS listing for use in the maintenance therapy setting </w:t>
      </w:r>
      <w:r w:rsidR="007E158B" w:rsidRPr="005830D9">
        <w:rPr>
          <w:iCs/>
        </w:rPr>
        <w:t>is</w:t>
      </w:r>
      <w:r w:rsidRPr="005830D9">
        <w:rPr>
          <w:iCs/>
        </w:rPr>
        <w:t xml:space="preserve"> beyond the maximum duration of treatment reflected in the current approved product information</w:t>
      </w:r>
      <w:r w:rsidR="007E158B" w:rsidRPr="005830D9">
        <w:rPr>
          <w:iCs/>
        </w:rPr>
        <w:t xml:space="preserve"> (PI)</w:t>
      </w:r>
      <w:r w:rsidRPr="005830D9">
        <w:rPr>
          <w:iCs/>
        </w:rPr>
        <w:t>. The PBAC considered the cost-effectiveness of induction therapy alone to be uncertain and the incremental cost-effectiveness ratio</w:t>
      </w:r>
      <w:r w:rsidR="007E158B" w:rsidRPr="005830D9">
        <w:rPr>
          <w:iCs/>
        </w:rPr>
        <w:t xml:space="preserve"> (ICER)</w:t>
      </w:r>
      <w:r w:rsidRPr="005830D9">
        <w:rPr>
          <w:iCs/>
        </w:rPr>
        <w:t xml:space="preserve"> for both induction and maintenance therapy to be high and uncertain at the proposed price.</w:t>
      </w:r>
      <w:r w:rsidR="007E158B" w:rsidRPr="007E5513">
        <w:rPr>
          <w:iCs/>
        </w:rPr>
        <w:t>’</w:t>
      </w:r>
      <w:r w:rsidR="007E158B" w:rsidRPr="008D4296">
        <w:rPr>
          <w:iCs/>
        </w:rPr>
        <w:t xml:space="preserve"> (paragraph 7.1, budesonide, PSD, March 2021 PBAC meeting)</w:t>
      </w:r>
      <w:r w:rsidR="007E158B">
        <w:rPr>
          <w:i/>
        </w:rPr>
        <w:t>.</w:t>
      </w:r>
      <w:r>
        <w:rPr>
          <w:i/>
        </w:rPr>
        <w:t xml:space="preserve"> </w:t>
      </w:r>
    </w:p>
    <w:p w14:paraId="5C6809F1" w14:textId="07279E0D" w:rsidR="007E490F" w:rsidRPr="0087721E" w:rsidRDefault="00837A7A" w:rsidP="00102C19">
      <w:pPr>
        <w:pStyle w:val="3Bodytext"/>
        <w:jc w:val="both"/>
        <w:rPr>
          <w:i/>
        </w:rPr>
      </w:pPr>
      <w:r>
        <w:t xml:space="preserve">BOT 0.5 mg and 1 mg </w:t>
      </w:r>
      <w:r w:rsidRPr="008D6211">
        <w:t>w</w:t>
      </w:r>
      <w:r>
        <w:t>ere</w:t>
      </w:r>
      <w:r w:rsidRPr="008D6211">
        <w:t xml:space="preserve"> </w:t>
      </w:r>
      <w:r w:rsidR="007E490F" w:rsidRPr="008D6211">
        <w:t>considered</w:t>
      </w:r>
      <w:r w:rsidR="008D6211" w:rsidRPr="008D6211">
        <w:t xml:space="preserve"> </w:t>
      </w:r>
      <w:r w:rsidR="007E490F" w:rsidRPr="008D6211">
        <w:t xml:space="preserve">for </w:t>
      </w:r>
      <w:r>
        <w:t xml:space="preserve">the treatment of EoE </w:t>
      </w:r>
      <w:r w:rsidR="007E490F" w:rsidRPr="008D6211">
        <w:t xml:space="preserve">by the PBAC at </w:t>
      </w:r>
      <w:r w:rsidR="00DB3526">
        <w:t xml:space="preserve">its </w:t>
      </w:r>
      <w:r w:rsidR="008D6211" w:rsidRPr="008D6211">
        <w:t>November 2021</w:t>
      </w:r>
      <w:r w:rsidR="007E490F" w:rsidRPr="008D6211">
        <w:t xml:space="preserve"> meeting.</w:t>
      </w:r>
      <w:r>
        <w:t xml:space="preserve"> The PBAC recommended the Authority Required (immediate assessment) listing of BOT for </w:t>
      </w:r>
      <w:r w:rsidRPr="008D4296">
        <w:t>EoE</w:t>
      </w:r>
      <w:r w:rsidR="007E158B" w:rsidRPr="008D4296">
        <w:t xml:space="preserve"> (paragraph 5.1, budesonide, PSD, November 2021 PBAC meeting)</w:t>
      </w:r>
      <w:r w:rsidRPr="008D4296">
        <w:t>.</w:t>
      </w:r>
      <w:r w:rsidRPr="00620683">
        <w:rPr>
          <w:i/>
          <w:iCs/>
        </w:rPr>
        <w:t xml:space="preserve"> </w:t>
      </w:r>
    </w:p>
    <w:p w14:paraId="15E70409" w14:textId="512CDEAF" w:rsidR="0087721E" w:rsidRPr="006B4320" w:rsidRDefault="0087721E" w:rsidP="005830D9">
      <w:pPr>
        <w:pStyle w:val="3Bodytext"/>
        <w:numPr>
          <w:ilvl w:val="0"/>
          <w:numId w:val="0"/>
        </w:numPr>
        <w:ind w:left="720"/>
        <w:jc w:val="both"/>
        <w:rPr>
          <w:i/>
        </w:rPr>
      </w:pPr>
      <w:r w:rsidRPr="0087721E">
        <w:rPr>
          <w:i/>
        </w:rPr>
        <w:t xml:space="preserve">For more detail on PBAC’s view, see section </w:t>
      </w:r>
      <w:r>
        <w:rPr>
          <w:i/>
        </w:rPr>
        <w:t>5</w:t>
      </w:r>
      <w:r w:rsidRPr="0087721E">
        <w:rPr>
          <w:i/>
        </w:rPr>
        <w:t xml:space="preserve"> PBAC outcome.</w:t>
      </w:r>
    </w:p>
    <w:p w14:paraId="1B8790B6" w14:textId="77777777" w:rsidR="00964A9F" w:rsidRDefault="00964A9F" w:rsidP="00102C19">
      <w:pPr>
        <w:pStyle w:val="2-SectionHeading"/>
        <w:jc w:val="both"/>
      </w:pPr>
      <w:r w:rsidRPr="009D507A">
        <w:t xml:space="preserve">Requested listing </w:t>
      </w:r>
    </w:p>
    <w:p w14:paraId="2F857955" w14:textId="0DBE0595" w:rsidR="00EC242B" w:rsidRDefault="00225633" w:rsidP="00102C19">
      <w:pPr>
        <w:pStyle w:val="3Bodytext"/>
        <w:jc w:val="both"/>
      </w:pPr>
      <w:r>
        <w:t>The submission requested the following</w:t>
      </w:r>
      <w:r w:rsidR="0067332E">
        <w:t xml:space="preserve"> changes to the existing listing:</w:t>
      </w:r>
    </w:p>
    <w:p w14:paraId="4299D1F7" w14:textId="66194453" w:rsidR="00964A9F" w:rsidRPr="00EC242B" w:rsidRDefault="004965CF" w:rsidP="00EC242B">
      <w:pPr>
        <w:pStyle w:val="3Bodytext"/>
        <w:jc w:val="both"/>
        <w:rPr>
          <w:rFonts w:ascii="Arial Narrow" w:hAnsi="Arial Narrow" w:cstheme="minorHAnsi"/>
          <w:color w:val="FF0000"/>
          <w:sz w:val="20"/>
          <w:szCs w:val="20"/>
        </w:rPr>
      </w:pPr>
      <w:r w:rsidRPr="005830D9">
        <w:t>Amend existing listings as follows</w:t>
      </w:r>
      <w:r w:rsidR="00EC242B">
        <w:t xml:space="preserve">. </w:t>
      </w:r>
      <w:r w:rsidR="002C5050" w:rsidRPr="002C5050">
        <w:t>Suggest</w:t>
      </w:r>
      <w:r w:rsidR="00CC0A6E">
        <w:t>ed</w:t>
      </w:r>
      <w:r w:rsidR="002C5050" w:rsidRPr="002C5050">
        <w:t xml:space="preserve"> additions proposed by the Secretariat are added in italics and suggested deletions are crossed out with strikethrough</w:t>
      </w:r>
      <w:r w:rsidR="002C505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784"/>
        <w:gridCol w:w="2692"/>
        <w:gridCol w:w="994"/>
        <w:gridCol w:w="849"/>
        <w:gridCol w:w="851"/>
        <w:gridCol w:w="709"/>
        <w:gridCol w:w="1650"/>
      </w:tblGrid>
      <w:tr w:rsidR="00A06410" w:rsidRPr="00A06410" w14:paraId="1FA30110" w14:textId="77777777" w:rsidTr="008D4296">
        <w:trPr>
          <w:cantSplit/>
          <w:trHeight w:val="471"/>
        </w:trPr>
        <w:tc>
          <w:tcPr>
            <w:tcW w:w="2198" w:type="pct"/>
            <w:gridSpan w:val="3"/>
          </w:tcPr>
          <w:p w14:paraId="2218BC2F" w14:textId="77777777" w:rsidR="00964A9F" w:rsidRPr="00A06410" w:rsidRDefault="00964A9F" w:rsidP="00CF7528">
            <w:pPr>
              <w:keepNext/>
              <w:ind w:left="-108"/>
              <w:rPr>
                <w:rFonts w:ascii="Arial Narrow" w:hAnsi="Arial Narrow" w:cs="Arial"/>
                <w:b/>
                <w:bCs/>
                <w:sz w:val="20"/>
                <w:szCs w:val="20"/>
              </w:rPr>
            </w:pPr>
            <w:r w:rsidRPr="00A06410">
              <w:rPr>
                <w:rFonts w:ascii="Arial Narrow" w:hAnsi="Arial Narrow" w:cs="Arial"/>
                <w:b/>
                <w:bCs/>
                <w:sz w:val="20"/>
                <w:szCs w:val="20"/>
              </w:rPr>
              <w:t>MEDICINAL PRODUCT</w:t>
            </w:r>
          </w:p>
          <w:p w14:paraId="29F82D8B" w14:textId="77777777" w:rsidR="00964A9F" w:rsidRPr="00A06410" w:rsidRDefault="00964A9F" w:rsidP="00CF7528">
            <w:pPr>
              <w:keepNext/>
              <w:ind w:left="-108"/>
              <w:rPr>
                <w:rFonts w:ascii="Arial Narrow" w:hAnsi="Arial Narrow" w:cs="Arial"/>
                <w:b/>
                <w:sz w:val="20"/>
                <w:szCs w:val="20"/>
              </w:rPr>
            </w:pPr>
            <w:r w:rsidRPr="00A06410">
              <w:rPr>
                <w:rFonts w:ascii="Arial Narrow" w:hAnsi="Arial Narrow" w:cs="Arial"/>
                <w:b/>
                <w:bCs/>
                <w:sz w:val="20"/>
                <w:szCs w:val="20"/>
              </w:rPr>
              <w:t xml:space="preserve"> Medicinal Product Pack</w:t>
            </w:r>
          </w:p>
        </w:tc>
        <w:tc>
          <w:tcPr>
            <w:tcW w:w="551" w:type="pct"/>
          </w:tcPr>
          <w:p w14:paraId="30F7F880" w14:textId="77777777" w:rsidR="00964A9F" w:rsidRPr="00A06410" w:rsidRDefault="00964A9F" w:rsidP="00CF7528">
            <w:pPr>
              <w:keepNext/>
              <w:ind w:left="-108"/>
              <w:jc w:val="center"/>
              <w:rPr>
                <w:rFonts w:ascii="Arial Narrow" w:hAnsi="Arial Narrow" w:cs="Arial"/>
                <w:b/>
                <w:sz w:val="20"/>
                <w:szCs w:val="20"/>
              </w:rPr>
            </w:pPr>
            <w:r w:rsidRPr="00A06410">
              <w:rPr>
                <w:rFonts w:ascii="Arial Narrow" w:hAnsi="Arial Narrow" w:cs="Arial"/>
                <w:b/>
                <w:sz w:val="20"/>
                <w:szCs w:val="20"/>
              </w:rPr>
              <w:t>PBS item code</w:t>
            </w:r>
          </w:p>
        </w:tc>
        <w:tc>
          <w:tcPr>
            <w:tcW w:w="471" w:type="pct"/>
          </w:tcPr>
          <w:p w14:paraId="34051986" w14:textId="77777777" w:rsidR="00964A9F" w:rsidRPr="00A06410" w:rsidRDefault="00964A9F" w:rsidP="00CF7528">
            <w:pPr>
              <w:keepNext/>
              <w:ind w:left="-108"/>
              <w:jc w:val="center"/>
              <w:rPr>
                <w:rFonts w:ascii="Arial Narrow" w:hAnsi="Arial Narrow" w:cs="Arial"/>
                <w:b/>
                <w:sz w:val="20"/>
                <w:szCs w:val="20"/>
              </w:rPr>
            </w:pPr>
            <w:r w:rsidRPr="00A06410">
              <w:rPr>
                <w:rFonts w:ascii="Arial Narrow" w:hAnsi="Arial Narrow" w:cs="Arial"/>
                <w:b/>
                <w:sz w:val="20"/>
                <w:szCs w:val="20"/>
              </w:rPr>
              <w:t>Max. qty packs</w:t>
            </w:r>
          </w:p>
        </w:tc>
        <w:tc>
          <w:tcPr>
            <w:tcW w:w="472" w:type="pct"/>
          </w:tcPr>
          <w:p w14:paraId="42B0E70C" w14:textId="77777777" w:rsidR="00964A9F" w:rsidRPr="00A06410" w:rsidRDefault="00964A9F" w:rsidP="00CF7528">
            <w:pPr>
              <w:keepNext/>
              <w:ind w:left="-108"/>
              <w:jc w:val="center"/>
              <w:rPr>
                <w:rFonts w:ascii="Arial Narrow" w:hAnsi="Arial Narrow" w:cs="Arial"/>
                <w:b/>
                <w:sz w:val="20"/>
                <w:szCs w:val="20"/>
              </w:rPr>
            </w:pPr>
            <w:r w:rsidRPr="00A06410">
              <w:rPr>
                <w:rFonts w:ascii="Arial Narrow" w:hAnsi="Arial Narrow" w:cs="Arial"/>
                <w:b/>
                <w:sz w:val="20"/>
                <w:szCs w:val="20"/>
              </w:rPr>
              <w:t>Max. qty units</w:t>
            </w:r>
          </w:p>
        </w:tc>
        <w:tc>
          <w:tcPr>
            <w:tcW w:w="393" w:type="pct"/>
          </w:tcPr>
          <w:p w14:paraId="179C8823" w14:textId="77777777" w:rsidR="00964A9F" w:rsidRPr="00A06410" w:rsidRDefault="00964A9F" w:rsidP="00CF7528">
            <w:pPr>
              <w:keepNext/>
              <w:ind w:left="-108"/>
              <w:jc w:val="center"/>
              <w:rPr>
                <w:rFonts w:ascii="Arial Narrow" w:hAnsi="Arial Narrow" w:cs="Arial"/>
                <w:b/>
                <w:sz w:val="20"/>
                <w:szCs w:val="20"/>
              </w:rPr>
            </w:pPr>
            <w:r w:rsidRPr="00A06410">
              <w:rPr>
                <w:rFonts w:ascii="Arial Narrow" w:hAnsi="Arial Narrow" w:cs="Arial"/>
                <w:b/>
                <w:sz w:val="20"/>
                <w:szCs w:val="20"/>
              </w:rPr>
              <w:t>№.of</w:t>
            </w:r>
          </w:p>
          <w:p w14:paraId="6B1F52D8" w14:textId="77777777" w:rsidR="00964A9F" w:rsidRPr="00A06410" w:rsidRDefault="00964A9F" w:rsidP="00CF7528">
            <w:pPr>
              <w:keepNext/>
              <w:ind w:left="-108"/>
              <w:jc w:val="center"/>
              <w:rPr>
                <w:rFonts w:ascii="Arial Narrow" w:hAnsi="Arial Narrow" w:cs="Arial"/>
                <w:b/>
                <w:sz w:val="20"/>
                <w:szCs w:val="20"/>
              </w:rPr>
            </w:pPr>
            <w:r w:rsidRPr="00A06410">
              <w:rPr>
                <w:rFonts w:ascii="Arial Narrow" w:hAnsi="Arial Narrow" w:cs="Arial"/>
                <w:b/>
                <w:sz w:val="20"/>
                <w:szCs w:val="20"/>
              </w:rPr>
              <w:t>Rpts</w:t>
            </w:r>
          </w:p>
        </w:tc>
        <w:tc>
          <w:tcPr>
            <w:tcW w:w="915" w:type="pct"/>
          </w:tcPr>
          <w:p w14:paraId="2BBA2826" w14:textId="77777777" w:rsidR="00964A9F" w:rsidRPr="00A06410" w:rsidRDefault="00964A9F" w:rsidP="00CF7528">
            <w:pPr>
              <w:keepNext/>
              <w:rPr>
                <w:rFonts w:ascii="Arial Narrow" w:hAnsi="Arial Narrow" w:cs="Arial"/>
                <w:b/>
                <w:sz w:val="20"/>
                <w:szCs w:val="20"/>
                <w:lang w:val="fr-FR"/>
              </w:rPr>
            </w:pPr>
            <w:r w:rsidRPr="00A06410">
              <w:rPr>
                <w:rFonts w:ascii="Arial Narrow" w:hAnsi="Arial Narrow" w:cs="Arial"/>
                <w:b/>
                <w:sz w:val="20"/>
                <w:szCs w:val="20"/>
              </w:rPr>
              <w:t>Available brands</w:t>
            </w:r>
          </w:p>
        </w:tc>
      </w:tr>
      <w:tr w:rsidR="008D4296" w:rsidRPr="00A06410" w14:paraId="4B61C983" w14:textId="77777777" w:rsidTr="008D4296">
        <w:trPr>
          <w:cantSplit/>
          <w:trHeight w:val="165"/>
        </w:trPr>
        <w:tc>
          <w:tcPr>
            <w:tcW w:w="5000" w:type="pct"/>
            <w:gridSpan w:val="8"/>
          </w:tcPr>
          <w:p w14:paraId="5E179FFE" w14:textId="46990FBA" w:rsidR="008D4296" w:rsidRPr="003D096B" w:rsidRDefault="008D4296" w:rsidP="008D4296">
            <w:pPr>
              <w:keepNext/>
              <w:ind w:left="-108"/>
              <w:jc w:val="left"/>
              <w:rPr>
                <w:rFonts w:ascii="Arial Narrow" w:hAnsi="Arial Narrow" w:cs="Arial"/>
                <w:sz w:val="20"/>
                <w:szCs w:val="20"/>
              </w:rPr>
            </w:pPr>
            <w:r w:rsidRPr="00A06410">
              <w:rPr>
                <w:rFonts w:ascii="Arial Narrow" w:hAnsi="Arial Narrow" w:cs="Arial"/>
                <w:sz w:val="20"/>
                <w:szCs w:val="20"/>
              </w:rPr>
              <w:t>BUDESONIDE</w:t>
            </w:r>
          </w:p>
        </w:tc>
      </w:tr>
      <w:tr w:rsidR="008D4296" w:rsidRPr="00A06410" w14:paraId="62298D70" w14:textId="77777777" w:rsidTr="008D4296">
        <w:trPr>
          <w:cantSplit/>
          <w:trHeight w:val="211"/>
        </w:trPr>
        <w:tc>
          <w:tcPr>
            <w:tcW w:w="2198" w:type="pct"/>
            <w:gridSpan w:val="3"/>
          </w:tcPr>
          <w:p w14:paraId="7707665A" w14:textId="78FD38FE" w:rsidR="008D4296" w:rsidRPr="00A06410" w:rsidRDefault="008D4296" w:rsidP="008D4296">
            <w:pPr>
              <w:keepNext/>
              <w:ind w:left="-108"/>
              <w:jc w:val="left"/>
              <w:rPr>
                <w:rFonts w:ascii="Arial Narrow" w:hAnsi="Arial Narrow" w:cs="Arial"/>
                <w:sz w:val="20"/>
                <w:szCs w:val="20"/>
              </w:rPr>
            </w:pPr>
            <w:r w:rsidRPr="00A06410">
              <w:rPr>
                <w:rFonts w:ascii="Arial Narrow" w:hAnsi="Arial Narrow" w:cs="Arial"/>
                <w:sz w:val="20"/>
                <w:szCs w:val="20"/>
              </w:rPr>
              <w:t>budesonide 1 mg orally disintegrating tablet, 90</w:t>
            </w:r>
          </w:p>
        </w:tc>
        <w:tc>
          <w:tcPr>
            <w:tcW w:w="551" w:type="pct"/>
            <w:vAlign w:val="center"/>
          </w:tcPr>
          <w:p w14:paraId="71EE8008" w14:textId="0803D5ED" w:rsidR="008D4296" w:rsidRPr="00A06410" w:rsidRDefault="008D4296" w:rsidP="008D4296">
            <w:pPr>
              <w:keepNext/>
              <w:jc w:val="center"/>
              <w:rPr>
                <w:rFonts w:ascii="Arial Narrow" w:hAnsi="Arial Narrow" w:cs="Arial"/>
                <w:sz w:val="20"/>
                <w:szCs w:val="20"/>
              </w:rPr>
            </w:pPr>
            <w:r w:rsidRPr="00A06410">
              <w:rPr>
                <w:rFonts w:ascii="Arial Narrow" w:hAnsi="Arial Narrow" w:cs="Arial"/>
                <w:sz w:val="20"/>
                <w:szCs w:val="20"/>
              </w:rPr>
              <w:t>12994X</w:t>
            </w:r>
          </w:p>
        </w:tc>
        <w:tc>
          <w:tcPr>
            <w:tcW w:w="471" w:type="pct"/>
            <w:vAlign w:val="center"/>
          </w:tcPr>
          <w:p w14:paraId="65B29E20" w14:textId="16329E0C" w:rsidR="008D4296" w:rsidRPr="003D096B" w:rsidRDefault="008D4296" w:rsidP="008D4296">
            <w:pPr>
              <w:keepNext/>
              <w:jc w:val="center"/>
              <w:rPr>
                <w:rFonts w:ascii="Arial Narrow" w:hAnsi="Arial Narrow" w:cs="Arial"/>
                <w:sz w:val="20"/>
                <w:szCs w:val="20"/>
              </w:rPr>
            </w:pPr>
            <w:r w:rsidRPr="003D096B">
              <w:rPr>
                <w:rFonts w:ascii="Arial Narrow" w:hAnsi="Arial Narrow" w:cs="Arial"/>
                <w:sz w:val="20"/>
                <w:szCs w:val="20"/>
              </w:rPr>
              <w:t>1</w:t>
            </w:r>
          </w:p>
        </w:tc>
        <w:tc>
          <w:tcPr>
            <w:tcW w:w="472" w:type="pct"/>
            <w:vAlign w:val="center"/>
          </w:tcPr>
          <w:p w14:paraId="10692F22" w14:textId="2EE5E7A2" w:rsidR="008D4296" w:rsidRPr="003D096B" w:rsidRDefault="008D4296" w:rsidP="008D4296">
            <w:pPr>
              <w:keepNext/>
              <w:jc w:val="center"/>
              <w:rPr>
                <w:rFonts w:ascii="Arial Narrow" w:hAnsi="Arial Narrow" w:cs="Arial"/>
                <w:sz w:val="20"/>
                <w:szCs w:val="20"/>
              </w:rPr>
            </w:pPr>
            <w:r w:rsidRPr="003D096B">
              <w:rPr>
                <w:rFonts w:ascii="Arial Narrow" w:hAnsi="Arial Narrow" w:cs="Arial"/>
                <w:sz w:val="20"/>
                <w:szCs w:val="20"/>
              </w:rPr>
              <w:t>90</w:t>
            </w:r>
          </w:p>
        </w:tc>
        <w:tc>
          <w:tcPr>
            <w:tcW w:w="393" w:type="pct"/>
            <w:vAlign w:val="center"/>
          </w:tcPr>
          <w:p w14:paraId="2E41E858" w14:textId="44F4114F" w:rsidR="008D4296" w:rsidRPr="003D096B" w:rsidRDefault="008D4296" w:rsidP="008D4296">
            <w:pPr>
              <w:keepNext/>
              <w:jc w:val="center"/>
              <w:rPr>
                <w:rFonts w:ascii="Arial Narrow" w:hAnsi="Arial Narrow" w:cs="Arial"/>
                <w:sz w:val="20"/>
                <w:szCs w:val="20"/>
              </w:rPr>
            </w:pPr>
            <w:r w:rsidRPr="003D096B">
              <w:rPr>
                <w:rFonts w:ascii="Arial Narrow" w:hAnsi="Arial Narrow" w:cs="Arial"/>
                <w:sz w:val="20"/>
                <w:szCs w:val="20"/>
              </w:rPr>
              <w:t>1</w:t>
            </w:r>
          </w:p>
        </w:tc>
        <w:tc>
          <w:tcPr>
            <w:tcW w:w="915" w:type="pct"/>
            <w:vAlign w:val="center"/>
          </w:tcPr>
          <w:p w14:paraId="317B4C44" w14:textId="6248ED45" w:rsidR="008D4296" w:rsidRPr="00A06410" w:rsidRDefault="008D4296" w:rsidP="008D4296">
            <w:pPr>
              <w:keepNext/>
              <w:jc w:val="center"/>
              <w:rPr>
                <w:rFonts w:ascii="Arial Narrow" w:hAnsi="Arial Narrow" w:cs="Arial"/>
                <w:sz w:val="20"/>
                <w:szCs w:val="20"/>
              </w:rPr>
            </w:pPr>
            <w:r w:rsidRPr="00A06410">
              <w:rPr>
                <w:rFonts w:ascii="Arial Narrow" w:hAnsi="Arial Narrow" w:cs="Arial"/>
                <w:sz w:val="20"/>
                <w:szCs w:val="20"/>
              </w:rPr>
              <w:t>Jorveza</w:t>
            </w:r>
          </w:p>
        </w:tc>
      </w:tr>
      <w:tr w:rsidR="0012775B" w:rsidRPr="00A06410" w14:paraId="051E59E9" w14:textId="77777777" w:rsidTr="0012775B">
        <w:trPr>
          <w:cantSplit/>
          <w:trHeight w:val="211"/>
        </w:trPr>
        <w:tc>
          <w:tcPr>
            <w:tcW w:w="5000" w:type="pct"/>
            <w:gridSpan w:val="8"/>
          </w:tcPr>
          <w:p w14:paraId="69D4005A" w14:textId="77777777" w:rsidR="0012775B" w:rsidRPr="00A06410" w:rsidRDefault="0012775B" w:rsidP="008D4296">
            <w:pPr>
              <w:keepNext/>
              <w:jc w:val="center"/>
              <w:rPr>
                <w:rFonts w:ascii="Arial Narrow" w:hAnsi="Arial Narrow" w:cs="Arial"/>
                <w:sz w:val="20"/>
                <w:szCs w:val="20"/>
              </w:rPr>
            </w:pPr>
          </w:p>
        </w:tc>
      </w:tr>
      <w:tr w:rsidR="008D4296" w:rsidRPr="001428E9" w14:paraId="5773237D" w14:textId="77777777" w:rsidTr="008D4296">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61DC31E6" w14:textId="5BCEA4BC" w:rsidR="008D4296" w:rsidRPr="00A06410" w:rsidRDefault="008D4296" w:rsidP="008D4296">
            <w:pPr>
              <w:keepLines/>
              <w:jc w:val="left"/>
              <w:rPr>
                <w:rFonts w:ascii="Arial Narrow" w:hAnsi="Arial Narrow" w:cs="Arial"/>
                <w:b/>
                <w:sz w:val="20"/>
                <w:szCs w:val="20"/>
              </w:rPr>
            </w:pPr>
            <w:r w:rsidRPr="00A06410">
              <w:rPr>
                <w:rFonts w:ascii="Arial Narrow" w:hAnsi="Arial Narrow"/>
                <w:b/>
                <w:sz w:val="20"/>
                <w:szCs w:val="20"/>
              </w:rPr>
              <w:t xml:space="preserve">Restriction Summary / Treatment of Concept: </w:t>
            </w:r>
          </w:p>
        </w:tc>
      </w:tr>
      <w:tr w:rsidR="008D4296" w:rsidRPr="001428E9" w14:paraId="6659ED08" w14:textId="77777777" w:rsidTr="008D4296">
        <w:tblPrEx>
          <w:tblCellMar>
            <w:top w:w="15" w:type="dxa"/>
            <w:bottom w:w="15" w:type="dxa"/>
          </w:tblCellMar>
          <w:tblLook w:val="04A0" w:firstRow="1" w:lastRow="0" w:firstColumn="1" w:lastColumn="0" w:noHBand="0" w:noVBand="1"/>
        </w:tblPrEx>
        <w:trPr>
          <w:trHeight w:val="20"/>
        </w:trPr>
        <w:tc>
          <w:tcPr>
            <w:tcW w:w="705" w:type="pct"/>
            <w:gridSpan w:val="2"/>
            <w:vMerge w:val="restart"/>
            <w:tcBorders>
              <w:top w:val="single" w:sz="4" w:space="0" w:color="auto"/>
              <w:left w:val="single" w:sz="4" w:space="0" w:color="auto"/>
              <w:right w:val="single" w:sz="4" w:space="0" w:color="auto"/>
            </w:tcBorders>
          </w:tcPr>
          <w:p w14:paraId="77255191" w14:textId="26B02B37" w:rsidR="008D4296" w:rsidRPr="00A06410" w:rsidRDefault="008D4296" w:rsidP="008D4296">
            <w:pPr>
              <w:jc w:val="left"/>
              <w:rPr>
                <w:rFonts w:ascii="Arial Narrow" w:hAnsi="Arial Narrow" w:cs="Arial"/>
                <w:b/>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2851D4B5" w14:textId="386E68D7" w:rsidR="008D4296" w:rsidRPr="00A06410" w:rsidRDefault="008D4296" w:rsidP="008D4296">
            <w:pPr>
              <w:keepLines/>
              <w:jc w:val="left"/>
              <w:rPr>
                <w:rFonts w:ascii="Arial Narrow" w:hAnsi="Arial Narrow" w:cs="Arial"/>
                <w:sz w:val="20"/>
                <w:szCs w:val="20"/>
              </w:rPr>
            </w:pPr>
            <w:r w:rsidRPr="00A06410">
              <w:rPr>
                <w:rFonts w:ascii="Arial Narrow" w:hAnsi="Arial Narrow" w:cs="Arial"/>
                <w:b/>
                <w:sz w:val="20"/>
                <w:szCs w:val="20"/>
              </w:rPr>
              <w:t xml:space="preserve">Category / Program: </w:t>
            </w:r>
            <w:r w:rsidRPr="00A06410">
              <w:rPr>
                <w:rFonts w:ascii="Arial Narrow" w:hAnsi="Arial Narrow" w:cs="Arial"/>
                <w:sz w:val="20"/>
                <w:szCs w:val="20"/>
              </w:rPr>
              <w:t>GENERAL – General Schedule (Code GE)</w:t>
            </w:r>
          </w:p>
        </w:tc>
      </w:tr>
      <w:tr w:rsidR="008D4296" w:rsidRPr="001428E9" w14:paraId="6F74B2C1" w14:textId="77777777" w:rsidTr="008D4296">
        <w:tblPrEx>
          <w:tblCellMar>
            <w:top w:w="15" w:type="dxa"/>
            <w:bottom w:w="15" w:type="dxa"/>
          </w:tblCellMar>
          <w:tblLook w:val="04A0" w:firstRow="1" w:lastRow="0" w:firstColumn="1" w:lastColumn="0" w:noHBand="0" w:noVBand="1"/>
        </w:tblPrEx>
        <w:trPr>
          <w:trHeight w:val="20"/>
        </w:trPr>
        <w:tc>
          <w:tcPr>
            <w:tcW w:w="705" w:type="pct"/>
            <w:gridSpan w:val="2"/>
            <w:vMerge/>
            <w:tcBorders>
              <w:left w:val="single" w:sz="4" w:space="0" w:color="auto"/>
              <w:right w:val="single" w:sz="4" w:space="0" w:color="auto"/>
            </w:tcBorders>
          </w:tcPr>
          <w:p w14:paraId="22E73E79" w14:textId="77777777" w:rsidR="008D4296" w:rsidRPr="00A06410" w:rsidRDefault="008D4296" w:rsidP="008D4296">
            <w:pPr>
              <w:jc w:val="left"/>
              <w:rPr>
                <w:rFonts w:ascii="Arial Narrow" w:hAnsi="Arial Narrow" w:cs="Arial"/>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1C547762" w14:textId="19414F8B" w:rsidR="008D4296" w:rsidRPr="00A06410" w:rsidRDefault="008D4296" w:rsidP="008D4296">
            <w:pPr>
              <w:keepLines/>
              <w:jc w:val="left"/>
              <w:rPr>
                <w:rFonts w:ascii="Arial Narrow" w:hAnsi="Arial Narrow" w:cs="Arial"/>
                <w:b/>
                <w:sz w:val="20"/>
                <w:szCs w:val="20"/>
              </w:rPr>
            </w:pPr>
            <w:r w:rsidRPr="00A06410">
              <w:rPr>
                <w:rFonts w:ascii="Arial Narrow" w:hAnsi="Arial Narrow" w:cs="Arial"/>
                <w:b/>
                <w:sz w:val="20"/>
                <w:szCs w:val="20"/>
              </w:rPr>
              <w:t xml:space="preserve">Prescriber type: </w:t>
            </w:r>
            <w:r w:rsidRPr="00295B12">
              <w:rPr>
                <w:rFonts w:ascii="Arial Narrow" w:hAnsi="Arial Narrow" w:cs="Arial"/>
                <w:sz w:val="20"/>
                <w:szCs w:val="20"/>
              </w:rPr>
              <w:fldChar w:fldCharType="begin" w:fldLock="1">
                <w:ffData>
                  <w:name w:val=""/>
                  <w:enabled/>
                  <w:calcOnExit w:val="0"/>
                  <w:checkBox>
                    <w:sizeAuto/>
                    <w:default w:val="1"/>
                  </w:checkBox>
                </w:ffData>
              </w:fldChar>
            </w:r>
            <w:r w:rsidRPr="00A06410">
              <w:rPr>
                <w:rFonts w:ascii="Arial Narrow" w:hAnsi="Arial Narrow" w:cs="Arial"/>
                <w:sz w:val="20"/>
                <w:szCs w:val="20"/>
              </w:rPr>
              <w:instrText xml:space="preserve"> FORMCHECKBOX </w:instrText>
            </w:r>
            <w:r w:rsidR="001579BE">
              <w:rPr>
                <w:rFonts w:ascii="Arial Narrow" w:hAnsi="Arial Narrow" w:cs="Arial"/>
                <w:sz w:val="20"/>
                <w:szCs w:val="20"/>
              </w:rPr>
            </w:r>
            <w:r w:rsidR="001579BE">
              <w:rPr>
                <w:rFonts w:ascii="Arial Narrow" w:hAnsi="Arial Narrow" w:cs="Arial"/>
                <w:sz w:val="20"/>
                <w:szCs w:val="20"/>
              </w:rPr>
              <w:fldChar w:fldCharType="separate"/>
            </w:r>
            <w:r w:rsidRPr="00295B12">
              <w:rPr>
                <w:rFonts w:ascii="Arial Narrow" w:hAnsi="Arial Narrow" w:cs="Arial"/>
                <w:sz w:val="20"/>
                <w:szCs w:val="20"/>
              </w:rPr>
              <w:fldChar w:fldCharType="end"/>
            </w:r>
            <w:r w:rsidRPr="00A06410">
              <w:rPr>
                <w:rFonts w:ascii="Arial Narrow" w:hAnsi="Arial Narrow" w:cs="Arial"/>
                <w:sz w:val="20"/>
                <w:szCs w:val="20"/>
              </w:rPr>
              <w:t xml:space="preserve">Medical Practitioners </w:t>
            </w:r>
          </w:p>
        </w:tc>
      </w:tr>
      <w:tr w:rsidR="008D4296" w:rsidRPr="00D56F94" w14:paraId="389B4E86" w14:textId="77777777" w:rsidTr="008D4296">
        <w:tblPrEx>
          <w:tblCellMar>
            <w:top w:w="15" w:type="dxa"/>
            <w:bottom w:w="15" w:type="dxa"/>
          </w:tblCellMar>
          <w:tblLook w:val="04A0" w:firstRow="1" w:lastRow="0" w:firstColumn="1" w:lastColumn="0" w:noHBand="0" w:noVBand="1"/>
        </w:tblPrEx>
        <w:trPr>
          <w:trHeight w:val="20"/>
        </w:trPr>
        <w:tc>
          <w:tcPr>
            <w:tcW w:w="705" w:type="pct"/>
            <w:gridSpan w:val="2"/>
            <w:vMerge/>
            <w:tcBorders>
              <w:left w:val="single" w:sz="4" w:space="0" w:color="auto"/>
              <w:bottom w:val="single" w:sz="4" w:space="0" w:color="auto"/>
              <w:right w:val="single" w:sz="4" w:space="0" w:color="auto"/>
            </w:tcBorders>
          </w:tcPr>
          <w:p w14:paraId="6AFA933E" w14:textId="77777777" w:rsidR="008D4296" w:rsidRPr="00A06410" w:rsidRDefault="008D4296" w:rsidP="008D4296">
            <w:pPr>
              <w:jc w:val="left"/>
              <w:rPr>
                <w:rFonts w:ascii="Arial Narrow" w:hAnsi="Arial Narrow" w:cs="Arial"/>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67BC29C5" w14:textId="157C723D" w:rsidR="008D4296" w:rsidRPr="004B13C8" w:rsidRDefault="008D4296" w:rsidP="008D4296">
            <w:pPr>
              <w:keepLines/>
              <w:jc w:val="left"/>
              <w:rPr>
                <w:rFonts w:ascii="Arial Narrow" w:eastAsia="Calibri" w:hAnsi="Arial Narrow" w:cs="Arial"/>
                <w:sz w:val="20"/>
                <w:szCs w:val="20"/>
              </w:rPr>
            </w:pPr>
            <w:r w:rsidRPr="00A06410">
              <w:rPr>
                <w:rFonts w:ascii="Arial Narrow" w:hAnsi="Arial Narrow" w:cs="Arial"/>
                <w:b/>
                <w:sz w:val="20"/>
                <w:szCs w:val="20"/>
              </w:rPr>
              <w:t xml:space="preserve">Restriction type: </w:t>
            </w:r>
            <w:r w:rsidRPr="003D096B">
              <w:rPr>
                <w:rFonts w:ascii="Arial Narrow" w:eastAsia="Calibri" w:hAnsi="Arial Narrow" w:cs="Arial"/>
                <w:sz w:val="20"/>
                <w:szCs w:val="20"/>
              </w:rPr>
              <w:br/>
            </w:r>
            <w:r w:rsidRPr="00295B12">
              <w:rPr>
                <w:rFonts w:ascii="Arial Narrow" w:eastAsia="Calibri" w:hAnsi="Arial Narrow" w:cs="Arial"/>
                <w:sz w:val="20"/>
                <w:szCs w:val="20"/>
              </w:rPr>
              <w:fldChar w:fldCharType="begin" w:fldLock="1">
                <w:ffData>
                  <w:name w:val=""/>
                  <w:enabled/>
                  <w:calcOnExit w:val="0"/>
                  <w:checkBox>
                    <w:sizeAuto/>
                    <w:default w:val="1"/>
                  </w:checkBox>
                </w:ffData>
              </w:fldChar>
            </w:r>
            <w:r w:rsidRPr="00A06410">
              <w:rPr>
                <w:rFonts w:ascii="Arial Narrow" w:eastAsia="Calibri" w:hAnsi="Arial Narrow" w:cs="Arial"/>
                <w:sz w:val="20"/>
                <w:szCs w:val="20"/>
              </w:rPr>
              <w:instrText xml:space="preserve"> FORMCHECKBOX </w:instrText>
            </w:r>
            <w:r w:rsidR="001579BE">
              <w:rPr>
                <w:rFonts w:ascii="Arial Narrow" w:eastAsia="Calibri" w:hAnsi="Arial Narrow" w:cs="Arial"/>
                <w:sz w:val="20"/>
                <w:szCs w:val="20"/>
              </w:rPr>
            </w:r>
            <w:r w:rsidR="001579BE">
              <w:rPr>
                <w:rFonts w:ascii="Arial Narrow" w:eastAsia="Calibri" w:hAnsi="Arial Narrow" w:cs="Arial"/>
                <w:sz w:val="20"/>
                <w:szCs w:val="20"/>
              </w:rPr>
              <w:fldChar w:fldCharType="separate"/>
            </w:r>
            <w:r w:rsidRPr="00295B12">
              <w:rPr>
                <w:rFonts w:ascii="Arial Narrow" w:eastAsia="Calibri" w:hAnsi="Arial Narrow" w:cs="Arial"/>
                <w:sz w:val="20"/>
                <w:szCs w:val="20"/>
              </w:rPr>
              <w:fldChar w:fldCharType="end"/>
            </w:r>
            <w:r w:rsidRPr="00A06410">
              <w:rPr>
                <w:rFonts w:ascii="Arial Narrow" w:eastAsia="Calibri" w:hAnsi="Arial Narrow" w:cs="Arial"/>
                <w:sz w:val="20"/>
                <w:szCs w:val="20"/>
              </w:rPr>
              <w:t xml:space="preserve">Authority Required (telephone/online PBS Authorities system) </w:t>
            </w:r>
          </w:p>
        </w:tc>
      </w:tr>
      <w:tr w:rsidR="008D4296" w:rsidRPr="001428E9" w14:paraId="5FF3F1A7" w14:textId="77777777" w:rsidTr="008D4296">
        <w:tblPrEx>
          <w:tblCellMar>
            <w:top w:w="15" w:type="dxa"/>
            <w:bottom w:w="15" w:type="dxa"/>
          </w:tblCellMar>
        </w:tblPrEx>
        <w:trPr>
          <w:trHeight w:val="20"/>
        </w:trPr>
        <w:tc>
          <w:tcPr>
            <w:tcW w:w="270" w:type="pct"/>
            <w:vMerge w:val="restart"/>
            <w:tcBorders>
              <w:left w:val="single" w:sz="4" w:space="0" w:color="auto"/>
              <w:right w:val="single" w:sz="4" w:space="0" w:color="auto"/>
            </w:tcBorders>
            <w:textDirection w:val="btLr"/>
            <w:vAlign w:val="center"/>
          </w:tcPr>
          <w:p w14:paraId="392029FF" w14:textId="4C7020AB" w:rsidR="008D4296" w:rsidRPr="00A06410" w:rsidRDefault="008D4296" w:rsidP="008D4296">
            <w:pPr>
              <w:jc w:val="left"/>
              <w:rPr>
                <w:rFonts w:ascii="Arial Narrow" w:hAnsi="Arial Narrow" w:cs="Arial"/>
                <w:sz w:val="20"/>
                <w:szCs w:val="20"/>
              </w:rPr>
            </w:pPr>
          </w:p>
        </w:tc>
        <w:tc>
          <w:tcPr>
            <w:tcW w:w="435" w:type="pct"/>
          </w:tcPr>
          <w:p w14:paraId="21F7E1C6" w14:textId="4F76A4E9" w:rsidR="008D4296" w:rsidRPr="003D096B" w:rsidRDefault="008D4296" w:rsidP="008D4296">
            <w:pPr>
              <w:jc w:val="left"/>
              <w:rPr>
                <w:rFonts w:ascii="Arial Narrow" w:hAnsi="Arial Narrow"/>
                <w:sz w:val="20"/>
                <w:szCs w:val="20"/>
              </w:rPr>
            </w:pPr>
          </w:p>
        </w:tc>
        <w:tc>
          <w:tcPr>
            <w:tcW w:w="4295" w:type="pct"/>
            <w:gridSpan w:val="6"/>
          </w:tcPr>
          <w:p w14:paraId="6BDAEBB4" w14:textId="77777777" w:rsidR="008D4296" w:rsidRPr="004B13C8" w:rsidRDefault="008D4296" w:rsidP="008D4296">
            <w:pPr>
              <w:pStyle w:val="NormalWeb"/>
              <w:spacing w:before="0" w:beforeAutospacing="0" w:after="0" w:afterAutospacing="0"/>
              <w:textAlignment w:val="baseline"/>
              <w:rPr>
                <w:rFonts w:ascii="Arial Narrow" w:hAnsi="Arial Narrow" w:cs="Open Sans"/>
                <w:sz w:val="20"/>
                <w:szCs w:val="20"/>
              </w:rPr>
            </w:pPr>
            <w:r w:rsidRPr="004B13C8">
              <w:rPr>
                <w:rStyle w:val="Strong"/>
                <w:rFonts w:ascii="Arial Narrow" w:hAnsi="Arial Narrow" w:cs="Open Sans"/>
                <w:sz w:val="20"/>
                <w:szCs w:val="20"/>
                <w:bdr w:val="none" w:sz="0" w:space="0" w:color="auto" w:frame="1"/>
              </w:rPr>
              <w:t>Administrative Advice:</w:t>
            </w:r>
          </w:p>
          <w:p w14:paraId="4F6E926B" w14:textId="48913AC5" w:rsidR="008D4296" w:rsidRPr="003D096B" w:rsidRDefault="008D4296" w:rsidP="008D4296">
            <w:pPr>
              <w:jc w:val="left"/>
              <w:rPr>
                <w:rFonts w:ascii="Arial Narrow" w:hAnsi="Arial Narrow"/>
                <w:sz w:val="20"/>
                <w:szCs w:val="20"/>
              </w:rPr>
            </w:pPr>
            <w:r w:rsidRPr="004B13C8">
              <w:rPr>
                <w:rFonts w:ascii="Arial Narrow" w:hAnsi="Arial Narrow" w:cs="Open Sans"/>
                <w:sz w:val="20"/>
                <w:szCs w:val="20"/>
              </w:rPr>
              <w:t>No increase in the maximum number of repeats may be authorised.</w:t>
            </w:r>
          </w:p>
        </w:tc>
      </w:tr>
      <w:tr w:rsidR="008D4296" w:rsidRPr="001428E9" w14:paraId="51ED4FA3" w14:textId="77777777" w:rsidTr="008D4296">
        <w:tblPrEx>
          <w:tblCellMar>
            <w:top w:w="15" w:type="dxa"/>
            <w:bottom w:w="15" w:type="dxa"/>
          </w:tblCellMar>
        </w:tblPrEx>
        <w:trPr>
          <w:trHeight w:val="20"/>
        </w:trPr>
        <w:tc>
          <w:tcPr>
            <w:tcW w:w="270" w:type="pct"/>
            <w:vMerge/>
            <w:tcBorders>
              <w:left w:val="single" w:sz="4" w:space="0" w:color="auto"/>
              <w:right w:val="single" w:sz="4" w:space="0" w:color="auto"/>
            </w:tcBorders>
          </w:tcPr>
          <w:p w14:paraId="2C8A8B41" w14:textId="77777777" w:rsidR="008D4296" w:rsidRPr="00A06410" w:rsidRDefault="008D4296" w:rsidP="008D4296">
            <w:pPr>
              <w:jc w:val="left"/>
              <w:rPr>
                <w:rFonts w:ascii="Arial Narrow" w:hAnsi="Arial Narrow" w:cs="Arial"/>
                <w:sz w:val="20"/>
                <w:szCs w:val="20"/>
              </w:rPr>
            </w:pPr>
          </w:p>
        </w:tc>
        <w:tc>
          <w:tcPr>
            <w:tcW w:w="435" w:type="pct"/>
          </w:tcPr>
          <w:p w14:paraId="5A0D128E" w14:textId="15A166DF" w:rsidR="008D4296" w:rsidRPr="003D096B" w:rsidRDefault="008D4296" w:rsidP="008D4296">
            <w:pPr>
              <w:jc w:val="left"/>
              <w:rPr>
                <w:rFonts w:ascii="Arial Narrow" w:hAnsi="Arial Narrow"/>
                <w:sz w:val="20"/>
                <w:szCs w:val="20"/>
              </w:rPr>
            </w:pPr>
          </w:p>
        </w:tc>
        <w:tc>
          <w:tcPr>
            <w:tcW w:w="4295" w:type="pct"/>
            <w:gridSpan w:val="6"/>
          </w:tcPr>
          <w:p w14:paraId="6F1BB485" w14:textId="77777777" w:rsidR="008D4296" w:rsidRPr="003D096B" w:rsidRDefault="008D4296" w:rsidP="008D4296">
            <w:pPr>
              <w:pStyle w:val="NormalWeb"/>
              <w:spacing w:before="0" w:beforeAutospacing="0" w:after="0" w:afterAutospacing="0"/>
              <w:textAlignment w:val="baseline"/>
              <w:rPr>
                <w:rFonts w:ascii="Arial Narrow" w:hAnsi="Arial Narrow" w:cs="Open Sans"/>
                <w:sz w:val="20"/>
                <w:szCs w:val="20"/>
              </w:rPr>
            </w:pPr>
            <w:r w:rsidRPr="003D096B">
              <w:rPr>
                <w:rStyle w:val="Strong"/>
                <w:rFonts w:ascii="Arial Narrow" w:hAnsi="Arial Narrow" w:cs="Open Sans"/>
                <w:sz w:val="20"/>
                <w:szCs w:val="20"/>
                <w:bdr w:val="none" w:sz="0" w:space="0" w:color="auto" w:frame="1"/>
              </w:rPr>
              <w:t>Administrative Advice:</w:t>
            </w:r>
          </w:p>
          <w:p w14:paraId="428DB88A" w14:textId="14E942A3" w:rsidR="008D4296" w:rsidRPr="003D096B" w:rsidRDefault="008D4296" w:rsidP="008D4296">
            <w:pPr>
              <w:jc w:val="left"/>
              <w:rPr>
                <w:rFonts w:ascii="Arial Narrow" w:hAnsi="Arial Narrow"/>
                <w:b/>
                <w:bCs/>
                <w:sz w:val="20"/>
                <w:szCs w:val="20"/>
              </w:rPr>
            </w:pPr>
            <w:r w:rsidRPr="003D096B">
              <w:rPr>
                <w:rFonts w:ascii="Arial Narrow" w:hAnsi="Arial Narrow" w:cs="Open Sans"/>
                <w:sz w:val="20"/>
                <w:szCs w:val="20"/>
              </w:rPr>
              <w:t>No increase in the maximum quantity or number of units may be authorised.</w:t>
            </w:r>
          </w:p>
        </w:tc>
      </w:tr>
      <w:tr w:rsidR="008D4296" w:rsidRPr="001428E9" w14:paraId="336571B1" w14:textId="77777777" w:rsidTr="008D4296">
        <w:tblPrEx>
          <w:tblCellMar>
            <w:top w:w="15" w:type="dxa"/>
            <w:bottom w:w="15" w:type="dxa"/>
          </w:tblCellMar>
        </w:tblPrEx>
        <w:trPr>
          <w:trHeight w:val="20"/>
        </w:trPr>
        <w:tc>
          <w:tcPr>
            <w:tcW w:w="270" w:type="pct"/>
            <w:vMerge/>
            <w:tcBorders>
              <w:left w:val="single" w:sz="4" w:space="0" w:color="auto"/>
              <w:right w:val="single" w:sz="4" w:space="0" w:color="auto"/>
            </w:tcBorders>
          </w:tcPr>
          <w:p w14:paraId="18150153" w14:textId="77777777" w:rsidR="008D4296" w:rsidRPr="00A06410" w:rsidRDefault="008D4296" w:rsidP="008D4296">
            <w:pPr>
              <w:jc w:val="left"/>
              <w:rPr>
                <w:rFonts w:ascii="Arial Narrow" w:hAnsi="Arial Narrow" w:cs="Arial"/>
                <w:sz w:val="20"/>
                <w:szCs w:val="20"/>
              </w:rPr>
            </w:pPr>
          </w:p>
        </w:tc>
        <w:tc>
          <w:tcPr>
            <w:tcW w:w="435" w:type="pct"/>
          </w:tcPr>
          <w:p w14:paraId="78E09036" w14:textId="6BF445E3" w:rsidR="008D4296" w:rsidRPr="003D096B" w:rsidRDefault="008D4296" w:rsidP="008D4296">
            <w:pPr>
              <w:jc w:val="left"/>
              <w:rPr>
                <w:rFonts w:ascii="Arial Narrow" w:hAnsi="Arial Narrow"/>
                <w:sz w:val="20"/>
                <w:szCs w:val="20"/>
              </w:rPr>
            </w:pPr>
          </w:p>
        </w:tc>
        <w:tc>
          <w:tcPr>
            <w:tcW w:w="4295" w:type="pct"/>
            <w:gridSpan w:val="6"/>
          </w:tcPr>
          <w:p w14:paraId="7FF84964" w14:textId="77777777" w:rsidR="008D4296" w:rsidRPr="003D096B" w:rsidRDefault="008D4296" w:rsidP="008D4296">
            <w:pPr>
              <w:pStyle w:val="NormalWeb"/>
              <w:spacing w:before="0" w:beforeAutospacing="0" w:after="0" w:afterAutospacing="0"/>
              <w:textAlignment w:val="baseline"/>
              <w:rPr>
                <w:rFonts w:ascii="Arial Narrow" w:hAnsi="Arial Narrow" w:cs="Open Sans"/>
                <w:sz w:val="20"/>
                <w:szCs w:val="20"/>
              </w:rPr>
            </w:pPr>
            <w:r w:rsidRPr="003D096B">
              <w:rPr>
                <w:rStyle w:val="Strong"/>
                <w:rFonts w:ascii="Arial Narrow" w:hAnsi="Arial Narrow" w:cs="Open Sans"/>
                <w:sz w:val="20"/>
                <w:szCs w:val="20"/>
                <w:bdr w:val="none" w:sz="0" w:space="0" w:color="auto" w:frame="1"/>
              </w:rPr>
              <w:t>Administrative Advice:</w:t>
            </w:r>
          </w:p>
          <w:p w14:paraId="5A095742" w14:textId="732489EB" w:rsidR="008D4296" w:rsidRPr="003D096B" w:rsidRDefault="008D4296" w:rsidP="008D4296">
            <w:pPr>
              <w:jc w:val="left"/>
              <w:rPr>
                <w:rFonts w:ascii="Arial Narrow" w:hAnsi="Arial Narrow"/>
                <w:b/>
                <w:bCs/>
                <w:sz w:val="20"/>
                <w:szCs w:val="20"/>
              </w:rPr>
            </w:pPr>
            <w:r w:rsidRPr="003D096B">
              <w:rPr>
                <w:rFonts w:ascii="Arial Narrow" w:hAnsi="Arial Narrow" w:cs="Open Sans"/>
                <w:sz w:val="20"/>
                <w:szCs w:val="20"/>
              </w:rPr>
              <w:t>Applications for authorisation under this restriction may be made in real time using the Online PBS Authorities system (see www.servicesaustralia.gov.au/HPOS) or by telephone by contacting Services Australia on 1800 888 333.</w:t>
            </w:r>
          </w:p>
        </w:tc>
      </w:tr>
      <w:tr w:rsidR="008D4296" w:rsidRPr="001428E9" w14:paraId="20EEEDC0" w14:textId="77777777" w:rsidTr="008D4296">
        <w:tblPrEx>
          <w:tblCellMar>
            <w:top w:w="15" w:type="dxa"/>
            <w:bottom w:w="15" w:type="dxa"/>
          </w:tblCellMar>
        </w:tblPrEx>
        <w:trPr>
          <w:trHeight w:val="20"/>
        </w:trPr>
        <w:tc>
          <w:tcPr>
            <w:tcW w:w="270" w:type="pct"/>
            <w:vMerge/>
            <w:tcBorders>
              <w:left w:val="single" w:sz="4" w:space="0" w:color="auto"/>
              <w:bottom w:val="single" w:sz="4" w:space="0" w:color="auto"/>
              <w:right w:val="single" w:sz="4" w:space="0" w:color="auto"/>
            </w:tcBorders>
          </w:tcPr>
          <w:p w14:paraId="70514B99" w14:textId="77777777" w:rsidR="008D4296" w:rsidRPr="00A06410" w:rsidRDefault="008D4296" w:rsidP="008D4296">
            <w:pPr>
              <w:jc w:val="left"/>
              <w:rPr>
                <w:rFonts w:ascii="Arial Narrow" w:hAnsi="Arial Narrow" w:cs="Arial"/>
                <w:sz w:val="20"/>
                <w:szCs w:val="20"/>
              </w:rPr>
            </w:pPr>
          </w:p>
        </w:tc>
        <w:tc>
          <w:tcPr>
            <w:tcW w:w="435" w:type="pct"/>
          </w:tcPr>
          <w:p w14:paraId="79CE1567" w14:textId="1529FD3E" w:rsidR="008D4296" w:rsidRPr="003D096B" w:rsidRDefault="008D4296" w:rsidP="008D4296">
            <w:pPr>
              <w:jc w:val="left"/>
              <w:rPr>
                <w:rFonts w:ascii="Arial Narrow" w:hAnsi="Arial Narrow"/>
                <w:sz w:val="20"/>
                <w:szCs w:val="20"/>
              </w:rPr>
            </w:pPr>
          </w:p>
        </w:tc>
        <w:tc>
          <w:tcPr>
            <w:tcW w:w="4295" w:type="pct"/>
            <w:gridSpan w:val="6"/>
          </w:tcPr>
          <w:p w14:paraId="3C68DC5B" w14:textId="77777777" w:rsidR="008D4296" w:rsidRPr="003D096B" w:rsidRDefault="008D4296" w:rsidP="008D4296">
            <w:pPr>
              <w:pStyle w:val="NormalWeb"/>
              <w:spacing w:before="0" w:beforeAutospacing="0" w:after="0" w:afterAutospacing="0"/>
              <w:textAlignment w:val="baseline"/>
              <w:rPr>
                <w:rFonts w:ascii="Arial Narrow" w:hAnsi="Arial Narrow" w:cs="Open Sans"/>
                <w:sz w:val="20"/>
                <w:szCs w:val="20"/>
              </w:rPr>
            </w:pPr>
            <w:r w:rsidRPr="003D096B">
              <w:rPr>
                <w:rStyle w:val="Strong"/>
                <w:rFonts w:ascii="Arial Narrow" w:hAnsi="Arial Narrow" w:cs="Open Sans"/>
                <w:sz w:val="20"/>
                <w:szCs w:val="20"/>
                <w:bdr w:val="none" w:sz="0" w:space="0" w:color="auto" w:frame="1"/>
              </w:rPr>
              <w:t>Administrative Advice:</w:t>
            </w:r>
          </w:p>
          <w:p w14:paraId="7218151D" w14:textId="1DDA63BB" w:rsidR="008D4296" w:rsidRPr="003D096B" w:rsidRDefault="008D4296" w:rsidP="008D4296">
            <w:pPr>
              <w:jc w:val="left"/>
              <w:rPr>
                <w:rFonts w:ascii="Arial Narrow" w:hAnsi="Arial Narrow"/>
                <w:b/>
                <w:bCs/>
                <w:sz w:val="20"/>
                <w:szCs w:val="20"/>
              </w:rPr>
            </w:pPr>
            <w:r w:rsidRPr="003D096B">
              <w:rPr>
                <w:rFonts w:ascii="Arial Narrow" w:hAnsi="Arial Narrow" w:cs="Open Sans"/>
                <w:sz w:val="20"/>
                <w:szCs w:val="20"/>
              </w:rPr>
              <w:t>Special Pricing Arrangements apply.</w:t>
            </w:r>
          </w:p>
        </w:tc>
      </w:tr>
      <w:tr w:rsidR="008D4296" w:rsidRPr="001428E9" w14:paraId="50287FE1" w14:textId="77777777" w:rsidTr="008D4296">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24BE8AC8" w14:textId="77777777" w:rsidR="008D4296" w:rsidRPr="00A06410" w:rsidRDefault="008D4296" w:rsidP="008D4296">
            <w:pPr>
              <w:pStyle w:val="NormalWeb"/>
              <w:spacing w:before="0" w:beforeAutospacing="0" w:after="0" w:afterAutospacing="0"/>
              <w:textAlignment w:val="baseline"/>
              <w:rPr>
                <w:rFonts w:ascii="Arial Narrow" w:hAnsi="Arial Narrow" w:cs="Open Sans"/>
                <w:sz w:val="20"/>
                <w:szCs w:val="20"/>
              </w:rPr>
            </w:pPr>
          </w:p>
        </w:tc>
        <w:tc>
          <w:tcPr>
            <w:tcW w:w="4295" w:type="pct"/>
            <w:gridSpan w:val="6"/>
            <w:vAlign w:val="center"/>
          </w:tcPr>
          <w:p w14:paraId="3CDEF34C" w14:textId="77777777" w:rsidR="008D4296" w:rsidRPr="00A06410" w:rsidRDefault="008D4296" w:rsidP="008D4296">
            <w:pPr>
              <w:keepLines/>
              <w:jc w:val="left"/>
              <w:rPr>
                <w:rFonts w:ascii="Arial Narrow" w:hAnsi="Arial Narrow"/>
                <w:b/>
                <w:bCs/>
                <w:sz w:val="20"/>
                <w:szCs w:val="20"/>
              </w:rPr>
            </w:pPr>
          </w:p>
        </w:tc>
      </w:tr>
      <w:tr w:rsidR="008D4296" w:rsidRPr="001428E9" w14:paraId="521A2594" w14:textId="77777777" w:rsidTr="007A34B0">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3D591F8" w14:textId="06E4FD08" w:rsidR="008D4296" w:rsidRPr="003D096B" w:rsidRDefault="008D4296" w:rsidP="008D4296">
            <w:pPr>
              <w:keepLines/>
              <w:jc w:val="left"/>
              <w:rPr>
                <w:rFonts w:ascii="Arial Narrow" w:hAnsi="Arial Narrow"/>
                <w:sz w:val="20"/>
                <w:szCs w:val="20"/>
              </w:rPr>
            </w:pPr>
          </w:p>
        </w:tc>
        <w:tc>
          <w:tcPr>
            <w:tcW w:w="4295" w:type="pct"/>
            <w:gridSpan w:val="6"/>
            <w:vAlign w:val="center"/>
            <w:hideMark/>
          </w:tcPr>
          <w:p w14:paraId="034D9357" w14:textId="0065AD54" w:rsidR="008D4296" w:rsidRPr="003D096B" w:rsidRDefault="008D4296" w:rsidP="008D4296">
            <w:pPr>
              <w:keepLines/>
              <w:jc w:val="left"/>
              <w:rPr>
                <w:rFonts w:ascii="Arial Narrow" w:hAnsi="Arial Narrow"/>
                <w:sz w:val="20"/>
                <w:szCs w:val="20"/>
              </w:rPr>
            </w:pPr>
            <w:r w:rsidRPr="003D096B">
              <w:rPr>
                <w:rFonts w:ascii="Arial Narrow" w:hAnsi="Arial Narrow"/>
                <w:b/>
                <w:bCs/>
                <w:sz w:val="20"/>
                <w:szCs w:val="20"/>
              </w:rPr>
              <w:t>Indication:</w:t>
            </w:r>
            <w:r w:rsidRPr="003D096B">
              <w:rPr>
                <w:rFonts w:ascii="Arial Narrow" w:hAnsi="Arial Narrow"/>
                <w:sz w:val="20"/>
                <w:szCs w:val="20"/>
              </w:rPr>
              <w:t xml:space="preserve"> Eosinophilic oesophagitis</w:t>
            </w:r>
          </w:p>
        </w:tc>
      </w:tr>
      <w:tr w:rsidR="008D4296" w:rsidRPr="001428E9" w14:paraId="5B98145C" w14:textId="77777777" w:rsidTr="007A34B0">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02088B7" w14:textId="77777777" w:rsidR="008D4296" w:rsidRPr="003D096B" w:rsidRDefault="008D4296" w:rsidP="008D4296">
            <w:pPr>
              <w:jc w:val="left"/>
              <w:rPr>
                <w:rFonts w:ascii="Arial Narrow" w:hAnsi="Arial Narrow"/>
                <w:sz w:val="20"/>
                <w:szCs w:val="20"/>
              </w:rPr>
            </w:pPr>
          </w:p>
        </w:tc>
        <w:tc>
          <w:tcPr>
            <w:tcW w:w="4295" w:type="pct"/>
            <w:gridSpan w:val="6"/>
            <w:vAlign w:val="center"/>
            <w:hideMark/>
          </w:tcPr>
          <w:p w14:paraId="0B29BF2F" w14:textId="4C9B10A5" w:rsidR="008D4296" w:rsidRPr="00A06410" w:rsidRDefault="008D4296" w:rsidP="008D4296">
            <w:pPr>
              <w:jc w:val="left"/>
              <w:rPr>
                <w:rFonts w:ascii="Arial Narrow" w:hAnsi="Arial Narrow"/>
                <w:sz w:val="20"/>
                <w:szCs w:val="20"/>
              </w:rPr>
            </w:pPr>
            <w:r w:rsidRPr="003D096B">
              <w:rPr>
                <w:rFonts w:ascii="Arial Narrow" w:hAnsi="Arial Narrow"/>
                <w:b/>
                <w:bCs/>
                <w:sz w:val="20"/>
                <w:szCs w:val="20"/>
              </w:rPr>
              <w:t>Treatment Phase:</w:t>
            </w:r>
            <w:r w:rsidRPr="003D096B">
              <w:rPr>
                <w:rFonts w:ascii="Arial Narrow" w:hAnsi="Arial Narrow"/>
                <w:sz w:val="20"/>
                <w:szCs w:val="20"/>
              </w:rPr>
              <w:t xml:space="preserve"> Initial treatment - Induction of remission</w:t>
            </w:r>
          </w:p>
        </w:tc>
      </w:tr>
      <w:tr w:rsidR="008D4296" w:rsidRPr="001428E9" w14:paraId="22BAA60C" w14:textId="77777777" w:rsidTr="008D4296">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2E51FC6B" w14:textId="77777777" w:rsidR="008D4296" w:rsidRPr="003D096B" w:rsidRDefault="008D4296" w:rsidP="008D4296">
            <w:pPr>
              <w:jc w:val="left"/>
              <w:rPr>
                <w:rFonts w:ascii="Arial Narrow" w:hAnsi="Arial Narrow"/>
                <w:sz w:val="20"/>
                <w:szCs w:val="20"/>
              </w:rPr>
            </w:pPr>
          </w:p>
        </w:tc>
        <w:tc>
          <w:tcPr>
            <w:tcW w:w="4295" w:type="pct"/>
            <w:gridSpan w:val="6"/>
            <w:vAlign w:val="center"/>
          </w:tcPr>
          <w:p w14:paraId="1A4D4E1E" w14:textId="77777777" w:rsidR="008D4296" w:rsidRPr="00A06410" w:rsidRDefault="008D4296" w:rsidP="008D4296">
            <w:pPr>
              <w:jc w:val="left"/>
              <w:rPr>
                <w:rFonts w:ascii="Arial Narrow" w:hAnsi="Arial Narrow"/>
                <w:b/>
                <w:bCs/>
                <w:sz w:val="20"/>
                <w:szCs w:val="20"/>
              </w:rPr>
            </w:pPr>
          </w:p>
        </w:tc>
      </w:tr>
      <w:tr w:rsidR="008D4296" w:rsidRPr="001428E9" w14:paraId="3E963CBD" w14:textId="77777777" w:rsidTr="008D4296">
        <w:tblPrEx>
          <w:tblCellMar>
            <w:top w:w="15" w:type="dxa"/>
            <w:bottom w:w="15" w:type="dxa"/>
          </w:tblCellMar>
        </w:tblPrEx>
        <w:trPr>
          <w:cantSplit/>
          <w:trHeight w:val="20"/>
        </w:trPr>
        <w:tc>
          <w:tcPr>
            <w:tcW w:w="705" w:type="pct"/>
            <w:gridSpan w:val="2"/>
          </w:tcPr>
          <w:p w14:paraId="09D630D4" w14:textId="19CBD6A7" w:rsidR="008D4296" w:rsidRPr="003D096B" w:rsidRDefault="008D4296" w:rsidP="008D4296">
            <w:pPr>
              <w:jc w:val="left"/>
              <w:rPr>
                <w:rFonts w:ascii="Arial Narrow" w:hAnsi="Arial Narrow"/>
                <w:sz w:val="20"/>
                <w:szCs w:val="20"/>
              </w:rPr>
            </w:pPr>
          </w:p>
        </w:tc>
        <w:tc>
          <w:tcPr>
            <w:tcW w:w="4295" w:type="pct"/>
            <w:gridSpan w:val="6"/>
          </w:tcPr>
          <w:p w14:paraId="791BE7BD" w14:textId="41756114" w:rsidR="008D4296" w:rsidRPr="00A06410" w:rsidRDefault="008D4296" w:rsidP="008D4296">
            <w:pPr>
              <w:jc w:val="left"/>
              <w:rPr>
                <w:rFonts w:ascii="Arial Narrow" w:hAnsi="Arial Narrow"/>
                <w:sz w:val="20"/>
                <w:szCs w:val="20"/>
              </w:rPr>
            </w:pPr>
            <w:r w:rsidRPr="003D096B">
              <w:rPr>
                <w:rStyle w:val="Strong"/>
                <w:rFonts w:ascii="Arial Narrow" w:hAnsi="Arial Narrow" w:cs="Open Sans"/>
                <w:sz w:val="20"/>
                <w:szCs w:val="20"/>
                <w:bdr w:val="none" w:sz="0" w:space="0" w:color="auto" w:frame="1"/>
              </w:rPr>
              <w:t>Clinical criteria:</w:t>
            </w:r>
          </w:p>
        </w:tc>
      </w:tr>
      <w:tr w:rsidR="008D4296" w:rsidRPr="001428E9" w14:paraId="0F199B02" w14:textId="77777777" w:rsidTr="008D4296">
        <w:tblPrEx>
          <w:tblCellMar>
            <w:top w:w="15" w:type="dxa"/>
            <w:bottom w:w="15" w:type="dxa"/>
          </w:tblCellMar>
        </w:tblPrEx>
        <w:trPr>
          <w:cantSplit/>
          <w:trHeight w:val="20"/>
        </w:trPr>
        <w:tc>
          <w:tcPr>
            <w:tcW w:w="705" w:type="pct"/>
            <w:gridSpan w:val="2"/>
          </w:tcPr>
          <w:p w14:paraId="683A1408" w14:textId="3BF687BB" w:rsidR="008D4296" w:rsidRPr="003D096B" w:rsidRDefault="008D4296" w:rsidP="008D4296">
            <w:pPr>
              <w:jc w:val="left"/>
              <w:rPr>
                <w:rFonts w:ascii="Arial Narrow" w:hAnsi="Arial Narrow"/>
                <w:sz w:val="20"/>
                <w:szCs w:val="20"/>
              </w:rPr>
            </w:pPr>
          </w:p>
        </w:tc>
        <w:tc>
          <w:tcPr>
            <w:tcW w:w="4295" w:type="pct"/>
            <w:gridSpan w:val="6"/>
          </w:tcPr>
          <w:p w14:paraId="2A941C97" w14:textId="234BE93F" w:rsidR="008D4296" w:rsidRPr="003D096B" w:rsidRDefault="008D4296" w:rsidP="008D4296">
            <w:pPr>
              <w:jc w:val="left"/>
              <w:rPr>
                <w:rFonts w:ascii="Arial Narrow" w:hAnsi="Arial Narrow"/>
                <w:sz w:val="20"/>
                <w:szCs w:val="20"/>
              </w:rPr>
            </w:pPr>
            <w:r w:rsidRPr="003D096B">
              <w:rPr>
                <w:rFonts w:ascii="Arial Narrow" w:hAnsi="Arial Narrow" w:cs="Open Sans"/>
                <w:sz w:val="20"/>
                <w:szCs w:val="20"/>
              </w:rPr>
              <w:t>Patient must have a history of symptoms of oesophageal dysfunction</w:t>
            </w:r>
          </w:p>
        </w:tc>
      </w:tr>
      <w:tr w:rsidR="008D4296" w:rsidRPr="001428E9" w14:paraId="661DAD71" w14:textId="77777777" w:rsidTr="008D4296">
        <w:tblPrEx>
          <w:tblCellMar>
            <w:top w:w="15" w:type="dxa"/>
            <w:bottom w:w="15" w:type="dxa"/>
          </w:tblCellMar>
        </w:tblPrEx>
        <w:trPr>
          <w:cantSplit/>
          <w:trHeight w:val="20"/>
        </w:trPr>
        <w:tc>
          <w:tcPr>
            <w:tcW w:w="705" w:type="pct"/>
            <w:gridSpan w:val="2"/>
          </w:tcPr>
          <w:p w14:paraId="645C6082" w14:textId="77777777" w:rsidR="008D4296" w:rsidRPr="003D096B" w:rsidRDefault="008D4296" w:rsidP="008D4296">
            <w:pPr>
              <w:jc w:val="left"/>
              <w:rPr>
                <w:rFonts w:ascii="Arial Narrow" w:hAnsi="Arial Narrow"/>
                <w:sz w:val="20"/>
                <w:szCs w:val="20"/>
              </w:rPr>
            </w:pPr>
          </w:p>
        </w:tc>
        <w:tc>
          <w:tcPr>
            <w:tcW w:w="4295" w:type="pct"/>
            <w:gridSpan w:val="6"/>
          </w:tcPr>
          <w:p w14:paraId="46EF51B0" w14:textId="0729A2AA" w:rsidR="008D4296" w:rsidRPr="003D096B" w:rsidRDefault="008D4296" w:rsidP="008D4296">
            <w:pPr>
              <w:jc w:val="left"/>
              <w:rPr>
                <w:rFonts w:ascii="Arial Narrow" w:hAnsi="Arial Narrow"/>
                <w:sz w:val="20"/>
                <w:szCs w:val="20"/>
              </w:rPr>
            </w:pPr>
            <w:r w:rsidRPr="003D096B">
              <w:rPr>
                <w:rStyle w:val="Strong"/>
                <w:rFonts w:ascii="Arial Narrow" w:hAnsi="Arial Narrow" w:cs="Open Sans"/>
                <w:sz w:val="20"/>
                <w:szCs w:val="20"/>
                <w:bdr w:val="none" w:sz="0" w:space="0" w:color="auto" w:frame="1"/>
              </w:rPr>
              <w:t>AND</w:t>
            </w:r>
          </w:p>
        </w:tc>
      </w:tr>
      <w:tr w:rsidR="008D4296" w:rsidRPr="001428E9" w14:paraId="6E99D788" w14:textId="77777777" w:rsidTr="008D4296">
        <w:tblPrEx>
          <w:tblCellMar>
            <w:top w:w="15" w:type="dxa"/>
            <w:bottom w:w="15" w:type="dxa"/>
          </w:tblCellMar>
        </w:tblPrEx>
        <w:trPr>
          <w:cantSplit/>
          <w:trHeight w:val="20"/>
        </w:trPr>
        <w:tc>
          <w:tcPr>
            <w:tcW w:w="705" w:type="pct"/>
            <w:gridSpan w:val="2"/>
          </w:tcPr>
          <w:p w14:paraId="1B93C675" w14:textId="7BC1DA36" w:rsidR="008D4296" w:rsidRPr="003D096B" w:rsidRDefault="008D4296" w:rsidP="008D4296">
            <w:pPr>
              <w:jc w:val="left"/>
              <w:rPr>
                <w:rFonts w:ascii="Arial Narrow" w:hAnsi="Arial Narrow"/>
                <w:sz w:val="20"/>
                <w:szCs w:val="20"/>
              </w:rPr>
            </w:pPr>
          </w:p>
        </w:tc>
        <w:tc>
          <w:tcPr>
            <w:tcW w:w="4295" w:type="pct"/>
            <w:gridSpan w:val="6"/>
          </w:tcPr>
          <w:p w14:paraId="0F313A64" w14:textId="5B31AE62" w:rsidR="008D4296" w:rsidRPr="003D096B" w:rsidRDefault="008D4296" w:rsidP="008D4296">
            <w:pPr>
              <w:jc w:val="left"/>
              <w:rPr>
                <w:rFonts w:ascii="Arial Narrow" w:hAnsi="Arial Narrow"/>
                <w:sz w:val="20"/>
                <w:szCs w:val="20"/>
              </w:rPr>
            </w:pPr>
            <w:r w:rsidRPr="003D096B">
              <w:rPr>
                <w:rStyle w:val="Strong"/>
                <w:rFonts w:ascii="Arial Narrow" w:hAnsi="Arial Narrow" w:cs="Open Sans"/>
                <w:sz w:val="20"/>
                <w:szCs w:val="20"/>
                <w:bdr w:val="none" w:sz="0" w:space="0" w:color="auto" w:frame="1"/>
              </w:rPr>
              <w:t>Clinical criteria:</w:t>
            </w:r>
          </w:p>
        </w:tc>
      </w:tr>
      <w:tr w:rsidR="008D4296" w:rsidRPr="001428E9" w14:paraId="3FD3CF6D" w14:textId="77777777" w:rsidTr="008D4296">
        <w:tblPrEx>
          <w:tblCellMar>
            <w:top w:w="15" w:type="dxa"/>
            <w:bottom w:w="15" w:type="dxa"/>
          </w:tblCellMar>
        </w:tblPrEx>
        <w:trPr>
          <w:cantSplit/>
          <w:trHeight w:val="20"/>
        </w:trPr>
        <w:tc>
          <w:tcPr>
            <w:tcW w:w="705" w:type="pct"/>
            <w:gridSpan w:val="2"/>
          </w:tcPr>
          <w:p w14:paraId="1EEE6801" w14:textId="2192ABD2" w:rsidR="008D4296" w:rsidRPr="003D096B" w:rsidRDefault="008D4296" w:rsidP="008D4296">
            <w:pPr>
              <w:jc w:val="left"/>
              <w:rPr>
                <w:rFonts w:ascii="Arial Narrow" w:hAnsi="Arial Narrow"/>
                <w:sz w:val="20"/>
                <w:szCs w:val="20"/>
              </w:rPr>
            </w:pPr>
          </w:p>
        </w:tc>
        <w:tc>
          <w:tcPr>
            <w:tcW w:w="4295" w:type="pct"/>
            <w:gridSpan w:val="6"/>
          </w:tcPr>
          <w:p w14:paraId="3B18C1E9" w14:textId="473DA767" w:rsidR="008D4296" w:rsidRPr="003D096B" w:rsidRDefault="008D4296" w:rsidP="008D4296">
            <w:pPr>
              <w:jc w:val="left"/>
              <w:rPr>
                <w:rFonts w:ascii="Arial Narrow" w:hAnsi="Arial Narrow"/>
                <w:sz w:val="20"/>
                <w:szCs w:val="20"/>
              </w:rPr>
            </w:pPr>
            <w:r w:rsidRPr="003D096B">
              <w:rPr>
                <w:rFonts w:ascii="Arial Narrow" w:hAnsi="Arial Narrow" w:cs="Open Sans"/>
                <w:sz w:val="20"/>
                <w:szCs w:val="20"/>
              </w:rPr>
              <w:t>Patient must have eosinophilic infiltration of the oesophagus, demonstrated by oesophageal biopsy specimens obtained by endoscopy confirming the presence of at least 15 eosinophils in at least one high power field (hpf); corresponding to approximately 60 eosinophils per mm</w:t>
            </w:r>
            <w:r w:rsidRPr="003D096B">
              <w:rPr>
                <w:rFonts w:ascii="Arial Narrow" w:hAnsi="Arial Narrow" w:cs="Open Sans"/>
                <w:sz w:val="20"/>
                <w:szCs w:val="20"/>
                <w:vertAlign w:val="superscript"/>
              </w:rPr>
              <w:t>2</w:t>
            </w:r>
            <w:r w:rsidRPr="003D096B">
              <w:rPr>
                <w:rFonts w:ascii="Arial Narrow" w:hAnsi="Arial Narrow" w:cs="Open Sans"/>
                <w:sz w:val="20"/>
                <w:szCs w:val="20"/>
              </w:rPr>
              <w:t xml:space="preserve"> hpf</w:t>
            </w:r>
          </w:p>
        </w:tc>
      </w:tr>
      <w:tr w:rsidR="008D4296" w:rsidRPr="001428E9" w14:paraId="2BD60228" w14:textId="77777777" w:rsidTr="008D4296">
        <w:tblPrEx>
          <w:tblCellMar>
            <w:top w:w="15" w:type="dxa"/>
            <w:bottom w:w="15" w:type="dxa"/>
          </w:tblCellMar>
        </w:tblPrEx>
        <w:trPr>
          <w:cantSplit/>
          <w:trHeight w:val="20"/>
        </w:trPr>
        <w:tc>
          <w:tcPr>
            <w:tcW w:w="705" w:type="pct"/>
            <w:gridSpan w:val="2"/>
          </w:tcPr>
          <w:p w14:paraId="3BC962E3" w14:textId="77777777" w:rsidR="008D4296" w:rsidRPr="003D096B" w:rsidRDefault="008D4296" w:rsidP="008D4296">
            <w:pPr>
              <w:jc w:val="left"/>
              <w:rPr>
                <w:rFonts w:ascii="Arial Narrow" w:hAnsi="Arial Narrow"/>
                <w:sz w:val="20"/>
                <w:szCs w:val="20"/>
              </w:rPr>
            </w:pPr>
          </w:p>
        </w:tc>
        <w:tc>
          <w:tcPr>
            <w:tcW w:w="4295" w:type="pct"/>
            <w:gridSpan w:val="6"/>
          </w:tcPr>
          <w:p w14:paraId="37E37396" w14:textId="5FF3CBDB" w:rsidR="008D4296" w:rsidRPr="003D096B" w:rsidRDefault="008D4296" w:rsidP="008D4296">
            <w:pPr>
              <w:jc w:val="left"/>
              <w:rPr>
                <w:rFonts w:ascii="Arial Narrow" w:hAnsi="Arial Narrow"/>
                <w:sz w:val="20"/>
                <w:szCs w:val="20"/>
              </w:rPr>
            </w:pPr>
            <w:r w:rsidRPr="003D096B">
              <w:rPr>
                <w:rStyle w:val="Strong"/>
                <w:rFonts w:ascii="Arial Narrow" w:hAnsi="Arial Narrow" w:cs="Open Sans"/>
                <w:sz w:val="20"/>
                <w:szCs w:val="20"/>
                <w:bdr w:val="none" w:sz="0" w:space="0" w:color="auto" w:frame="1"/>
              </w:rPr>
              <w:t>AND</w:t>
            </w:r>
          </w:p>
        </w:tc>
      </w:tr>
      <w:tr w:rsidR="008D4296" w:rsidRPr="001428E9" w14:paraId="259BE822" w14:textId="77777777" w:rsidTr="008D4296">
        <w:tblPrEx>
          <w:tblCellMar>
            <w:top w:w="15" w:type="dxa"/>
            <w:bottom w:w="15" w:type="dxa"/>
          </w:tblCellMar>
        </w:tblPrEx>
        <w:trPr>
          <w:cantSplit/>
          <w:trHeight w:val="20"/>
        </w:trPr>
        <w:tc>
          <w:tcPr>
            <w:tcW w:w="705" w:type="pct"/>
            <w:gridSpan w:val="2"/>
          </w:tcPr>
          <w:p w14:paraId="4C1D8901" w14:textId="12D663DE" w:rsidR="008D4296" w:rsidRPr="003D096B" w:rsidRDefault="008D4296" w:rsidP="008D4296">
            <w:pPr>
              <w:jc w:val="left"/>
              <w:rPr>
                <w:rFonts w:ascii="Arial Narrow" w:hAnsi="Arial Narrow"/>
                <w:sz w:val="20"/>
                <w:szCs w:val="20"/>
              </w:rPr>
            </w:pPr>
          </w:p>
        </w:tc>
        <w:tc>
          <w:tcPr>
            <w:tcW w:w="4295" w:type="pct"/>
            <w:gridSpan w:val="6"/>
          </w:tcPr>
          <w:p w14:paraId="241DC85A" w14:textId="0C66E552" w:rsidR="008D4296" w:rsidRPr="003D096B" w:rsidRDefault="008D4296" w:rsidP="008D4296">
            <w:pPr>
              <w:jc w:val="left"/>
              <w:rPr>
                <w:rFonts w:ascii="Arial Narrow" w:hAnsi="Arial Narrow"/>
                <w:sz w:val="20"/>
                <w:szCs w:val="20"/>
              </w:rPr>
            </w:pPr>
            <w:r w:rsidRPr="003D096B">
              <w:rPr>
                <w:rStyle w:val="Strong"/>
                <w:rFonts w:ascii="Arial Narrow" w:hAnsi="Arial Narrow" w:cs="Open Sans"/>
                <w:sz w:val="20"/>
                <w:szCs w:val="20"/>
                <w:bdr w:val="none" w:sz="0" w:space="0" w:color="auto" w:frame="1"/>
              </w:rPr>
              <w:t>Clinical criteria:</w:t>
            </w:r>
          </w:p>
        </w:tc>
      </w:tr>
      <w:tr w:rsidR="008D4296" w:rsidRPr="001428E9" w14:paraId="47DCB037" w14:textId="77777777" w:rsidTr="008D4296">
        <w:tblPrEx>
          <w:tblCellMar>
            <w:top w:w="15" w:type="dxa"/>
            <w:bottom w:w="15" w:type="dxa"/>
          </w:tblCellMar>
        </w:tblPrEx>
        <w:trPr>
          <w:cantSplit/>
          <w:trHeight w:val="20"/>
        </w:trPr>
        <w:tc>
          <w:tcPr>
            <w:tcW w:w="705" w:type="pct"/>
            <w:gridSpan w:val="2"/>
          </w:tcPr>
          <w:p w14:paraId="5133DE22" w14:textId="45C2078D" w:rsidR="008D4296" w:rsidRPr="003D096B" w:rsidRDefault="008D4296" w:rsidP="008D4296">
            <w:pPr>
              <w:jc w:val="left"/>
              <w:rPr>
                <w:rFonts w:ascii="Arial Narrow" w:hAnsi="Arial Narrow"/>
                <w:sz w:val="20"/>
                <w:szCs w:val="20"/>
              </w:rPr>
            </w:pPr>
          </w:p>
        </w:tc>
        <w:tc>
          <w:tcPr>
            <w:tcW w:w="4295" w:type="pct"/>
            <w:gridSpan w:val="6"/>
          </w:tcPr>
          <w:p w14:paraId="4DDD8FA6" w14:textId="323FCCA9" w:rsidR="008D4296" w:rsidRPr="003D096B" w:rsidRDefault="008D4296" w:rsidP="008D4296">
            <w:pPr>
              <w:jc w:val="left"/>
              <w:rPr>
                <w:rFonts w:ascii="Arial Narrow" w:hAnsi="Arial Narrow"/>
                <w:sz w:val="20"/>
                <w:szCs w:val="20"/>
              </w:rPr>
            </w:pPr>
            <w:r w:rsidRPr="003D096B">
              <w:rPr>
                <w:rFonts w:ascii="Arial Narrow" w:hAnsi="Arial Narrow" w:cs="Open Sans"/>
                <w:sz w:val="20"/>
                <w:szCs w:val="20"/>
              </w:rPr>
              <w:t>Patient must not receive more than 90 days of treatment under this restriction</w:t>
            </w:r>
          </w:p>
        </w:tc>
      </w:tr>
      <w:tr w:rsidR="008D4296" w:rsidRPr="001428E9" w14:paraId="7DE89EB8" w14:textId="77777777" w:rsidTr="008D4296">
        <w:tblPrEx>
          <w:tblCellMar>
            <w:top w:w="15" w:type="dxa"/>
            <w:bottom w:w="15" w:type="dxa"/>
          </w:tblCellMar>
          <w:tblLook w:val="04A0" w:firstRow="1" w:lastRow="0" w:firstColumn="1" w:lastColumn="0" w:noHBand="0" w:noVBand="1"/>
        </w:tblPrEx>
        <w:trPr>
          <w:cantSplit/>
          <w:trHeight w:val="20"/>
        </w:trPr>
        <w:tc>
          <w:tcPr>
            <w:tcW w:w="705" w:type="pct"/>
            <w:gridSpan w:val="2"/>
          </w:tcPr>
          <w:p w14:paraId="3F88F5D9" w14:textId="77777777" w:rsidR="008D4296" w:rsidRPr="003D096B" w:rsidRDefault="008D4296" w:rsidP="008D4296">
            <w:pPr>
              <w:jc w:val="left"/>
              <w:rPr>
                <w:rFonts w:ascii="Arial Narrow" w:hAnsi="Arial Narrow" w:cs="Open Sans"/>
                <w:sz w:val="20"/>
                <w:szCs w:val="20"/>
              </w:rPr>
            </w:pPr>
          </w:p>
        </w:tc>
        <w:tc>
          <w:tcPr>
            <w:tcW w:w="4295" w:type="pct"/>
            <w:gridSpan w:val="6"/>
          </w:tcPr>
          <w:p w14:paraId="044C4B12" w14:textId="77777777" w:rsidR="008D4296" w:rsidRPr="003D096B" w:rsidRDefault="008D4296" w:rsidP="008D4296">
            <w:pPr>
              <w:jc w:val="left"/>
              <w:rPr>
                <w:rFonts w:ascii="Arial Narrow" w:hAnsi="Arial Narrow" w:cs="Open Sans"/>
                <w:sz w:val="20"/>
                <w:szCs w:val="20"/>
              </w:rPr>
            </w:pPr>
          </w:p>
        </w:tc>
      </w:tr>
      <w:tr w:rsidR="008D4296" w:rsidRPr="001428E9" w14:paraId="1D795DCA" w14:textId="77777777" w:rsidTr="008D4296">
        <w:tblPrEx>
          <w:tblCellMar>
            <w:top w:w="15" w:type="dxa"/>
            <w:bottom w:w="15" w:type="dxa"/>
          </w:tblCellMar>
        </w:tblPrEx>
        <w:trPr>
          <w:cantSplit/>
          <w:trHeight w:val="20"/>
        </w:trPr>
        <w:tc>
          <w:tcPr>
            <w:tcW w:w="705" w:type="pct"/>
            <w:gridSpan w:val="2"/>
          </w:tcPr>
          <w:p w14:paraId="786110CF" w14:textId="3FA88623" w:rsidR="008D4296" w:rsidRPr="003D096B" w:rsidRDefault="008D4296" w:rsidP="008D4296">
            <w:pPr>
              <w:keepNext/>
              <w:jc w:val="left"/>
              <w:rPr>
                <w:rFonts w:ascii="Arial Narrow" w:hAnsi="Arial Narrow"/>
                <w:sz w:val="20"/>
                <w:szCs w:val="20"/>
              </w:rPr>
            </w:pPr>
          </w:p>
        </w:tc>
        <w:tc>
          <w:tcPr>
            <w:tcW w:w="4295" w:type="pct"/>
            <w:gridSpan w:val="6"/>
          </w:tcPr>
          <w:p w14:paraId="3ECEC571" w14:textId="14DFC0E8" w:rsidR="008D4296" w:rsidRPr="003D096B" w:rsidRDefault="008D4296" w:rsidP="008D4296">
            <w:pPr>
              <w:keepNext/>
              <w:jc w:val="left"/>
              <w:rPr>
                <w:rFonts w:ascii="Arial Narrow" w:hAnsi="Arial Narrow"/>
                <w:sz w:val="20"/>
                <w:szCs w:val="20"/>
              </w:rPr>
            </w:pPr>
            <w:r w:rsidRPr="001F4B70">
              <w:rPr>
                <w:rStyle w:val="Strong"/>
                <w:rFonts w:ascii="Arial Narrow" w:hAnsi="Arial Narrow" w:cs="Open Sans"/>
                <w:sz w:val="20"/>
                <w:szCs w:val="20"/>
                <w:bdr w:val="none" w:sz="0" w:space="0" w:color="auto" w:frame="1"/>
              </w:rPr>
              <w:t>Treatment criteria:</w:t>
            </w:r>
          </w:p>
        </w:tc>
      </w:tr>
      <w:tr w:rsidR="008D4296" w:rsidRPr="001428E9" w14:paraId="76753437" w14:textId="77777777" w:rsidTr="008D4296">
        <w:tblPrEx>
          <w:tblCellMar>
            <w:top w:w="15" w:type="dxa"/>
            <w:bottom w:w="15" w:type="dxa"/>
          </w:tblCellMar>
        </w:tblPrEx>
        <w:trPr>
          <w:cantSplit/>
          <w:trHeight w:val="20"/>
        </w:trPr>
        <w:tc>
          <w:tcPr>
            <w:tcW w:w="705" w:type="pct"/>
            <w:gridSpan w:val="2"/>
          </w:tcPr>
          <w:p w14:paraId="7CE2F733" w14:textId="3F2EC55B" w:rsidR="008D4296" w:rsidRPr="003D096B" w:rsidRDefault="008D4296" w:rsidP="008D4296">
            <w:pPr>
              <w:jc w:val="left"/>
              <w:rPr>
                <w:rFonts w:ascii="Arial Narrow" w:hAnsi="Arial Narrow"/>
                <w:sz w:val="20"/>
                <w:szCs w:val="20"/>
              </w:rPr>
            </w:pPr>
          </w:p>
        </w:tc>
        <w:tc>
          <w:tcPr>
            <w:tcW w:w="4295" w:type="pct"/>
            <w:gridSpan w:val="6"/>
          </w:tcPr>
          <w:p w14:paraId="6ABD2D06" w14:textId="3C7E60D4" w:rsidR="008D4296" w:rsidRPr="00A06410" w:rsidRDefault="008D4296" w:rsidP="008D4296">
            <w:pPr>
              <w:autoSpaceDE w:val="0"/>
              <w:autoSpaceDN w:val="0"/>
              <w:adjustRightInd w:val="0"/>
              <w:jc w:val="left"/>
              <w:rPr>
                <w:rFonts w:ascii="Arial Narrow" w:hAnsi="Arial Narrow" w:cs="Arial Narrow"/>
                <w:i/>
                <w:iCs/>
                <w:sz w:val="20"/>
                <w:szCs w:val="20"/>
              </w:rPr>
            </w:pPr>
            <w:r w:rsidRPr="001F4B70">
              <w:rPr>
                <w:rFonts w:ascii="Arial Narrow" w:hAnsi="Arial Narrow" w:cs="Open Sans"/>
                <w:sz w:val="20"/>
                <w:szCs w:val="20"/>
              </w:rPr>
              <w:t>Must be treated by a</w:t>
            </w:r>
            <w:r>
              <w:rPr>
                <w:rFonts w:ascii="Arial Narrow" w:hAnsi="Arial Narrow" w:cs="Open Sans"/>
                <w:i/>
                <w:iCs/>
                <w:sz w:val="20"/>
                <w:szCs w:val="20"/>
              </w:rPr>
              <w:t xml:space="preserve">t least one of: (i) </w:t>
            </w:r>
            <w:r w:rsidRPr="001F4B70">
              <w:rPr>
                <w:rFonts w:ascii="Arial Narrow" w:hAnsi="Arial Narrow" w:cs="Open Sans"/>
                <w:sz w:val="20"/>
                <w:szCs w:val="20"/>
              </w:rPr>
              <w:t>gastroenterologist</w:t>
            </w:r>
            <w:r>
              <w:rPr>
                <w:rFonts w:ascii="Arial Narrow" w:hAnsi="Arial Narrow" w:cs="Open Sans"/>
                <w:i/>
                <w:iCs/>
                <w:sz w:val="20"/>
                <w:szCs w:val="20"/>
              </w:rPr>
              <w:t>, (ii) surgeon experienced in the management of patients with eosinophilic oesophagitis, (iii) physician experienced in the management of patients with eosinophilic oesophagitis</w:t>
            </w:r>
          </w:p>
        </w:tc>
      </w:tr>
      <w:tr w:rsidR="008D4296" w:rsidRPr="001428E9" w14:paraId="38B415B7" w14:textId="77777777" w:rsidTr="008D4296">
        <w:tblPrEx>
          <w:tblCellMar>
            <w:top w:w="15" w:type="dxa"/>
            <w:bottom w:w="15" w:type="dxa"/>
          </w:tblCellMar>
          <w:tblLook w:val="04A0" w:firstRow="1" w:lastRow="0" w:firstColumn="1" w:lastColumn="0" w:noHBand="0" w:noVBand="1"/>
        </w:tblPrEx>
        <w:trPr>
          <w:cantSplit/>
          <w:trHeight w:val="20"/>
        </w:trPr>
        <w:tc>
          <w:tcPr>
            <w:tcW w:w="705" w:type="pct"/>
            <w:gridSpan w:val="2"/>
          </w:tcPr>
          <w:p w14:paraId="29EB0364" w14:textId="77777777" w:rsidR="008D4296" w:rsidRPr="003D096B" w:rsidRDefault="008D4296" w:rsidP="008D4296">
            <w:pPr>
              <w:jc w:val="left"/>
              <w:rPr>
                <w:rFonts w:ascii="Arial Narrow" w:hAnsi="Arial Narrow" w:cs="Open Sans"/>
                <w:sz w:val="20"/>
                <w:szCs w:val="20"/>
              </w:rPr>
            </w:pPr>
          </w:p>
        </w:tc>
        <w:tc>
          <w:tcPr>
            <w:tcW w:w="4295" w:type="pct"/>
            <w:gridSpan w:val="6"/>
          </w:tcPr>
          <w:p w14:paraId="37EDCBE6" w14:textId="77777777" w:rsidR="008D4296" w:rsidRPr="003D096B" w:rsidRDefault="008D4296" w:rsidP="008D4296">
            <w:pPr>
              <w:autoSpaceDE w:val="0"/>
              <w:autoSpaceDN w:val="0"/>
              <w:adjustRightInd w:val="0"/>
              <w:jc w:val="left"/>
              <w:rPr>
                <w:rFonts w:ascii="Arial Narrow" w:hAnsi="Arial Narrow" w:cs="Open Sans"/>
                <w:sz w:val="20"/>
                <w:szCs w:val="20"/>
              </w:rPr>
            </w:pPr>
          </w:p>
        </w:tc>
      </w:tr>
      <w:tr w:rsidR="008D4296" w:rsidRPr="001428E9" w14:paraId="2A5A3A2D" w14:textId="77777777" w:rsidTr="008D4296">
        <w:tblPrEx>
          <w:tblCellMar>
            <w:top w:w="15" w:type="dxa"/>
            <w:bottom w:w="15" w:type="dxa"/>
          </w:tblCellMar>
        </w:tblPrEx>
        <w:trPr>
          <w:cantSplit/>
          <w:trHeight w:val="20"/>
        </w:trPr>
        <w:tc>
          <w:tcPr>
            <w:tcW w:w="705" w:type="pct"/>
            <w:gridSpan w:val="2"/>
          </w:tcPr>
          <w:p w14:paraId="0961178C" w14:textId="00560955" w:rsidR="008D4296" w:rsidRPr="003D096B" w:rsidRDefault="008D4296" w:rsidP="008D4296">
            <w:pPr>
              <w:jc w:val="left"/>
              <w:rPr>
                <w:rFonts w:ascii="Arial Narrow" w:hAnsi="Arial Narrow"/>
                <w:sz w:val="20"/>
                <w:szCs w:val="20"/>
              </w:rPr>
            </w:pPr>
          </w:p>
        </w:tc>
        <w:tc>
          <w:tcPr>
            <w:tcW w:w="4295" w:type="pct"/>
            <w:gridSpan w:val="6"/>
          </w:tcPr>
          <w:p w14:paraId="58286A87" w14:textId="77777777" w:rsidR="008D4296" w:rsidRPr="003D096B" w:rsidRDefault="008D4296" w:rsidP="008D4296">
            <w:pPr>
              <w:pStyle w:val="NormalWeb"/>
              <w:spacing w:before="0" w:beforeAutospacing="0" w:after="0" w:afterAutospacing="0"/>
              <w:textAlignment w:val="baseline"/>
              <w:rPr>
                <w:rFonts w:ascii="Arial Narrow" w:hAnsi="Arial Narrow" w:cs="Open Sans"/>
                <w:sz w:val="20"/>
                <w:szCs w:val="20"/>
              </w:rPr>
            </w:pPr>
            <w:r w:rsidRPr="003D096B">
              <w:rPr>
                <w:rStyle w:val="Strong"/>
                <w:rFonts w:ascii="Arial Narrow" w:hAnsi="Arial Narrow" w:cs="Open Sans"/>
                <w:sz w:val="20"/>
                <w:szCs w:val="20"/>
                <w:bdr w:val="none" w:sz="0" w:space="0" w:color="auto" w:frame="1"/>
              </w:rPr>
              <w:t>Prescribing Instructions:</w:t>
            </w:r>
          </w:p>
          <w:p w14:paraId="6CD1092F" w14:textId="218BAEC9" w:rsidR="008D4296" w:rsidRPr="00A06410" w:rsidRDefault="008D4296" w:rsidP="008D4296">
            <w:pPr>
              <w:autoSpaceDE w:val="0"/>
              <w:autoSpaceDN w:val="0"/>
              <w:adjustRightInd w:val="0"/>
              <w:jc w:val="left"/>
              <w:rPr>
                <w:rFonts w:ascii="Arial Narrow" w:hAnsi="Arial Narrow" w:cs="Arial Narrow"/>
                <w:i/>
                <w:iCs/>
                <w:sz w:val="20"/>
                <w:szCs w:val="20"/>
              </w:rPr>
            </w:pPr>
            <w:r w:rsidRPr="003D096B">
              <w:rPr>
                <w:rFonts w:ascii="Arial Narrow" w:hAnsi="Arial Narrow" w:cs="Open Sans"/>
                <w:sz w:val="20"/>
                <w:szCs w:val="20"/>
              </w:rPr>
              <w:t>Applications for treatment of this condition must be received within 12 weeks of biopsy.</w:t>
            </w:r>
          </w:p>
        </w:tc>
      </w:tr>
      <w:tr w:rsidR="008D4296" w:rsidRPr="001428E9" w14:paraId="6A3CD92B" w14:textId="77777777" w:rsidTr="008D4296">
        <w:tblPrEx>
          <w:tblCellMar>
            <w:top w:w="15" w:type="dxa"/>
            <w:bottom w:w="15" w:type="dxa"/>
          </w:tblCellMar>
        </w:tblPrEx>
        <w:trPr>
          <w:cantSplit/>
          <w:trHeight w:val="20"/>
        </w:trPr>
        <w:tc>
          <w:tcPr>
            <w:tcW w:w="705" w:type="pct"/>
            <w:gridSpan w:val="2"/>
          </w:tcPr>
          <w:p w14:paraId="62768B9D" w14:textId="7FB0AA1D" w:rsidR="008D4296" w:rsidRPr="003D096B" w:rsidRDefault="008D4296" w:rsidP="008D4296">
            <w:pPr>
              <w:jc w:val="left"/>
              <w:rPr>
                <w:rFonts w:ascii="Arial Narrow" w:hAnsi="Arial Narrow"/>
                <w:sz w:val="20"/>
                <w:szCs w:val="20"/>
              </w:rPr>
            </w:pPr>
          </w:p>
        </w:tc>
        <w:tc>
          <w:tcPr>
            <w:tcW w:w="4295" w:type="pct"/>
            <w:gridSpan w:val="6"/>
          </w:tcPr>
          <w:p w14:paraId="212ED171" w14:textId="77777777" w:rsidR="008D4296" w:rsidRPr="003D096B" w:rsidRDefault="008D4296" w:rsidP="008D4296">
            <w:pPr>
              <w:pStyle w:val="NormalWeb"/>
              <w:spacing w:before="0" w:beforeAutospacing="0" w:after="0" w:afterAutospacing="0"/>
              <w:textAlignment w:val="baseline"/>
              <w:rPr>
                <w:rFonts w:ascii="Arial Narrow" w:hAnsi="Arial Narrow" w:cs="Open Sans"/>
                <w:sz w:val="20"/>
                <w:szCs w:val="20"/>
              </w:rPr>
            </w:pPr>
            <w:r w:rsidRPr="003D096B">
              <w:rPr>
                <w:rStyle w:val="Strong"/>
                <w:rFonts w:ascii="Arial Narrow" w:hAnsi="Arial Narrow" w:cs="Open Sans"/>
                <w:sz w:val="20"/>
                <w:szCs w:val="20"/>
                <w:bdr w:val="none" w:sz="0" w:space="0" w:color="auto" w:frame="1"/>
              </w:rPr>
              <w:t>Prescribing Instructions:</w:t>
            </w:r>
          </w:p>
          <w:p w14:paraId="78D6F9DF" w14:textId="1C25AEB3" w:rsidR="008D4296" w:rsidRPr="003D096B" w:rsidRDefault="008D4296" w:rsidP="008D4296">
            <w:pPr>
              <w:jc w:val="left"/>
              <w:rPr>
                <w:rFonts w:ascii="Arial Narrow" w:hAnsi="Arial Narrow"/>
                <w:b/>
                <w:bCs/>
                <w:sz w:val="20"/>
                <w:szCs w:val="20"/>
              </w:rPr>
            </w:pPr>
            <w:r w:rsidRPr="003D096B">
              <w:rPr>
                <w:rFonts w:ascii="Arial Narrow" w:hAnsi="Arial Narrow" w:cs="Open Sans"/>
                <w:sz w:val="20"/>
                <w:szCs w:val="20"/>
              </w:rPr>
              <w:t>Symptoms of oesophageal dysfunction include at least one of the following: dysphasia, odynophagia, transient or self-cleared food impaction, chest pain, epigastric discomfort, vomiting/regurgitation.</w:t>
            </w:r>
          </w:p>
        </w:tc>
      </w:tr>
      <w:tr w:rsidR="008D4296" w:rsidRPr="001428E9" w14:paraId="121E8B82" w14:textId="77777777" w:rsidTr="008D4296">
        <w:tblPrEx>
          <w:tblCellMar>
            <w:top w:w="15" w:type="dxa"/>
            <w:bottom w:w="15" w:type="dxa"/>
          </w:tblCellMar>
        </w:tblPrEx>
        <w:trPr>
          <w:cantSplit/>
          <w:trHeight w:val="20"/>
        </w:trPr>
        <w:tc>
          <w:tcPr>
            <w:tcW w:w="705" w:type="pct"/>
            <w:gridSpan w:val="2"/>
          </w:tcPr>
          <w:p w14:paraId="3B643BE2" w14:textId="377B0922" w:rsidR="008D4296" w:rsidRPr="003D096B" w:rsidRDefault="008D4296" w:rsidP="008D4296">
            <w:pPr>
              <w:jc w:val="left"/>
              <w:rPr>
                <w:rFonts w:ascii="Arial Narrow" w:hAnsi="Arial Narrow"/>
                <w:sz w:val="20"/>
                <w:szCs w:val="20"/>
              </w:rPr>
            </w:pPr>
          </w:p>
        </w:tc>
        <w:tc>
          <w:tcPr>
            <w:tcW w:w="4295" w:type="pct"/>
            <w:gridSpan w:val="6"/>
          </w:tcPr>
          <w:p w14:paraId="156DFB64" w14:textId="77777777" w:rsidR="008D4296" w:rsidRPr="003D096B" w:rsidRDefault="008D4296" w:rsidP="008D4296">
            <w:pPr>
              <w:pStyle w:val="NormalWeb"/>
              <w:spacing w:before="0" w:beforeAutospacing="0" w:after="0" w:afterAutospacing="0"/>
              <w:textAlignment w:val="baseline"/>
              <w:rPr>
                <w:rFonts w:ascii="Arial Narrow" w:hAnsi="Arial Narrow" w:cs="Open Sans"/>
                <w:sz w:val="20"/>
                <w:szCs w:val="20"/>
              </w:rPr>
            </w:pPr>
            <w:r w:rsidRPr="003D096B">
              <w:rPr>
                <w:rStyle w:val="Strong"/>
                <w:rFonts w:ascii="Arial Narrow" w:hAnsi="Arial Narrow" w:cs="Open Sans"/>
                <w:sz w:val="20"/>
                <w:szCs w:val="20"/>
                <w:bdr w:val="none" w:sz="0" w:space="0" w:color="auto" w:frame="1"/>
              </w:rPr>
              <w:t>Prescribing Instructions:</w:t>
            </w:r>
          </w:p>
          <w:p w14:paraId="0F5A3136" w14:textId="76EA0012" w:rsidR="008D4296" w:rsidRPr="003D096B" w:rsidRDefault="008D4296" w:rsidP="008D4296">
            <w:pPr>
              <w:jc w:val="left"/>
              <w:rPr>
                <w:rFonts w:ascii="Arial Narrow" w:hAnsi="Arial Narrow"/>
                <w:b/>
                <w:bCs/>
                <w:i/>
                <w:iCs/>
                <w:sz w:val="20"/>
                <w:szCs w:val="20"/>
              </w:rPr>
            </w:pPr>
            <w:r w:rsidRPr="003D096B">
              <w:rPr>
                <w:rFonts w:ascii="Arial Narrow" w:hAnsi="Arial Narrow" w:cs="Open Sans"/>
                <w:sz w:val="20"/>
                <w:szCs w:val="20"/>
              </w:rPr>
              <w:t xml:space="preserve">Diagnostic sensitivity increases with the number of biopsies and </w:t>
            </w:r>
            <w:r w:rsidRPr="003D096B">
              <w:rPr>
                <w:rFonts w:ascii="Arial Narrow" w:hAnsi="Arial Narrow" w:cs="Open Sans"/>
                <w:strike/>
                <w:sz w:val="20"/>
                <w:szCs w:val="20"/>
              </w:rPr>
              <w:t>is</w:t>
            </w:r>
            <w:r w:rsidRPr="003D096B">
              <w:rPr>
                <w:rFonts w:ascii="Arial Narrow" w:hAnsi="Arial Narrow" w:cs="Open Sans"/>
                <w:sz w:val="20"/>
                <w:szCs w:val="20"/>
              </w:rPr>
              <w:t xml:space="preserve"> </w:t>
            </w:r>
            <w:r>
              <w:rPr>
                <w:rFonts w:ascii="Arial Narrow" w:hAnsi="Arial Narrow" w:cs="Open Sans"/>
                <w:i/>
                <w:iCs/>
                <w:sz w:val="20"/>
                <w:szCs w:val="20"/>
              </w:rPr>
              <w:t xml:space="preserve">can be </w:t>
            </w:r>
            <w:r w:rsidRPr="003D096B">
              <w:rPr>
                <w:rFonts w:ascii="Arial Narrow" w:hAnsi="Arial Narrow" w:cs="Open Sans"/>
                <w:sz w:val="20"/>
                <w:szCs w:val="20"/>
              </w:rPr>
              <w:t>optimised</w:t>
            </w:r>
            <w:r>
              <w:rPr>
                <w:rFonts w:ascii="Arial Narrow" w:hAnsi="Arial Narrow" w:cs="Open Sans"/>
                <w:i/>
                <w:iCs/>
                <w:sz w:val="20"/>
                <w:szCs w:val="20"/>
              </w:rPr>
              <w:t>, if necessary,</w:t>
            </w:r>
            <w:r w:rsidRPr="003D096B">
              <w:rPr>
                <w:rFonts w:ascii="Arial Narrow" w:hAnsi="Arial Narrow" w:cs="Open Sans"/>
                <w:sz w:val="20"/>
                <w:szCs w:val="20"/>
              </w:rPr>
              <w:t xml:space="preserve"> </w:t>
            </w:r>
            <w:r w:rsidRPr="003D096B">
              <w:rPr>
                <w:rFonts w:ascii="Arial Narrow" w:hAnsi="Arial Narrow" w:cs="Open Sans"/>
                <w:strike/>
                <w:sz w:val="20"/>
                <w:szCs w:val="20"/>
              </w:rPr>
              <w:t>after</w:t>
            </w:r>
            <w:r w:rsidRPr="003D096B">
              <w:rPr>
                <w:rFonts w:ascii="Arial Narrow" w:hAnsi="Arial Narrow" w:cs="Open Sans"/>
                <w:sz w:val="20"/>
                <w:szCs w:val="20"/>
              </w:rPr>
              <w:t xml:space="preserve"> </w:t>
            </w:r>
            <w:r>
              <w:rPr>
                <w:rFonts w:ascii="Arial Narrow" w:hAnsi="Arial Narrow" w:cs="Open Sans"/>
                <w:i/>
                <w:iCs/>
                <w:sz w:val="20"/>
                <w:szCs w:val="20"/>
              </w:rPr>
              <w:t xml:space="preserve">by </w:t>
            </w:r>
            <w:r w:rsidRPr="003D096B">
              <w:rPr>
                <w:rFonts w:ascii="Arial Narrow" w:hAnsi="Arial Narrow" w:cs="Open Sans"/>
                <w:sz w:val="20"/>
                <w:szCs w:val="20"/>
              </w:rPr>
              <w:t>taking at least eight biopsies (minimum of four collected from each of the mid and distal segments, with the distal segment biopsies taken at least 5 cm above the gastroesophageal junction).</w:t>
            </w:r>
            <w:r>
              <w:rPr>
                <w:rFonts w:ascii="Arial Narrow" w:hAnsi="Arial Narrow" w:cs="Open Sans"/>
                <w:sz w:val="20"/>
                <w:szCs w:val="20"/>
              </w:rPr>
              <w:t xml:space="preserve"> </w:t>
            </w:r>
          </w:p>
        </w:tc>
      </w:tr>
      <w:tr w:rsidR="008D4296" w:rsidRPr="001428E9" w14:paraId="694C5200" w14:textId="77777777" w:rsidTr="008D4296">
        <w:tblPrEx>
          <w:tblCellMar>
            <w:top w:w="15" w:type="dxa"/>
            <w:bottom w:w="15" w:type="dxa"/>
          </w:tblCellMar>
        </w:tblPrEx>
        <w:trPr>
          <w:cantSplit/>
          <w:trHeight w:val="20"/>
        </w:trPr>
        <w:tc>
          <w:tcPr>
            <w:tcW w:w="705" w:type="pct"/>
            <w:gridSpan w:val="2"/>
          </w:tcPr>
          <w:p w14:paraId="38DAB81E" w14:textId="061A231D" w:rsidR="008D4296" w:rsidRPr="003D096B" w:rsidRDefault="008D4296" w:rsidP="008D4296">
            <w:pPr>
              <w:jc w:val="left"/>
              <w:rPr>
                <w:rFonts w:ascii="Arial Narrow" w:hAnsi="Arial Narrow"/>
                <w:sz w:val="20"/>
                <w:szCs w:val="20"/>
              </w:rPr>
            </w:pPr>
          </w:p>
        </w:tc>
        <w:tc>
          <w:tcPr>
            <w:tcW w:w="4295" w:type="pct"/>
            <w:gridSpan w:val="6"/>
          </w:tcPr>
          <w:p w14:paraId="6ABE1BF4" w14:textId="77777777" w:rsidR="008D4296" w:rsidRPr="002B5FE7" w:rsidRDefault="008D4296" w:rsidP="008D4296">
            <w:pPr>
              <w:pStyle w:val="NormalWeb"/>
              <w:spacing w:before="0" w:beforeAutospacing="0" w:after="0" w:afterAutospacing="0"/>
              <w:textAlignment w:val="baseline"/>
              <w:rPr>
                <w:rFonts w:ascii="Arial Narrow" w:hAnsi="Arial Narrow" w:cs="Open Sans"/>
                <w:strike/>
                <w:sz w:val="20"/>
                <w:szCs w:val="20"/>
              </w:rPr>
            </w:pPr>
            <w:r w:rsidRPr="002B5FE7">
              <w:rPr>
                <w:rStyle w:val="Strong"/>
                <w:rFonts w:ascii="Arial Narrow" w:hAnsi="Arial Narrow" w:cs="Open Sans"/>
                <w:strike/>
                <w:sz w:val="20"/>
                <w:szCs w:val="20"/>
                <w:bdr w:val="none" w:sz="0" w:space="0" w:color="auto" w:frame="1"/>
              </w:rPr>
              <w:t>Prescribing Instructions:</w:t>
            </w:r>
          </w:p>
          <w:p w14:paraId="39D63216" w14:textId="69719709" w:rsidR="008D4296" w:rsidRPr="002B5FE7" w:rsidRDefault="008D4296" w:rsidP="008D4296">
            <w:pPr>
              <w:jc w:val="left"/>
              <w:rPr>
                <w:rFonts w:ascii="Arial Narrow" w:hAnsi="Arial Narrow"/>
                <w:strike/>
                <w:sz w:val="20"/>
                <w:szCs w:val="20"/>
              </w:rPr>
            </w:pPr>
            <w:r w:rsidRPr="002B5FE7">
              <w:rPr>
                <w:rFonts w:ascii="Arial Narrow" w:hAnsi="Arial Narrow" w:cs="Open Sans"/>
                <w:strike/>
                <w:sz w:val="20"/>
                <w:szCs w:val="20"/>
              </w:rPr>
              <w:t>A histologic assessment of the oesophageal biopsy should be planned for approximately 8 weeks after the initiation of the first PBS-subsidised treatment with this drug under this restriction, and no later than 2 weeks prior to the patient completing the PBS-subsidised initial treatment course, to determine the patient's eligibility for continuing therapy and to avoid an interruption to supply.</w:t>
            </w:r>
          </w:p>
        </w:tc>
      </w:tr>
    </w:tbl>
    <w:p w14:paraId="24B0A296" w14:textId="77777777" w:rsidR="00057600" w:rsidRPr="003D096B" w:rsidRDefault="00057600" w:rsidP="00102C19">
      <w:pPr>
        <w:pStyle w:val="3Bodytext"/>
        <w:numPr>
          <w:ilvl w:val="0"/>
          <w:numId w:val="0"/>
        </w:num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765"/>
        <w:gridCol w:w="3094"/>
        <w:gridCol w:w="923"/>
        <w:gridCol w:w="1069"/>
        <w:gridCol w:w="887"/>
        <w:gridCol w:w="882"/>
        <w:gridCol w:w="938"/>
      </w:tblGrid>
      <w:tr w:rsidR="008D4296" w:rsidRPr="004F1DFB" w14:paraId="1508898B" w14:textId="77777777" w:rsidTr="008D4296">
        <w:trPr>
          <w:cantSplit/>
          <w:trHeight w:val="471"/>
        </w:trPr>
        <w:tc>
          <w:tcPr>
            <w:tcW w:w="2394" w:type="pct"/>
            <w:gridSpan w:val="3"/>
          </w:tcPr>
          <w:p w14:paraId="441E19FB" w14:textId="77777777" w:rsidR="0018044E" w:rsidRPr="004F1DFB" w:rsidRDefault="0018044E" w:rsidP="00080A90">
            <w:pPr>
              <w:keepNext/>
              <w:ind w:left="-108"/>
              <w:rPr>
                <w:rFonts w:ascii="Arial Narrow" w:hAnsi="Arial Narrow" w:cs="Arial"/>
                <w:b/>
                <w:bCs/>
                <w:sz w:val="20"/>
                <w:szCs w:val="20"/>
              </w:rPr>
            </w:pPr>
            <w:r w:rsidRPr="004F1DFB">
              <w:rPr>
                <w:rFonts w:ascii="Arial Narrow" w:hAnsi="Arial Narrow" w:cs="Arial"/>
                <w:b/>
                <w:bCs/>
                <w:sz w:val="20"/>
                <w:szCs w:val="20"/>
              </w:rPr>
              <w:t>MEDICINAL PRODUCT</w:t>
            </w:r>
          </w:p>
          <w:p w14:paraId="51D79251" w14:textId="77777777" w:rsidR="0018044E" w:rsidRPr="004F1DFB" w:rsidRDefault="0018044E" w:rsidP="00080A90">
            <w:pPr>
              <w:keepNext/>
              <w:ind w:left="-108"/>
              <w:rPr>
                <w:rFonts w:ascii="Arial Narrow" w:hAnsi="Arial Narrow" w:cs="Arial"/>
                <w:b/>
                <w:sz w:val="20"/>
                <w:szCs w:val="20"/>
              </w:rPr>
            </w:pPr>
            <w:r w:rsidRPr="004F1DFB">
              <w:rPr>
                <w:rFonts w:ascii="Arial Narrow" w:hAnsi="Arial Narrow" w:cs="Arial"/>
                <w:b/>
                <w:bCs/>
                <w:sz w:val="20"/>
                <w:szCs w:val="20"/>
              </w:rPr>
              <w:t xml:space="preserve"> Medicinal Product Pack</w:t>
            </w:r>
          </w:p>
        </w:tc>
        <w:tc>
          <w:tcPr>
            <w:tcW w:w="512" w:type="pct"/>
          </w:tcPr>
          <w:p w14:paraId="561508FD" w14:textId="77777777" w:rsidR="0018044E" w:rsidRPr="004F1DFB" w:rsidRDefault="0018044E" w:rsidP="00080A90">
            <w:pPr>
              <w:keepNext/>
              <w:ind w:left="-108"/>
              <w:jc w:val="center"/>
              <w:rPr>
                <w:rFonts w:ascii="Arial Narrow" w:hAnsi="Arial Narrow" w:cs="Arial"/>
                <w:b/>
                <w:sz w:val="20"/>
                <w:szCs w:val="20"/>
              </w:rPr>
            </w:pPr>
            <w:r w:rsidRPr="004F1DFB">
              <w:rPr>
                <w:rFonts w:ascii="Arial Narrow" w:hAnsi="Arial Narrow" w:cs="Arial"/>
                <w:b/>
                <w:sz w:val="20"/>
                <w:szCs w:val="20"/>
              </w:rPr>
              <w:t>PBS item code</w:t>
            </w:r>
          </w:p>
        </w:tc>
        <w:tc>
          <w:tcPr>
            <w:tcW w:w="593" w:type="pct"/>
          </w:tcPr>
          <w:p w14:paraId="0006AA68" w14:textId="77777777" w:rsidR="0018044E" w:rsidRPr="004F1DFB" w:rsidRDefault="0018044E" w:rsidP="00080A90">
            <w:pPr>
              <w:keepNext/>
              <w:ind w:left="-108"/>
              <w:jc w:val="center"/>
              <w:rPr>
                <w:rFonts w:ascii="Arial Narrow" w:hAnsi="Arial Narrow" w:cs="Arial"/>
                <w:b/>
                <w:sz w:val="20"/>
                <w:szCs w:val="20"/>
              </w:rPr>
            </w:pPr>
            <w:r w:rsidRPr="004F1DFB">
              <w:rPr>
                <w:rFonts w:ascii="Arial Narrow" w:hAnsi="Arial Narrow" w:cs="Arial"/>
                <w:b/>
                <w:sz w:val="20"/>
                <w:szCs w:val="20"/>
              </w:rPr>
              <w:t>Max. qty packs</w:t>
            </w:r>
          </w:p>
        </w:tc>
        <w:tc>
          <w:tcPr>
            <w:tcW w:w="492" w:type="pct"/>
          </w:tcPr>
          <w:p w14:paraId="1AC3F8C1" w14:textId="77777777" w:rsidR="0018044E" w:rsidRPr="004F1DFB" w:rsidRDefault="0018044E" w:rsidP="00080A90">
            <w:pPr>
              <w:keepNext/>
              <w:ind w:left="-108"/>
              <w:jc w:val="center"/>
              <w:rPr>
                <w:rFonts w:ascii="Arial Narrow" w:hAnsi="Arial Narrow" w:cs="Arial"/>
                <w:b/>
                <w:sz w:val="20"/>
                <w:szCs w:val="20"/>
              </w:rPr>
            </w:pPr>
            <w:r w:rsidRPr="004F1DFB">
              <w:rPr>
                <w:rFonts w:ascii="Arial Narrow" w:hAnsi="Arial Narrow" w:cs="Arial"/>
                <w:b/>
                <w:sz w:val="20"/>
                <w:szCs w:val="20"/>
              </w:rPr>
              <w:t>Max. qty units</w:t>
            </w:r>
          </w:p>
        </w:tc>
        <w:tc>
          <w:tcPr>
            <w:tcW w:w="489" w:type="pct"/>
          </w:tcPr>
          <w:p w14:paraId="6B2AB497" w14:textId="77777777" w:rsidR="0018044E" w:rsidRPr="004F1DFB" w:rsidRDefault="0018044E" w:rsidP="00080A90">
            <w:pPr>
              <w:keepNext/>
              <w:ind w:left="-108"/>
              <w:jc w:val="center"/>
              <w:rPr>
                <w:rFonts w:ascii="Arial Narrow" w:hAnsi="Arial Narrow" w:cs="Arial"/>
                <w:b/>
                <w:sz w:val="20"/>
                <w:szCs w:val="20"/>
              </w:rPr>
            </w:pPr>
            <w:r w:rsidRPr="004F1DFB">
              <w:rPr>
                <w:rFonts w:ascii="Arial Narrow" w:hAnsi="Arial Narrow" w:cs="Arial"/>
                <w:b/>
                <w:sz w:val="20"/>
                <w:szCs w:val="20"/>
              </w:rPr>
              <w:t>№.of</w:t>
            </w:r>
          </w:p>
          <w:p w14:paraId="605F0056" w14:textId="77777777" w:rsidR="0018044E" w:rsidRPr="004F1DFB" w:rsidRDefault="0018044E" w:rsidP="00080A90">
            <w:pPr>
              <w:keepNext/>
              <w:ind w:left="-108"/>
              <w:jc w:val="center"/>
              <w:rPr>
                <w:rFonts w:ascii="Arial Narrow" w:hAnsi="Arial Narrow" w:cs="Arial"/>
                <w:b/>
                <w:sz w:val="20"/>
                <w:szCs w:val="20"/>
              </w:rPr>
            </w:pPr>
            <w:r w:rsidRPr="004F1DFB">
              <w:rPr>
                <w:rFonts w:ascii="Arial Narrow" w:hAnsi="Arial Narrow" w:cs="Arial"/>
                <w:b/>
                <w:sz w:val="20"/>
                <w:szCs w:val="20"/>
              </w:rPr>
              <w:t>Rpts</w:t>
            </w:r>
          </w:p>
        </w:tc>
        <w:tc>
          <w:tcPr>
            <w:tcW w:w="520" w:type="pct"/>
          </w:tcPr>
          <w:p w14:paraId="379CCA45" w14:textId="77777777" w:rsidR="0018044E" w:rsidRPr="004F1DFB" w:rsidRDefault="0018044E" w:rsidP="00080A90">
            <w:pPr>
              <w:keepNext/>
              <w:rPr>
                <w:rFonts w:ascii="Arial Narrow" w:hAnsi="Arial Narrow" w:cs="Arial"/>
                <w:b/>
                <w:sz w:val="20"/>
                <w:szCs w:val="20"/>
                <w:lang w:val="fr-FR"/>
              </w:rPr>
            </w:pPr>
            <w:r w:rsidRPr="004F1DFB">
              <w:rPr>
                <w:rFonts w:ascii="Arial Narrow" w:hAnsi="Arial Narrow" w:cs="Arial"/>
                <w:b/>
                <w:sz w:val="20"/>
                <w:szCs w:val="20"/>
              </w:rPr>
              <w:t>Available brands</w:t>
            </w:r>
          </w:p>
        </w:tc>
      </w:tr>
      <w:tr w:rsidR="008D4296" w:rsidRPr="004F1DFB" w14:paraId="29A7A4A1" w14:textId="77777777" w:rsidTr="008D4296">
        <w:trPr>
          <w:cantSplit/>
          <w:trHeight w:val="103"/>
        </w:trPr>
        <w:tc>
          <w:tcPr>
            <w:tcW w:w="5000" w:type="pct"/>
            <w:gridSpan w:val="8"/>
            <w:tcBorders>
              <w:bottom w:val="single" w:sz="4" w:space="0" w:color="auto"/>
            </w:tcBorders>
            <w:vAlign w:val="center"/>
          </w:tcPr>
          <w:p w14:paraId="17300E77" w14:textId="2C236FBC" w:rsidR="008D4296" w:rsidRPr="003D096B" w:rsidRDefault="008D4296" w:rsidP="008D4296">
            <w:pPr>
              <w:keepNext/>
              <w:jc w:val="left"/>
              <w:rPr>
                <w:rFonts w:ascii="Arial Narrow" w:hAnsi="Arial Narrow" w:cs="Arial"/>
                <w:sz w:val="20"/>
                <w:szCs w:val="20"/>
              </w:rPr>
            </w:pPr>
            <w:r w:rsidRPr="004F1DFB">
              <w:rPr>
                <w:rFonts w:ascii="Arial Narrow" w:hAnsi="Arial Narrow" w:cs="Arial"/>
                <w:sz w:val="20"/>
                <w:szCs w:val="20"/>
              </w:rPr>
              <w:t>BUDESONIDE</w:t>
            </w:r>
          </w:p>
        </w:tc>
      </w:tr>
      <w:tr w:rsidR="008D4296" w:rsidRPr="004F1DFB" w14:paraId="6D7AC371" w14:textId="77777777" w:rsidTr="0012775B">
        <w:trPr>
          <w:cantSplit/>
          <w:trHeight w:val="291"/>
        </w:trPr>
        <w:tc>
          <w:tcPr>
            <w:tcW w:w="2394" w:type="pct"/>
            <w:gridSpan w:val="3"/>
            <w:tcBorders>
              <w:bottom w:val="single" w:sz="4" w:space="0" w:color="auto"/>
            </w:tcBorders>
            <w:vAlign w:val="center"/>
          </w:tcPr>
          <w:p w14:paraId="37CA56AA" w14:textId="2AF4042C" w:rsidR="008D4296" w:rsidRPr="004F1DFB" w:rsidRDefault="008D4296" w:rsidP="0012775B">
            <w:pPr>
              <w:keepNext/>
              <w:ind w:left="-108"/>
              <w:jc w:val="left"/>
              <w:rPr>
                <w:rFonts w:ascii="Arial Narrow" w:hAnsi="Arial Narrow" w:cs="Arial"/>
                <w:sz w:val="20"/>
                <w:szCs w:val="20"/>
              </w:rPr>
            </w:pPr>
            <w:r w:rsidRPr="004F1DFB">
              <w:rPr>
                <w:rFonts w:ascii="Arial Narrow" w:hAnsi="Arial Narrow" w:cs="Arial"/>
                <w:sz w:val="20"/>
                <w:szCs w:val="20"/>
              </w:rPr>
              <w:t>budesonide 500 microgram orally disintegrating tablet, 60</w:t>
            </w:r>
          </w:p>
        </w:tc>
        <w:tc>
          <w:tcPr>
            <w:tcW w:w="512" w:type="pct"/>
            <w:vAlign w:val="center"/>
          </w:tcPr>
          <w:p w14:paraId="686B9531" w14:textId="1567F3A7" w:rsidR="008D4296" w:rsidRPr="004F1DFB" w:rsidRDefault="008D4296" w:rsidP="0012775B">
            <w:pPr>
              <w:keepNext/>
              <w:rPr>
                <w:rFonts w:ascii="Arial Narrow" w:hAnsi="Arial Narrow" w:cs="Arial"/>
                <w:sz w:val="20"/>
                <w:szCs w:val="20"/>
              </w:rPr>
            </w:pPr>
            <w:r w:rsidRPr="004F1DFB">
              <w:rPr>
                <w:rFonts w:ascii="Arial Narrow" w:hAnsi="Arial Narrow" w:cs="Arial"/>
                <w:sz w:val="20"/>
                <w:szCs w:val="20"/>
              </w:rPr>
              <w:t>12987M</w:t>
            </w:r>
          </w:p>
        </w:tc>
        <w:tc>
          <w:tcPr>
            <w:tcW w:w="593" w:type="pct"/>
            <w:vAlign w:val="center"/>
          </w:tcPr>
          <w:p w14:paraId="0247660D" w14:textId="4FFB05F0" w:rsidR="008D4296" w:rsidRPr="00080A90" w:rsidRDefault="008D4296" w:rsidP="008D4296">
            <w:pPr>
              <w:keepNext/>
              <w:jc w:val="center"/>
              <w:rPr>
                <w:rFonts w:ascii="Arial Narrow" w:hAnsi="Arial Narrow" w:cs="Arial"/>
                <w:sz w:val="20"/>
                <w:szCs w:val="20"/>
              </w:rPr>
            </w:pPr>
            <w:r w:rsidRPr="00080A90">
              <w:rPr>
                <w:rFonts w:ascii="Arial Narrow" w:hAnsi="Arial Narrow" w:cs="Arial"/>
                <w:sz w:val="20"/>
                <w:szCs w:val="20"/>
              </w:rPr>
              <w:t>1</w:t>
            </w:r>
          </w:p>
        </w:tc>
        <w:tc>
          <w:tcPr>
            <w:tcW w:w="492" w:type="pct"/>
            <w:vAlign w:val="center"/>
          </w:tcPr>
          <w:p w14:paraId="0822ADC2" w14:textId="6C1FB1D6" w:rsidR="008D4296" w:rsidRDefault="008D4296" w:rsidP="008D4296">
            <w:pPr>
              <w:keepNext/>
              <w:ind w:left="-108"/>
              <w:jc w:val="center"/>
              <w:rPr>
                <w:rFonts w:ascii="Arial Narrow" w:hAnsi="Arial Narrow" w:cs="Arial"/>
                <w:sz w:val="20"/>
                <w:szCs w:val="20"/>
              </w:rPr>
            </w:pPr>
            <w:r>
              <w:rPr>
                <w:rFonts w:ascii="Arial Narrow" w:hAnsi="Arial Narrow" w:cs="Arial"/>
                <w:sz w:val="20"/>
                <w:szCs w:val="20"/>
              </w:rPr>
              <w:t>60</w:t>
            </w:r>
          </w:p>
        </w:tc>
        <w:tc>
          <w:tcPr>
            <w:tcW w:w="489" w:type="pct"/>
            <w:vAlign w:val="center"/>
          </w:tcPr>
          <w:p w14:paraId="3570A553" w14:textId="16F63CEE" w:rsidR="008D4296" w:rsidRDefault="008D4296" w:rsidP="007C679F">
            <w:pPr>
              <w:keepNext/>
              <w:jc w:val="center"/>
              <w:rPr>
                <w:rFonts w:ascii="Arial Narrow" w:hAnsi="Arial Narrow" w:cs="Arial"/>
                <w:sz w:val="20"/>
                <w:szCs w:val="20"/>
              </w:rPr>
            </w:pPr>
            <w:r>
              <w:rPr>
                <w:rFonts w:ascii="Arial Narrow" w:hAnsi="Arial Narrow" w:cs="Arial"/>
                <w:sz w:val="20"/>
                <w:szCs w:val="20"/>
              </w:rPr>
              <w:t>5</w:t>
            </w:r>
          </w:p>
        </w:tc>
        <w:tc>
          <w:tcPr>
            <w:tcW w:w="520" w:type="pct"/>
            <w:vAlign w:val="center"/>
          </w:tcPr>
          <w:p w14:paraId="3D833450" w14:textId="7F8C365F" w:rsidR="008D4296" w:rsidRDefault="008D4296" w:rsidP="008D4296">
            <w:pPr>
              <w:keepNext/>
              <w:jc w:val="center"/>
              <w:rPr>
                <w:rFonts w:ascii="Arial Narrow" w:hAnsi="Arial Narrow" w:cs="Arial"/>
                <w:sz w:val="20"/>
                <w:szCs w:val="20"/>
              </w:rPr>
            </w:pPr>
            <w:r>
              <w:rPr>
                <w:rFonts w:ascii="Arial Narrow" w:hAnsi="Arial Narrow" w:cs="Arial"/>
                <w:sz w:val="20"/>
                <w:szCs w:val="20"/>
              </w:rPr>
              <w:t>Jorveza</w:t>
            </w:r>
          </w:p>
        </w:tc>
      </w:tr>
      <w:tr w:rsidR="008D4296" w:rsidRPr="004F1DFB" w14:paraId="20A1E582" w14:textId="77777777" w:rsidTr="0012775B">
        <w:trPr>
          <w:cantSplit/>
          <w:trHeight w:val="241"/>
        </w:trPr>
        <w:tc>
          <w:tcPr>
            <w:tcW w:w="2394" w:type="pct"/>
            <w:gridSpan w:val="3"/>
            <w:tcBorders>
              <w:bottom w:val="nil"/>
            </w:tcBorders>
          </w:tcPr>
          <w:p w14:paraId="475060D0" w14:textId="660CE4F9" w:rsidR="008D4296" w:rsidRPr="004F1DFB" w:rsidRDefault="008D4296" w:rsidP="008D4296">
            <w:pPr>
              <w:keepNext/>
              <w:ind w:left="-108"/>
              <w:jc w:val="left"/>
              <w:rPr>
                <w:rFonts w:ascii="Arial Narrow" w:hAnsi="Arial Narrow" w:cs="Arial"/>
                <w:sz w:val="20"/>
                <w:szCs w:val="20"/>
              </w:rPr>
            </w:pPr>
            <w:r w:rsidRPr="004F1DFB">
              <w:rPr>
                <w:rFonts w:ascii="Arial Narrow" w:hAnsi="Arial Narrow" w:cs="Arial"/>
                <w:sz w:val="20"/>
                <w:szCs w:val="20"/>
              </w:rPr>
              <w:t>budesonide 1 mg orally disintegrating tablet, 60</w:t>
            </w:r>
          </w:p>
        </w:tc>
        <w:tc>
          <w:tcPr>
            <w:tcW w:w="512" w:type="pct"/>
            <w:vAlign w:val="center"/>
          </w:tcPr>
          <w:p w14:paraId="719ED48A" w14:textId="0A46FFD1" w:rsidR="008D4296" w:rsidRPr="003D096B" w:rsidRDefault="008D4296" w:rsidP="008D4296">
            <w:pPr>
              <w:keepNext/>
              <w:ind w:left="-108"/>
              <w:jc w:val="center"/>
              <w:rPr>
                <w:rFonts w:ascii="Arial Narrow" w:hAnsi="Arial Narrow" w:cs="Arial"/>
                <w:sz w:val="20"/>
                <w:szCs w:val="20"/>
              </w:rPr>
            </w:pPr>
            <w:r w:rsidRPr="004F1DFB">
              <w:rPr>
                <w:rFonts w:ascii="Arial Narrow" w:hAnsi="Arial Narrow" w:cs="Arial"/>
                <w:sz w:val="20"/>
                <w:szCs w:val="20"/>
              </w:rPr>
              <w:t>12982G</w:t>
            </w:r>
          </w:p>
        </w:tc>
        <w:tc>
          <w:tcPr>
            <w:tcW w:w="593" w:type="pct"/>
            <w:vAlign w:val="center"/>
          </w:tcPr>
          <w:p w14:paraId="754CAF2F" w14:textId="0588AB5F" w:rsidR="008D4296" w:rsidRPr="003D096B" w:rsidRDefault="008D4296" w:rsidP="008D4296">
            <w:pPr>
              <w:keepNext/>
              <w:jc w:val="center"/>
              <w:rPr>
                <w:rFonts w:ascii="Arial Narrow" w:hAnsi="Arial Narrow" w:cs="Arial"/>
                <w:sz w:val="20"/>
                <w:szCs w:val="20"/>
              </w:rPr>
            </w:pPr>
            <w:r w:rsidRPr="00080A90">
              <w:rPr>
                <w:rFonts w:ascii="Arial Narrow" w:hAnsi="Arial Narrow" w:cs="Arial"/>
                <w:sz w:val="20"/>
                <w:szCs w:val="20"/>
              </w:rPr>
              <w:t>1</w:t>
            </w:r>
          </w:p>
        </w:tc>
        <w:tc>
          <w:tcPr>
            <w:tcW w:w="492" w:type="pct"/>
            <w:vAlign w:val="center"/>
          </w:tcPr>
          <w:p w14:paraId="19E9A46C" w14:textId="32BC1EB9" w:rsidR="008D4296" w:rsidRPr="003D096B" w:rsidRDefault="008D4296" w:rsidP="008D4296">
            <w:pPr>
              <w:keepNext/>
              <w:ind w:left="-108"/>
              <w:jc w:val="center"/>
              <w:rPr>
                <w:rFonts w:ascii="Arial Narrow" w:hAnsi="Arial Narrow" w:cs="Arial"/>
                <w:sz w:val="20"/>
                <w:szCs w:val="20"/>
              </w:rPr>
            </w:pPr>
            <w:r>
              <w:rPr>
                <w:rFonts w:ascii="Arial Narrow" w:hAnsi="Arial Narrow" w:cs="Arial"/>
                <w:sz w:val="20"/>
                <w:szCs w:val="20"/>
              </w:rPr>
              <w:t>60</w:t>
            </w:r>
          </w:p>
        </w:tc>
        <w:tc>
          <w:tcPr>
            <w:tcW w:w="489" w:type="pct"/>
            <w:vAlign w:val="center"/>
          </w:tcPr>
          <w:p w14:paraId="335590F0" w14:textId="75F37B24" w:rsidR="008D4296" w:rsidRPr="003D096B" w:rsidRDefault="008D4296" w:rsidP="007C679F">
            <w:pPr>
              <w:keepNext/>
              <w:ind w:left="-108"/>
              <w:jc w:val="center"/>
              <w:rPr>
                <w:rFonts w:ascii="Arial Narrow" w:hAnsi="Arial Narrow" w:cs="Arial"/>
                <w:sz w:val="20"/>
                <w:szCs w:val="20"/>
              </w:rPr>
            </w:pPr>
            <w:r>
              <w:rPr>
                <w:rFonts w:ascii="Arial Narrow" w:hAnsi="Arial Narrow" w:cs="Arial"/>
                <w:sz w:val="20"/>
                <w:szCs w:val="20"/>
              </w:rPr>
              <w:t>5</w:t>
            </w:r>
          </w:p>
        </w:tc>
        <w:tc>
          <w:tcPr>
            <w:tcW w:w="520" w:type="pct"/>
            <w:vAlign w:val="center"/>
          </w:tcPr>
          <w:p w14:paraId="74A60886" w14:textId="748CEBF9" w:rsidR="008D4296" w:rsidRPr="003D096B" w:rsidRDefault="008D4296" w:rsidP="008D4296">
            <w:pPr>
              <w:keepNext/>
              <w:jc w:val="center"/>
              <w:rPr>
                <w:rFonts w:ascii="Arial Narrow" w:hAnsi="Arial Narrow" w:cs="Arial"/>
                <w:sz w:val="20"/>
                <w:szCs w:val="20"/>
              </w:rPr>
            </w:pPr>
            <w:r>
              <w:rPr>
                <w:rFonts w:ascii="Arial Narrow" w:hAnsi="Arial Narrow" w:cs="Arial"/>
                <w:sz w:val="20"/>
                <w:szCs w:val="20"/>
              </w:rPr>
              <w:t>Jorveza</w:t>
            </w:r>
          </w:p>
        </w:tc>
      </w:tr>
      <w:tr w:rsidR="0012775B" w:rsidRPr="004F1DFB" w14:paraId="06653E4A" w14:textId="77777777" w:rsidTr="0012775B">
        <w:trPr>
          <w:cantSplit/>
          <w:trHeight w:val="241"/>
        </w:trPr>
        <w:tc>
          <w:tcPr>
            <w:tcW w:w="5000" w:type="pct"/>
            <w:gridSpan w:val="8"/>
            <w:tcBorders>
              <w:bottom w:val="nil"/>
            </w:tcBorders>
          </w:tcPr>
          <w:p w14:paraId="26C8F4D4" w14:textId="77777777" w:rsidR="0012775B" w:rsidRDefault="0012775B" w:rsidP="008D4296">
            <w:pPr>
              <w:keepNext/>
              <w:jc w:val="center"/>
              <w:rPr>
                <w:rFonts w:ascii="Arial Narrow" w:hAnsi="Arial Narrow" w:cs="Arial"/>
                <w:sz w:val="20"/>
                <w:szCs w:val="20"/>
              </w:rPr>
            </w:pPr>
          </w:p>
        </w:tc>
      </w:tr>
      <w:tr w:rsidR="008D4296" w:rsidRPr="001F4B70" w14:paraId="6363202F" w14:textId="77777777" w:rsidTr="008D4296">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415B373E" w14:textId="2C0134A6" w:rsidR="008D4296" w:rsidRPr="001F4B70" w:rsidRDefault="008D4296" w:rsidP="008D4296">
            <w:pPr>
              <w:keepLines/>
              <w:jc w:val="left"/>
              <w:rPr>
                <w:rFonts w:ascii="Arial Narrow" w:hAnsi="Arial Narrow" w:cs="Arial"/>
                <w:b/>
                <w:sz w:val="20"/>
                <w:szCs w:val="20"/>
              </w:rPr>
            </w:pPr>
            <w:r>
              <w:rPr>
                <w:rFonts w:ascii="Arial Narrow" w:hAnsi="Arial Narrow"/>
                <w:b/>
                <w:sz w:val="20"/>
                <w:szCs w:val="20"/>
              </w:rPr>
              <w:t xml:space="preserve">Remove </w:t>
            </w:r>
            <w:r w:rsidRPr="001F4B70">
              <w:rPr>
                <w:rFonts w:ascii="Arial Narrow" w:hAnsi="Arial Narrow"/>
                <w:b/>
                <w:sz w:val="20"/>
                <w:szCs w:val="20"/>
              </w:rPr>
              <w:t>Restriction Summary / Treatment of Concept</w:t>
            </w:r>
          </w:p>
        </w:tc>
      </w:tr>
      <w:tr w:rsidR="008D4296" w:rsidRPr="001F4B70" w14:paraId="118BF2A6" w14:textId="77777777" w:rsidTr="008D4296">
        <w:tblPrEx>
          <w:tblCellMar>
            <w:top w:w="15" w:type="dxa"/>
            <w:bottom w:w="15" w:type="dxa"/>
          </w:tblCellMar>
          <w:tblLook w:val="04A0" w:firstRow="1" w:lastRow="0" w:firstColumn="1" w:lastColumn="0" w:noHBand="0" w:noVBand="1"/>
        </w:tblPrEx>
        <w:trPr>
          <w:trHeight w:val="20"/>
        </w:trPr>
        <w:tc>
          <w:tcPr>
            <w:tcW w:w="678" w:type="pct"/>
            <w:gridSpan w:val="2"/>
            <w:vMerge w:val="restart"/>
            <w:tcBorders>
              <w:top w:val="single" w:sz="4" w:space="0" w:color="auto"/>
              <w:left w:val="single" w:sz="4" w:space="0" w:color="auto"/>
              <w:right w:val="single" w:sz="4" w:space="0" w:color="auto"/>
            </w:tcBorders>
          </w:tcPr>
          <w:p w14:paraId="6CD6A308" w14:textId="454DA137" w:rsidR="008D4296" w:rsidRPr="001F4B70" w:rsidRDefault="008D4296" w:rsidP="008D4296">
            <w:pPr>
              <w:jc w:val="left"/>
              <w:rPr>
                <w:rFonts w:ascii="Arial Narrow" w:hAnsi="Arial Narrow" w:cs="Arial"/>
                <w:b/>
                <w:sz w:val="20"/>
                <w:szCs w:val="20"/>
              </w:rPr>
            </w:pPr>
          </w:p>
        </w:tc>
        <w:tc>
          <w:tcPr>
            <w:tcW w:w="4322" w:type="pct"/>
            <w:gridSpan w:val="6"/>
            <w:tcBorders>
              <w:top w:val="single" w:sz="4" w:space="0" w:color="auto"/>
              <w:left w:val="single" w:sz="4" w:space="0" w:color="auto"/>
              <w:bottom w:val="single" w:sz="4" w:space="0" w:color="auto"/>
              <w:right w:val="single" w:sz="4" w:space="0" w:color="auto"/>
            </w:tcBorders>
            <w:vAlign w:val="center"/>
          </w:tcPr>
          <w:p w14:paraId="013962B2" w14:textId="77777777" w:rsidR="008D4296" w:rsidRPr="001F4B70" w:rsidRDefault="008D4296" w:rsidP="008D4296">
            <w:pPr>
              <w:keepLines/>
              <w:jc w:val="left"/>
              <w:rPr>
                <w:rFonts w:ascii="Arial Narrow" w:hAnsi="Arial Narrow" w:cs="Arial"/>
                <w:sz w:val="20"/>
                <w:szCs w:val="20"/>
              </w:rPr>
            </w:pPr>
            <w:r w:rsidRPr="001F4B70">
              <w:rPr>
                <w:rFonts w:ascii="Arial Narrow" w:hAnsi="Arial Narrow" w:cs="Arial"/>
                <w:b/>
                <w:sz w:val="20"/>
                <w:szCs w:val="20"/>
              </w:rPr>
              <w:t xml:space="preserve">Category / Program: </w:t>
            </w:r>
            <w:r w:rsidRPr="001F4B70">
              <w:rPr>
                <w:rFonts w:ascii="Arial Narrow" w:hAnsi="Arial Narrow" w:cs="Arial"/>
                <w:sz w:val="20"/>
                <w:szCs w:val="20"/>
              </w:rPr>
              <w:t>GENERAL – General Schedule (Code GE)</w:t>
            </w:r>
          </w:p>
        </w:tc>
      </w:tr>
      <w:tr w:rsidR="008D4296" w:rsidRPr="001F4B70" w14:paraId="1CEB2637" w14:textId="77777777" w:rsidTr="008D4296">
        <w:tblPrEx>
          <w:tblCellMar>
            <w:top w:w="15" w:type="dxa"/>
            <w:bottom w:w="15" w:type="dxa"/>
          </w:tblCellMar>
          <w:tblLook w:val="04A0" w:firstRow="1" w:lastRow="0" w:firstColumn="1" w:lastColumn="0" w:noHBand="0" w:noVBand="1"/>
        </w:tblPrEx>
        <w:trPr>
          <w:trHeight w:val="20"/>
        </w:trPr>
        <w:tc>
          <w:tcPr>
            <w:tcW w:w="678" w:type="pct"/>
            <w:gridSpan w:val="2"/>
            <w:vMerge/>
            <w:tcBorders>
              <w:left w:val="single" w:sz="4" w:space="0" w:color="auto"/>
              <w:right w:val="single" w:sz="4" w:space="0" w:color="auto"/>
            </w:tcBorders>
          </w:tcPr>
          <w:p w14:paraId="40E895AF" w14:textId="77777777" w:rsidR="008D4296" w:rsidRPr="001F4B70" w:rsidRDefault="008D4296" w:rsidP="008D4296">
            <w:pPr>
              <w:jc w:val="left"/>
              <w:rPr>
                <w:rFonts w:ascii="Arial Narrow" w:hAnsi="Arial Narrow" w:cs="Arial"/>
                <w:sz w:val="20"/>
                <w:szCs w:val="20"/>
              </w:rPr>
            </w:pPr>
          </w:p>
        </w:tc>
        <w:tc>
          <w:tcPr>
            <w:tcW w:w="4322" w:type="pct"/>
            <w:gridSpan w:val="6"/>
            <w:tcBorders>
              <w:top w:val="single" w:sz="4" w:space="0" w:color="auto"/>
              <w:left w:val="single" w:sz="4" w:space="0" w:color="auto"/>
              <w:bottom w:val="single" w:sz="4" w:space="0" w:color="auto"/>
              <w:right w:val="single" w:sz="4" w:space="0" w:color="auto"/>
            </w:tcBorders>
            <w:vAlign w:val="center"/>
          </w:tcPr>
          <w:p w14:paraId="35C33593" w14:textId="77777777" w:rsidR="008D4296" w:rsidRPr="001F4B70" w:rsidRDefault="008D4296" w:rsidP="008D4296">
            <w:pPr>
              <w:keepLines/>
              <w:jc w:val="left"/>
              <w:rPr>
                <w:rFonts w:ascii="Arial Narrow" w:hAnsi="Arial Narrow" w:cs="Arial"/>
                <w:b/>
                <w:sz w:val="20"/>
                <w:szCs w:val="20"/>
              </w:rPr>
            </w:pPr>
            <w:r w:rsidRPr="001F4B70">
              <w:rPr>
                <w:rFonts w:ascii="Arial Narrow" w:hAnsi="Arial Narrow" w:cs="Arial"/>
                <w:b/>
                <w:sz w:val="20"/>
                <w:szCs w:val="20"/>
              </w:rPr>
              <w:t xml:space="preserve">Prescriber type: </w:t>
            </w:r>
            <w:r w:rsidRPr="001F4B70">
              <w:rPr>
                <w:rFonts w:ascii="Arial Narrow" w:hAnsi="Arial Narrow" w:cs="Arial"/>
                <w:sz w:val="20"/>
                <w:szCs w:val="20"/>
              </w:rPr>
              <w:fldChar w:fldCharType="begin" w:fldLock="1">
                <w:ffData>
                  <w:name w:val=""/>
                  <w:enabled/>
                  <w:calcOnExit w:val="0"/>
                  <w:checkBox>
                    <w:sizeAuto/>
                    <w:default w:val="1"/>
                  </w:checkBox>
                </w:ffData>
              </w:fldChar>
            </w:r>
            <w:r w:rsidRPr="001F4B70">
              <w:rPr>
                <w:rFonts w:ascii="Arial Narrow" w:hAnsi="Arial Narrow" w:cs="Arial"/>
                <w:sz w:val="20"/>
                <w:szCs w:val="20"/>
              </w:rPr>
              <w:instrText xml:space="preserve"> FORMCHECKBOX </w:instrText>
            </w:r>
            <w:r w:rsidR="001579BE">
              <w:rPr>
                <w:rFonts w:ascii="Arial Narrow" w:hAnsi="Arial Narrow" w:cs="Arial"/>
                <w:sz w:val="20"/>
                <w:szCs w:val="20"/>
              </w:rPr>
            </w:r>
            <w:r w:rsidR="001579BE">
              <w:rPr>
                <w:rFonts w:ascii="Arial Narrow" w:hAnsi="Arial Narrow" w:cs="Arial"/>
                <w:sz w:val="20"/>
                <w:szCs w:val="20"/>
              </w:rPr>
              <w:fldChar w:fldCharType="separate"/>
            </w:r>
            <w:r w:rsidRPr="001F4B70">
              <w:rPr>
                <w:rFonts w:ascii="Arial Narrow" w:hAnsi="Arial Narrow" w:cs="Arial"/>
                <w:sz w:val="20"/>
                <w:szCs w:val="20"/>
              </w:rPr>
              <w:fldChar w:fldCharType="end"/>
            </w:r>
            <w:r w:rsidRPr="001F4B70">
              <w:rPr>
                <w:rFonts w:ascii="Arial Narrow" w:hAnsi="Arial Narrow" w:cs="Arial"/>
                <w:sz w:val="20"/>
                <w:szCs w:val="20"/>
              </w:rPr>
              <w:t xml:space="preserve">Medical Practitioners </w:t>
            </w:r>
          </w:p>
        </w:tc>
      </w:tr>
      <w:tr w:rsidR="008D4296" w:rsidRPr="001F4B70" w14:paraId="696BF18E" w14:textId="77777777" w:rsidTr="008D4296">
        <w:tblPrEx>
          <w:tblCellMar>
            <w:top w:w="15" w:type="dxa"/>
            <w:bottom w:w="15" w:type="dxa"/>
          </w:tblCellMar>
          <w:tblLook w:val="04A0" w:firstRow="1" w:lastRow="0" w:firstColumn="1" w:lastColumn="0" w:noHBand="0" w:noVBand="1"/>
        </w:tblPrEx>
        <w:trPr>
          <w:trHeight w:val="20"/>
        </w:trPr>
        <w:tc>
          <w:tcPr>
            <w:tcW w:w="678" w:type="pct"/>
            <w:gridSpan w:val="2"/>
            <w:vMerge/>
            <w:tcBorders>
              <w:left w:val="single" w:sz="4" w:space="0" w:color="auto"/>
              <w:bottom w:val="single" w:sz="4" w:space="0" w:color="auto"/>
              <w:right w:val="single" w:sz="4" w:space="0" w:color="auto"/>
            </w:tcBorders>
          </w:tcPr>
          <w:p w14:paraId="0425CF58" w14:textId="77777777" w:rsidR="008D4296" w:rsidRPr="001F4B70" w:rsidRDefault="008D4296" w:rsidP="008D4296">
            <w:pPr>
              <w:jc w:val="left"/>
              <w:rPr>
                <w:rFonts w:ascii="Arial Narrow" w:hAnsi="Arial Narrow" w:cs="Arial"/>
                <w:sz w:val="20"/>
                <w:szCs w:val="20"/>
              </w:rPr>
            </w:pPr>
          </w:p>
        </w:tc>
        <w:tc>
          <w:tcPr>
            <w:tcW w:w="4322" w:type="pct"/>
            <w:gridSpan w:val="6"/>
            <w:tcBorders>
              <w:top w:val="single" w:sz="4" w:space="0" w:color="auto"/>
              <w:left w:val="single" w:sz="4" w:space="0" w:color="auto"/>
              <w:bottom w:val="single" w:sz="4" w:space="0" w:color="auto"/>
              <w:right w:val="single" w:sz="4" w:space="0" w:color="auto"/>
            </w:tcBorders>
            <w:vAlign w:val="center"/>
          </w:tcPr>
          <w:p w14:paraId="399021C2" w14:textId="77777777" w:rsidR="008D4296" w:rsidRPr="001F4B70" w:rsidRDefault="008D4296" w:rsidP="008D4296">
            <w:pPr>
              <w:keepLines/>
              <w:jc w:val="left"/>
              <w:rPr>
                <w:rFonts w:ascii="Arial Narrow" w:eastAsia="Calibri" w:hAnsi="Arial Narrow" w:cs="Arial"/>
                <w:sz w:val="20"/>
                <w:szCs w:val="20"/>
              </w:rPr>
            </w:pPr>
            <w:r w:rsidRPr="001F4B70">
              <w:rPr>
                <w:rFonts w:ascii="Arial Narrow" w:hAnsi="Arial Narrow" w:cs="Arial"/>
                <w:b/>
                <w:sz w:val="20"/>
                <w:szCs w:val="20"/>
              </w:rPr>
              <w:t xml:space="preserve">Restriction type: </w:t>
            </w:r>
            <w:r w:rsidRPr="001F4B70">
              <w:rPr>
                <w:rFonts w:ascii="Arial Narrow" w:eastAsia="Calibri" w:hAnsi="Arial Narrow" w:cs="Arial"/>
                <w:sz w:val="20"/>
                <w:szCs w:val="20"/>
              </w:rPr>
              <w:br/>
            </w:r>
            <w:r w:rsidRPr="001F4B70">
              <w:rPr>
                <w:rFonts w:ascii="Arial Narrow" w:eastAsia="Calibri" w:hAnsi="Arial Narrow" w:cs="Arial"/>
                <w:sz w:val="20"/>
                <w:szCs w:val="20"/>
              </w:rPr>
              <w:fldChar w:fldCharType="begin" w:fldLock="1">
                <w:ffData>
                  <w:name w:val=""/>
                  <w:enabled/>
                  <w:calcOnExit w:val="0"/>
                  <w:checkBox>
                    <w:sizeAuto/>
                    <w:default w:val="1"/>
                  </w:checkBox>
                </w:ffData>
              </w:fldChar>
            </w:r>
            <w:r w:rsidRPr="001F4B70">
              <w:rPr>
                <w:rFonts w:ascii="Arial Narrow" w:eastAsia="Calibri" w:hAnsi="Arial Narrow" w:cs="Arial"/>
                <w:sz w:val="20"/>
                <w:szCs w:val="20"/>
              </w:rPr>
              <w:instrText xml:space="preserve"> FORMCHECKBOX </w:instrText>
            </w:r>
            <w:r w:rsidR="001579BE">
              <w:rPr>
                <w:rFonts w:ascii="Arial Narrow" w:eastAsia="Calibri" w:hAnsi="Arial Narrow" w:cs="Arial"/>
                <w:sz w:val="20"/>
                <w:szCs w:val="20"/>
              </w:rPr>
            </w:r>
            <w:r w:rsidR="001579BE">
              <w:rPr>
                <w:rFonts w:ascii="Arial Narrow" w:eastAsia="Calibri" w:hAnsi="Arial Narrow" w:cs="Arial"/>
                <w:sz w:val="20"/>
                <w:szCs w:val="20"/>
              </w:rPr>
              <w:fldChar w:fldCharType="separate"/>
            </w:r>
            <w:r w:rsidRPr="001F4B70">
              <w:rPr>
                <w:rFonts w:ascii="Arial Narrow" w:eastAsia="Calibri" w:hAnsi="Arial Narrow" w:cs="Arial"/>
                <w:sz w:val="20"/>
                <w:szCs w:val="20"/>
              </w:rPr>
              <w:fldChar w:fldCharType="end"/>
            </w:r>
            <w:r w:rsidRPr="001F4B70">
              <w:rPr>
                <w:rFonts w:ascii="Arial Narrow" w:eastAsia="Calibri" w:hAnsi="Arial Narrow" w:cs="Arial"/>
                <w:sz w:val="20"/>
                <w:szCs w:val="20"/>
              </w:rPr>
              <w:t xml:space="preserve">Authority Required (telephone/online PBS Authorities system) </w:t>
            </w:r>
          </w:p>
        </w:tc>
      </w:tr>
      <w:tr w:rsidR="008D4296" w:rsidRPr="001F4B70" w14:paraId="682E2CAD" w14:textId="77777777" w:rsidTr="008D4296">
        <w:tblPrEx>
          <w:tblCellMar>
            <w:top w:w="15" w:type="dxa"/>
            <w:bottom w:w="15" w:type="dxa"/>
          </w:tblCellMar>
          <w:tblLook w:val="04A0" w:firstRow="1" w:lastRow="0" w:firstColumn="1" w:lastColumn="0" w:noHBand="0" w:noVBand="1"/>
        </w:tblPrEx>
        <w:trPr>
          <w:trHeight w:val="20"/>
        </w:trPr>
        <w:tc>
          <w:tcPr>
            <w:tcW w:w="254" w:type="pct"/>
            <w:vMerge w:val="restart"/>
            <w:tcBorders>
              <w:left w:val="single" w:sz="4" w:space="0" w:color="auto"/>
              <w:right w:val="single" w:sz="4" w:space="0" w:color="auto"/>
            </w:tcBorders>
            <w:textDirection w:val="btLr"/>
            <w:vAlign w:val="center"/>
          </w:tcPr>
          <w:p w14:paraId="7B583103" w14:textId="00E4205F" w:rsidR="008D4296" w:rsidRPr="00D56963" w:rsidRDefault="008D4296" w:rsidP="008D4296">
            <w:pPr>
              <w:jc w:val="left"/>
              <w:rPr>
                <w:rFonts w:ascii="Arial Narrow" w:hAnsi="Arial Narrow" w:cs="Arial"/>
                <w:sz w:val="20"/>
                <w:szCs w:val="20"/>
              </w:rPr>
            </w:pPr>
          </w:p>
        </w:tc>
        <w:tc>
          <w:tcPr>
            <w:tcW w:w="424" w:type="pct"/>
          </w:tcPr>
          <w:p w14:paraId="015D2732" w14:textId="4E2E9DCF" w:rsidR="008D4296" w:rsidRPr="00D56963" w:rsidRDefault="008D4296" w:rsidP="008D4296">
            <w:pPr>
              <w:jc w:val="left"/>
              <w:rPr>
                <w:rFonts w:ascii="Arial Narrow" w:hAnsi="Arial Narrow"/>
                <w:sz w:val="20"/>
                <w:szCs w:val="20"/>
              </w:rPr>
            </w:pPr>
          </w:p>
        </w:tc>
        <w:tc>
          <w:tcPr>
            <w:tcW w:w="4322" w:type="pct"/>
            <w:gridSpan w:val="6"/>
          </w:tcPr>
          <w:p w14:paraId="6DB55A3D" w14:textId="77777777" w:rsidR="008D4296" w:rsidRPr="00D56963" w:rsidRDefault="008D4296" w:rsidP="008D4296">
            <w:pPr>
              <w:pStyle w:val="NormalWeb"/>
              <w:spacing w:before="0" w:beforeAutospacing="0" w:after="0" w:afterAutospacing="0"/>
              <w:textAlignment w:val="baseline"/>
              <w:rPr>
                <w:rFonts w:ascii="Arial Narrow" w:hAnsi="Arial Narrow" w:cs="Open Sans"/>
                <w:sz w:val="20"/>
                <w:szCs w:val="20"/>
              </w:rPr>
            </w:pPr>
            <w:r w:rsidRPr="00D56963">
              <w:rPr>
                <w:rStyle w:val="Strong"/>
                <w:rFonts w:ascii="Arial Narrow" w:hAnsi="Arial Narrow" w:cs="Open Sans"/>
                <w:sz w:val="20"/>
                <w:szCs w:val="20"/>
                <w:bdr w:val="none" w:sz="0" w:space="0" w:color="auto" w:frame="1"/>
              </w:rPr>
              <w:t>Administrative Advice:</w:t>
            </w:r>
          </w:p>
          <w:p w14:paraId="6153D563" w14:textId="77777777" w:rsidR="008D4296" w:rsidRPr="00D56963" w:rsidRDefault="008D4296" w:rsidP="008D4296">
            <w:pPr>
              <w:jc w:val="left"/>
              <w:rPr>
                <w:rFonts w:ascii="Arial Narrow" w:hAnsi="Arial Narrow"/>
                <w:sz w:val="20"/>
                <w:szCs w:val="20"/>
              </w:rPr>
            </w:pPr>
            <w:r w:rsidRPr="00D56963">
              <w:rPr>
                <w:rFonts w:ascii="Arial Narrow" w:hAnsi="Arial Narrow" w:cs="Open Sans"/>
                <w:sz w:val="20"/>
                <w:szCs w:val="20"/>
              </w:rPr>
              <w:t>No increase in the maximum number of repeats may be authorised.</w:t>
            </w:r>
          </w:p>
        </w:tc>
      </w:tr>
      <w:tr w:rsidR="008D4296" w:rsidRPr="001F4B70" w14:paraId="12F604EA" w14:textId="77777777" w:rsidTr="008D4296">
        <w:tblPrEx>
          <w:tblCellMar>
            <w:top w:w="15" w:type="dxa"/>
            <w:bottom w:w="15" w:type="dxa"/>
          </w:tblCellMar>
          <w:tblLook w:val="04A0" w:firstRow="1" w:lastRow="0" w:firstColumn="1" w:lastColumn="0" w:noHBand="0" w:noVBand="1"/>
        </w:tblPrEx>
        <w:trPr>
          <w:trHeight w:val="20"/>
        </w:trPr>
        <w:tc>
          <w:tcPr>
            <w:tcW w:w="254" w:type="pct"/>
            <w:vMerge/>
            <w:tcBorders>
              <w:left w:val="single" w:sz="4" w:space="0" w:color="auto"/>
              <w:right w:val="single" w:sz="4" w:space="0" w:color="auto"/>
            </w:tcBorders>
          </w:tcPr>
          <w:p w14:paraId="4E74D066" w14:textId="77777777" w:rsidR="008D4296" w:rsidRPr="00D56963" w:rsidRDefault="008D4296" w:rsidP="008D4296">
            <w:pPr>
              <w:jc w:val="left"/>
              <w:rPr>
                <w:rFonts w:ascii="Arial Narrow" w:hAnsi="Arial Narrow" w:cs="Arial"/>
                <w:sz w:val="20"/>
                <w:szCs w:val="20"/>
              </w:rPr>
            </w:pPr>
          </w:p>
        </w:tc>
        <w:tc>
          <w:tcPr>
            <w:tcW w:w="424" w:type="pct"/>
          </w:tcPr>
          <w:p w14:paraId="726BB3F1" w14:textId="6D68FE70" w:rsidR="008D4296" w:rsidRPr="00D56963" w:rsidRDefault="008D4296" w:rsidP="008D4296">
            <w:pPr>
              <w:jc w:val="left"/>
              <w:rPr>
                <w:rFonts w:ascii="Arial Narrow" w:hAnsi="Arial Narrow"/>
                <w:sz w:val="20"/>
                <w:szCs w:val="20"/>
              </w:rPr>
            </w:pPr>
          </w:p>
        </w:tc>
        <w:tc>
          <w:tcPr>
            <w:tcW w:w="4322" w:type="pct"/>
            <w:gridSpan w:val="6"/>
          </w:tcPr>
          <w:p w14:paraId="28E30B0E" w14:textId="77777777" w:rsidR="008D4296" w:rsidRPr="00D56963" w:rsidRDefault="008D4296" w:rsidP="008D4296">
            <w:pPr>
              <w:pStyle w:val="NormalWeb"/>
              <w:spacing w:before="0" w:beforeAutospacing="0" w:after="0" w:afterAutospacing="0"/>
              <w:textAlignment w:val="baseline"/>
              <w:rPr>
                <w:rFonts w:ascii="Arial Narrow" w:hAnsi="Arial Narrow" w:cs="Open Sans"/>
                <w:sz w:val="20"/>
                <w:szCs w:val="20"/>
              </w:rPr>
            </w:pPr>
            <w:r w:rsidRPr="00D56963">
              <w:rPr>
                <w:rStyle w:val="Strong"/>
                <w:rFonts w:ascii="Arial Narrow" w:hAnsi="Arial Narrow" w:cs="Open Sans"/>
                <w:sz w:val="20"/>
                <w:szCs w:val="20"/>
                <w:bdr w:val="none" w:sz="0" w:space="0" w:color="auto" w:frame="1"/>
              </w:rPr>
              <w:t>Administrative Advice:</w:t>
            </w:r>
          </w:p>
          <w:p w14:paraId="292BDE25" w14:textId="77777777" w:rsidR="008D4296" w:rsidRPr="00D56963" w:rsidRDefault="008D4296" w:rsidP="008D4296">
            <w:pPr>
              <w:jc w:val="left"/>
              <w:rPr>
                <w:rFonts w:ascii="Arial Narrow" w:hAnsi="Arial Narrow"/>
                <w:b/>
                <w:bCs/>
                <w:sz w:val="20"/>
                <w:szCs w:val="20"/>
              </w:rPr>
            </w:pPr>
            <w:r w:rsidRPr="00D56963">
              <w:rPr>
                <w:rFonts w:ascii="Arial Narrow" w:hAnsi="Arial Narrow" w:cs="Open Sans"/>
                <w:sz w:val="20"/>
                <w:szCs w:val="20"/>
              </w:rPr>
              <w:t>No increase in the maximum quantity or number of units may be authorised.</w:t>
            </w:r>
          </w:p>
        </w:tc>
      </w:tr>
      <w:tr w:rsidR="008D4296" w:rsidRPr="001F4B70" w14:paraId="07DB87EB" w14:textId="77777777" w:rsidTr="008D4296">
        <w:tblPrEx>
          <w:tblCellMar>
            <w:top w:w="15" w:type="dxa"/>
            <w:bottom w:w="15" w:type="dxa"/>
          </w:tblCellMar>
          <w:tblLook w:val="04A0" w:firstRow="1" w:lastRow="0" w:firstColumn="1" w:lastColumn="0" w:noHBand="0" w:noVBand="1"/>
        </w:tblPrEx>
        <w:trPr>
          <w:trHeight w:val="20"/>
        </w:trPr>
        <w:tc>
          <w:tcPr>
            <w:tcW w:w="254" w:type="pct"/>
            <w:vMerge/>
            <w:tcBorders>
              <w:left w:val="single" w:sz="4" w:space="0" w:color="auto"/>
              <w:right w:val="single" w:sz="4" w:space="0" w:color="auto"/>
            </w:tcBorders>
          </w:tcPr>
          <w:p w14:paraId="032745D3" w14:textId="77777777" w:rsidR="008D4296" w:rsidRPr="00D56963" w:rsidRDefault="008D4296" w:rsidP="008D4296">
            <w:pPr>
              <w:jc w:val="left"/>
              <w:rPr>
                <w:rFonts w:ascii="Arial Narrow" w:hAnsi="Arial Narrow" w:cs="Arial"/>
                <w:sz w:val="20"/>
                <w:szCs w:val="20"/>
              </w:rPr>
            </w:pPr>
          </w:p>
        </w:tc>
        <w:tc>
          <w:tcPr>
            <w:tcW w:w="424" w:type="pct"/>
          </w:tcPr>
          <w:p w14:paraId="14AE67B4" w14:textId="6FF612A2" w:rsidR="008D4296" w:rsidRPr="00D56963" w:rsidRDefault="008D4296" w:rsidP="008D4296">
            <w:pPr>
              <w:jc w:val="left"/>
              <w:rPr>
                <w:rFonts w:ascii="Arial Narrow" w:hAnsi="Arial Narrow"/>
                <w:sz w:val="20"/>
                <w:szCs w:val="20"/>
              </w:rPr>
            </w:pPr>
          </w:p>
        </w:tc>
        <w:tc>
          <w:tcPr>
            <w:tcW w:w="4322" w:type="pct"/>
            <w:gridSpan w:val="6"/>
          </w:tcPr>
          <w:p w14:paraId="01CD12C7" w14:textId="77777777" w:rsidR="008D4296" w:rsidRPr="00D56963" w:rsidRDefault="008D4296" w:rsidP="008D4296">
            <w:pPr>
              <w:pStyle w:val="NormalWeb"/>
              <w:spacing w:before="0" w:beforeAutospacing="0" w:after="0" w:afterAutospacing="0"/>
              <w:textAlignment w:val="baseline"/>
              <w:rPr>
                <w:rFonts w:ascii="Arial Narrow" w:hAnsi="Arial Narrow" w:cs="Open Sans"/>
                <w:sz w:val="20"/>
                <w:szCs w:val="20"/>
              </w:rPr>
            </w:pPr>
            <w:r w:rsidRPr="00D56963">
              <w:rPr>
                <w:rStyle w:val="Strong"/>
                <w:rFonts w:ascii="Arial Narrow" w:hAnsi="Arial Narrow" w:cs="Open Sans"/>
                <w:sz w:val="20"/>
                <w:szCs w:val="20"/>
                <w:bdr w:val="none" w:sz="0" w:space="0" w:color="auto" w:frame="1"/>
              </w:rPr>
              <w:t>Administrative Advice:</w:t>
            </w:r>
          </w:p>
          <w:p w14:paraId="3356111E" w14:textId="77777777" w:rsidR="008D4296" w:rsidRPr="00D56963" w:rsidRDefault="008D4296" w:rsidP="008D4296">
            <w:pPr>
              <w:jc w:val="left"/>
              <w:rPr>
                <w:rFonts w:ascii="Arial Narrow" w:hAnsi="Arial Narrow"/>
                <w:b/>
                <w:bCs/>
                <w:sz w:val="20"/>
                <w:szCs w:val="20"/>
              </w:rPr>
            </w:pPr>
            <w:r w:rsidRPr="00D56963">
              <w:rPr>
                <w:rFonts w:ascii="Arial Narrow" w:hAnsi="Arial Narrow" w:cs="Open Sans"/>
                <w:sz w:val="20"/>
                <w:szCs w:val="20"/>
              </w:rPr>
              <w:t>Applications for authorisation under this restriction may be made in real time using the Online PBS Authorities system (see www.servicesaustralia.gov.au/HPOS) or by telephone by contacting Services Australia on 1800 888 333.</w:t>
            </w:r>
          </w:p>
        </w:tc>
      </w:tr>
      <w:tr w:rsidR="008D4296" w:rsidRPr="001F4B70" w14:paraId="63BB6B8B" w14:textId="77777777" w:rsidTr="008D4296">
        <w:tblPrEx>
          <w:tblCellMar>
            <w:top w:w="15" w:type="dxa"/>
            <w:bottom w:w="15" w:type="dxa"/>
          </w:tblCellMar>
          <w:tblLook w:val="04A0" w:firstRow="1" w:lastRow="0" w:firstColumn="1" w:lastColumn="0" w:noHBand="0" w:noVBand="1"/>
        </w:tblPrEx>
        <w:trPr>
          <w:trHeight w:val="20"/>
        </w:trPr>
        <w:tc>
          <w:tcPr>
            <w:tcW w:w="254" w:type="pct"/>
            <w:vMerge/>
            <w:tcBorders>
              <w:left w:val="single" w:sz="4" w:space="0" w:color="auto"/>
              <w:bottom w:val="single" w:sz="4" w:space="0" w:color="auto"/>
              <w:right w:val="single" w:sz="4" w:space="0" w:color="auto"/>
            </w:tcBorders>
          </w:tcPr>
          <w:p w14:paraId="0BF9E897" w14:textId="77777777" w:rsidR="008D4296" w:rsidRPr="00D56963" w:rsidRDefault="008D4296" w:rsidP="008D4296">
            <w:pPr>
              <w:jc w:val="left"/>
              <w:rPr>
                <w:rFonts w:ascii="Arial Narrow" w:hAnsi="Arial Narrow" w:cs="Arial"/>
                <w:sz w:val="20"/>
                <w:szCs w:val="20"/>
              </w:rPr>
            </w:pPr>
          </w:p>
        </w:tc>
        <w:tc>
          <w:tcPr>
            <w:tcW w:w="424" w:type="pct"/>
          </w:tcPr>
          <w:p w14:paraId="0D5C8E66" w14:textId="4E35CC1C" w:rsidR="008D4296" w:rsidRPr="00D56963" w:rsidRDefault="008D4296" w:rsidP="008D4296">
            <w:pPr>
              <w:jc w:val="left"/>
              <w:rPr>
                <w:rFonts w:ascii="Arial Narrow" w:hAnsi="Arial Narrow"/>
                <w:sz w:val="20"/>
                <w:szCs w:val="20"/>
              </w:rPr>
            </w:pPr>
          </w:p>
        </w:tc>
        <w:tc>
          <w:tcPr>
            <w:tcW w:w="4322" w:type="pct"/>
            <w:gridSpan w:val="6"/>
          </w:tcPr>
          <w:p w14:paraId="32CF929B" w14:textId="77777777" w:rsidR="008D4296" w:rsidRPr="00D56963" w:rsidRDefault="008D4296" w:rsidP="008D4296">
            <w:pPr>
              <w:pStyle w:val="NormalWeb"/>
              <w:spacing w:before="0" w:beforeAutospacing="0" w:after="0" w:afterAutospacing="0"/>
              <w:textAlignment w:val="baseline"/>
              <w:rPr>
                <w:rFonts w:ascii="Arial Narrow" w:hAnsi="Arial Narrow" w:cs="Open Sans"/>
                <w:sz w:val="20"/>
                <w:szCs w:val="20"/>
              </w:rPr>
            </w:pPr>
            <w:r w:rsidRPr="00D56963">
              <w:rPr>
                <w:rStyle w:val="Strong"/>
                <w:rFonts w:ascii="Arial Narrow" w:hAnsi="Arial Narrow" w:cs="Open Sans"/>
                <w:sz w:val="20"/>
                <w:szCs w:val="20"/>
                <w:bdr w:val="none" w:sz="0" w:space="0" w:color="auto" w:frame="1"/>
              </w:rPr>
              <w:t>Administrative Advice:</w:t>
            </w:r>
          </w:p>
          <w:p w14:paraId="60381CF2" w14:textId="77777777" w:rsidR="008D4296" w:rsidRPr="00D56963" w:rsidRDefault="008D4296" w:rsidP="008D4296">
            <w:pPr>
              <w:jc w:val="left"/>
              <w:rPr>
                <w:rFonts w:ascii="Arial Narrow" w:hAnsi="Arial Narrow"/>
                <w:b/>
                <w:bCs/>
                <w:sz w:val="20"/>
                <w:szCs w:val="20"/>
              </w:rPr>
            </w:pPr>
            <w:r w:rsidRPr="00D56963">
              <w:rPr>
                <w:rFonts w:ascii="Arial Narrow" w:hAnsi="Arial Narrow" w:cs="Open Sans"/>
                <w:sz w:val="20"/>
                <w:szCs w:val="20"/>
              </w:rPr>
              <w:t>Special Pricing Arrangements apply.</w:t>
            </w:r>
          </w:p>
        </w:tc>
      </w:tr>
      <w:tr w:rsidR="008D4296" w:rsidRPr="001F4B70" w14:paraId="060CEBA0"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vAlign w:val="center"/>
          </w:tcPr>
          <w:p w14:paraId="76C62AD5" w14:textId="77777777" w:rsidR="008D4296" w:rsidRPr="00D56963" w:rsidRDefault="008D4296" w:rsidP="008D4296">
            <w:pPr>
              <w:pStyle w:val="NormalWeb"/>
              <w:spacing w:before="0" w:beforeAutospacing="0" w:after="0" w:afterAutospacing="0"/>
              <w:textAlignment w:val="baseline"/>
              <w:rPr>
                <w:rFonts w:ascii="Arial Narrow" w:hAnsi="Arial Narrow" w:cs="Open Sans"/>
                <w:sz w:val="20"/>
                <w:szCs w:val="20"/>
              </w:rPr>
            </w:pPr>
          </w:p>
        </w:tc>
        <w:tc>
          <w:tcPr>
            <w:tcW w:w="4322" w:type="pct"/>
            <w:gridSpan w:val="6"/>
            <w:vAlign w:val="center"/>
          </w:tcPr>
          <w:p w14:paraId="2B6613A8" w14:textId="77777777" w:rsidR="008D4296" w:rsidRPr="00D56963" w:rsidRDefault="008D4296" w:rsidP="008D4296">
            <w:pPr>
              <w:keepLines/>
              <w:jc w:val="left"/>
              <w:rPr>
                <w:rFonts w:ascii="Arial Narrow" w:hAnsi="Arial Narrow"/>
                <w:b/>
                <w:bCs/>
                <w:sz w:val="20"/>
                <w:szCs w:val="20"/>
              </w:rPr>
            </w:pPr>
          </w:p>
        </w:tc>
      </w:tr>
      <w:tr w:rsidR="008D4296" w:rsidRPr="001F4B70" w14:paraId="111DFDB1" w14:textId="77777777" w:rsidTr="007A34B0">
        <w:tblPrEx>
          <w:tblCellMar>
            <w:top w:w="15" w:type="dxa"/>
            <w:bottom w:w="15" w:type="dxa"/>
          </w:tblCellMar>
          <w:tblLook w:val="04A0" w:firstRow="1" w:lastRow="0" w:firstColumn="1" w:lastColumn="0" w:noHBand="0" w:noVBand="1"/>
        </w:tblPrEx>
        <w:trPr>
          <w:cantSplit/>
          <w:trHeight w:val="20"/>
        </w:trPr>
        <w:tc>
          <w:tcPr>
            <w:tcW w:w="678" w:type="pct"/>
            <w:gridSpan w:val="2"/>
            <w:vAlign w:val="center"/>
          </w:tcPr>
          <w:p w14:paraId="09B98B3F" w14:textId="4ABA99F4" w:rsidR="008D4296" w:rsidRPr="00D56963" w:rsidRDefault="008D4296" w:rsidP="008D4296">
            <w:pPr>
              <w:keepLines/>
              <w:jc w:val="left"/>
              <w:rPr>
                <w:rFonts w:ascii="Arial Narrow" w:hAnsi="Arial Narrow"/>
                <w:sz w:val="20"/>
                <w:szCs w:val="20"/>
              </w:rPr>
            </w:pPr>
          </w:p>
        </w:tc>
        <w:tc>
          <w:tcPr>
            <w:tcW w:w="4322" w:type="pct"/>
            <w:gridSpan w:val="6"/>
            <w:vAlign w:val="center"/>
            <w:hideMark/>
          </w:tcPr>
          <w:p w14:paraId="2E1FB2E0" w14:textId="77777777" w:rsidR="008D4296" w:rsidRPr="00D56963" w:rsidRDefault="008D4296" w:rsidP="008D4296">
            <w:pPr>
              <w:keepLines/>
              <w:jc w:val="left"/>
              <w:rPr>
                <w:rFonts w:ascii="Arial Narrow" w:hAnsi="Arial Narrow"/>
                <w:sz w:val="20"/>
                <w:szCs w:val="20"/>
              </w:rPr>
            </w:pPr>
            <w:r w:rsidRPr="00D56963">
              <w:rPr>
                <w:rFonts w:ascii="Arial Narrow" w:hAnsi="Arial Narrow"/>
                <w:b/>
                <w:bCs/>
                <w:sz w:val="20"/>
                <w:szCs w:val="20"/>
              </w:rPr>
              <w:t>Indication:</w:t>
            </w:r>
            <w:r w:rsidRPr="00D56963">
              <w:rPr>
                <w:rFonts w:ascii="Arial Narrow" w:hAnsi="Arial Narrow"/>
                <w:sz w:val="20"/>
                <w:szCs w:val="20"/>
              </w:rPr>
              <w:t xml:space="preserve"> Eosinophilic oesophagitis</w:t>
            </w:r>
          </w:p>
        </w:tc>
      </w:tr>
      <w:tr w:rsidR="008D4296" w:rsidRPr="001F4B70" w14:paraId="31113E02" w14:textId="77777777" w:rsidTr="007A34B0">
        <w:tblPrEx>
          <w:tblCellMar>
            <w:top w:w="15" w:type="dxa"/>
            <w:bottom w:w="15" w:type="dxa"/>
          </w:tblCellMar>
          <w:tblLook w:val="04A0" w:firstRow="1" w:lastRow="0" w:firstColumn="1" w:lastColumn="0" w:noHBand="0" w:noVBand="1"/>
        </w:tblPrEx>
        <w:trPr>
          <w:cantSplit/>
          <w:trHeight w:val="20"/>
        </w:trPr>
        <w:tc>
          <w:tcPr>
            <w:tcW w:w="678" w:type="pct"/>
            <w:gridSpan w:val="2"/>
            <w:vAlign w:val="center"/>
          </w:tcPr>
          <w:p w14:paraId="469A1943" w14:textId="77777777" w:rsidR="008D4296" w:rsidRPr="00D56963" w:rsidRDefault="008D4296" w:rsidP="008D4296">
            <w:pPr>
              <w:jc w:val="left"/>
              <w:rPr>
                <w:rFonts w:ascii="Arial Narrow" w:hAnsi="Arial Narrow"/>
                <w:sz w:val="20"/>
                <w:szCs w:val="20"/>
              </w:rPr>
            </w:pPr>
          </w:p>
        </w:tc>
        <w:tc>
          <w:tcPr>
            <w:tcW w:w="4322" w:type="pct"/>
            <w:gridSpan w:val="6"/>
            <w:vAlign w:val="center"/>
            <w:hideMark/>
          </w:tcPr>
          <w:p w14:paraId="20C7EE64" w14:textId="190DFA34" w:rsidR="008D4296" w:rsidRPr="00D56963" w:rsidRDefault="008D4296" w:rsidP="008D4296">
            <w:pPr>
              <w:jc w:val="left"/>
              <w:rPr>
                <w:rFonts w:ascii="Arial Narrow" w:hAnsi="Arial Narrow"/>
                <w:sz w:val="20"/>
                <w:szCs w:val="20"/>
              </w:rPr>
            </w:pPr>
            <w:r w:rsidRPr="00D56963">
              <w:rPr>
                <w:rFonts w:ascii="Arial Narrow" w:hAnsi="Arial Narrow"/>
                <w:b/>
                <w:bCs/>
                <w:sz w:val="20"/>
                <w:szCs w:val="20"/>
              </w:rPr>
              <w:t>Treatment Phase:</w:t>
            </w:r>
            <w:r w:rsidRPr="00D56963">
              <w:rPr>
                <w:rFonts w:ascii="Arial Narrow" w:hAnsi="Arial Narrow"/>
                <w:sz w:val="20"/>
                <w:szCs w:val="20"/>
              </w:rPr>
              <w:t xml:space="preserve"> </w:t>
            </w:r>
            <w:r w:rsidRPr="003D096B">
              <w:rPr>
                <w:rFonts w:ascii="Arial Narrow" w:hAnsi="Arial Narrow"/>
                <w:strike/>
                <w:sz w:val="20"/>
                <w:szCs w:val="20"/>
              </w:rPr>
              <w:t>First</w:t>
            </w:r>
            <w:r w:rsidRPr="00D56963">
              <w:rPr>
                <w:rFonts w:ascii="Arial Narrow" w:hAnsi="Arial Narrow"/>
                <w:sz w:val="20"/>
                <w:szCs w:val="20"/>
              </w:rPr>
              <w:t xml:space="preserve"> continuing treatment </w:t>
            </w:r>
            <w:r>
              <w:rPr>
                <w:rFonts w:ascii="Arial Narrow" w:hAnsi="Arial Narrow"/>
                <w:sz w:val="20"/>
                <w:szCs w:val="20"/>
              </w:rPr>
              <w:t>–</w:t>
            </w:r>
            <w:r w:rsidRPr="00D56963">
              <w:rPr>
                <w:rFonts w:ascii="Arial Narrow" w:hAnsi="Arial Narrow"/>
                <w:sz w:val="20"/>
                <w:szCs w:val="20"/>
              </w:rPr>
              <w:t xml:space="preserve"> </w:t>
            </w:r>
            <w:r>
              <w:rPr>
                <w:rFonts w:ascii="Arial Narrow" w:hAnsi="Arial Narrow"/>
                <w:sz w:val="20"/>
                <w:szCs w:val="20"/>
              </w:rPr>
              <w:t xml:space="preserve">Maintenance of remission </w:t>
            </w:r>
            <w:r w:rsidRPr="003D096B">
              <w:rPr>
                <w:rFonts w:ascii="Arial Narrow" w:hAnsi="Arial Narrow"/>
                <w:strike/>
                <w:sz w:val="20"/>
                <w:szCs w:val="20"/>
              </w:rPr>
              <w:t>Confirmation of remission</w:t>
            </w:r>
          </w:p>
        </w:tc>
      </w:tr>
      <w:tr w:rsidR="008D4296" w:rsidRPr="001F4B70" w14:paraId="7180C518"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vAlign w:val="center"/>
          </w:tcPr>
          <w:p w14:paraId="7BCC1E7D" w14:textId="77777777" w:rsidR="008D4296" w:rsidRPr="00D56963" w:rsidRDefault="008D4296" w:rsidP="008D4296">
            <w:pPr>
              <w:jc w:val="left"/>
              <w:rPr>
                <w:rFonts w:ascii="Arial Narrow" w:hAnsi="Arial Narrow"/>
                <w:sz w:val="20"/>
                <w:szCs w:val="20"/>
              </w:rPr>
            </w:pPr>
          </w:p>
        </w:tc>
        <w:tc>
          <w:tcPr>
            <w:tcW w:w="4322" w:type="pct"/>
            <w:gridSpan w:val="6"/>
            <w:vAlign w:val="center"/>
          </w:tcPr>
          <w:p w14:paraId="60BA98B2" w14:textId="77777777" w:rsidR="008D4296" w:rsidRPr="00D56963" w:rsidRDefault="008D4296" w:rsidP="008D4296">
            <w:pPr>
              <w:jc w:val="left"/>
              <w:rPr>
                <w:rFonts w:ascii="Arial Narrow" w:hAnsi="Arial Narrow"/>
                <w:b/>
                <w:bCs/>
                <w:sz w:val="20"/>
                <w:szCs w:val="20"/>
              </w:rPr>
            </w:pPr>
          </w:p>
        </w:tc>
      </w:tr>
      <w:tr w:rsidR="008D4296" w:rsidRPr="001F4B70" w14:paraId="2B1F1A1E"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Pr>
          <w:p w14:paraId="7D8497BB" w14:textId="73B0FD61" w:rsidR="008D4296" w:rsidRPr="003D096B" w:rsidRDefault="008D4296" w:rsidP="008D4296">
            <w:pPr>
              <w:jc w:val="left"/>
              <w:rPr>
                <w:rFonts w:ascii="Arial Narrow" w:hAnsi="Arial Narrow"/>
                <w:strike/>
                <w:sz w:val="20"/>
                <w:szCs w:val="20"/>
              </w:rPr>
            </w:pPr>
          </w:p>
        </w:tc>
        <w:tc>
          <w:tcPr>
            <w:tcW w:w="4322" w:type="pct"/>
            <w:gridSpan w:val="6"/>
          </w:tcPr>
          <w:p w14:paraId="62BDEC4C" w14:textId="3F1A2748" w:rsidR="008D4296" w:rsidRPr="00D56963" w:rsidRDefault="008D4296" w:rsidP="008D4296">
            <w:pPr>
              <w:jc w:val="left"/>
              <w:rPr>
                <w:rFonts w:ascii="Arial Narrow" w:hAnsi="Arial Narrow"/>
                <w:b/>
                <w:bCs/>
                <w:sz w:val="20"/>
                <w:szCs w:val="20"/>
              </w:rPr>
            </w:pPr>
            <w:r w:rsidRPr="003D096B">
              <w:rPr>
                <w:rStyle w:val="Strong"/>
                <w:rFonts w:ascii="Arial Narrow" w:hAnsi="Arial Narrow" w:cs="Open Sans"/>
                <w:sz w:val="20"/>
                <w:szCs w:val="20"/>
                <w:bdr w:val="none" w:sz="0" w:space="0" w:color="auto" w:frame="1"/>
              </w:rPr>
              <w:t>Clinical criteria:</w:t>
            </w:r>
          </w:p>
        </w:tc>
      </w:tr>
      <w:tr w:rsidR="008D4296" w:rsidRPr="001F4B70" w14:paraId="7D2061F4"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Pr>
          <w:p w14:paraId="70DBA7BE" w14:textId="67F57270" w:rsidR="008D4296" w:rsidRPr="003D096B" w:rsidRDefault="008D4296" w:rsidP="008D4296">
            <w:pPr>
              <w:jc w:val="left"/>
              <w:rPr>
                <w:rFonts w:ascii="Arial Narrow" w:hAnsi="Arial Narrow"/>
                <w:strike/>
                <w:sz w:val="20"/>
                <w:szCs w:val="20"/>
              </w:rPr>
            </w:pPr>
          </w:p>
        </w:tc>
        <w:tc>
          <w:tcPr>
            <w:tcW w:w="4322" w:type="pct"/>
            <w:gridSpan w:val="6"/>
          </w:tcPr>
          <w:p w14:paraId="35BF0B47" w14:textId="65934CA9" w:rsidR="008D4296" w:rsidRPr="003D096B" w:rsidRDefault="008D4296" w:rsidP="008D4296">
            <w:pPr>
              <w:jc w:val="left"/>
              <w:rPr>
                <w:rFonts w:ascii="Arial Narrow" w:hAnsi="Arial Narrow"/>
                <w:b/>
                <w:bCs/>
                <w:i/>
                <w:iCs/>
                <w:sz w:val="20"/>
                <w:szCs w:val="20"/>
              </w:rPr>
            </w:pPr>
            <w:r w:rsidRPr="003D096B">
              <w:rPr>
                <w:rFonts w:ascii="Arial Narrow" w:hAnsi="Arial Narrow" w:cs="Open Sans"/>
                <w:sz w:val="20"/>
                <w:szCs w:val="20"/>
              </w:rPr>
              <w:t xml:space="preserve">Patient must have previously received PBS-subsidised </w:t>
            </w:r>
            <w:r w:rsidRPr="003D096B">
              <w:rPr>
                <w:rFonts w:ascii="Arial Narrow" w:hAnsi="Arial Narrow" w:cs="Open Sans"/>
                <w:strike/>
                <w:sz w:val="20"/>
                <w:szCs w:val="20"/>
              </w:rPr>
              <w:t>initial</w:t>
            </w:r>
            <w:r w:rsidRPr="003D096B">
              <w:rPr>
                <w:rFonts w:ascii="Arial Narrow" w:hAnsi="Arial Narrow" w:cs="Open Sans"/>
                <w:sz w:val="20"/>
                <w:szCs w:val="20"/>
              </w:rPr>
              <w:t xml:space="preserve"> treatment with this drug for this condition</w:t>
            </w:r>
            <w:r w:rsidRPr="003D096B">
              <w:rPr>
                <w:rFonts w:ascii="Arial Narrow" w:hAnsi="Arial Narrow" w:cs="Open Sans"/>
                <w:i/>
                <w:iCs/>
                <w:strike/>
                <w:sz w:val="20"/>
                <w:szCs w:val="20"/>
              </w:rPr>
              <w:t>; or</w:t>
            </w:r>
          </w:p>
        </w:tc>
      </w:tr>
      <w:tr w:rsidR="008D4296" w:rsidRPr="001F4B70" w14:paraId="6A88AD7D"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Pr>
          <w:p w14:paraId="28B35803" w14:textId="4E342ACC" w:rsidR="008D4296" w:rsidRPr="003D096B" w:rsidRDefault="008D4296" w:rsidP="008D4296">
            <w:pPr>
              <w:jc w:val="left"/>
              <w:rPr>
                <w:rFonts w:ascii="Arial Narrow" w:hAnsi="Arial Narrow" w:cs="Open Sans"/>
                <w:i/>
                <w:iCs/>
                <w:strike/>
                <w:sz w:val="20"/>
                <w:szCs w:val="20"/>
              </w:rPr>
            </w:pPr>
          </w:p>
        </w:tc>
        <w:tc>
          <w:tcPr>
            <w:tcW w:w="4322" w:type="pct"/>
            <w:gridSpan w:val="6"/>
          </w:tcPr>
          <w:p w14:paraId="034433ED" w14:textId="28CB37AB" w:rsidR="008D4296" w:rsidRPr="003D096B" w:rsidRDefault="008D4296" w:rsidP="008D4296">
            <w:pPr>
              <w:jc w:val="left"/>
              <w:rPr>
                <w:rFonts w:ascii="Arial Narrow" w:hAnsi="Arial Narrow" w:cs="Open Sans"/>
                <w:i/>
                <w:iCs/>
                <w:strike/>
                <w:sz w:val="20"/>
                <w:szCs w:val="20"/>
              </w:rPr>
            </w:pPr>
            <w:r w:rsidRPr="003D096B">
              <w:rPr>
                <w:rFonts w:ascii="Arial Narrow" w:hAnsi="Arial Narrow" w:cs="Open Sans"/>
                <w:i/>
                <w:iCs/>
                <w:strike/>
                <w:sz w:val="20"/>
                <w:szCs w:val="20"/>
              </w:rPr>
              <w:t>Patient must have previously received PBS-subsidised treatment with this drug for this condition under the - Transitioning from non-PBS to PBS-subsided treatment - Grandfather treatment restriction</w:t>
            </w:r>
          </w:p>
        </w:tc>
      </w:tr>
      <w:tr w:rsidR="008D4296" w:rsidRPr="001F4B70" w14:paraId="4075E4B2"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Pr>
          <w:p w14:paraId="649A7252" w14:textId="77777777" w:rsidR="008D4296" w:rsidRPr="00D56963" w:rsidRDefault="008D4296" w:rsidP="008D4296">
            <w:pPr>
              <w:jc w:val="left"/>
              <w:rPr>
                <w:rFonts w:ascii="Arial Narrow" w:hAnsi="Arial Narrow"/>
                <w:sz w:val="20"/>
                <w:szCs w:val="20"/>
              </w:rPr>
            </w:pPr>
          </w:p>
        </w:tc>
        <w:tc>
          <w:tcPr>
            <w:tcW w:w="4322" w:type="pct"/>
            <w:gridSpan w:val="6"/>
          </w:tcPr>
          <w:p w14:paraId="14209161" w14:textId="150DF200" w:rsidR="008D4296" w:rsidRPr="00D56963" w:rsidRDefault="008D4296" w:rsidP="008D4296">
            <w:pPr>
              <w:jc w:val="left"/>
              <w:rPr>
                <w:rFonts w:ascii="Arial Narrow" w:hAnsi="Arial Narrow"/>
                <w:b/>
                <w:bCs/>
                <w:sz w:val="20"/>
                <w:szCs w:val="20"/>
              </w:rPr>
            </w:pPr>
            <w:r w:rsidRPr="003D096B">
              <w:rPr>
                <w:rStyle w:val="Strong"/>
                <w:rFonts w:ascii="Arial Narrow" w:hAnsi="Arial Narrow" w:cs="Open Sans"/>
                <w:sz w:val="20"/>
                <w:szCs w:val="20"/>
                <w:bdr w:val="none" w:sz="0" w:space="0" w:color="auto" w:frame="1"/>
              </w:rPr>
              <w:t>AND</w:t>
            </w:r>
          </w:p>
        </w:tc>
      </w:tr>
      <w:tr w:rsidR="008D4296" w:rsidRPr="001F4B70" w14:paraId="00C634B2"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Pr>
          <w:p w14:paraId="0FEDC698" w14:textId="425AB478" w:rsidR="008D4296" w:rsidRPr="00D56963" w:rsidRDefault="008D4296" w:rsidP="008D4296">
            <w:pPr>
              <w:jc w:val="left"/>
              <w:rPr>
                <w:rFonts w:ascii="Arial Narrow" w:hAnsi="Arial Narrow"/>
                <w:sz w:val="20"/>
                <w:szCs w:val="20"/>
              </w:rPr>
            </w:pPr>
          </w:p>
        </w:tc>
        <w:tc>
          <w:tcPr>
            <w:tcW w:w="4322" w:type="pct"/>
            <w:gridSpan w:val="6"/>
          </w:tcPr>
          <w:p w14:paraId="2FE86061" w14:textId="35552730" w:rsidR="008D4296" w:rsidRPr="00D56963" w:rsidRDefault="008D4296" w:rsidP="008D4296">
            <w:pPr>
              <w:jc w:val="left"/>
              <w:rPr>
                <w:rFonts w:ascii="Arial Narrow" w:hAnsi="Arial Narrow"/>
                <w:b/>
                <w:bCs/>
                <w:sz w:val="20"/>
                <w:szCs w:val="20"/>
              </w:rPr>
            </w:pPr>
            <w:r w:rsidRPr="003D096B">
              <w:rPr>
                <w:rStyle w:val="Strong"/>
                <w:rFonts w:ascii="Arial Narrow" w:hAnsi="Arial Narrow" w:cs="Open Sans"/>
                <w:sz w:val="20"/>
                <w:szCs w:val="20"/>
                <w:bdr w:val="none" w:sz="0" w:space="0" w:color="auto" w:frame="1"/>
              </w:rPr>
              <w:t>Clinical criteria:</w:t>
            </w:r>
          </w:p>
        </w:tc>
      </w:tr>
      <w:tr w:rsidR="008D4296" w:rsidRPr="001F4B70" w14:paraId="7525D9C1"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Pr>
          <w:p w14:paraId="7EB40F85" w14:textId="2CCA29B3" w:rsidR="008D4296" w:rsidRPr="00D56963" w:rsidRDefault="008D4296" w:rsidP="008D4296">
            <w:pPr>
              <w:jc w:val="left"/>
              <w:rPr>
                <w:rFonts w:ascii="Arial Narrow" w:hAnsi="Arial Narrow"/>
                <w:sz w:val="20"/>
                <w:szCs w:val="20"/>
              </w:rPr>
            </w:pPr>
          </w:p>
        </w:tc>
        <w:tc>
          <w:tcPr>
            <w:tcW w:w="4322" w:type="pct"/>
            <w:gridSpan w:val="6"/>
          </w:tcPr>
          <w:p w14:paraId="5CC46364" w14:textId="50E1ECAE" w:rsidR="008D4296" w:rsidRPr="003D096B" w:rsidRDefault="008D4296" w:rsidP="008D4296">
            <w:pPr>
              <w:jc w:val="left"/>
              <w:rPr>
                <w:rFonts w:ascii="Arial Narrow" w:hAnsi="Arial Narrow"/>
                <w:b/>
                <w:bCs/>
                <w:strike/>
                <w:sz w:val="20"/>
                <w:szCs w:val="20"/>
              </w:rPr>
            </w:pPr>
            <w:r w:rsidRPr="003D096B">
              <w:rPr>
                <w:rFonts w:ascii="Arial Narrow" w:hAnsi="Arial Narrow" w:cs="Open Sans"/>
                <w:strike/>
                <w:sz w:val="20"/>
                <w:szCs w:val="20"/>
              </w:rPr>
              <w:t>Patient must have documented evidence of having achieved histologic remission while receiving initial PBS-subsidised treatment with this drug for this condition, defined as a peak eosinophil count of less than 5 eosinophils per high power field (hpf), corresponding to less than 16 eosinophils per mm</w:t>
            </w:r>
            <w:r w:rsidRPr="005830D9">
              <w:rPr>
                <w:rFonts w:ascii="Arial Narrow" w:hAnsi="Arial Narrow" w:cs="Open Sans"/>
                <w:strike/>
                <w:sz w:val="20"/>
                <w:szCs w:val="20"/>
                <w:vertAlign w:val="superscript"/>
              </w:rPr>
              <w:t>2</w:t>
            </w:r>
            <w:r w:rsidRPr="003D096B">
              <w:rPr>
                <w:rFonts w:ascii="Arial Narrow" w:hAnsi="Arial Narrow" w:cs="Open Sans"/>
                <w:strike/>
                <w:sz w:val="20"/>
                <w:szCs w:val="20"/>
              </w:rPr>
              <w:t xml:space="preserve"> hpf on oesophageal biopsy</w:t>
            </w:r>
          </w:p>
        </w:tc>
      </w:tr>
      <w:tr w:rsidR="008D4296" w:rsidRPr="001F4B70" w14:paraId="35DAB571"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Pr>
          <w:p w14:paraId="6E6CCB54" w14:textId="62AE8427" w:rsidR="008D4296" w:rsidRDefault="008D4296" w:rsidP="008D4296">
            <w:pPr>
              <w:jc w:val="left"/>
              <w:rPr>
                <w:rFonts w:ascii="Arial Narrow" w:hAnsi="Arial Narrow" w:cs="Open Sans"/>
                <w:sz w:val="20"/>
                <w:szCs w:val="20"/>
              </w:rPr>
            </w:pPr>
          </w:p>
        </w:tc>
        <w:tc>
          <w:tcPr>
            <w:tcW w:w="4322" w:type="pct"/>
            <w:gridSpan w:val="6"/>
          </w:tcPr>
          <w:p w14:paraId="5EC139FE" w14:textId="23A92491" w:rsidR="008D4296" w:rsidRPr="003D096B" w:rsidRDefault="008D4296" w:rsidP="008D4296">
            <w:pPr>
              <w:jc w:val="left"/>
              <w:rPr>
                <w:rFonts w:ascii="Arial Narrow" w:hAnsi="Arial Narrow" w:cs="Open Sans"/>
                <w:sz w:val="20"/>
                <w:szCs w:val="20"/>
              </w:rPr>
            </w:pPr>
            <w:r>
              <w:rPr>
                <w:rFonts w:ascii="Arial Narrow" w:hAnsi="Arial Narrow" w:cs="Open Sans"/>
                <w:sz w:val="20"/>
                <w:szCs w:val="20"/>
              </w:rPr>
              <w:t xml:space="preserve">Patient must have both demonstrated and sustained an adequate response to this drug for this condition, based on the clinical assessment </w:t>
            </w:r>
            <w:r w:rsidRPr="008E4403">
              <w:rPr>
                <w:rFonts w:ascii="Arial Narrow" w:hAnsi="Arial Narrow" w:cs="Open Sans"/>
                <w:i/>
                <w:iCs/>
                <w:sz w:val="20"/>
                <w:szCs w:val="20"/>
              </w:rPr>
              <w:t xml:space="preserve">of </w:t>
            </w:r>
            <w:r>
              <w:rPr>
                <w:rFonts w:ascii="Arial Narrow" w:hAnsi="Arial Narrow" w:cs="Open Sans"/>
                <w:sz w:val="20"/>
                <w:szCs w:val="20"/>
              </w:rPr>
              <w:t>the treating doctor</w:t>
            </w:r>
          </w:p>
        </w:tc>
      </w:tr>
      <w:tr w:rsidR="008D4296" w:rsidRPr="001F4B70" w14:paraId="7BF50E1D"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Pr>
          <w:p w14:paraId="70BF373E" w14:textId="77777777" w:rsidR="008D4296" w:rsidRPr="00D56963" w:rsidRDefault="008D4296" w:rsidP="008D4296">
            <w:pPr>
              <w:jc w:val="left"/>
              <w:rPr>
                <w:rFonts w:ascii="Arial Narrow" w:hAnsi="Arial Narrow"/>
                <w:sz w:val="20"/>
                <w:szCs w:val="20"/>
              </w:rPr>
            </w:pPr>
          </w:p>
        </w:tc>
        <w:tc>
          <w:tcPr>
            <w:tcW w:w="4322" w:type="pct"/>
            <w:gridSpan w:val="6"/>
          </w:tcPr>
          <w:p w14:paraId="72B74593" w14:textId="36DED5A2" w:rsidR="008D4296" w:rsidRPr="00D56963" w:rsidRDefault="008D4296" w:rsidP="008D4296">
            <w:pPr>
              <w:jc w:val="left"/>
              <w:rPr>
                <w:rFonts w:ascii="Arial Narrow" w:hAnsi="Arial Narrow"/>
                <w:b/>
                <w:bCs/>
                <w:sz w:val="20"/>
                <w:szCs w:val="20"/>
              </w:rPr>
            </w:pPr>
            <w:r w:rsidRPr="003D096B">
              <w:rPr>
                <w:rStyle w:val="Strong"/>
                <w:rFonts w:ascii="Arial Narrow" w:hAnsi="Arial Narrow" w:cs="Open Sans"/>
                <w:sz w:val="20"/>
                <w:szCs w:val="20"/>
                <w:bdr w:val="none" w:sz="0" w:space="0" w:color="auto" w:frame="1"/>
              </w:rPr>
              <w:t>AND</w:t>
            </w:r>
          </w:p>
        </w:tc>
      </w:tr>
      <w:tr w:rsidR="008D4296" w:rsidRPr="001F4B70" w14:paraId="27229978"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Pr>
          <w:p w14:paraId="697E3C00" w14:textId="5C10BAFC" w:rsidR="008D4296" w:rsidRPr="00D56963" w:rsidRDefault="008D4296" w:rsidP="008D4296">
            <w:pPr>
              <w:jc w:val="left"/>
              <w:rPr>
                <w:rFonts w:ascii="Arial Narrow" w:hAnsi="Arial Narrow"/>
                <w:sz w:val="20"/>
                <w:szCs w:val="20"/>
              </w:rPr>
            </w:pPr>
          </w:p>
        </w:tc>
        <w:tc>
          <w:tcPr>
            <w:tcW w:w="4322" w:type="pct"/>
            <w:gridSpan w:val="6"/>
          </w:tcPr>
          <w:p w14:paraId="2AD0CBAE" w14:textId="7E85EA5D" w:rsidR="008D4296" w:rsidRPr="003D096B" w:rsidRDefault="008D4296" w:rsidP="008D4296">
            <w:pPr>
              <w:jc w:val="left"/>
              <w:rPr>
                <w:rFonts w:ascii="Arial Narrow" w:hAnsi="Arial Narrow"/>
                <w:b/>
                <w:bCs/>
                <w:strike/>
                <w:sz w:val="20"/>
                <w:szCs w:val="20"/>
              </w:rPr>
            </w:pPr>
            <w:r w:rsidRPr="003D096B">
              <w:rPr>
                <w:rStyle w:val="Strong"/>
                <w:rFonts w:ascii="Arial Narrow" w:hAnsi="Arial Narrow" w:cs="Open Sans"/>
                <w:strike/>
                <w:sz w:val="20"/>
                <w:szCs w:val="20"/>
                <w:bdr w:val="none" w:sz="0" w:space="0" w:color="auto" w:frame="1"/>
              </w:rPr>
              <w:t>Clinical criteria:</w:t>
            </w:r>
          </w:p>
        </w:tc>
      </w:tr>
      <w:tr w:rsidR="008D4296" w:rsidRPr="001F4B70" w14:paraId="17DD4202"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Pr>
          <w:p w14:paraId="690E0DA4" w14:textId="08E24831" w:rsidR="008D4296" w:rsidRPr="00D56963" w:rsidRDefault="008D4296" w:rsidP="008D4296">
            <w:pPr>
              <w:jc w:val="left"/>
              <w:rPr>
                <w:rFonts w:ascii="Arial Narrow" w:hAnsi="Arial Narrow"/>
                <w:sz w:val="20"/>
                <w:szCs w:val="20"/>
              </w:rPr>
            </w:pPr>
          </w:p>
        </w:tc>
        <w:tc>
          <w:tcPr>
            <w:tcW w:w="4322" w:type="pct"/>
            <w:gridSpan w:val="6"/>
          </w:tcPr>
          <w:p w14:paraId="5B2E3CBF" w14:textId="22BC89D7" w:rsidR="008D4296" w:rsidRPr="003D096B" w:rsidRDefault="008D4296" w:rsidP="008D4296">
            <w:pPr>
              <w:jc w:val="left"/>
              <w:rPr>
                <w:rFonts w:ascii="Arial Narrow" w:hAnsi="Arial Narrow"/>
                <w:b/>
                <w:bCs/>
                <w:strike/>
                <w:sz w:val="20"/>
                <w:szCs w:val="20"/>
              </w:rPr>
            </w:pPr>
            <w:r w:rsidRPr="003D096B">
              <w:rPr>
                <w:rFonts w:ascii="Arial Narrow" w:hAnsi="Arial Narrow" w:cs="Open Sans"/>
                <w:strike/>
                <w:sz w:val="20"/>
                <w:szCs w:val="20"/>
              </w:rPr>
              <w:t>Patient must not receive more than 26 weeks of treatment under this restriction</w:t>
            </w:r>
          </w:p>
        </w:tc>
      </w:tr>
      <w:tr w:rsidR="008D4296" w:rsidRPr="001F4B70" w14:paraId="124A66BA"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Pr>
          <w:p w14:paraId="64916D03" w14:textId="6BF82FD4" w:rsidR="008D4296" w:rsidRPr="00D56963" w:rsidRDefault="008D4296" w:rsidP="008D4296">
            <w:pPr>
              <w:jc w:val="left"/>
              <w:rPr>
                <w:rFonts w:ascii="Arial Narrow" w:hAnsi="Arial Narrow"/>
                <w:sz w:val="20"/>
                <w:szCs w:val="20"/>
              </w:rPr>
            </w:pPr>
          </w:p>
        </w:tc>
        <w:tc>
          <w:tcPr>
            <w:tcW w:w="4322" w:type="pct"/>
            <w:gridSpan w:val="6"/>
          </w:tcPr>
          <w:p w14:paraId="3A0FFC2F" w14:textId="1CE8B9F6" w:rsidR="008D4296" w:rsidRPr="00D56963" w:rsidRDefault="008D4296" w:rsidP="008D4296">
            <w:pPr>
              <w:jc w:val="left"/>
              <w:rPr>
                <w:rFonts w:ascii="Arial Narrow" w:hAnsi="Arial Narrow"/>
                <w:b/>
                <w:bCs/>
                <w:sz w:val="20"/>
                <w:szCs w:val="20"/>
              </w:rPr>
            </w:pPr>
            <w:r w:rsidRPr="003D096B">
              <w:rPr>
                <w:rStyle w:val="Strong"/>
                <w:rFonts w:ascii="Arial Narrow" w:hAnsi="Arial Narrow" w:cs="Open Sans"/>
                <w:sz w:val="20"/>
                <w:szCs w:val="20"/>
                <w:bdr w:val="none" w:sz="0" w:space="0" w:color="auto" w:frame="1"/>
              </w:rPr>
              <w:t>Treatment criteria:</w:t>
            </w:r>
          </w:p>
        </w:tc>
      </w:tr>
      <w:tr w:rsidR="008D4296" w:rsidRPr="001F4B70" w14:paraId="29EACA5D"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Pr>
          <w:p w14:paraId="222BA499" w14:textId="2B4FC26A" w:rsidR="008D4296" w:rsidRPr="00D56963" w:rsidRDefault="008D4296" w:rsidP="008D4296">
            <w:pPr>
              <w:jc w:val="left"/>
              <w:rPr>
                <w:rFonts w:ascii="Arial Narrow" w:hAnsi="Arial Narrow"/>
                <w:sz w:val="20"/>
                <w:szCs w:val="20"/>
              </w:rPr>
            </w:pPr>
          </w:p>
        </w:tc>
        <w:tc>
          <w:tcPr>
            <w:tcW w:w="4322" w:type="pct"/>
            <w:gridSpan w:val="6"/>
          </w:tcPr>
          <w:p w14:paraId="7F56398D" w14:textId="3E3A8FE4" w:rsidR="008D4296" w:rsidRPr="003D096B" w:rsidRDefault="008D4296" w:rsidP="008D4296">
            <w:pPr>
              <w:jc w:val="left"/>
              <w:rPr>
                <w:rFonts w:ascii="Arial Narrow" w:hAnsi="Arial Narrow"/>
                <w:b/>
                <w:bCs/>
                <w:i/>
                <w:iCs/>
                <w:sz w:val="20"/>
                <w:szCs w:val="20"/>
              </w:rPr>
            </w:pPr>
            <w:r w:rsidRPr="003D096B">
              <w:rPr>
                <w:rFonts w:ascii="Arial Narrow" w:hAnsi="Arial Narrow" w:cs="Open Sans"/>
                <w:sz w:val="20"/>
                <w:szCs w:val="20"/>
              </w:rPr>
              <w:t>Must be treated</w:t>
            </w:r>
            <w:r w:rsidR="005333E0">
              <w:rPr>
                <w:rFonts w:ascii="Arial Narrow" w:hAnsi="Arial Narrow" w:cs="Open Sans"/>
                <w:sz w:val="20"/>
                <w:szCs w:val="20"/>
              </w:rPr>
              <w:t xml:space="preserve"> by</w:t>
            </w:r>
            <w:r w:rsidRPr="003D096B">
              <w:rPr>
                <w:rFonts w:ascii="Arial Narrow" w:hAnsi="Arial Narrow" w:cs="Open Sans"/>
                <w:sz w:val="20"/>
                <w:szCs w:val="20"/>
              </w:rPr>
              <w:t xml:space="preserve"> </w:t>
            </w:r>
            <w:r>
              <w:rPr>
                <w:rFonts w:ascii="Arial Narrow" w:hAnsi="Arial Narrow" w:cs="Open Sans"/>
                <w:i/>
                <w:iCs/>
                <w:sz w:val="20"/>
                <w:szCs w:val="20"/>
              </w:rPr>
              <w:t xml:space="preserve">at least one of: </w:t>
            </w:r>
            <w:r w:rsidRPr="003D096B">
              <w:rPr>
                <w:rFonts w:ascii="Arial Narrow" w:hAnsi="Arial Narrow" w:cs="Open Sans"/>
                <w:strike/>
                <w:sz w:val="20"/>
                <w:szCs w:val="20"/>
              </w:rPr>
              <w:t>by a</w:t>
            </w:r>
            <w:r>
              <w:rPr>
                <w:rFonts w:ascii="Arial Narrow" w:hAnsi="Arial Narrow" w:cs="Open Sans"/>
                <w:i/>
                <w:iCs/>
                <w:sz w:val="20"/>
                <w:szCs w:val="20"/>
              </w:rPr>
              <w:t>(i)</w:t>
            </w:r>
            <w:r>
              <w:rPr>
                <w:rFonts w:ascii="Arial Narrow" w:hAnsi="Arial Narrow" w:cs="Open Sans"/>
                <w:sz w:val="20"/>
                <w:szCs w:val="20"/>
              </w:rPr>
              <w:t xml:space="preserve"> </w:t>
            </w:r>
            <w:r w:rsidRPr="003D096B">
              <w:rPr>
                <w:rFonts w:ascii="Arial Narrow" w:hAnsi="Arial Narrow" w:cs="Open Sans"/>
                <w:sz w:val="20"/>
                <w:szCs w:val="20"/>
              </w:rPr>
              <w:t>gastroenterologist</w:t>
            </w:r>
            <w:r>
              <w:rPr>
                <w:rFonts w:ascii="Arial Narrow" w:hAnsi="Arial Narrow" w:cs="Open Sans"/>
                <w:i/>
                <w:iCs/>
                <w:sz w:val="20"/>
                <w:szCs w:val="20"/>
              </w:rPr>
              <w:t>, (ii) surgeon experienced in the management of patients with eosinophilic oesophagitis, (iii) physician experienced in the management of patients with eosinophilic oesophagitis, (iv) a medical practitioner in consultation with one of these prescribers</w:t>
            </w:r>
          </w:p>
        </w:tc>
      </w:tr>
      <w:tr w:rsidR="008D4296" w:rsidRPr="001F4B70" w14:paraId="5576E4FD"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Pr>
          <w:p w14:paraId="64044489" w14:textId="77777777" w:rsidR="008D4296" w:rsidRPr="00D56963" w:rsidRDefault="008D4296" w:rsidP="008D4296">
            <w:pPr>
              <w:jc w:val="left"/>
              <w:rPr>
                <w:rFonts w:ascii="Arial Narrow" w:hAnsi="Arial Narrow" w:cs="Open Sans"/>
                <w:sz w:val="20"/>
                <w:szCs w:val="20"/>
              </w:rPr>
            </w:pPr>
          </w:p>
        </w:tc>
        <w:tc>
          <w:tcPr>
            <w:tcW w:w="4322" w:type="pct"/>
            <w:gridSpan w:val="6"/>
          </w:tcPr>
          <w:p w14:paraId="12C61DEE" w14:textId="12FFC795" w:rsidR="008D4296" w:rsidRPr="00D56963" w:rsidRDefault="008D4296" w:rsidP="008D4296">
            <w:pPr>
              <w:jc w:val="left"/>
              <w:rPr>
                <w:rFonts w:ascii="Arial Narrow" w:hAnsi="Arial Narrow" w:cs="Open Sans"/>
                <w:sz w:val="20"/>
                <w:szCs w:val="20"/>
              </w:rPr>
            </w:pPr>
          </w:p>
        </w:tc>
      </w:tr>
      <w:tr w:rsidR="008D4296" w:rsidRPr="001F4B70" w14:paraId="11441EB8"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Pr>
          <w:p w14:paraId="40ADF6DE" w14:textId="2DE233A7" w:rsidR="008D4296" w:rsidRPr="00D56963" w:rsidRDefault="008D4296" w:rsidP="008D4296">
            <w:pPr>
              <w:jc w:val="left"/>
              <w:rPr>
                <w:rFonts w:ascii="Arial Narrow" w:hAnsi="Arial Narrow"/>
                <w:sz w:val="20"/>
                <w:szCs w:val="20"/>
              </w:rPr>
            </w:pPr>
          </w:p>
        </w:tc>
        <w:tc>
          <w:tcPr>
            <w:tcW w:w="4322" w:type="pct"/>
            <w:gridSpan w:val="6"/>
          </w:tcPr>
          <w:p w14:paraId="0D7A4226" w14:textId="77777777" w:rsidR="008D4296" w:rsidRPr="003D096B" w:rsidRDefault="008D4296" w:rsidP="008D4296">
            <w:pPr>
              <w:pStyle w:val="NormalWeb"/>
              <w:spacing w:before="0" w:beforeAutospacing="0" w:after="0" w:afterAutospacing="0"/>
              <w:textAlignment w:val="baseline"/>
              <w:rPr>
                <w:rFonts w:ascii="Arial Narrow" w:hAnsi="Arial Narrow" w:cs="Open Sans"/>
                <w:strike/>
                <w:sz w:val="20"/>
                <w:szCs w:val="20"/>
              </w:rPr>
            </w:pPr>
            <w:r w:rsidRPr="003D096B">
              <w:rPr>
                <w:rStyle w:val="Strong"/>
                <w:rFonts w:ascii="Arial Narrow" w:hAnsi="Arial Narrow" w:cs="Open Sans"/>
                <w:strike/>
                <w:sz w:val="20"/>
                <w:szCs w:val="20"/>
                <w:bdr w:val="none" w:sz="0" w:space="0" w:color="auto" w:frame="1"/>
              </w:rPr>
              <w:t>Prescribing Instructions:</w:t>
            </w:r>
          </w:p>
          <w:p w14:paraId="26486F04" w14:textId="77777777" w:rsidR="008D4296" w:rsidRPr="003D096B" w:rsidRDefault="008D4296" w:rsidP="008D4296">
            <w:pPr>
              <w:pStyle w:val="NormalWeb"/>
              <w:spacing w:before="0" w:beforeAutospacing="0" w:after="0" w:afterAutospacing="0"/>
              <w:textAlignment w:val="baseline"/>
              <w:rPr>
                <w:rFonts w:ascii="Arial Narrow" w:hAnsi="Arial Narrow" w:cs="Open Sans"/>
                <w:strike/>
                <w:sz w:val="20"/>
                <w:szCs w:val="20"/>
              </w:rPr>
            </w:pPr>
            <w:r w:rsidRPr="003D096B">
              <w:rPr>
                <w:rFonts w:ascii="Arial Narrow" w:hAnsi="Arial Narrow" w:cs="Open Sans"/>
                <w:strike/>
                <w:sz w:val="20"/>
                <w:szCs w:val="20"/>
              </w:rPr>
              <w:t>Histologic assessment should be based on the peak eosinophils count derived from the evaluation of at least eight oesophageal biopsies (minimum of four collected from each of the mid and distal segments, with the distal segment biopsies taken at least 5 cm above the gastroesophageal junction).</w:t>
            </w:r>
          </w:p>
          <w:p w14:paraId="6CE466AE" w14:textId="43D7C3AB" w:rsidR="008D4296" w:rsidRPr="00D56963" w:rsidRDefault="008D4296" w:rsidP="008D4296">
            <w:pPr>
              <w:jc w:val="left"/>
              <w:rPr>
                <w:rFonts w:ascii="Arial Narrow" w:hAnsi="Arial Narrow"/>
                <w:b/>
                <w:bCs/>
                <w:sz w:val="20"/>
                <w:szCs w:val="20"/>
              </w:rPr>
            </w:pPr>
            <w:r w:rsidRPr="003D096B">
              <w:rPr>
                <w:rFonts w:ascii="Arial Narrow" w:hAnsi="Arial Narrow" w:cs="Open Sans"/>
                <w:strike/>
                <w:sz w:val="20"/>
                <w:szCs w:val="20"/>
              </w:rPr>
              <w:t>The histologic assessment should, where possible, be performed by the same physician who confirmed the diagnosis of eosinophilic oesophagitis in the patient. This assessment, which will be used to determine eligibility for continuing treatment, should be conducted and submitted after the patient has completed 8 weeks of the initial treatment course and no later than 2 weeks prior to the patient completing the PBS-subsidised initial treatment course, to avoid an interruption to supply. Where a histologic assessment is not undertaken and the results submitted, the patient will be not be eligible for ongoing treatment.</w:t>
            </w:r>
          </w:p>
        </w:tc>
      </w:tr>
      <w:tr w:rsidR="008D4296" w:rsidRPr="001F4B70" w14:paraId="50A3B2F6"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Pr>
          <w:p w14:paraId="5DA483BD" w14:textId="59E44AA9" w:rsidR="008D4296" w:rsidRDefault="008D4296" w:rsidP="008D4296">
            <w:pPr>
              <w:jc w:val="left"/>
              <w:rPr>
                <w:rFonts w:ascii="Arial Narrow" w:hAnsi="Arial Narrow" w:cs="Open Sans"/>
                <w:sz w:val="20"/>
                <w:szCs w:val="20"/>
              </w:rPr>
            </w:pPr>
          </w:p>
        </w:tc>
        <w:tc>
          <w:tcPr>
            <w:tcW w:w="4322" w:type="pct"/>
            <w:gridSpan w:val="6"/>
          </w:tcPr>
          <w:p w14:paraId="0C1C3E83" w14:textId="77777777" w:rsidR="008D4296" w:rsidRPr="003D096B" w:rsidRDefault="008D4296" w:rsidP="008D4296">
            <w:pPr>
              <w:pStyle w:val="NormalWeb"/>
              <w:spacing w:before="0" w:beforeAutospacing="0" w:after="0" w:afterAutospacing="0"/>
              <w:textAlignment w:val="baseline"/>
              <w:rPr>
                <w:rFonts w:ascii="Arial Narrow" w:hAnsi="Arial Narrow" w:cs="Open Sans"/>
                <w:sz w:val="20"/>
                <w:szCs w:val="20"/>
              </w:rPr>
            </w:pPr>
            <w:r w:rsidRPr="003D096B">
              <w:rPr>
                <w:rStyle w:val="Strong"/>
                <w:rFonts w:ascii="Arial Narrow" w:hAnsi="Arial Narrow" w:cs="Open Sans"/>
                <w:sz w:val="20"/>
                <w:szCs w:val="20"/>
                <w:bdr w:val="none" w:sz="0" w:space="0" w:color="auto" w:frame="1"/>
              </w:rPr>
              <w:t>Prescribing Instructions:</w:t>
            </w:r>
          </w:p>
          <w:p w14:paraId="0B5ED87C" w14:textId="761880EF" w:rsidR="008D4296" w:rsidRPr="003D096B" w:rsidRDefault="008D4296" w:rsidP="008D4296">
            <w:pPr>
              <w:pStyle w:val="NormalWeb"/>
              <w:spacing w:before="0" w:beforeAutospacing="0" w:after="0" w:afterAutospacing="0"/>
              <w:textAlignment w:val="baseline"/>
              <w:rPr>
                <w:rStyle w:val="Strong"/>
                <w:rFonts w:ascii="Arial Narrow" w:hAnsi="Arial Narrow" w:cs="Open Sans"/>
                <w:sz w:val="20"/>
                <w:szCs w:val="20"/>
                <w:bdr w:val="none" w:sz="0" w:space="0" w:color="auto" w:frame="1"/>
              </w:rPr>
            </w:pPr>
            <w:r w:rsidRPr="003D096B">
              <w:rPr>
                <w:rFonts w:ascii="Arial Narrow" w:hAnsi="Arial Narrow" w:cs="Open Sans"/>
                <w:sz w:val="20"/>
                <w:szCs w:val="20"/>
              </w:rPr>
              <w:t xml:space="preserve">The assessment of treatment response should, where possible, be performed by or in consultation with the same physician or surgeon who confirmed the diagnosis of eosinophilic oesophagitis </w:t>
            </w:r>
            <w:r w:rsidRPr="00A14333">
              <w:rPr>
                <w:rFonts w:ascii="Arial Narrow" w:hAnsi="Arial Narrow" w:cs="Open Sans"/>
                <w:strike/>
                <w:sz w:val="20"/>
                <w:szCs w:val="20"/>
              </w:rPr>
              <w:t>in the patient</w:t>
            </w:r>
            <w:r w:rsidRPr="003D096B">
              <w:rPr>
                <w:rFonts w:ascii="Arial Narrow" w:hAnsi="Arial Narrow" w:cs="Open Sans"/>
                <w:sz w:val="20"/>
                <w:szCs w:val="20"/>
              </w:rPr>
              <w:t>.</w:t>
            </w:r>
          </w:p>
        </w:tc>
      </w:tr>
      <w:tr w:rsidR="008D4296" w:rsidRPr="001F4B70" w14:paraId="3F001643" w14:textId="77777777" w:rsidTr="008D4296">
        <w:tblPrEx>
          <w:tblCellMar>
            <w:top w:w="15" w:type="dxa"/>
            <w:bottom w:w="15" w:type="dxa"/>
          </w:tblCellMar>
          <w:tblLook w:val="04A0" w:firstRow="1" w:lastRow="0" w:firstColumn="1" w:lastColumn="0" w:noHBand="0" w:noVBand="1"/>
        </w:tblPrEx>
        <w:trPr>
          <w:cantSplit/>
          <w:trHeight w:val="20"/>
        </w:trPr>
        <w:tc>
          <w:tcPr>
            <w:tcW w:w="5000" w:type="pct"/>
            <w:gridSpan w:val="8"/>
            <w:tcBorders>
              <w:top w:val="single" w:sz="4" w:space="0" w:color="auto"/>
              <w:left w:val="single" w:sz="4" w:space="0" w:color="auto"/>
              <w:bottom w:val="single" w:sz="4" w:space="0" w:color="auto"/>
              <w:right w:val="single" w:sz="4" w:space="0" w:color="auto"/>
            </w:tcBorders>
          </w:tcPr>
          <w:p w14:paraId="5B0AFE25" w14:textId="77777777"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p>
          <w:p w14:paraId="6779996F" w14:textId="7BB7F3A5"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p>
        </w:tc>
      </w:tr>
      <w:tr w:rsidR="008D4296" w:rsidRPr="001F4B70" w14:paraId="31736ED6" w14:textId="77777777" w:rsidTr="008D4296">
        <w:tblPrEx>
          <w:tblCellMar>
            <w:top w:w="15" w:type="dxa"/>
            <w:bottom w:w="15" w:type="dxa"/>
          </w:tblCellMar>
          <w:tblLook w:val="04A0" w:firstRow="1" w:lastRow="0" w:firstColumn="1" w:lastColumn="0" w:noHBand="0" w:noVBand="1"/>
        </w:tblPrEx>
        <w:trPr>
          <w:cantSplit/>
          <w:trHeight w:val="20"/>
        </w:trPr>
        <w:tc>
          <w:tcPr>
            <w:tcW w:w="5000" w:type="pct"/>
            <w:gridSpan w:val="8"/>
            <w:tcBorders>
              <w:top w:val="single" w:sz="4" w:space="0" w:color="auto"/>
              <w:left w:val="single" w:sz="4" w:space="0" w:color="auto"/>
              <w:bottom w:val="single" w:sz="4" w:space="0" w:color="auto"/>
              <w:right w:val="single" w:sz="4" w:space="0" w:color="auto"/>
            </w:tcBorders>
          </w:tcPr>
          <w:p w14:paraId="7B4F6F72" w14:textId="579D73C4" w:rsidR="008D4296" w:rsidRPr="00D56963"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Pr>
                <w:rFonts w:ascii="Arial Narrow" w:hAnsi="Arial Narrow"/>
                <w:b/>
                <w:sz w:val="20"/>
                <w:szCs w:val="20"/>
              </w:rPr>
              <w:t xml:space="preserve">Remove </w:t>
            </w:r>
            <w:r w:rsidRPr="00AE4E22">
              <w:rPr>
                <w:rFonts w:ascii="Arial Narrow" w:hAnsi="Arial Narrow"/>
                <w:b/>
                <w:sz w:val="20"/>
                <w:szCs w:val="20"/>
              </w:rPr>
              <w:t xml:space="preserve">Restriction Summary </w:t>
            </w:r>
            <w:r w:rsidR="007A34B0">
              <w:rPr>
                <w:rFonts w:ascii="Arial Narrow" w:hAnsi="Arial Narrow"/>
                <w:b/>
                <w:sz w:val="20"/>
                <w:szCs w:val="20"/>
              </w:rPr>
              <w:t>/</w:t>
            </w:r>
            <w:r w:rsidRPr="00AE4E22">
              <w:rPr>
                <w:rFonts w:ascii="Arial Narrow" w:hAnsi="Arial Narrow"/>
                <w:b/>
                <w:sz w:val="20"/>
                <w:szCs w:val="20"/>
              </w:rPr>
              <w:t xml:space="preserve">Treatment of Concept: </w:t>
            </w:r>
          </w:p>
        </w:tc>
      </w:tr>
      <w:tr w:rsidR="008D4296" w:rsidRPr="001F4B70" w14:paraId="3C4E3764"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6270470A" w14:textId="261109B1" w:rsidR="008D4296" w:rsidRPr="003D096B" w:rsidRDefault="008D4296" w:rsidP="008D4296">
            <w:pPr>
              <w:rPr>
                <w:rFonts w:ascii="Arial Narrow" w:hAnsi="Arial Narrow" w:cs="Open Sans"/>
                <w:strike/>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0862406C" w14:textId="77777777" w:rsidR="008D4296" w:rsidRPr="003D096B" w:rsidRDefault="008D4296" w:rsidP="008D4296">
            <w:pPr>
              <w:pStyle w:val="NormalWeb"/>
              <w:spacing w:before="0" w:beforeAutospacing="0" w:after="0" w:afterAutospacing="0"/>
              <w:textAlignment w:val="baseline"/>
              <w:rPr>
                <w:rFonts w:ascii="Arial Narrow" w:hAnsi="Arial Narrow" w:cs="Open Sans"/>
                <w:b/>
                <w:bCs/>
                <w:strike/>
                <w:sz w:val="20"/>
                <w:szCs w:val="20"/>
                <w:bdr w:val="none" w:sz="0" w:space="0" w:color="auto" w:frame="1"/>
              </w:rPr>
            </w:pPr>
            <w:r w:rsidRPr="003D096B">
              <w:rPr>
                <w:rFonts w:ascii="Arial Narrow" w:hAnsi="Arial Narrow" w:cs="Open Sans"/>
                <w:b/>
                <w:bCs/>
                <w:strike/>
                <w:sz w:val="20"/>
                <w:szCs w:val="20"/>
                <w:bdr w:val="none" w:sz="0" w:space="0" w:color="auto" w:frame="1"/>
              </w:rPr>
              <w:t xml:space="preserve">Indication: </w:t>
            </w:r>
            <w:r w:rsidRPr="003D096B">
              <w:rPr>
                <w:rFonts w:ascii="Arial Narrow" w:hAnsi="Arial Narrow" w:cs="Open Sans"/>
                <w:strike/>
                <w:sz w:val="20"/>
                <w:szCs w:val="20"/>
                <w:bdr w:val="none" w:sz="0" w:space="0" w:color="auto" w:frame="1"/>
              </w:rPr>
              <w:t>Eosinophilic oesophagitis</w:t>
            </w:r>
          </w:p>
        </w:tc>
      </w:tr>
      <w:tr w:rsidR="008D4296" w:rsidRPr="001F4B70" w14:paraId="411A911E"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1FAFCE19" w14:textId="77777777" w:rsidR="008D4296" w:rsidRPr="003D096B" w:rsidRDefault="008D4296" w:rsidP="008D4296">
            <w:pPr>
              <w:jc w:val="left"/>
              <w:rPr>
                <w:rFonts w:ascii="Arial Narrow" w:hAnsi="Arial Narrow" w:cs="Open Sans"/>
                <w:strike/>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36825599" w14:textId="33A82F60" w:rsidR="008D4296" w:rsidRPr="003D096B" w:rsidRDefault="008D4296" w:rsidP="008D4296">
            <w:pPr>
              <w:pStyle w:val="NormalWeb"/>
              <w:spacing w:before="0" w:beforeAutospacing="0" w:after="0" w:afterAutospacing="0"/>
              <w:textAlignment w:val="baseline"/>
              <w:rPr>
                <w:rFonts w:ascii="Arial Narrow" w:hAnsi="Arial Narrow" w:cs="Open Sans"/>
                <w:b/>
                <w:bCs/>
                <w:strike/>
                <w:sz w:val="20"/>
                <w:szCs w:val="20"/>
                <w:bdr w:val="none" w:sz="0" w:space="0" w:color="auto" w:frame="1"/>
              </w:rPr>
            </w:pPr>
            <w:r w:rsidRPr="003D096B">
              <w:rPr>
                <w:rFonts w:ascii="Arial Narrow" w:hAnsi="Arial Narrow" w:cs="Open Sans"/>
                <w:b/>
                <w:bCs/>
                <w:strike/>
                <w:sz w:val="20"/>
                <w:szCs w:val="20"/>
                <w:bdr w:val="none" w:sz="0" w:space="0" w:color="auto" w:frame="1"/>
              </w:rPr>
              <w:t xml:space="preserve">Treatment Phase: </w:t>
            </w:r>
            <w:r w:rsidRPr="003D096B">
              <w:rPr>
                <w:rFonts w:ascii="Arial Narrow" w:hAnsi="Arial Narrow" w:cs="Open Sans"/>
                <w:strike/>
                <w:sz w:val="20"/>
                <w:szCs w:val="20"/>
                <w:bdr w:val="none" w:sz="0" w:space="0" w:color="auto" w:frame="1"/>
              </w:rPr>
              <w:t>Subsequent continuing treatment - Maintenance of remission</w:t>
            </w:r>
          </w:p>
        </w:tc>
      </w:tr>
      <w:tr w:rsidR="008D4296" w:rsidRPr="001F4B70" w14:paraId="4A2B66A2"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3E463B61" w14:textId="76AD8C09" w:rsidR="008D4296" w:rsidRPr="003D096B" w:rsidRDefault="008D4296" w:rsidP="008D4296">
            <w:pPr>
              <w:jc w:val="left"/>
              <w:rPr>
                <w:rFonts w:ascii="Arial Narrow" w:hAnsi="Arial Narrow" w:cs="Open Sans"/>
                <w:strike/>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2760DDD8" w14:textId="10409F2A" w:rsidR="008D4296" w:rsidRPr="003D096B" w:rsidRDefault="008D4296" w:rsidP="008D4296">
            <w:pPr>
              <w:pStyle w:val="NormalWeb"/>
              <w:spacing w:before="0" w:beforeAutospacing="0" w:after="0" w:afterAutospacing="0"/>
              <w:textAlignment w:val="baseline"/>
              <w:rPr>
                <w:rFonts w:ascii="Arial Narrow" w:hAnsi="Arial Narrow" w:cs="Open Sans"/>
                <w:b/>
                <w:bCs/>
                <w:strike/>
                <w:sz w:val="20"/>
                <w:szCs w:val="20"/>
                <w:bdr w:val="none" w:sz="0" w:space="0" w:color="auto" w:frame="1"/>
              </w:rPr>
            </w:pPr>
            <w:r w:rsidRPr="003D096B">
              <w:rPr>
                <w:rStyle w:val="Strong"/>
                <w:rFonts w:ascii="Arial Narrow" w:hAnsi="Arial Narrow" w:cs="Open Sans"/>
                <w:strike/>
                <w:sz w:val="20"/>
                <w:szCs w:val="20"/>
                <w:bdr w:val="none" w:sz="0" w:space="0" w:color="auto" w:frame="1"/>
              </w:rPr>
              <w:t>Clinical criteria:</w:t>
            </w:r>
          </w:p>
        </w:tc>
      </w:tr>
      <w:tr w:rsidR="008D4296" w:rsidRPr="001F4B70" w14:paraId="2D5C0E57"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7809F208" w14:textId="7AE23312" w:rsidR="008D4296" w:rsidRPr="003D096B" w:rsidRDefault="008D4296" w:rsidP="008D4296">
            <w:pPr>
              <w:jc w:val="left"/>
              <w:rPr>
                <w:rFonts w:ascii="Arial Narrow" w:hAnsi="Arial Narrow" w:cs="Open Sans"/>
                <w:strike/>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309709B4" w14:textId="1598C737" w:rsidR="008D4296" w:rsidRPr="003D096B" w:rsidRDefault="008D4296" w:rsidP="008D4296">
            <w:pPr>
              <w:pStyle w:val="NormalWeb"/>
              <w:spacing w:before="0" w:beforeAutospacing="0" w:after="0" w:afterAutospacing="0"/>
              <w:textAlignment w:val="baseline"/>
              <w:rPr>
                <w:rFonts w:ascii="Arial Narrow" w:hAnsi="Arial Narrow" w:cs="Open Sans"/>
                <w:b/>
                <w:bCs/>
                <w:strike/>
                <w:sz w:val="20"/>
                <w:szCs w:val="20"/>
                <w:bdr w:val="none" w:sz="0" w:space="0" w:color="auto" w:frame="1"/>
              </w:rPr>
            </w:pPr>
            <w:r w:rsidRPr="003D096B">
              <w:rPr>
                <w:rFonts w:ascii="Arial Narrow" w:hAnsi="Arial Narrow" w:cs="Open Sans"/>
                <w:strike/>
                <w:sz w:val="20"/>
                <w:szCs w:val="20"/>
              </w:rPr>
              <w:t>Patient must have previously received PBS-subsidised treatment with this drug for this condition under the First continuing treatment restriction; or</w:t>
            </w:r>
          </w:p>
        </w:tc>
      </w:tr>
      <w:tr w:rsidR="008D4296" w:rsidRPr="001F4B70" w14:paraId="1BC937FA"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352F71FD" w14:textId="52CE38D7" w:rsidR="008D4296" w:rsidRPr="003D096B" w:rsidRDefault="008D4296" w:rsidP="008D4296">
            <w:pPr>
              <w:jc w:val="left"/>
              <w:rPr>
                <w:rFonts w:ascii="Arial Narrow" w:hAnsi="Arial Narrow" w:cs="Open Sans"/>
                <w:strike/>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7834C728" w14:textId="59FCAB15" w:rsidR="008D4296" w:rsidRPr="003D096B" w:rsidRDefault="008D4296" w:rsidP="008D4296">
            <w:pPr>
              <w:pStyle w:val="NormalWeb"/>
              <w:spacing w:before="0" w:beforeAutospacing="0" w:after="0" w:afterAutospacing="0"/>
              <w:textAlignment w:val="baseline"/>
              <w:rPr>
                <w:rFonts w:ascii="Arial Narrow" w:hAnsi="Arial Narrow" w:cs="Open Sans"/>
                <w:b/>
                <w:bCs/>
                <w:strike/>
                <w:sz w:val="20"/>
                <w:szCs w:val="20"/>
                <w:bdr w:val="none" w:sz="0" w:space="0" w:color="auto" w:frame="1"/>
              </w:rPr>
            </w:pPr>
            <w:r w:rsidRPr="003D096B">
              <w:rPr>
                <w:rFonts w:ascii="Arial Narrow" w:hAnsi="Arial Narrow" w:cs="Open Sans"/>
                <w:strike/>
                <w:sz w:val="20"/>
                <w:szCs w:val="20"/>
              </w:rPr>
              <w:t>Patient must have previously received PBS-subsidised treatment with this drug for this condition under the Transitioning from non-PBS to PBS-subsided treatment - Grandfather treatment restriction</w:t>
            </w:r>
          </w:p>
        </w:tc>
      </w:tr>
      <w:tr w:rsidR="008D4296" w:rsidRPr="001F4B70" w14:paraId="493905F6"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07912000" w14:textId="77777777" w:rsidR="008D4296" w:rsidRPr="003D096B" w:rsidRDefault="008D4296" w:rsidP="008D4296">
            <w:pPr>
              <w:jc w:val="left"/>
              <w:rPr>
                <w:rFonts w:ascii="Arial Narrow" w:hAnsi="Arial Narrow" w:cs="Open Sans"/>
                <w:strike/>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65856322" w14:textId="4CDD875D" w:rsidR="008D4296" w:rsidRPr="003D096B" w:rsidRDefault="008D4296" w:rsidP="008D4296">
            <w:pPr>
              <w:pStyle w:val="NormalWeb"/>
              <w:spacing w:before="0" w:beforeAutospacing="0" w:after="0" w:afterAutospacing="0"/>
              <w:textAlignment w:val="baseline"/>
              <w:rPr>
                <w:rFonts w:ascii="Arial Narrow" w:hAnsi="Arial Narrow" w:cs="Open Sans"/>
                <w:b/>
                <w:bCs/>
                <w:strike/>
                <w:sz w:val="20"/>
                <w:szCs w:val="20"/>
                <w:bdr w:val="none" w:sz="0" w:space="0" w:color="auto" w:frame="1"/>
              </w:rPr>
            </w:pPr>
            <w:r w:rsidRPr="003D096B">
              <w:rPr>
                <w:rStyle w:val="Strong"/>
                <w:rFonts w:ascii="Arial Narrow" w:hAnsi="Arial Narrow" w:cs="Open Sans"/>
                <w:strike/>
                <w:sz w:val="20"/>
                <w:szCs w:val="20"/>
                <w:bdr w:val="none" w:sz="0" w:space="0" w:color="auto" w:frame="1"/>
              </w:rPr>
              <w:t>AND</w:t>
            </w:r>
          </w:p>
        </w:tc>
      </w:tr>
      <w:tr w:rsidR="008D4296" w:rsidRPr="001F4B70" w14:paraId="7BFE2F70"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2C535F6C" w14:textId="4E6F1C97" w:rsidR="008D4296" w:rsidRPr="003D096B" w:rsidRDefault="008D4296" w:rsidP="008D4296">
            <w:pPr>
              <w:jc w:val="left"/>
              <w:rPr>
                <w:rFonts w:ascii="Arial Narrow" w:hAnsi="Arial Narrow" w:cs="Open Sans"/>
                <w:strike/>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15807466" w14:textId="10B6C89D" w:rsidR="008D4296" w:rsidRPr="003D096B" w:rsidRDefault="008D4296" w:rsidP="008D4296">
            <w:pPr>
              <w:pStyle w:val="NormalWeb"/>
              <w:spacing w:before="0" w:beforeAutospacing="0" w:after="0" w:afterAutospacing="0"/>
              <w:textAlignment w:val="baseline"/>
              <w:rPr>
                <w:rFonts w:ascii="Arial Narrow" w:hAnsi="Arial Narrow" w:cs="Open Sans"/>
                <w:b/>
                <w:bCs/>
                <w:strike/>
                <w:sz w:val="20"/>
                <w:szCs w:val="20"/>
                <w:bdr w:val="none" w:sz="0" w:space="0" w:color="auto" w:frame="1"/>
              </w:rPr>
            </w:pPr>
            <w:r w:rsidRPr="003D096B">
              <w:rPr>
                <w:rStyle w:val="Strong"/>
                <w:rFonts w:ascii="Arial Narrow" w:hAnsi="Arial Narrow" w:cs="Open Sans"/>
                <w:strike/>
                <w:sz w:val="20"/>
                <w:szCs w:val="20"/>
                <w:bdr w:val="none" w:sz="0" w:space="0" w:color="auto" w:frame="1"/>
              </w:rPr>
              <w:t>Clinical criteria:</w:t>
            </w:r>
          </w:p>
        </w:tc>
      </w:tr>
      <w:tr w:rsidR="008D4296" w:rsidRPr="001F4B70" w14:paraId="36BE457F"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0BFB567B" w14:textId="17A8A666" w:rsidR="008D4296" w:rsidRPr="003D096B" w:rsidRDefault="008D4296" w:rsidP="008D4296">
            <w:pPr>
              <w:jc w:val="left"/>
              <w:rPr>
                <w:rFonts w:ascii="Arial Narrow" w:hAnsi="Arial Narrow" w:cs="Open Sans"/>
                <w:strike/>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44316A0D" w14:textId="585B7C06" w:rsidR="008D4296" w:rsidRPr="003D096B" w:rsidRDefault="008D4296" w:rsidP="008D4296">
            <w:pPr>
              <w:pStyle w:val="NormalWeb"/>
              <w:spacing w:before="0" w:beforeAutospacing="0" w:after="0" w:afterAutospacing="0"/>
              <w:textAlignment w:val="baseline"/>
              <w:rPr>
                <w:rFonts w:ascii="Arial Narrow" w:hAnsi="Arial Narrow" w:cs="Open Sans"/>
                <w:b/>
                <w:bCs/>
                <w:strike/>
                <w:sz w:val="20"/>
                <w:szCs w:val="20"/>
                <w:bdr w:val="none" w:sz="0" w:space="0" w:color="auto" w:frame="1"/>
              </w:rPr>
            </w:pPr>
            <w:r w:rsidRPr="003D096B">
              <w:rPr>
                <w:rFonts w:ascii="Arial Narrow" w:hAnsi="Arial Narrow" w:cs="Open Sans"/>
                <w:strike/>
                <w:sz w:val="20"/>
                <w:szCs w:val="20"/>
              </w:rPr>
              <w:t>The condition must not have progressed while being treated with this drug</w:t>
            </w:r>
          </w:p>
        </w:tc>
      </w:tr>
      <w:tr w:rsidR="008D4296" w:rsidRPr="001F4B70" w14:paraId="0AC6D0A4"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06E35BE2" w14:textId="3C044CDB" w:rsidR="008D4296" w:rsidRPr="003D096B" w:rsidRDefault="008D4296" w:rsidP="008D4296">
            <w:pPr>
              <w:jc w:val="left"/>
              <w:rPr>
                <w:rFonts w:ascii="Arial Narrow" w:hAnsi="Arial Narrow" w:cs="Open Sans"/>
                <w:strike/>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5B48969C" w14:textId="1F557DC9" w:rsidR="008D4296" w:rsidRPr="003D096B" w:rsidRDefault="008D4296" w:rsidP="008D4296">
            <w:pPr>
              <w:pStyle w:val="NormalWeb"/>
              <w:spacing w:before="0" w:beforeAutospacing="0" w:after="0" w:afterAutospacing="0"/>
              <w:textAlignment w:val="baseline"/>
              <w:rPr>
                <w:rFonts w:ascii="Arial Narrow" w:hAnsi="Arial Narrow" w:cs="Open Sans"/>
                <w:b/>
                <w:bCs/>
                <w:strike/>
                <w:sz w:val="20"/>
                <w:szCs w:val="20"/>
                <w:bdr w:val="none" w:sz="0" w:space="0" w:color="auto" w:frame="1"/>
              </w:rPr>
            </w:pPr>
            <w:r w:rsidRPr="003D096B">
              <w:rPr>
                <w:rStyle w:val="Strong"/>
                <w:rFonts w:ascii="Arial Narrow" w:hAnsi="Arial Narrow" w:cs="Open Sans"/>
                <w:strike/>
                <w:sz w:val="20"/>
                <w:szCs w:val="20"/>
                <w:bdr w:val="none" w:sz="0" w:space="0" w:color="auto" w:frame="1"/>
              </w:rPr>
              <w:t>Treatment criteria:</w:t>
            </w:r>
          </w:p>
        </w:tc>
      </w:tr>
      <w:tr w:rsidR="008D4296" w:rsidRPr="001F4B70" w14:paraId="0384E1E7"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2A2B0F74" w14:textId="0C053113" w:rsidR="008D4296" w:rsidRPr="003D096B" w:rsidRDefault="008D4296" w:rsidP="008D4296">
            <w:pPr>
              <w:jc w:val="left"/>
              <w:rPr>
                <w:rFonts w:ascii="Arial Narrow" w:hAnsi="Arial Narrow" w:cs="Open Sans"/>
                <w:strike/>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50FC8B9D" w14:textId="682BEAA4" w:rsidR="008D4296" w:rsidRPr="003D096B" w:rsidRDefault="008D4296" w:rsidP="008D4296">
            <w:pPr>
              <w:pStyle w:val="NormalWeb"/>
              <w:spacing w:before="0" w:beforeAutospacing="0" w:after="0" w:afterAutospacing="0"/>
              <w:textAlignment w:val="baseline"/>
              <w:rPr>
                <w:rFonts w:ascii="Arial Narrow" w:hAnsi="Arial Narrow" w:cs="Open Sans"/>
                <w:b/>
                <w:bCs/>
                <w:strike/>
                <w:sz w:val="20"/>
                <w:szCs w:val="20"/>
                <w:bdr w:val="none" w:sz="0" w:space="0" w:color="auto" w:frame="1"/>
              </w:rPr>
            </w:pPr>
            <w:r w:rsidRPr="003D096B">
              <w:rPr>
                <w:rFonts w:ascii="Arial Narrow" w:hAnsi="Arial Narrow" w:cs="Open Sans"/>
                <w:strike/>
                <w:sz w:val="20"/>
                <w:szCs w:val="20"/>
              </w:rPr>
              <w:t>Must be treated by a gastroenterologist or in consultation with a gastroenterologist</w:t>
            </w:r>
          </w:p>
        </w:tc>
      </w:tr>
      <w:tr w:rsidR="008D4296" w:rsidRPr="001F4B70" w14:paraId="34750021" w14:textId="77777777" w:rsidTr="008D4296">
        <w:tblPrEx>
          <w:tblCellMar>
            <w:top w:w="15" w:type="dxa"/>
            <w:bottom w:w="15" w:type="dxa"/>
          </w:tblCellMar>
          <w:tblLook w:val="04A0" w:firstRow="1" w:lastRow="0" w:firstColumn="1" w:lastColumn="0" w:noHBand="0" w:noVBand="1"/>
        </w:tblPrEx>
        <w:trPr>
          <w:cantSplit/>
          <w:trHeight w:val="20"/>
        </w:trPr>
        <w:tc>
          <w:tcPr>
            <w:tcW w:w="5000" w:type="pct"/>
            <w:gridSpan w:val="8"/>
            <w:tcBorders>
              <w:top w:val="single" w:sz="4" w:space="0" w:color="auto"/>
              <w:left w:val="single" w:sz="4" w:space="0" w:color="auto"/>
              <w:bottom w:val="single" w:sz="4" w:space="0" w:color="auto"/>
              <w:right w:val="single" w:sz="4" w:space="0" w:color="auto"/>
            </w:tcBorders>
          </w:tcPr>
          <w:p w14:paraId="6DF7FA82" w14:textId="77777777"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p>
          <w:p w14:paraId="5D522C29" w14:textId="77777777"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p>
        </w:tc>
      </w:tr>
      <w:tr w:rsidR="008D4296" w:rsidRPr="001F4B70" w14:paraId="14DEECBE" w14:textId="77777777" w:rsidTr="008D4296">
        <w:tblPrEx>
          <w:tblCellMar>
            <w:top w:w="15" w:type="dxa"/>
            <w:bottom w:w="15" w:type="dxa"/>
          </w:tblCellMar>
          <w:tblLook w:val="04A0" w:firstRow="1" w:lastRow="0" w:firstColumn="1" w:lastColumn="0" w:noHBand="0" w:noVBand="1"/>
        </w:tblPrEx>
        <w:trPr>
          <w:cantSplit/>
          <w:trHeight w:val="20"/>
        </w:trPr>
        <w:tc>
          <w:tcPr>
            <w:tcW w:w="5000" w:type="pct"/>
            <w:gridSpan w:val="8"/>
            <w:tcBorders>
              <w:top w:val="single" w:sz="4" w:space="0" w:color="auto"/>
              <w:left w:val="single" w:sz="4" w:space="0" w:color="auto"/>
              <w:bottom w:val="single" w:sz="4" w:space="0" w:color="auto"/>
              <w:right w:val="single" w:sz="4" w:space="0" w:color="auto"/>
            </w:tcBorders>
          </w:tcPr>
          <w:p w14:paraId="58000C26" w14:textId="10D2A68C" w:rsidR="008D4296" w:rsidRPr="00D56963"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AE4E22">
              <w:rPr>
                <w:rFonts w:ascii="Arial Narrow" w:hAnsi="Arial Narrow"/>
                <w:b/>
                <w:sz w:val="20"/>
                <w:szCs w:val="20"/>
              </w:rPr>
              <w:t xml:space="preserve">Restriction Summary / Treatment of Concept: </w:t>
            </w:r>
          </w:p>
        </w:tc>
      </w:tr>
      <w:tr w:rsidR="008D4296" w:rsidRPr="001F4B70" w14:paraId="26C38FE0"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0792C6A9" w14:textId="7C4BF42A" w:rsidR="008D4296" w:rsidRPr="003D096B" w:rsidRDefault="008D4296" w:rsidP="008D4296">
            <w:pPr>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24DBFE9D" w14:textId="77777777"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Fonts w:ascii="Arial Narrow" w:hAnsi="Arial Narrow" w:cs="Open Sans"/>
                <w:b/>
                <w:bCs/>
                <w:sz w:val="20"/>
                <w:szCs w:val="20"/>
                <w:bdr w:val="none" w:sz="0" w:space="0" w:color="auto" w:frame="1"/>
              </w:rPr>
              <w:t xml:space="preserve">Indication: </w:t>
            </w:r>
            <w:r w:rsidRPr="003D096B">
              <w:rPr>
                <w:rFonts w:ascii="Arial Narrow" w:hAnsi="Arial Narrow" w:cs="Open Sans"/>
                <w:sz w:val="20"/>
                <w:szCs w:val="20"/>
                <w:bdr w:val="none" w:sz="0" w:space="0" w:color="auto" w:frame="1"/>
              </w:rPr>
              <w:t>Eosinophilic oesophagitis</w:t>
            </w:r>
          </w:p>
        </w:tc>
      </w:tr>
      <w:tr w:rsidR="008D4296" w:rsidRPr="001F4B70" w14:paraId="087A4FBB"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377338C0" w14:textId="77777777"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5A54F650" w14:textId="63126816"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Fonts w:ascii="Arial Narrow" w:hAnsi="Arial Narrow" w:cs="Open Sans"/>
                <w:b/>
                <w:bCs/>
                <w:sz w:val="20"/>
                <w:szCs w:val="20"/>
                <w:bdr w:val="none" w:sz="0" w:space="0" w:color="auto" w:frame="1"/>
              </w:rPr>
              <w:t xml:space="preserve">Treatment Phase: </w:t>
            </w:r>
            <w:r w:rsidRPr="003D096B">
              <w:rPr>
                <w:rFonts w:ascii="Arial Narrow" w:hAnsi="Arial Narrow" w:cs="Open Sans"/>
                <w:sz w:val="20"/>
                <w:szCs w:val="20"/>
                <w:bdr w:val="none" w:sz="0" w:space="0" w:color="auto" w:frame="1"/>
              </w:rPr>
              <w:t>Transitioning from non-PBS to PBS-subsidised treatment - Grandfather treatment</w:t>
            </w:r>
          </w:p>
        </w:tc>
      </w:tr>
      <w:tr w:rsidR="008D4296" w:rsidRPr="001F4B70" w14:paraId="1CD06354"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352055EB" w14:textId="77777777"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348CE8EC" w14:textId="77777777"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p>
        </w:tc>
      </w:tr>
      <w:tr w:rsidR="008D4296" w:rsidRPr="001F4B70" w14:paraId="141CB88E"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78B17507" w14:textId="08E2EF04"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4AE37C19" w14:textId="4CCD8B65"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Style w:val="Strong"/>
                <w:rFonts w:ascii="Arial Narrow" w:hAnsi="Arial Narrow" w:cs="Open Sans"/>
                <w:sz w:val="20"/>
                <w:szCs w:val="20"/>
                <w:bdr w:val="none" w:sz="0" w:space="0" w:color="auto" w:frame="1"/>
              </w:rPr>
              <w:t>Clinical criteria:</w:t>
            </w:r>
          </w:p>
        </w:tc>
      </w:tr>
      <w:tr w:rsidR="008D4296" w:rsidRPr="001F4B70" w14:paraId="220E6D0E"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7A32E955" w14:textId="04F81465"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0E2E520D" w14:textId="55B80428"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Fonts w:ascii="Arial Narrow" w:hAnsi="Arial Narrow" w:cs="Open Sans"/>
                <w:sz w:val="20"/>
                <w:szCs w:val="20"/>
              </w:rPr>
              <w:t>Patient must have previously received non-PBS-subsidised treatment with a corticosteroid for this condition prior to 1 May 2022</w:t>
            </w:r>
          </w:p>
        </w:tc>
      </w:tr>
      <w:tr w:rsidR="008D4296" w:rsidRPr="001F4B70" w14:paraId="54024E26"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1BA11C15" w14:textId="77777777"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0EBF17D7" w14:textId="1555C553"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Style w:val="Strong"/>
                <w:rFonts w:ascii="Arial Narrow" w:hAnsi="Arial Narrow" w:cs="Open Sans"/>
                <w:sz w:val="20"/>
                <w:szCs w:val="20"/>
                <w:bdr w:val="none" w:sz="0" w:space="0" w:color="auto" w:frame="1"/>
              </w:rPr>
              <w:t>AND</w:t>
            </w:r>
          </w:p>
        </w:tc>
      </w:tr>
      <w:tr w:rsidR="008D4296" w:rsidRPr="001F4B70" w14:paraId="0A77F248"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3747A924" w14:textId="3C33130D"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5330995A" w14:textId="3B66DFFD"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Style w:val="Strong"/>
                <w:rFonts w:ascii="Arial Narrow" w:hAnsi="Arial Narrow" w:cs="Open Sans"/>
                <w:sz w:val="20"/>
                <w:szCs w:val="20"/>
                <w:bdr w:val="none" w:sz="0" w:space="0" w:color="auto" w:frame="1"/>
              </w:rPr>
              <w:t>Clinical criteria:</w:t>
            </w:r>
          </w:p>
        </w:tc>
      </w:tr>
      <w:tr w:rsidR="008D4296" w:rsidRPr="001F4B70" w14:paraId="736B247D"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71470F86" w14:textId="0E6EA195"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4E2B6FC1" w14:textId="64FF0151"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Fonts w:ascii="Arial Narrow" w:hAnsi="Arial Narrow" w:cs="Open Sans"/>
                <w:sz w:val="20"/>
                <w:szCs w:val="20"/>
              </w:rPr>
              <w:t>Patient must be receiving non-PBS treatment with a corticosteroid for this condition at the time of application</w:t>
            </w:r>
          </w:p>
        </w:tc>
      </w:tr>
      <w:tr w:rsidR="008D4296" w:rsidRPr="001F4B70" w14:paraId="4377E861"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3FC797AB" w14:textId="77777777"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67124898" w14:textId="65239D18"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Style w:val="Strong"/>
                <w:rFonts w:ascii="Arial Narrow" w:hAnsi="Arial Narrow" w:cs="Open Sans"/>
                <w:sz w:val="20"/>
                <w:szCs w:val="20"/>
                <w:bdr w:val="none" w:sz="0" w:space="0" w:color="auto" w:frame="1"/>
              </w:rPr>
              <w:t>AND</w:t>
            </w:r>
          </w:p>
        </w:tc>
      </w:tr>
      <w:tr w:rsidR="008D4296" w:rsidRPr="001F4B70" w14:paraId="79135AC8"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0A8FD5A7" w14:textId="45398C06"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4B04252F" w14:textId="3A8D501A"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Style w:val="Strong"/>
                <w:rFonts w:ascii="Arial Narrow" w:hAnsi="Arial Narrow" w:cs="Open Sans"/>
                <w:sz w:val="20"/>
                <w:szCs w:val="20"/>
                <w:bdr w:val="none" w:sz="0" w:space="0" w:color="auto" w:frame="1"/>
              </w:rPr>
              <w:t>Clinical criteria:</w:t>
            </w:r>
          </w:p>
        </w:tc>
      </w:tr>
      <w:tr w:rsidR="008D4296" w:rsidRPr="001F4B70" w14:paraId="49F00DCD"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6CEDF64B" w14:textId="4BBD932D"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000E917D" w14:textId="77ECF187"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Fonts w:ascii="Arial Narrow" w:hAnsi="Arial Narrow" w:cs="Open Sans"/>
                <w:sz w:val="20"/>
                <w:szCs w:val="20"/>
              </w:rPr>
              <w:t>Patient must have had, prior to commencement of non-PBS-subsidised treatment with a corticosteroid, a history of symptoms of oesophageal dysfunction</w:t>
            </w:r>
          </w:p>
        </w:tc>
      </w:tr>
      <w:tr w:rsidR="008D4296" w:rsidRPr="001F4B70" w14:paraId="69925CA6"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13C06161" w14:textId="77777777"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566486C0" w14:textId="73C44286"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Style w:val="Strong"/>
                <w:rFonts w:ascii="Arial Narrow" w:hAnsi="Arial Narrow" w:cs="Open Sans"/>
                <w:sz w:val="20"/>
                <w:szCs w:val="20"/>
                <w:bdr w:val="none" w:sz="0" w:space="0" w:color="auto" w:frame="1"/>
              </w:rPr>
              <w:t>AND</w:t>
            </w:r>
          </w:p>
        </w:tc>
      </w:tr>
      <w:tr w:rsidR="008D4296" w:rsidRPr="001F4B70" w14:paraId="76B535FD"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5106B04E" w14:textId="42C40CC0"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08A68126" w14:textId="664D6DCF"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Style w:val="Strong"/>
                <w:rFonts w:ascii="Arial Narrow" w:hAnsi="Arial Narrow" w:cs="Open Sans"/>
                <w:sz w:val="20"/>
                <w:szCs w:val="20"/>
                <w:bdr w:val="none" w:sz="0" w:space="0" w:color="auto" w:frame="1"/>
              </w:rPr>
              <w:t>Clinical criteria:</w:t>
            </w:r>
          </w:p>
        </w:tc>
      </w:tr>
      <w:tr w:rsidR="008D4296" w:rsidRPr="001F4B70" w14:paraId="59DCF569"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27FA257F" w14:textId="7629EEB3"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427D3EBF" w14:textId="48B90377"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Fonts w:ascii="Arial Narrow" w:hAnsi="Arial Narrow" w:cs="Open Sans"/>
                <w:sz w:val="20"/>
                <w:szCs w:val="20"/>
              </w:rPr>
              <w:t>Patient must have had, prior to commencement of non-PBS-subsidised treatment with a corticosteroid, eosinophilic infiltration of the oesophagus, demonstrated by oesophageal biopsy specimens obtained by endoscopy confirming the presence of at least 15 eosinophils in at least one high power field (hpf); corresponding to approximately 60 eosinophils per mm</w:t>
            </w:r>
            <w:r w:rsidRPr="003D096B">
              <w:rPr>
                <w:rFonts w:ascii="Arial Narrow" w:hAnsi="Arial Narrow" w:cs="Open Sans"/>
                <w:sz w:val="20"/>
                <w:szCs w:val="20"/>
                <w:vertAlign w:val="superscript"/>
              </w:rPr>
              <w:t>2</w:t>
            </w:r>
            <w:r w:rsidRPr="003D096B">
              <w:rPr>
                <w:rFonts w:ascii="Arial Narrow" w:hAnsi="Arial Narrow" w:cs="Open Sans"/>
                <w:sz w:val="20"/>
                <w:szCs w:val="20"/>
              </w:rPr>
              <w:t xml:space="preserve"> hpf</w:t>
            </w:r>
          </w:p>
        </w:tc>
      </w:tr>
      <w:tr w:rsidR="008D4296" w:rsidRPr="001F4B70" w14:paraId="017A98F6"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23A47D2C" w14:textId="77777777"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7862CDB5" w14:textId="6E6BB21A"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Style w:val="Strong"/>
                <w:rFonts w:ascii="Arial Narrow" w:hAnsi="Arial Narrow" w:cs="Open Sans"/>
                <w:sz w:val="20"/>
                <w:szCs w:val="20"/>
                <w:bdr w:val="none" w:sz="0" w:space="0" w:color="auto" w:frame="1"/>
              </w:rPr>
              <w:t>AND</w:t>
            </w:r>
          </w:p>
        </w:tc>
      </w:tr>
      <w:tr w:rsidR="008D4296" w:rsidRPr="001F4B70" w14:paraId="5E6B9C76"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214715BE" w14:textId="41B737C6"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3F19DE22" w14:textId="70C1D8C7"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Style w:val="Strong"/>
                <w:rFonts w:ascii="Arial Narrow" w:hAnsi="Arial Narrow" w:cs="Open Sans"/>
                <w:sz w:val="20"/>
                <w:szCs w:val="20"/>
                <w:bdr w:val="none" w:sz="0" w:space="0" w:color="auto" w:frame="1"/>
              </w:rPr>
              <w:t>Clinical criteria:</w:t>
            </w:r>
          </w:p>
        </w:tc>
      </w:tr>
      <w:tr w:rsidR="008D4296" w:rsidRPr="001F4B70" w14:paraId="4BD19BE8"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358E581E" w14:textId="2CE36C64"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30D739D0" w14:textId="6F7B9FCA"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Fonts w:ascii="Arial Narrow" w:hAnsi="Arial Narrow" w:cs="Open Sans"/>
                <w:sz w:val="20"/>
                <w:szCs w:val="20"/>
              </w:rPr>
              <w:t>Patient must have documented evidence that they are currently in histologic remission, where remission is defined as a peak eosinophil count of less than 5 eosinophils per high power field (hpf); corresponding to less than 16 eosinophils per mm</w:t>
            </w:r>
            <w:r w:rsidRPr="003D096B">
              <w:rPr>
                <w:rFonts w:ascii="Arial Narrow" w:hAnsi="Arial Narrow" w:cs="Open Sans"/>
                <w:sz w:val="20"/>
                <w:szCs w:val="20"/>
                <w:vertAlign w:val="superscript"/>
              </w:rPr>
              <w:t>2</w:t>
            </w:r>
            <w:r w:rsidRPr="003D096B">
              <w:rPr>
                <w:rFonts w:ascii="Arial Narrow" w:hAnsi="Arial Narrow" w:cs="Open Sans"/>
                <w:sz w:val="20"/>
                <w:szCs w:val="20"/>
              </w:rPr>
              <w:t xml:space="preserve"> hpf on oesophageal biopsy</w:t>
            </w:r>
          </w:p>
        </w:tc>
      </w:tr>
      <w:tr w:rsidR="008D4296" w:rsidRPr="001F4B70" w14:paraId="51D9AB4F"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6377D516" w14:textId="2BC1FA6B"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073686AF" w14:textId="19E6556E"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1F4B70">
              <w:rPr>
                <w:rStyle w:val="Strong"/>
                <w:rFonts w:ascii="Arial Narrow" w:hAnsi="Arial Narrow" w:cs="Open Sans"/>
                <w:sz w:val="20"/>
                <w:szCs w:val="20"/>
                <w:bdr w:val="none" w:sz="0" w:space="0" w:color="auto" w:frame="1"/>
              </w:rPr>
              <w:t>Treatment criteria:</w:t>
            </w:r>
          </w:p>
        </w:tc>
      </w:tr>
      <w:tr w:rsidR="008D4296" w:rsidRPr="001F4B70" w14:paraId="0032C2BE"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23F666DB" w14:textId="4BB0964A"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3ED4AE62" w14:textId="026315F1"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1F4B70">
              <w:rPr>
                <w:rFonts w:ascii="Arial Narrow" w:hAnsi="Arial Narrow" w:cs="Open Sans"/>
                <w:sz w:val="20"/>
                <w:szCs w:val="20"/>
              </w:rPr>
              <w:t>Must be treated by a</w:t>
            </w:r>
            <w:r>
              <w:rPr>
                <w:rFonts w:ascii="Arial Narrow" w:hAnsi="Arial Narrow" w:cs="Open Sans"/>
                <w:i/>
                <w:iCs/>
                <w:sz w:val="20"/>
                <w:szCs w:val="20"/>
              </w:rPr>
              <w:t xml:space="preserve">t least one of: (i) </w:t>
            </w:r>
            <w:r w:rsidRPr="001F4B70">
              <w:rPr>
                <w:rFonts w:ascii="Arial Narrow" w:hAnsi="Arial Narrow" w:cs="Open Sans"/>
                <w:sz w:val="20"/>
                <w:szCs w:val="20"/>
              </w:rPr>
              <w:t>gastroenterologist</w:t>
            </w:r>
            <w:r>
              <w:rPr>
                <w:rFonts w:ascii="Arial Narrow" w:hAnsi="Arial Narrow" w:cs="Open Sans"/>
                <w:i/>
                <w:iCs/>
                <w:sz w:val="20"/>
                <w:szCs w:val="20"/>
              </w:rPr>
              <w:t>, (ii) surgeon experienced in the management of patients with eosinophilic oesophagitis, (iii) physician experienced in the management of patients with eosinophilic oesophagitis</w:t>
            </w:r>
          </w:p>
        </w:tc>
      </w:tr>
      <w:tr w:rsidR="008D4296" w:rsidRPr="001F4B70" w14:paraId="471F1782"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23FC181E" w14:textId="5082704B"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3996D08B" w14:textId="77777777" w:rsidR="008D4296" w:rsidRPr="003D096B" w:rsidRDefault="008D4296" w:rsidP="008D4296">
            <w:pPr>
              <w:pStyle w:val="NormalWeb"/>
              <w:spacing w:before="0" w:beforeAutospacing="0" w:after="0" w:afterAutospacing="0"/>
              <w:textAlignment w:val="baseline"/>
              <w:rPr>
                <w:rFonts w:ascii="Arial Narrow" w:hAnsi="Arial Narrow" w:cs="Open Sans"/>
                <w:sz w:val="20"/>
                <w:szCs w:val="20"/>
              </w:rPr>
            </w:pPr>
            <w:r w:rsidRPr="003D096B">
              <w:rPr>
                <w:rStyle w:val="Strong"/>
                <w:rFonts w:ascii="Arial Narrow" w:hAnsi="Arial Narrow" w:cs="Open Sans"/>
                <w:sz w:val="20"/>
                <w:szCs w:val="20"/>
                <w:bdr w:val="none" w:sz="0" w:space="0" w:color="auto" w:frame="1"/>
              </w:rPr>
              <w:t>Prescribing Instructions:</w:t>
            </w:r>
          </w:p>
          <w:p w14:paraId="1935FC5C" w14:textId="70FA02E3"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Fonts w:ascii="Arial Narrow" w:hAnsi="Arial Narrow" w:cs="Open Sans"/>
                <w:sz w:val="20"/>
                <w:szCs w:val="20"/>
              </w:rPr>
              <w:t>A Grandfathered patient may qualify for PBS-subsidised treatment under this restriction once only. For continuing PBS-subsidised treatment, a Grandfathered patient must qualify under the continuing treatment criteria.</w:t>
            </w:r>
          </w:p>
        </w:tc>
      </w:tr>
      <w:tr w:rsidR="008D4296" w:rsidRPr="001F4B70" w14:paraId="17D910B1"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196F2FA2" w14:textId="371ADE2A"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37195977" w14:textId="77777777" w:rsidR="008D4296" w:rsidRPr="003D096B" w:rsidRDefault="008D4296" w:rsidP="008D4296">
            <w:pPr>
              <w:pStyle w:val="NormalWeb"/>
              <w:spacing w:before="0" w:beforeAutospacing="0" w:after="0" w:afterAutospacing="0"/>
              <w:textAlignment w:val="baseline"/>
              <w:rPr>
                <w:rFonts w:ascii="Arial Narrow" w:hAnsi="Arial Narrow" w:cs="Open Sans"/>
                <w:sz w:val="20"/>
                <w:szCs w:val="20"/>
              </w:rPr>
            </w:pPr>
            <w:r w:rsidRPr="003D096B">
              <w:rPr>
                <w:rStyle w:val="Strong"/>
                <w:rFonts w:ascii="Arial Narrow" w:hAnsi="Arial Narrow" w:cs="Open Sans"/>
                <w:sz w:val="20"/>
                <w:szCs w:val="20"/>
                <w:bdr w:val="none" w:sz="0" w:space="0" w:color="auto" w:frame="1"/>
              </w:rPr>
              <w:t>Prescribing Instructions:</w:t>
            </w:r>
          </w:p>
          <w:p w14:paraId="5983296D" w14:textId="6289F78E"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Fonts w:ascii="Arial Narrow" w:hAnsi="Arial Narrow" w:cs="Open Sans"/>
                <w:sz w:val="20"/>
                <w:szCs w:val="20"/>
              </w:rPr>
              <w:t>Symptoms of oesophageal dysfunction include at least one of the following: dysphasia, odynophagia, transient or self-cleared food impaction, chest pain, epigastric discomfort, vomiting/regurgitation.</w:t>
            </w:r>
          </w:p>
        </w:tc>
      </w:tr>
      <w:tr w:rsidR="008D4296" w:rsidRPr="001F4B70" w14:paraId="7AC37942"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58CA77B9" w14:textId="1CC9C0D6"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59092FFC" w14:textId="77777777" w:rsidR="008D4296" w:rsidRPr="00C5193E" w:rsidRDefault="008D4296" w:rsidP="008D4296">
            <w:pPr>
              <w:pStyle w:val="NormalWeb"/>
              <w:spacing w:before="0" w:beforeAutospacing="0" w:after="0" w:afterAutospacing="0"/>
              <w:textAlignment w:val="baseline"/>
              <w:rPr>
                <w:rFonts w:ascii="Arial Narrow" w:hAnsi="Arial Narrow" w:cs="Open Sans"/>
                <w:strike/>
                <w:sz w:val="20"/>
                <w:szCs w:val="20"/>
              </w:rPr>
            </w:pPr>
            <w:r w:rsidRPr="00C5193E">
              <w:rPr>
                <w:rStyle w:val="Strong"/>
                <w:rFonts w:ascii="Arial Narrow" w:hAnsi="Arial Narrow" w:cs="Open Sans"/>
                <w:strike/>
                <w:sz w:val="20"/>
                <w:szCs w:val="20"/>
                <w:bdr w:val="none" w:sz="0" w:space="0" w:color="auto" w:frame="1"/>
              </w:rPr>
              <w:t>Prescribing Instructions:</w:t>
            </w:r>
          </w:p>
          <w:p w14:paraId="749F7D43" w14:textId="77777777" w:rsidR="008D4296" w:rsidRPr="008E4403" w:rsidRDefault="008D4296" w:rsidP="008D4296">
            <w:pPr>
              <w:pStyle w:val="NormalWeb"/>
              <w:textAlignment w:val="baseline"/>
              <w:rPr>
                <w:rFonts w:ascii="Arial Narrow" w:hAnsi="Arial Narrow" w:cs="Open Sans"/>
                <w:strike/>
                <w:sz w:val="20"/>
                <w:szCs w:val="20"/>
                <w:bdr w:val="none" w:sz="0" w:space="0" w:color="auto" w:frame="1"/>
              </w:rPr>
            </w:pPr>
            <w:r w:rsidRPr="008E4403">
              <w:rPr>
                <w:rFonts w:ascii="Arial Narrow" w:hAnsi="Arial Narrow" w:cs="Open Sans"/>
                <w:strike/>
                <w:sz w:val="20"/>
                <w:szCs w:val="20"/>
                <w:bdr w:val="none" w:sz="0" w:space="0" w:color="auto" w:frame="1"/>
              </w:rPr>
              <w:t>Histologic assessment should be based on the peak eosinophils count derived from the evaluation of at least eight oesophageal biopsies (minimum of four collected from each of the mid and distal segments, with the distal segment biopsies taken at least 5 cm above the gastroesophageal junction).</w:t>
            </w:r>
          </w:p>
          <w:p w14:paraId="6A5FDD8E" w14:textId="1C07DC6A" w:rsidR="008D4296" w:rsidRPr="003D096B" w:rsidRDefault="008D4296" w:rsidP="008D4296">
            <w:pPr>
              <w:pStyle w:val="NormalWeb"/>
              <w:textAlignment w:val="baseline"/>
              <w:rPr>
                <w:rFonts w:ascii="Arial Narrow" w:hAnsi="Arial Narrow" w:cs="Open Sans"/>
                <w:b/>
                <w:bCs/>
                <w:sz w:val="20"/>
                <w:szCs w:val="20"/>
                <w:bdr w:val="none" w:sz="0" w:space="0" w:color="auto" w:frame="1"/>
              </w:rPr>
            </w:pPr>
            <w:r w:rsidRPr="008E4403">
              <w:rPr>
                <w:rFonts w:ascii="Arial Narrow" w:hAnsi="Arial Narrow" w:cs="Open Sans"/>
                <w:strike/>
                <w:sz w:val="20"/>
                <w:szCs w:val="20"/>
                <w:bdr w:val="none" w:sz="0" w:space="0" w:color="auto" w:frame="1"/>
              </w:rPr>
              <w:t>The histologic assessment should, where possible, be performed by the same physician who confirmed the diagnosis of eosinophilic oesophagitis in the patient. This assessment, which will be used to determine eligibility for continuing treatment, should have been conducted after the patient has completed 8 weeks of the initial treatment course and no later than 2 weeks prior to the patient completing the initial treatment course, to avoid an interruption to supply. Where a histologic assessment is not undertaken and the results submitted, the patient will not be eligible for ongoing treatment.</w:t>
            </w:r>
          </w:p>
        </w:tc>
      </w:tr>
      <w:tr w:rsidR="008D4296" w:rsidRPr="001F4B70" w14:paraId="242AB3A1"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4E5439F9" w14:textId="02F7817A" w:rsidR="008D4296" w:rsidRPr="00D56963"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0D793620" w14:textId="77777777" w:rsidR="008D4296" w:rsidRPr="00C5193E" w:rsidRDefault="008D4296" w:rsidP="008D4296">
            <w:pPr>
              <w:pStyle w:val="NormalWeb"/>
              <w:spacing w:before="0" w:beforeAutospacing="0" w:after="0" w:afterAutospacing="0"/>
              <w:textAlignment w:val="baseline"/>
              <w:rPr>
                <w:rFonts w:ascii="Arial Narrow" w:hAnsi="Arial Narrow" w:cs="Open Sans"/>
                <w:sz w:val="20"/>
                <w:szCs w:val="20"/>
              </w:rPr>
            </w:pPr>
            <w:r w:rsidRPr="00C5193E">
              <w:rPr>
                <w:rStyle w:val="Strong"/>
                <w:rFonts w:ascii="Arial Narrow" w:hAnsi="Arial Narrow" w:cs="Open Sans"/>
                <w:sz w:val="20"/>
                <w:szCs w:val="20"/>
                <w:bdr w:val="none" w:sz="0" w:space="0" w:color="auto" w:frame="1"/>
              </w:rPr>
              <w:t>Prescribing Instructions:</w:t>
            </w:r>
          </w:p>
          <w:p w14:paraId="1040E1FF" w14:textId="7E1E347A" w:rsidR="008D4296" w:rsidRPr="00D56963" w:rsidRDefault="008D4296" w:rsidP="008D4296">
            <w:pPr>
              <w:pStyle w:val="NormalWeb"/>
              <w:spacing w:before="0" w:beforeAutospacing="0" w:after="0" w:afterAutospacing="0"/>
              <w:textAlignment w:val="baseline"/>
              <w:rPr>
                <w:rStyle w:val="Strong"/>
                <w:rFonts w:ascii="Arial Narrow" w:hAnsi="Arial Narrow" w:cs="Open Sans"/>
                <w:sz w:val="20"/>
                <w:szCs w:val="20"/>
                <w:bdr w:val="none" w:sz="0" w:space="0" w:color="auto" w:frame="1"/>
              </w:rPr>
            </w:pPr>
            <w:r w:rsidRPr="008E4403">
              <w:rPr>
                <w:rFonts w:ascii="Arial Narrow" w:hAnsi="Arial Narrow" w:cs="Open Sans"/>
                <w:i/>
                <w:iCs/>
                <w:sz w:val="20"/>
                <w:szCs w:val="20"/>
              </w:rPr>
              <w:t>The assessment of treatment response should, where possible, be performed by or in consultation with the same physician or surgeon who confirmed the diagnosis of eosinophilic oesophagitis</w:t>
            </w:r>
            <w:r w:rsidRPr="00C5193E">
              <w:rPr>
                <w:rFonts w:ascii="Arial Narrow" w:hAnsi="Arial Narrow" w:cs="Open Sans"/>
                <w:sz w:val="20"/>
                <w:szCs w:val="20"/>
              </w:rPr>
              <w:t xml:space="preserve"> </w:t>
            </w:r>
            <w:r w:rsidRPr="00A14333">
              <w:rPr>
                <w:rFonts w:ascii="Arial Narrow" w:hAnsi="Arial Narrow" w:cs="Open Sans"/>
                <w:strike/>
                <w:sz w:val="20"/>
                <w:szCs w:val="20"/>
              </w:rPr>
              <w:t>in the patient</w:t>
            </w:r>
            <w:r w:rsidRPr="00C5193E">
              <w:rPr>
                <w:rFonts w:ascii="Arial Narrow" w:hAnsi="Arial Narrow" w:cs="Open Sans"/>
                <w:sz w:val="20"/>
                <w:szCs w:val="20"/>
              </w:rPr>
              <w:t>.</w:t>
            </w:r>
          </w:p>
        </w:tc>
      </w:tr>
      <w:tr w:rsidR="008D4296" w:rsidRPr="001F4B70" w14:paraId="089B4765" w14:textId="77777777" w:rsidTr="008D4296">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48007FE0" w14:textId="6C2ECD7B" w:rsidR="008D4296" w:rsidRPr="003D096B" w:rsidRDefault="008D4296" w:rsidP="008D4296">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196CB437" w14:textId="77777777" w:rsidR="008D4296" w:rsidRPr="003D096B" w:rsidRDefault="008D4296" w:rsidP="008D4296">
            <w:pPr>
              <w:pStyle w:val="NormalWeb"/>
              <w:spacing w:before="0" w:beforeAutospacing="0" w:after="0" w:afterAutospacing="0"/>
              <w:textAlignment w:val="baseline"/>
              <w:rPr>
                <w:rFonts w:ascii="Arial Narrow" w:hAnsi="Arial Narrow" w:cs="Open Sans"/>
                <w:sz w:val="20"/>
                <w:szCs w:val="20"/>
              </w:rPr>
            </w:pPr>
            <w:r w:rsidRPr="003D096B">
              <w:rPr>
                <w:rStyle w:val="Strong"/>
                <w:rFonts w:ascii="Arial Narrow" w:hAnsi="Arial Narrow" w:cs="Open Sans"/>
                <w:sz w:val="20"/>
                <w:szCs w:val="20"/>
                <w:bdr w:val="none" w:sz="0" w:space="0" w:color="auto" w:frame="1"/>
              </w:rPr>
              <w:t>Administrative Advice:</w:t>
            </w:r>
          </w:p>
          <w:p w14:paraId="56369FBF" w14:textId="7A4A59B9" w:rsidR="008D4296" w:rsidRPr="003D096B" w:rsidRDefault="008D4296" w:rsidP="008D4296">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Fonts w:ascii="Arial Narrow" w:hAnsi="Arial Narrow" w:cs="Open Sans"/>
                <w:sz w:val="20"/>
                <w:szCs w:val="20"/>
              </w:rPr>
              <w:t>This grandfather restriction will cease to operate from 12 months after the date specified in the clinical criteria.</w:t>
            </w:r>
          </w:p>
        </w:tc>
      </w:tr>
    </w:tbl>
    <w:p w14:paraId="3FC23709" w14:textId="77777777" w:rsidR="00971B37" w:rsidRPr="0080022E" w:rsidRDefault="00971B37" w:rsidP="00102C19">
      <w:pPr>
        <w:pStyle w:val="3Bodytext"/>
        <w:numPr>
          <w:ilvl w:val="0"/>
          <w:numId w:val="0"/>
        </w:numPr>
        <w:spacing w:after="0"/>
        <w:ind w:left="720"/>
      </w:pPr>
    </w:p>
    <w:p w14:paraId="58CE83EE" w14:textId="32D55899" w:rsidR="001654F9" w:rsidRDefault="001654F9" w:rsidP="00102C19">
      <w:pPr>
        <w:pStyle w:val="3Bodytext"/>
        <w:jc w:val="both"/>
      </w:pPr>
      <w:r>
        <w:t xml:space="preserve">The </w:t>
      </w:r>
      <w:r w:rsidR="00DC5555">
        <w:t xml:space="preserve">sponsor’s </w:t>
      </w:r>
      <w:r>
        <w:t>pre-PBAC response agreed with the suggested revised wording for the Prescribing Instruction on the optimal number of biopsies, stating that it provided additional clarity on this matter.</w:t>
      </w:r>
    </w:p>
    <w:p w14:paraId="4451FCE5" w14:textId="499D6B98" w:rsidR="0087721E" w:rsidRPr="005830D9" w:rsidRDefault="0087721E" w:rsidP="005830D9">
      <w:pPr>
        <w:pStyle w:val="3Bodytext"/>
        <w:numPr>
          <w:ilvl w:val="0"/>
          <w:numId w:val="0"/>
        </w:numPr>
        <w:ind w:left="720"/>
        <w:jc w:val="both"/>
        <w:rPr>
          <w:i/>
          <w:iCs/>
        </w:rPr>
      </w:pPr>
      <w:r w:rsidRPr="005830D9">
        <w:rPr>
          <w:i/>
          <w:iCs/>
        </w:rPr>
        <w:t>For more detail on PBAC’s view, see section 5 PBAC outcome.</w:t>
      </w:r>
    </w:p>
    <w:p w14:paraId="0436B7D8" w14:textId="5D5A6243" w:rsidR="00C27C1C" w:rsidRDefault="00C27C1C" w:rsidP="00102C19">
      <w:pPr>
        <w:pStyle w:val="Heading1"/>
        <w:keepLines/>
        <w:numPr>
          <w:ilvl w:val="0"/>
          <w:numId w:val="2"/>
        </w:numPr>
        <w:spacing w:before="240"/>
        <w:ind w:left="709" w:hanging="709"/>
        <w:jc w:val="both"/>
        <w:rPr>
          <w:sz w:val="32"/>
          <w:szCs w:val="32"/>
        </w:rPr>
      </w:pPr>
      <w:r w:rsidRPr="003C2FB5">
        <w:rPr>
          <w:sz w:val="32"/>
          <w:szCs w:val="32"/>
        </w:rPr>
        <w:t>Consideration of the evidence</w:t>
      </w:r>
    </w:p>
    <w:p w14:paraId="2F94969E" w14:textId="24E121DA" w:rsidR="00CE4F2F" w:rsidRDefault="00CE4F2F" w:rsidP="00102C19">
      <w:pPr>
        <w:pStyle w:val="3Bodytext"/>
        <w:jc w:val="both"/>
      </w:pPr>
      <w:r>
        <w:t xml:space="preserve">The submission provided </w:t>
      </w:r>
      <w:r w:rsidR="003E464F">
        <w:t xml:space="preserve">2 </w:t>
      </w:r>
      <w:r>
        <w:t xml:space="preserve">testimonials from </w:t>
      </w:r>
      <w:r w:rsidR="00052483">
        <w:t>clinicians</w:t>
      </w:r>
      <w:r>
        <w:t xml:space="preserve"> to support the</w:t>
      </w:r>
      <w:r w:rsidR="00CE6825">
        <w:t xml:space="preserve"> request for</w:t>
      </w:r>
      <w:r>
        <w:t xml:space="preserve"> expansion of eligible prescribers to include physicians or surgeons experienced in the diagnosis and management of EoE. The submission further stated that the sponsor has received confirmation from the Gastroenterological Society of Australia that there are a number of non-gastroenterologist physicians/surgeons who have successfully completed endoscopy accreditation in Australia. </w:t>
      </w:r>
    </w:p>
    <w:p w14:paraId="114768F7" w14:textId="1FF98DA4" w:rsidR="00052483" w:rsidRPr="003D096B" w:rsidRDefault="00052483" w:rsidP="00102C19">
      <w:pPr>
        <w:pStyle w:val="3Bodytext"/>
        <w:jc w:val="both"/>
      </w:pPr>
      <w:r>
        <w:t>The submission provide</w:t>
      </w:r>
      <w:r w:rsidR="00277569">
        <w:t>d</w:t>
      </w:r>
      <w:r>
        <w:t xml:space="preserve"> one testimonial from a clinician expressing concern that the current PBS restriction criteria for BOT could result in potentially unnecessary endoscopic procedures. </w:t>
      </w:r>
    </w:p>
    <w:p w14:paraId="0098619A" w14:textId="1DB94831" w:rsidR="0087721E" w:rsidRDefault="0087721E" w:rsidP="00102C19">
      <w:pPr>
        <w:pStyle w:val="4-SubsectionHeading"/>
        <w:keepNext w:val="0"/>
        <w:rPr>
          <w:lang w:eastAsia="en-US"/>
        </w:rPr>
      </w:pPr>
      <w:r>
        <w:rPr>
          <w:lang w:eastAsia="en-US"/>
        </w:rPr>
        <w:t>Sponsor hearing</w:t>
      </w:r>
    </w:p>
    <w:p w14:paraId="68133200" w14:textId="2423E797" w:rsidR="0087721E" w:rsidRPr="0087721E" w:rsidRDefault="0087721E" w:rsidP="005830D9">
      <w:pPr>
        <w:pStyle w:val="3Bodytext"/>
        <w:rPr>
          <w:lang w:eastAsia="en-US"/>
        </w:rPr>
      </w:pPr>
      <w:r>
        <w:rPr>
          <w:lang w:eastAsia="en-US"/>
        </w:rPr>
        <w:t>There was no hearing for this item.</w:t>
      </w:r>
    </w:p>
    <w:p w14:paraId="3C925968" w14:textId="46C962DD" w:rsidR="0087721E" w:rsidRDefault="0087721E" w:rsidP="00102C19">
      <w:pPr>
        <w:pStyle w:val="4-SubsectionHeading"/>
        <w:keepNext w:val="0"/>
        <w:rPr>
          <w:lang w:eastAsia="en-US"/>
        </w:rPr>
      </w:pPr>
      <w:r>
        <w:rPr>
          <w:lang w:eastAsia="en-US"/>
        </w:rPr>
        <w:t>Consumer comments</w:t>
      </w:r>
    </w:p>
    <w:p w14:paraId="2632DA52" w14:textId="074BE555" w:rsidR="0090392E" w:rsidRPr="00836F75" w:rsidRDefault="0090392E" w:rsidP="0090392E">
      <w:pPr>
        <w:widowControl w:val="0"/>
        <w:numPr>
          <w:ilvl w:val="1"/>
          <w:numId w:val="2"/>
        </w:numPr>
        <w:spacing w:after="120"/>
        <w:rPr>
          <w:rFonts w:asciiTheme="minorHAnsi" w:hAnsiTheme="minorHAnsi" w:cs="Arial"/>
          <w:bCs/>
          <w:snapToGrid w:val="0"/>
        </w:rPr>
      </w:pPr>
      <w:r w:rsidRPr="00836F75">
        <w:rPr>
          <w:rFonts w:asciiTheme="minorHAnsi" w:hAnsiTheme="minorHAnsi" w:cs="Arial"/>
          <w:bCs/>
          <w:snapToGrid w:val="0"/>
        </w:rPr>
        <w:t>The PBAC noted and welcomed the input from health care professionals (1</w:t>
      </w:r>
      <w:r w:rsidR="002C5050">
        <w:rPr>
          <w:rFonts w:asciiTheme="minorHAnsi" w:hAnsiTheme="minorHAnsi" w:cs="Arial"/>
          <w:bCs/>
          <w:snapToGrid w:val="0"/>
        </w:rPr>
        <w:t>9</w:t>
      </w:r>
      <w:r w:rsidRPr="00836F75">
        <w:rPr>
          <w:rFonts w:asciiTheme="minorHAnsi" w:hAnsiTheme="minorHAnsi" w:cs="Arial"/>
          <w:bCs/>
          <w:snapToGrid w:val="0"/>
        </w:rPr>
        <w:t>) and organisations (</w:t>
      </w:r>
      <w:r w:rsidR="002C5050">
        <w:rPr>
          <w:rFonts w:asciiTheme="minorHAnsi" w:hAnsiTheme="minorHAnsi" w:cs="Arial"/>
          <w:bCs/>
          <w:snapToGrid w:val="0"/>
        </w:rPr>
        <w:t>3</w:t>
      </w:r>
      <w:r w:rsidRPr="00836F75">
        <w:rPr>
          <w:rFonts w:asciiTheme="minorHAnsi" w:hAnsiTheme="minorHAnsi" w:cs="Arial"/>
          <w:bCs/>
          <w:snapToGrid w:val="0"/>
        </w:rPr>
        <w:t xml:space="preserve">) via the Consumer Comments facility on the PBS website.  The comments described a range of benefits of treatment with </w:t>
      </w:r>
      <w:r w:rsidR="00425C8E">
        <w:rPr>
          <w:rFonts w:asciiTheme="minorHAnsi" w:hAnsiTheme="minorHAnsi" w:cs="Arial"/>
          <w:bCs/>
          <w:snapToGrid w:val="0"/>
        </w:rPr>
        <w:t>BOT for EoE,</w:t>
      </w:r>
      <w:r w:rsidRPr="00836F75">
        <w:rPr>
          <w:rFonts w:asciiTheme="minorHAnsi" w:hAnsiTheme="minorHAnsi" w:cs="Arial"/>
          <w:bCs/>
          <w:snapToGrid w:val="0"/>
        </w:rPr>
        <w:t xml:space="preserve"> including</w:t>
      </w:r>
      <w:r w:rsidR="00425C8E">
        <w:rPr>
          <w:rFonts w:asciiTheme="minorHAnsi" w:hAnsiTheme="minorHAnsi" w:cs="Arial"/>
          <w:bCs/>
          <w:snapToGrid w:val="0"/>
        </w:rPr>
        <w:t xml:space="preserve"> that it is a highly effective medication</w:t>
      </w:r>
      <w:r w:rsidR="00A50098">
        <w:rPr>
          <w:rFonts w:asciiTheme="minorHAnsi" w:hAnsiTheme="minorHAnsi" w:cs="Arial"/>
          <w:bCs/>
          <w:snapToGrid w:val="0"/>
        </w:rPr>
        <w:t>,</w:t>
      </w:r>
      <w:r w:rsidR="00425C8E">
        <w:rPr>
          <w:rFonts w:asciiTheme="minorHAnsi" w:hAnsiTheme="minorHAnsi" w:cs="Arial"/>
          <w:bCs/>
          <w:snapToGrid w:val="0"/>
        </w:rPr>
        <w:t xml:space="preserve"> has greater efficacy and ease of use compared to alternative treatments,</w:t>
      </w:r>
      <w:r w:rsidR="00A50098">
        <w:rPr>
          <w:rFonts w:asciiTheme="minorHAnsi" w:hAnsiTheme="minorHAnsi" w:cs="Arial"/>
          <w:bCs/>
          <w:snapToGrid w:val="0"/>
        </w:rPr>
        <w:t xml:space="preserve"> and</w:t>
      </w:r>
      <w:r w:rsidR="00425C8E">
        <w:rPr>
          <w:rFonts w:asciiTheme="minorHAnsi" w:hAnsiTheme="minorHAnsi" w:cs="Arial"/>
          <w:bCs/>
          <w:snapToGrid w:val="0"/>
        </w:rPr>
        <w:t xml:space="preserve"> that it is well tolerated and has a good safety profile</w:t>
      </w:r>
      <w:r w:rsidR="000D0E73">
        <w:rPr>
          <w:rFonts w:asciiTheme="minorHAnsi" w:hAnsiTheme="minorHAnsi" w:cs="Arial"/>
          <w:bCs/>
          <w:snapToGrid w:val="0"/>
        </w:rPr>
        <w:t>.</w:t>
      </w:r>
      <w:r w:rsidRPr="00836F75">
        <w:rPr>
          <w:rFonts w:asciiTheme="minorHAnsi" w:hAnsiTheme="minorHAnsi" w:cs="Arial"/>
          <w:bCs/>
          <w:snapToGrid w:val="0"/>
        </w:rPr>
        <w:t xml:space="preserve"> </w:t>
      </w:r>
      <w:r w:rsidR="00E76B16">
        <w:rPr>
          <w:rFonts w:asciiTheme="minorHAnsi" w:hAnsiTheme="minorHAnsi" w:cs="Arial"/>
          <w:bCs/>
          <w:snapToGrid w:val="0"/>
        </w:rPr>
        <w:t>C</w:t>
      </w:r>
      <w:r w:rsidR="00A50098">
        <w:rPr>
          <w:rFonts w:asciiTheme="minorHAnsi" w:hAnsiTheme="minorHAnsi" w:cs="Arial"/>
          <w:bCs/>
          <w:snapToGrid w:val="0"/>
        </w:rPr>
        <w:t>omments</w:t>
      </w:r>
      <w:r w:rsidR="00E76B16">
        <w:rPr>
          <w:rFonts w:asciiTheme="minorHAnsi" w:hAnsiTheme="minorHAnsi" w:cs="Arial"/>
          <w:bCs/>
          <w:snapToGrid w:val="0"/>
        </w:rPr>
        <w:t xml:space="preserve"> were also received </w:t>
      </w:r>
      <w:r w:rsidR="000D0E73">
        <w:rPr>
          <w:rFonts w:asciiTheme="minorHAnsi" w:hAnsiTheme="minorHAnsi" w:cs="Arial"/>
          <w:bCs/>
          <w:snapToGrid w:val="0"/>
        </w:rPr>
        <w:t>about the</w:t>
      </w:r>
      <w:r w:rsidR="00A50098">
        <w:rPr>
          <w:rFonts w:asciiTheme="minorHAnsi" w:hAnsiTheme="minorHAnsi" w:cs="Arial"/>
          <w:bCs/>
          <w:snapToGrid w:val="0"/>
        </w:rPr>
        <w:t xml:space="preserve"> current requirement</w:t>
      </w:r>
      <w:r w:rsidR="000D0E73">
        <w:rPr>
          <w:rFonts w:asciiTheme="minorHAnsi" w:hAnsiTheme="minorHAnsi" w:cs="Arial"/>
          <w:bCs/>
          <w:snapToGrid w:val="0"/>
        </w:rPr>
        <w:t xml:space="preserve"> for</w:t>
      </w:r>
      <w:r w:rsidR="00A50098">
        <w:rPr>
          <w:rFonts w:asciiTheme="minorHAnsi" w:hAnsiTheme="minorHAnsi" w:cs="Arial"/>
          <w:bCs/>
          <w:snapToGrid w:val="0"/>
        </w:rPr>
        <w:t xml:space="preserve"> a</w:t>
      </w:r>
      <w:r w:rsidR="000D0E73">
        <w:rPr>
          <w:rFonts w:asciiTheme="minorHAnsi" w:hAnsiTheme="minorHAnsi" w:cs="Arial"/>
          <w:bCs/>
          <w:snapToGrid w:val="0"/>
        </w:rPr>
        <w:t xml:space="preserve"> follow-up endoscopy</w:t>
      </w:r>
      <w:r w:rsidR="00A50098">
        <w:rPr>
          <w:rFonts w:asciiTheme="minorHAnsi" w:hAnsiTheme="minorHAnsi" w:cs="Arial"/>
          <w:bCs/>
          <w:snapToGrid w:val="0"/>
        </w:rPr>
        <w:t>,</w:t>
      </w:r>
      <w:r w:rsidR="000D0E73">
        <w:rPr>
          <w:rFonts w:asciiTheme="minorHAnsi" w:hAnsiTheme="minorHAnsi" w:cs="Arial"/>
          <w:bCs/>
          <w:snapToGrid w:val="0"/>
        </w:rPr>
        <w:t xml:space="preserve"> </w:t>
      </w:r>
      <w:r w:rsidR="00A50098">
        <w:rPr>
          <w:rFonts w:asciiTheme="minorHAnsi" w:hAnsiTheme="minorHAnsi" w:cs="Arial"/>
          <w:bCs/>
          <w:snapToGrid w:val="0"/>
        </w:rPr>
        <w:t>including th</w:t>
      </w:r>
      <w:r w:rsidR="00E76B16">
        <w:rPr>
          <w:rFonts w:asciiTheme="minorHAnsi" w:hAnsiTheme="minorHAnsi" w:cs="Arial"/>
          <w:bCs/>
          <w:snapToGrid w:val="0"/>
        </w:rPr>
        <w:t xml:space="preserve">at it is </w:t>
      </w:r>
      <w:r w:rsidR="00A50098">
        <w:rPr>
          <w:rFonts w:asciiTheme="minorHAnsi" w:hAnsiTheme="minorHAnsi" w:cs="Arial"/>
          <w:bCs/>
          <w:snapToGrid w:val="0"/>
        </w:rPr>
        <w:t>difficul</w:t>
      </w:r>
      <w:r w:rsidR="00E76B16">
        <w:rPr>
          <w:rFonts w:asciiTheme="minorHAnsi" w:hAnsiTheme="minorHAnsi" w:cs="Arial"/>
          <w:bCs/>
          <w:snapToGrid w:val="0"/>
        </w:rPr>
        <w:t>t</w:t>
      </w:r>
      <w:r w:rsidR="00A50098">
        <w:rPr>
          <w:rFonts w:asciiTheme="minorHAnsi" w:hAnsiTheme="minorHAnsi" w:cs="Arial"/>
          <w:bCs/>
          <w:snapToGrid w:val="0"/>
        </w:rPr>
        <w:t xml:space="preserve"> </w:t>
      </w:r>
      <w:r w:rsidR="00E76B16">
        <w:rPr>
          <w:rFonts w:asciiTheme="minorHAnsi" w:hAnsiTheme="minorHAnsi" w:cs="Arial"/>
          <w:bCs/>
          <w:snapToGrid w:val="0"/>
        </w:rPr>
        <w:t>to</w:t>
      </w:r>
      <w:r w:rsidR="00A50098">
        <w:rPr>
          <w:rFonts w:asciiTheme="minorHAnsi" w:hAnsiTheme="minorHAnsi" w:cs="Arial"/>
          <w:bCs/>
          <w:snapToGrid w:val="0"/>
        </w:rPr>
        <w:t xml:space="preserve"> schedul</w:t>
      </w:r>
      <w:r w:rsidR="00E76B16">
        <w:rPr>
          <w:rFonts w:asciiTheme="minorHAnsi" w:hAnsiTheme="minorHAnsi" w:cs="Arial"/>
          <w:bCs/>
          <w:snapToGrid w:val="0"/>
        </w:rPr>
        <w:t>e</w:t>
      </w:r>
      <w:r w:rsidR="00A50098">
        <w:rPr>
          <w:rFonts w:asciiTheme="minorHAnsi" w:hAnsiTheme="minorHAnsi" w:cs="Arial"/>
          <w:bCs/>
          <w:snapToGrid w:val="0"/>
        </w:rPr>
        <w:t xml:space="preserve"> a repeat endoscopy in the public sector, with several comments suggesting </w:t>
      </w:r>
      <w:r w:rsidR="00E76B16">
        <w:rPr>
          <w:rFonts w:asciiTheme="minorHAnsi" w:hAnsiTheme="minorHAnsi" w:cs="Arial"/>
          <w:bCs/>
          <w:snapToGrid w:val="0"/>
        </w:rPr>
        <w:t>a</w:t>
      </w:r>
      <w:r w:rsidR="00A50098">
        <w:rPr>
          <w:rFonts w:asciiTheme="minorHAnsi" w:hAnsiTheme="minorHAnsi" w:cs="Arial"/>
          <w:bCs/>
          <w:snapToGrid w:val="0"/>
        </w:rPr>
        <w:t xml:space="preserve"> longer timeframe for a follow-up endoscopy (e.g. within 6 to 12 months of commencing treatment)</w:t>
      </w:r>
      <w:r w:rsidR="00E76B16">
        <w:rPr>
          <w:rFonts w:asciiTheme="minorHAnsi" w:hAnsiTheme="minorHAnsi" w:cs="Arial"/>
          <w:bCs/>
          <w:snapToGrid w:val="0"/>
        </w:rPr>
        <w:t xml:space="preserve"> would be appropriate</w:t>
      </w:r>
      <w:r w:rsidR="00A50098">
        <w:rPr>
          <w:rFonts w:asciiTheme="minorHAnsi" w:hAnsiTheme="minorHAnsi" w:cs="Arial"/>
          <w:bCs/>
          <w:snapToGrid w:val="0"/>
        </w:rPr>
        <w:t xml:space="preserve">. </w:t>
      </w:r>
      <w:r w:rsidRPr="00836F75">
        <w:rPr>
          <w:rFonts w:asciiTheme="minorHAnsi" w:hAnsiTheme="minorHAnsi" w:cs="Arial"/>
          <w:bCs/>
          <w:snapToGrid w:val="0"/>
        </w:rPr>
        <w:t xml:space="preserve"> </w:t>
      </w:r>
      <w:bookmarkStart w:id="1" w:name="_Hlk97141379"/>
      <w:r w:rsidR="00E76B16">
        <w:rPr>
          <w:rFonts w:asciiTheme="minorHAnsi" w:hAnsiTheme="minorHAnsi" w:cs="Arial"/>
          <w:bCs/>
          <w:snapToGrid w:val="0"/>
        </w:rPr>
        <w:t>Other c</w:t>
      </w:r>
      <w:r w:rsidR="00A50098">
        <w:rPr>
          <w:rFonts w:asciiTheme="minorHAnsi" w:hAnsiTheme="minorHAnsi" w:cs="Arial"/>
          <w:bCs/>
          <w:snapToGrid w:val="0"/>
        </w:rPr>
        <w:t xml:space="preserve">omments </w:t>
      </w:r>
      <w:r w:rsidR="00E76B16">
        <w:rPr>
          <w:rFonts w:asciiTheme="minorHAnsi" w:hAnsiTheme="minorHAnsi" w:cs="Arial"/>
          <w:bCs/>
          <w:snapToGrid w:val="0"/>
        </w:rPr>
        <w:t>cited</w:t>
      </w:r>
      <w:r w:rsidR="00A50098">
        <w:rPr>
          <w:rFonts w:asciiTheme="minorHAnsi" w:hAnsiTheme="minorHAnsi" w:cs="Arial"/>
          <w:bCs/>
          <w:snapToGrid w:val="0"/>
        </w:rPr>
        <w:t xml:space="preserve"> concerns about the proposal to remove the requirement for a follow-up endo</w:t>
      </w:r>
      <w:r w:rsidR="00AA0254">
        <w:rPr>
          <w:rFonts w:asciiTheme="minorHAnsi" w:hAnsiTheme="minorHAnsi" w:cs="Arial"/>
          <w:bCs/>
          <w:snapToGrid w:val="0"/>
        </w:rPr>
        <w:t>s</w:t>
      </w:r>
      <w:r w:rsidR="00A50098">
        <w:rPr>
          <w:rFonts w:asciiTheme="minorHAnsi" w:hAnsiTheme="minorHAnsi" w:cs="Arial"/>
          <w:bCs/>
          <w:snapToGrid w:val="0"/>
        </w:rPr>
        <w:t xml:space="preserve">copy to confirm response to treatment, stating that it is poor clinical practice to allow long-term treatment without confirming effectiveness. </w:t>
      </w:r>
      <w:r w:rsidR="00E76B16">
        <w:rPr>
          <w:rFonts w:asciiTheme="minorHAnsi" w:hAnsiTheme="minorHAnsi" w:cs="Arial"/>
          <w:bCs/>
          <w:snapToGrid w:val="0"/>
        </w:rPr>
        <w:t xml:space="preserve">One comment stated that while a follow-up histological assessment is best practice and should occur in the majority of patients, it is not appropriate for certain patients (e.g. those with a high anaesthetic risk or under palliative management), and therefore the decision for a repeat endoscopy should lie with the treating gastroenterologist. </w:t>
      </w:r>
      <w:bookmarkEnd w:id="1"/>
    </w:p>
    <w:p w14:paraId="118A10F2" w14:textId="445C9DE2" w:rsidR="00E76B16" w:rsidRPr="005830D9" w:rsidRDefault="00322AD3">
      <w:pPr>
        <w:widowControl w:val="0"/>
        <w:numPr>
          <w:ilvl w:val="1"/>
          <w:numId w:val="2"/>
        </w:numPr>
        <w:spacing w:after="120"/>
        <w:rPr>
          <w:rFonts w:cs="Arial"/>
          <w:bCs/>
          <w:snapToGrid w:val="0"/>
        </w:rPr>
      </w:pPr>
      <w:bookmarkStart w:id="2" w:name="_Hlk97141415"/>
      <w:r>
        <w:rPr>
          <w:rFonts w:cs="Arial"/>
          <w:bCs/>
          <w:snapToGrid w:val="0"/>
        </w:rPr>
        <w:t>The PBAC noted the advice received from</w:t>
      </w:r>
      <w:r w:rsidR="00CA3696">
        <w:rPr>
          <w:rFonts w:cs="Arial"/>
          <w:bCs/>
          <w:snapToGrid w:val="0"/>
        </w:rPr>
        <w:t xml:space="preserve"> the</w:t>
      </w:r>
      <w:r>
        <w:rPr>
          <w:rFonts w:cs="Arial"/>
          <w:bCs/>
          <w:snapToGrid w:val="0"/>
        </w:rPr>
        <w:t xml:space="preserve"> </w:t>
      </w:r>
      <w:r w:rsidR="00CA3696">
        <w:rPr>
          <w:rFonts w:cs="Arial"/>
          <w:bCs/>
          <w:snapToGrid w:val="0"/>
        </w:rPr>
        <w:t xml:space="preserve">Australasian Society of Clinical Immunology and Allergy </w:t>
      </w:r>
      <w:r w:rsidR="00107503">
        <w:rPr>
          <w:rFonts w:cs="Arial"/>
          <w:bCs/>
          <w:snapToGrid w:val="0"/>
        </w:rPr>
        <w:t xml:space="preserve">(ASCIA) </w:t>
      </w:r>
      <w:r w:rsidR="00CA3696">
        <w:rPr>
          <w:rFonts w:cs="Arial"/>
          <w:bCs/>
          <w:snapToGrid w:val="0"/>
        </w:rPr>
        <w:t>and Allergy &amp; Anaphylaxis Australia that specialists other than gastroenterologists are commonly responsible for the care of patients with EoE.</w:t>
      </w:r>
    </w:p>
    <w:bookmarkEnd w:id="2"/>
    <w:p w14:paraId="3F679FE9" w14:textId="112B135C" w:rsidR="00C27C1C" w:rsidRPr="00937958" w:rsidRDefault="00C27C1C" w:rsidP="00102C19">
      <w:pPr>
        <w:pStyle w:val="4-SubsectionHeading"/>
        <w:keepNext w:val="0"/>
        <w:rPr>
          <w:lang w:eastAsia="en-US"/>
        </w:rPr>
      </w:pPr>
      <w:r w:rsidRPr="003C2FB5">
        <w:rPr>
          <w:lang w:eastAsia="en-US"/>
        </w:rPr>
        <w:t>Clinical trials</w:t>
      </w:r>
      <w:r>
        <w:rPr>
          <w:lang w:eastAsia="en-US"/>
        </w:rPr>
        <w:t xml:space="preserve"> </w:t>
      </w:r>
    </w:p>
    <w:p w14:paraId="19A206BD" w14:textId="6BDC6808" w:rsidR="00C27C1C" w:rsidRDefault="00C27C1C" w:rsidP="00102C19">
      <w:pPr>
        <w:pStyle w:val="3Bodytext"/>
        <w:jc w:val="both"/>
      </w:pPr>
      <w:bookmarkStart w:id="3" w:name="_Hlk86163265"/>
      <w:r w:rsidRPr="009E2E8E">
        <w:t xml:space="preserve">The submission </w:t>
      </w:r>
      <w:r w:rsidR="00277569">
        <w:t xml:space="preserve">cited </w:t>
      </w:r>
      <w:r w:rsidR="006A7311" w:rsidRPr="003D096B">
        <w:t xml:space="preserve">the </w:t>
      </w:r>
      <w:r w:rsidR="006A7311">
        <w:t>pivotal induction of remission trial (study EOS-1), a Phase</w:t>
      </w:r>
      <w:r w:rsidR="003E464F">
        <w:t> </w:t>
      </w:r>
      <w:r w:rsidR="006A7311">
        <w:t xml:space="preserve">III, prospective, randomised, double blind study comparing the efficacy and tolerability of </w:t>
      </w:r>
      <w:r w:rsidR="00277569">
        <w:t>BOT</w:t>
      </w:r>
      <w:r w:rsidR="006A7311">
        <w:t xml:space="preserve"> versus placebo</w:t>
      </w:r>
      <w:r w:rsidR="00277569">
        <w:t xml:space="preserve"> (Table 1)</w:t>
      </w:r>
      <w:r w:rsidR="006A7311">
        <w:t xml:space="preserve">. </w:t>
      </w:r>
    </w:p>
    <w:p w14:paraId="54A672C3" w14:textId="5D032BCE" w:rsidR="008A7F0C" w:rsidRPr="005830D9" w:rsidRDefault="00BA29E1" w:rsidP="00102C19">
      <w:pPr>
        <w:pStyle w:val="3Bodytext"/>
        <w:jc w:val="both"/>
      </w:pPr>
      <w:bookmarkStart w:id="4" w:name="_Hlk126658516"/>
      <w:r w:rsidRPr="005830D9">
        <w:t>The PBAC had previously considered that there is a risk of use in non-responding patients, both following induction (with 15.3% of patients not achieving clinicohistologic remission over 12 weeks</w:t>
      </w:r>
      <w:r w:rsidR="00BE1BB5" w:rsidRPr="005830D9">
        <w:t>)</w:t>
      </w:r>
      <w:r w:rsidRPr="005830D9">
        <w:t xml:space="preserve"> (Table 4, budesonide</w:t>
      </w:r>
      <w:r w:rsidR="00625F6A" w:rsidRPr="005830D9">
        <w:t>,</w:t>
      </w:r>
      <w:r w:rsidRPr="005830D9">
        <w:t xml:space="preserve"> PSD, March 2021 PBAC </w:t>
      </w:r>
      <w:r w:rsidR="00BE1BB5" w:rsidRPr="005830D9">
        <w:t>M</w:t>
      </w:r>
      <w:r w:rsidRPr="005830D9">
        <w:t>eeting) and in the longer term (15% of patients failed to maintain histological remission at 48 weeks</w:t>
      </w:r>
      <w:r w:rsidR="00BE1BB5" w:rsidRPr="005830D9">
        <w:t>)</w:t>
      </w:r>
      <w:r w:rsidRPr="005830D9">
        <w:t xml:space="preserve"> (paragraph 6.38, budesonide</w:t>
      </w:r>
      <w:r w:rsidR="00625F6A" w:rsidRPr="005830D9">
        <w:t>,</w:t>
      </w:r>
      <w:r w:rsidRPr="005830D9">
        <w:t xml:space="preserve"> PSD, March 2021 PBAC </w:t>
      </w:r>
      <w:r w:rsidR="00BE1BB5" w:rsidRPr="005830D9">
        <w:t>M</w:t>
      </w:r>
      <w:r w:rsidRPr="005830D9">
        <w:t>eeting).</w:t>
      </w:r>
      <w:r w:rsidR="00445ADF" w:rsidRPr="005830D9">
        <w:t xml:space="preserve"> This submission</w:t>
      </w:r>
      <w:r w:rsidR="007354F6" w:rsidRPr="005830D9">
        <w:t xml:space="preserve">’s clinical data included </w:t>
      </w:r>
      <w:r w:rsidR="00445ADF" w:rsidRPr="005830D9">
        <w:t>one extra respondent reaching the primary endpoint at 12 weeks</w:t>
      </w:r>
      <w:r w:rsidR="00DD5E0C" w:rsidRPr="005830D9">
        <w:t xml:space="preserve"> (51/59)</w:t>
      </w:r>
      <w:r w:rsidR="00445ADF" w:rsidRPr="005830D9">
        <w:t xml:space="preserve"> compared to </w:t>
      </w:r>
      <w:r w:rsidR="00DD5E0C" w:rsidRPr="005830D9">
        <w:t>6 weeks (50/59)</w:t>
      </w:r>
      <w:r w:rsidR="00445ADF" w:rsidRPr="005830D9">
        <w:t>.</w:t>
      </w:r>
    </w:p>
    <w:p w14:paraId="7F987F55" w14:textId="4FBB0472" w:rsidR="003434D8" w:rsidRDefault="003434D8" w:rsidP="00A861E6">
      <w:pPr>
        <w:pStyle w:val="Tabletitles"/>
        <w:keepNext/>
        <w:spacing w:after="0"/>
      </w:pPr>
      <w:r w:rsidRPr="003434D8">
        <w:t xml:space="preserve">Table </w:t>
      </w:r>
      <w:r>
        <w:t>1</w:t>
      </w:r>
      <w:r w:rsidRPr="003434D8">
        <w:t xml:space="preserve">: </w:t>
      </w:r>
      <w:r w:rsidRPr="00832C3D">
        <w:t xml:space="preserve">Results for </w:t>
      </w:r>
      <w:r>
        <w:t xml:space="preserve">histological and clinical remission </w:t>
      </w:r>
      <w:r w:rsidRPr="00832C3D">
        <w:t>endpoints in the EOS-1</w:t>
      </w:r>
      <w:r>
        <w:t xml:space="preserve"> </w:t>
      </w:r>
      <w:r w:rsidRPr="00832C3D">
        <w:t>study</w:t>
      </w:r>
    </w:p>
    <w:tbl>
      <w:tblPr>
        <w:tblStyle w:val="TableGrid"/>
        <w:tblW w:w="5000" w:type="pct"/>
        <w:tblLook w:val="04A0" w:firstRow="1" w:lastRow="0" w:firstColumn="1" w:lastColumn="0" w:noHBand="0" w:noVBand="1"/>
      </w:tblPr>
      <w:tblGrid>
        <w:gridCol w:w="4753"/>
        <w:gridCol w:w="965"/>
        <w:gridCol w:w="965"/>
        <w:gridCol w:w="2333"/>
      </w:tblGrid>
      <w:tr w:rsidR="003434D8" w:rsidRPr="00467094" w14:paraId="616F235F" w14:textId="77777777" w:rsidTr="00C5193E">
        <w:trPr>
          <w:tblHeader/>
        </w:trPr>
        <w:tc>
          <w:tcPr>
            <w:tcW w:w="2636" w:type="pct"/>
          </w:tcPr>
          <w:p w14:paraId="51DD163D" w14:textId="77777777" w:rsidR="003434D8" w:rsidRPr="00467094" w:rsidRDefault="003434D8" w:rsidP="007A1357">
            <w:pPr>
              <w:pStyle w:val="TableText0"/>
              <w:rPr>
                <w:b/>
                <w:bCs w:val="0"/>
              </w:rPr>
            </w:pPr>
            <w:r w:rsidRPr="00467094">
              <w:rPr>
                <w:b/>
              </w:rPr>
              <w:t>Outcome measure</w:t>
            </w:r>
          </w:p>
        </w:tc>
        <w:tc>
          <w:tcPr>
            <w:tcW w:w="535" w:type="pct"/>
          </w:tcPr>
          <w:p w14:paraId="29AB019F" w14:textId="4F33C78F" w:rsidR="003434D8" w:rsidRPr="00467094" w:rsidRDefault="003434D8" w:rsidP="007A1357">
            <w:pPr>
              <w:pStyle w:val="TableText0"/>
              <w:rPr>
                <w:b/>
                <w:bCs w:val="0"/>
              </w:rPr>
            </w:pPr>
            <w:r w:rsidRPr="00467094">
              <w:rPr>
                <w:b/>
              </w:rPr>
              <w:t>BOT 1</w:t>
            </w:r>
            <w:r w:rsidR="009B380B">
              <w:rPr>
                <w:b/>
              </w:rPr>
              <w:t> </w:t>
            </w:r>
            <w:r w:rsidRPr="00467094">
              <w:rPr>
                <w:b/>
              </w:rPr>
              <w:t xml:space="preserve">mg BID </w:t>
            </w:r>
            <w:r w:rsidRPr="00467094">
              <w:rPr>
                <w:b/>
              </w:rPr>
              <w:br/>
              <w:t>N=59</w:t>
            </w:r>
          </w:p>
        </w:tc>
        <w:tc>
          <w:tcPr>
            <w:tcW w:w="535" w:type="pct"/>
          </w:tcPr>
          <w:p w14:paraId="2069F3FA" w14:textId="77777777" w:rsidR="003434D8" w:rsidRPr="00467094" w:rsidRDefault="003434D8" w:rsidP="007A1357">
            <w:pPr>
              <w:pStyle w:val="TableText0"/>
              <w:rPr>
                <w:b/>
                <w:bCs w:val="0"/>
              </w:rPr>
            </w:pPr>
            <w:r w:rsidRPr="00467094">
              <w:rPr>
                <w:b/>
              </w:rPr>
              <w:t xml:space="preserve">Placebo </w:t>
            </w:r>
          </w:p>
          <w:p w14:paraId="1BC16EAD" w14:textId="77777777" w:rsidR="003434D8" w:rsidRPr="00467094" w:rsidRDefault="003434D8" w:rsidP="007A1357">
            <w:pPr>
              <w:pStyle w:val="TableText0"/>
              <w:rPr>
                <w:b/>
                <w:bCs w:val="0"/>
              </w:rPr>
            </w:pPr>
            <w:r w:rsidRPr="00467094">
              <w:rPr>
                <w:b/>
              </w:rPr>
              <w:t>N=29</w:t>
            </w:r>
          </w:p>
        </w:tc>
        <w:tc>
          <w:tcPr>
            <w:tcW w:w="1294" w:type="pct"/>
          </w:tcPr>
          <w:p w14:paraId="66BFA6CE" w14:textId="77777777" w:rsidR="003434D8" w:rsidRPr="00467094" w:rsidRDefault="003434D8" w:rsidP="007A1357">
            <w:pPr>
              <w:pStyle w:val="TableText0"/>
              <w:rPr>
                <w:b/>
                <w:bCs w:val="0"/>
              </w:rPr>
            </w:pPr>
            <w:r w:rsidRPr="00467094">
              <w:rPr>
                <w:b/>
              </w:rPr>
              <w:t>Treatment difference</w:t>
            </w:r>
            <w:r>
              <w:rPr>
                <w:b/>
              </w:rPr>
              <w:t xml:space="preserve"> (95%RCI); p-values</w:t>
            </w:r>
            <w:r w:rsidRPr="00CA3428">
              <w:rPr>
                <w:b/>
                <w:vertAlign w:val="superscript"/>
              </w:rPr>
              <w:t>a</w:t>
            </w:r>
          </w:p>
        </w:tc>
      </w:tr>
      <w:tr w:rsidR="003434D8" w:rsidRPr="000E28EB" w14:paraId="2559EFD5" w14:textId="77777777" w:rsidTr="00C5193E">
        <w:tc>
          <w:tcPr>
            <w:tcW w:w="5000" w:type="pct"/>
            <w:gridSpan w:val="4"/>
            <w:shd w:val="clear" w:color="auto" w:fill="EEECE1" w:themeFill="background2"/>
          </w:tcPr>
          <w:p w14:paraId="7FACDAFC" w14:textId="77777777" w:rsidR="003434D8" w:rsidRPr="000E28EB" w:rsidRDefault="003434D8" w:rsidP="00A861E6">
            <w:pPr>
              <w:pStyle w:val="Table"/>
              <w:keepNext/>
              <w:keepLines w:val="0"/>
              <w:widowControl w:val="0"/>
              <w:rPr>
                <w:b/>
                <w:bCs/>
              </w:rPr>
            </w:pPr>
            <w:r w:rsidRPr="000E28EB">
              <w:rPr>
                <w:rFonts w:ascii="Arial Narrow" w:eastAsia="TimesNewRoman" w:hAnsi="Arial Narrow" w:cs="Times New Roman"/>
                <w:b/>
                <w:bCs/>
                <w:color w:val="000000"/>
                <w:szCs w:val="20"/>
                <w:lang w:val="en-US" w:eastAsia="en-AU" w:bidi="ar-SA"/>
              </w:rPr>
              <w:t>Primary endpoint</w:t>
            </w:r>
          </w:p>
        </w:tc>
      </w:tr>
      <w:tr w:rsidR="003434D8" w14:paraId="730ED225" w14:textId="77777777" w:rsidTr="00C5193E">
        <w:tc>
          <w:tcPr>
            <w:tcW w:w="2636" w:type="pct"/>
          </w:tcPr>
          <w:p w14:paraId="065282A4" w14:textId="77777777" w:rsidR="003434D8" w:rsidRDefault="003434D8" w:rsidP="007A1357">
            <w:pPr>
              <w:pStyle w:val="TableText0"/>
            </w:pPr>
            <w:r>
              <w:t>Clinicohistologic remission</w:t>
            </w:r>
            <w:r w:rsidRPr="00CA3428">
              <w:rPr>
                <w:vertAlign w:val="superscript"/>
              </w:rPr>
              <w:t>b</w:t>
            </w:r>
            <w:r>
              <w:t xml:space="preserve"> at 6 weeks (LOCF; FAS-DB): n/N (%)</w:t>
            </w:r>
          </w:p>
        </w:tc>
        <w:tc>
          <w:tcPr>
            <w:tcW w:w="535" w:type="pct"/>
          </w:tcPr>
          <w:p w14:paraId="266A9343" w14:textId="77777777" w:rsidR="003434D8" w:rsidRDefault="003434D8" w:rsidP="007A1357">
            <w:pPr>
              <w:pStyle w:val="TableText0"/>
            </w:pPr>
            <w:r w:rsidRPr="00E16A14">
              <w:t>34/59 (57.6%)</w:t>
            </w:r>
          </w:p>
        </w:tc>
        <w:tc>
          <w:tcPr>
            <w:tcW w:w="535" w:type="pct"/>
          </w:tcPr>
          <w:p w14:paraId="61A04854" w14:textId="77777777" w:rsidR="003434D8" w:rsidRDefault="003434D8" w:rsidP="007A1357">
            <w:pPr>
              <w:pStyle w:val="TableText0"/>
            </w:pPr>
            <w:r w:rsidRPr="00E16A14">
              <w:t>0/29 (0.0%)</w:t>
            </w:r>
          </w:p>
        </w:tc>
        <w:tc>
          <w:tcPr>
            <w:tcW w:w="1294" w:type="pct"/>
          </w:tcPr>
          <w:p w14:paraId="5D03BA4C" w14:textId="77777777" w:rsidR="003434D8" w:rsidRDefault="003434D8" w:rsidP="007A1357">
            <w:pPr>
              <w:pStyle w:val="TableText0"/>
            </w:pPr>
            <w:r w:rsidRPr="00715C26">
              <w:t>57.63</w:t>
            </w:r>
            <w:r>
              <w:t>% (</w:t>
            </w:r>
            <w:r w:rsidRPr="00715C26">
              <w:t>38.22%, 71.97%</w:t>
            </w:r>
            <w:r>
              <w:t>); p&lt;0.0001</w:t>
            </w:r>
          </w:p>
        </w:tc>
      </w:tr>
      <w:tr w:rsidR="003434D8" w14:paraId="2A8E7F95" w14:textId="77777777" w:rsidTr="00C5193E">
        <w:tc>
          <w:tcPr>
            <w:tcW w:w="2636" w:type="pct"/>
          </w:tcPr>
          <w:p w14:paraId="1AA0BBCC" w14:textId="77777777" w:rsidR="003434D8" w:rsidRDefault="003434D8" w:rsidP="007A1357">
            <w:pPr>
              <w:pStyle w:val="TableText0"/>
            </w:pPr>
            <w:r>
              <w:t>Cumulative c</w:t>
            </w:r>
            <w:r w:rsidRPr="00715C26">
              <w:t>linicohistologic remission</w:t>
            </w:r>
            <w:r w:rsidRPr="00CA3428">
              <w:rPr>
                <w:vertAlign w:val="superscript"/>
              </w:rPr>
              <w:t>c</w:t>
            </w:r>
            <w:r w:rsidRPr="00715C26">
              <w:t xml:space="preserve"> after </w:t>
            </w:r>
            <w:r>
              <w:t>6 weeks DB treatment + a</w:t>
            </w:r>
            <w:r w:rsidRPr="00F466B9">
              <w:t>dditional 6 weeks OL</w:t>
            </w:r>
            <w:r>
              <w:t>I</w:t>
            </w:r>
            <w:r w:rsidRPr="00F466B9">
              <w:t xml:space="preserve"> </w:t>
            </w:r>
            <w:r>
              <w:t xml:space="preserve">treatment </w:t>
            </w:r>
            <w:r w:rsidRPr="00F466B9">
              <w:t>for those not in clinicohistologic remission at the end of the DB phase</w:t>
            </w:r>
            <w:r>
              <w:t>: n/N (%)</w:t>
            </w:r>
          </w:p>
        </w:tc>
        <w:tc>
          <w:tcPr>
            <w:tcW w:w="535" w:type="pct"/>
          </w:tcPr>
          <w:p w14:paraId="23513962" w14:textId="77777777" w:rsidR="003434D8" w:rsidRDefault="003434D8" w:rsidP="007A1357">
            <w:pPr>
              <w:pStyle w:val="TableText0"/>
            </w:pPr>
            <w:r>
              <w:t>50/59 (84.7%)</w:t>
            </w:r>
          </w:p>
        </w:tc>
        <w:tc>
          <w:tcPr>
            <w:tcW w:w="535" w:type="pct"/>
          </w:tcPr>
          <w:p w14:paraId="7E1327E2" w14:textId="77777777" w:rsidR="003434D8" w:rsidRDefault="003434D8" w:rsidP="007A1357">
            <w:pPr>
              <w:pStyle w:val="TableText0"/>
            </w:pPr>
            <w:r>
              <w:t>-</w:t>
            </w:r>
          </w:p>
        </w:tc>
        <w:tc>
          <w:tcPr>
            <w:tcW w:w="1294" w:type="pct"/>
          </w:tcPr>
          <w:p w14:paraId="3FEE0DA6" w14:textId="77777777" w:rsidR="003434D8" w:rsidRDefault="003434D8" w:rsidP="007A1357">
            <w:pPr>
              <w:pStyle w:val="TableText0"/>
            </w:pPr>
            <w:r>
              <w:t>-</w:t>
            </w:r>
          </w:p>
        </w:tc>
      </w:tr>
      <w:tr w:rsidR="003434D8" w:rsidRPr="001579A3" w14:paraId="0DF2EFC7" w14:textId="77777777" w:rsidTr="00C5193E">
        <w:tc>
          <w:tcPr>
            <w:tcW w:w="5000" w:type="pct"/>
            <w:gridSpan w:val="4"/>
            <w:shd w:val="clear" w:color="auto" w:fill="EEECE1" w:themeFill="background2"/>
          </w:tcPr>
          <w:p w14:paraId="37C14EA5" w14:textId="77777777" w:rsidR="003434D8" w:rsidRPr="001579A3" w:rsidRDefault="003434D8" w:rsidP="00A861E6">
            <w:pPr>
              <w:pStyle w:val="Table"/>
              <w:keepNext/>
              <w:keepLines w:val="0"/>
              <w:widowControl w:val="0"/>
              <w:rPr>
                <w:rFonts w:ascii="Arial Narrow" w:eastAsia="TimesNewRoman" w:hAnsi="Arial Narrow" w:cs="Times New Roman"/>
                <w:b/>
                <w:bCs/>
                <w:color w:val="000000"/>
                <w:szCs w:val="20"/>
                <w:lang w:val="en-US" w:eastAsia="en-AU" w:bidi="ar-SA"/>
              </w:rPr>
            </w:pPr>
            <w:r>
              <w:rPr>
                <w:rFonts w:ascii="Arial Narrow" w:eastAsia="TimesNewRoman" w:hAnsi="Arial Narrow" w:cs="Times New Roman"/>
                <w:b/>
                <w:bCs/>
                <w:color w:val="000000"/>
                <w:szCs w:val="20"/>
                <w:lang w:val="en-US" w:eastAsia="en-AU" w:bidi="ar-SA"/>
              </w:rPr>
              <w:t xml:space="preserve">Secondary </w:t>
            </w:r>
            <w:r w:rsidRPr="001579A3">
              <w:rPr>
                <w:rFonts w:ascii="Arial Narrow" w:eastAsia="TimesNewRoman" w:hAnsi="Arial Narrow" w:cs="Times New Roman"/>
                <w:b/>
                <w:bCs/>
                <w:color w:val="000000"/>
                <w:szCs w:val="20"/>
                <w:lang w:val="en-US" w:eastAsia="en-AU" w:bidi="ar-SA"/>
              </w:rPr>
              <w:t xml:space="preserve">endpoints </w:t>
            </w:r>
          </w:p>
        </w:tc>
      </w:tr>
      <w:tr w:rsidR="003434D8" w14:paraId="78D22BBF" w14:textId="77777777" w:rsidTr="00C5193E">
        <w:tc>
          <w:tcPr>
            <w:tcW w:w="2636" w:type="pct"/>
          </w:tcPr>
          <w:p w14:paraId="3BE564FC" w14:textId="77777777" w:rsidR="003434D8" w:rsidRDefault="003434D8" w:rsidP="007A1357">
            <w:pPr>
              <w:pStyle w:val="TableText0"/>
            </w:pPr>
            <w:r>
              <w:t>Histological remission</w:t>
            </w:r>
            <w:r w:rsidRPr="00CA3428">
              <w:rPr>
                <w:vertAlign w:val="superscript"/>
              </w:rPr>
              <w:t>d</w:t>
            </w:r>
            <w:r>
              <w:t xml:space="preserve"> at 6 weeks (LOCF; FAS-DB): n/N (%)</w:t>
            </w:r>
          </w:p>
        </w:tc>
        <w:tc>
          <w:tcPr>
            <w:tcW w:w="535" w:type="pct"/>
          </w:tcPr>
          <w:p w14:paraId="6A5FDA28" w14:textId="77777777" w:rsidR="003434D8" w:rsidRDefault="003434D8" w:rsidP="007A1357">
            <w:pPr>
              <w:pStyle w:val="TableText0"/>
            </w:pPr>
            <w:r w:rsidRPr="00E16A14">
              <w:t>55/59 (93.2%)</w:t>
            </w:r>
          </w:p>
        </w:tc>
        <w:tc>
          <w:tcPr>
            <w:tcW w:w="535" w:type="pct"/>
          </w:tcPr>
          <w:p w14:paraId="7A411CB9" w14:textId="77777777" w:rsidR="003434D8" w:rsidRDefault="003434D8" w:rsidP="007A1357">
            <w:pPr>
              <w:pStyle w:val="TableText0"/>
            </w:pPr>
            <w:r w:rsidRPr="00E16A14">
              <w:t>0/29 (0.0%)</w:t>
            </w:r>
          </w:p>
        </w:tc>
        <w:tc>
          <w:tcPr>
            <w:tcW w:w="1294" w:type="pct"/>
          </w:tcPr>
          <w:p w14:paraId="2EF7F080" w14:textId="77777777" w:rsidR="003434D8" w:rsidRDefault="003434D8" w:rsidP="007A1357">
            <w:pPr>
              <w:pStyle w:val="TableText0"/>
            </w:pPr>
            <w:r w:rsidRPr="00E16A14">
              <w:t xml:space="preserve">93.22% </w:t>
            </w:r>
            <w:r>
              <w:t>(86.81%, 99.64%); p&lt;0.0001</w:t>
            </w:r>
          </w:p>
        </w:tc>
      </w:tr>
      <w:tr w:rsidR="003434D8" w14:paraId="7EF8B9AB" w14:textId="77777777" w:rsidTr="00C5193E">
        <w:tc>
          <w:tcPr>
            <w:tcW w:w="2636" w:type="pct"/>
          </w:tcPr>
          <w:p w14:paraId="31E54901" w14:textId="77777777" w:rsidR="003434D8" w:rsidRDefault="003434D8" w:rsidP="007A1357">
            <w:pPr>
              <w:pStyle w:val="TableText0"/>
            </w:pPr>
            <w:r w:rsidRPr="00CA3428">
              <w:t>Resolution of clinical symptoms</w:t>
            </w:r>
            <w:r w:rsidRPr="00CA3428">
              <w:rPr>
                <w:vertAlign w:val="superscript"/>
              </w:rPr>
              <w:t>e</w:t>
            </w:r>
            <w:r>
              <w:t xml:space="preserve"> at 6 weeks (LOCF; FAS-DB): n/N (%)</w:t>
            </w:r>
          </w:p>
        </w:tc>
        <w:tc>
          <w:tcPr>
            <w:tcW w:w="535" w:type="pct"/>
          </w:tcPr>
          <w:p w14:paraId="442E86B3" w14:textId="77777777" w:rsidR="003434D8" w:rsidRDefault="003434D8" w:rsidP="007A1357">
            <w:pPr>
              <w:pStyle w:val="TableText0"/>
            </w:pPr>
            <w:r w:rsidRPr="00E16A14">
              <w:t>35/59 (59.3%)</w:t>
            </w:r>
          </w:p>
        </w:tc>
        <w:tc>
          <w:tcPr>
            <w:tcW w:w="535" w:type="pct"/>
          </w:tcPr>
          <w:p w14:paraId="47F26AFA" w14:textId="77777777" w:rsidR="003434D8" w:rsidRDefault="003434D8" w:rsidP="007A1357">
            <w:pPr>
              <w:pStyle w:val="TableText0"/>
            </w:pPr>
            <w:r w:rsidRPr="00E16A14">
              <w:t>4/29 (13.8%)</w:t>
            </w:r>
          </w:p>
        </w:tc>
        <w:tc>
          <w:tcPr>
            <w:tcW w:w="1294" w:type="pct"/>
          </w:tcPr>
          <w:p w14:paraId="39FECC84" w14:textId="77777777" w:rsidR="003434D8" w:rsidRDefault="003434D8" w:rsidP="007A1357">
            <w:pPr>
              <w:pStyle w:val="TableText0"/>
            </w:pPr>
            <w:r>
              <w:t>45.53% (27.79%, 63.27%); p&lt;0.0001</w:t>
            </w:r>
          </w:p>
        </w:tc>
      </w:tr>
      <w:tr w:rsidR="003434D8" w14:paraId="1552AE4A" w14:textId="77777777" w:rsidTr="00C5193E">
        <w:tc>
          <w:tcPr>
            <w:tcW w:w="2636" w:type="pct"/>
          </w:tcPr>
          <w:p w14:paraId="26F7CD88" w14:textId="77777777" w:rsidR="003434D8" w:rsidRDefault="003434D8" w:rsidP="007A1357">
            <w:pPr>
              <w:pStyle w:val="TableText0"/>
            </w:pPr>
            <w:r>
              <w:t>Clinical</w:t>
            </w:r>
            <w:r w:rsidRPr="0096392B">
              <w:t xml:space="preserve"> remission after </w:t>
            </w:r>
            <w:r>
              <w:t>12</w:t>
            </w:r>
            <w:r w:rsidRPr="0096392B">
              <w:t xml:space="preserve"> weeks </w:t>
            </w:r>
            <w:r>
              <w:t>(</w:t>
            </w:r>
            <w:r w:rsidRPr="0096392B">
              <w:t xml:space="preserve">DB </w:t>
            </w:r>
            <w:r>
              <w:t xml:space="preserve">+ OLI </w:t>
            </w:r>
            <w:r w:rsidRPr="0096392B">
              <w:t>treatment</w:t>
            </w:r>
            <w:r>
              <w:t>):</w:t>
            </w:r>
            <w:r w:rsidRPr="0096392B">
              <w:t xml:space="preserve"> n/N (%)</w:t>
            </w:r>
          </w:p>
        </w:tc>
        <w:tc>
          <w:tcPr>
            <w:tcW w:w="535" w:type="pct"/>
          </w:tcPr>
          <w:p w14:paraId="0B94B05A" w14:textId="77777777" w:rsidR="003434D8" w:rsidRDefault="003434D8" w:rsidP="007A1357">
            <w:pPr>
              <w:pStyle w:val="TableText0"/>
            </w:pPr>
            <w:r>
              <w:t>51/59 (86.4%)</w:t>
            </w:r>
          </w:p>
        </w:tc>
        <w:tc>
          <w:tcPr>
            <w:tcW w:w="535" w:type="pct"/>
          </w:tcPr>
          <w:p w14:paraId="623E2D48" w14:textId="77777777" w:rsidR="003434D8" w:rsidRDefault="003434D8" w:rsidP="007A1357">
            <w:pPr>
              <w:pStyle w:val="TableText0"/>
            </w:pPr>
            <w:r>
              <w:t>-</w:t>
            </w:r>
          </w:p>
        </w:tc>
        <w:tc>
          <w:tcPr>
            <w:tcW w:w="1294" w:type="pct"/>
          </w:tcPr>
          <w:p w14:paraId="065C1307" w14:textId="77777777" w:rsidR="003434D8" w:rsidRDefault="003434D8" w:rsidP="007A1357">
            <w:pPr>
              <w:pStyle w:val="TableText0"/>
            </w:pPr>
            <w:r>
              <w:t>-</w:t>
            </w:r>
          </w:p>
        </w:tc>
      </w:tr>
    </w:tbl>
    <w:p w14:paraId="3130AB4A" w14:textId="7B8A98C4" w:rsidR="009B380B" w:rsidRDefault="009B380B" w:rsidP="007A1357">
      <w:pPr>
        <w:pStyle w:val="TableFigureFooter"/>
        <w:keepNext/>
        <w:spacing w:after="0"/>
      </w:pPr>
      <w:r w:rsidRPr="000B5B80">
        <w:t xml:space="preserve">Source: </w:t>
      </w:r>
      <w:r w:rsidR="00574A3A">
        <w:t xml:space="preserve">Submission main body, </w:t>
      </w:r>
      <w:r w:rsidRPr="00C5193E">
        <w:t xml:space="preserve">Table </w:t>
      </w:r>
      <w:r>
        <w:t>4</w:t>
      </w:r>
      <w:r w:rsidRPr="00C5193E">
        <w:t>, p</w:t>
      </w:r>
      <w:r w:rsidR="00574A3A">
        <w:t>.</w:t>
      </w:r>
      <w:r>
        <w:t>9</w:t>
      </w:r>
      <w:r w:rsidRPr="00C5193E">
        <w:t>.</w:t>
      </w:r>
    </w:p>
    <w:p w14:paraId="01167EA3" w14:textId="1DABC1E6" w:rsidR="003434D8" w:rsidRDefault="000A69DF" w:rsidP="00A861E6">
      <w:pPr>
        <w:pStyle w:val="TableFooter"/>
        <w:keepNext/>
      </w:pPr>
      <w:r w:rsidRPr="00CA3428">
        <w:t>BID</w:t>
      </w:r>
      <w:r>
        <w:t xml:space="preserve"> =</w:t>
      </w:r>
      <w:r w:rsidRPr="00CA3428">
        <w:t xml:space="preserve"> twice daily</w:t>
      </w:r>
      <w:r>
        <w:t>,</w:t>
      </w:r>
      <w:r w:rsidRPr="00CA3428">
        <w:t xml:space="preserve"> BOT</w:t>
      </w:r>
      <w:r>
        <w:t xml:space="preserve"> =</w:t>
      </w:r>
      <w:r w:rsidRPr="00CA3428">
        <w:t xml:space="preserve"> budesonide orally disintegrating tablet</w:t>
      </w:r>
      <w:r w:rsidR="007354F6">
        <w:t>s</w:t>
      </w:r>
      <w:r>
        <w:t>,</w:t>
      </w:r>
      <w:r w:rsidRPr="00CA3428">
        <w:t xml:space="preserve"> CI</w:t>
      </w:r>
      <w:r>
        <w:t xml:space="preserve"> =</w:t>
      </w:r>
      <w:r w:rsidRPr="00CA3428">
        <w:t xml:space="preserve"> confidence interval</w:t>
      </w:r>
      <w:r>
        <w:t>,</w:t>
      </w:r>
      <w:r w:rsidRPr="00CA3428">
        <w:t xml:space="preserve"> DB</w:t>
      </w:r>
      <w:r>
        <w:t xml:space="preserve"> =</w:t>
      </w:r>
      <w:r w:rsidRPr="00CA3428">
        <w:t xml:space="preserve"> double-blind</w:t>
      </w:r>
      <w:r>
        <w:t>,</w:t>
      </w:r>
      <w:r w:rsidRPr="00CA3428">
        <w:t xml:space="preserve"> FAS</w:t>
      </w:r>
      <w:r>
        <w:t xml:space="preserve"> =</w:t>
      </w:r>
      <w:r w:rsidRPr="00CA3428">
        <w:t xml:space="preserve"> full analysis set</w:t>
      </w:r>
      <w:r>
        <w:t>,</w:t>
      </w:r>
      <w:r w:rsidRPr="00CA3428">
        <w:t xml:space="preserve"> LOCF</w:t>
      </w:r>
      <w:r>
        <w:t xml:space="preserve"> =</w:t>
      </w:r>
      <w:r w:rsidRPr="00CA3428">
        <w:t xml:space="preserve"> last observation</w:t>
      </w:r>
      <w:r w:rsidR="00574A3A">
        <w:t xml:space="preserve"> carried forward</w:t>
      </w:r>
      <w:r w:rsidR="009B380B">
        <w:t>, OLI =</w:t>
      </w:r>
      <w:r w:rsidR="00574A3A">
        <w:t xml:space="preserve"> open-label induction, PBO = placebo, RCI = repeated confidence interval</w:t>
      </w:r>
      <w:r w:rsidR="009B380B">
        <w:t xml:space="preserve"> </w:t>
      </w:r>
    </w:p>
    <w:p w14:paraId="20888590" w14:textId="6C44B71A" w:rsidR="00574A3A" w:rsidRPr="003D096B" w:rsidRDefault="00574A3A" w:rsidP="00A861E6">
      <w:pPr>
        <w:pStyle w:val="Tablenotes0"/>
        <w:keepLines w:val="0"/>
        <w:widowControl w:val="0"/>
        <w:rPr>
          <w:sz w:val="18"/>
          <w:szCs w:val="18"/>
        </w:rPr>
      </w:pPr>
      <w:r w:rsidRPr="003D096B">
        <w:rPr>
          <w:sz w:val="18"/>
          <w:szCs w:val="18"/>
          <w:vertAlign w:val="superscript"/>
        </w:rPr>
        <w:t>a</w:t>
      </w:r>
      <w:r w:rsidRPr="003D096B">
        <w:rPr>
          <w:sz w:val="18"/>
          <w:szCs w:val="18"/>
        </w:rPr>
        <w:t>One-sided p-value from Fisher’s exact test as reported in the CSR.</w:t>
      </w:r>
    </w:p>
    <w:p w14:paraId="3078B111" w14:textId="68B75608" w:rsidR="00574A3A" w:rsidRPr="003D096B" w:rsidRDefault="00574A3A" w:rsidP="00A861E6">
      <w:pPr>
        <w:pStyle w:val="Tablenotes0"/>
        <w:keepLines w:val="0"/>
        <w:widowControl w:val="0"/>
        <w:rPr>
          <w:sz w:val="18"/>
          <w:szCs w:val="18"/>
        </w:rPr>
      </w:pPr>
      <w:r w:rsidRPr="003D096B">
        <w:rPr>
          <w:sz w:val="18"/>
          <w:szCs w:val="18"/>
          <w:vertAlign w:val="superscript"/>
        </w:rPr>
        <w:t>b</w:t>
      </w:r>
      <w:r w:rsidRPr="003D096B">
        <w:rPr>
          <w:sz w:val="18"/>
          <w:szCs w:val="18"/>
        </w:rPr>
        <w:t>Defined as histological remission, i.e., peak of &lt;16 eos/mm</w:t>
      </w:r>
      <w:r w:rsidRPr="003D096B">
        <w:rPr>
          <w:sz w:val="18"/>
          <w:szCs w:val="18"/>
          <w:vertAlign w:val="superscript"/>
        </w:rPr>
        <w:t>2</w:t>
      </w:r>
      <w:r w:rsidRPr="003D096B">
        <w:rPr>
          <w:sz w:val="18"/>
          <w:szCs w:val="18"/>
        </w:rPr>
        <w:t xml:space="preserve"> hpf (&lt; 5 eos/hpf) at week 6 (LOCF), AND resolution of symptoms (i.e., no or only minimal problems) defined as a severity of ≤2 points on 0 to 10-point (0-10) </w:t>
      </w:r>
      <w:r>
        <w:rPr>
          <w:sz w:val="18"/>
          <w:szCs w:val="18"/>
        </w:rPr>
        <w:t>Numerical Rating Scale (</w:t>
      </w:r>
      <w:r w:rsidRPr="003D096B">
        <w:rPr>
          <w:sz w:val="18"/>
          <w:szCs w:val="18"/>
        </w:rPr>
        <w:t>NRS</w:t>
      </w:r>
      <w:r>
        <w:rPr>
          <w:sz w:val="18"/>
          <w:szCs w:val="18"/>
        </w:rPr>
        <w:t>)</w:t>
      </w:r>
      <w:r w:rsidR="00BE1BB5">
        <w:rPr>
          <w:sz w:val="18"/>
          <w:szCs w:val="18"/>
        </w:rPr>
        <w:t xml:space="preserve"> </w:t>
      </w:r>
      <w:r w:rsidRPr="003D096B">
        <w:rPr>
          <w:sz w:val="18"/>
          <w:szCs w:val="18"/>
        </w:rPr>
        <w:t>for dysphagia AND a severity of ≤2 points on 0-10 NRS for pain during swallowing (odynophagia) on each day in the week prior to week 6 (LOCF).</w:t>
      </w:r>
    </w:p>
    <w:p w14:paraId="212DA528" w14:textId="06DEBE28" w:rsidR="00574A3A" w:rsidRPr="003D096B" w:rsidRDefault="00574A3A" w:rsidP="00A861E6">
      <w:pPr>
        <w:pStyle w:val="Tablenotes0"/>
        <w:keepLines w:val="0"/>
        <w:widowControl w:val="0"/>
        <w:rPr>
          <w:sz w:val="18"/>
          <w:szCs w:val="18"/>
        </w:rPr>
      </w:pPr>
      <w:r w:rsidRPr="003D096B">
        <w:rPr>
          <w:sz w:val="18"/>
          <w:szCs w:val="18"/>
          <w:vertAlign w:val="superscript"/>
        </w:rPr>
        <w:t>c</w:t>
      </w:r>
      <w:r w:rsidRPr="003D096B">
        <w:rPr>
          <w:sz w:val="18"/>
          <w:szCs w:val="18"/>
        </w:rPr>
        <w:t>Includes 16/23 patients who were not in clinicohistologic remission at 6 weeks, who achieved this outcome by week 12 after an additional 6 weeks of treatment with BOT 1.0 mg BID in a protocol-defined open-label extension phase.</w:t>
      </w:r>
    </w:p>
    <w:p w14:paraId="6F25AA0C" w14:textId="07E6A906" w:rsidR="00574A3A" w:rsidRPr="00264902" w:rsidRDefault="00574A3A" w:rsidP="00A861E6">
      <w:pPr>
        <w:pStyle w:val="Tablenotes0"/>
        <w:keepLines w:val="0"/>
        <w:widowControl w:val="0"/>
        <w:spacing w:after="0"/>
        <w:rPr>
          <w:sz w:val="18"/>
          <w:szCs w:val="18"/>
        </w:rPr>
      </w:pPr>
      <w:r w:rsidRPr="003D096B">
        <w:rPr>
          <w:sz w:val="18"/>
          <w:szCs w:val="18"/>
          <w:vertAlign w:val="superscript"/>
        </w:rPr>
        <w:t>d</w:t>
      </w:r>
      <w:r w:rsidRPr="00264902">
        <w:rPr>
          <w:sz w:val="18"/>
          <w:szCs w:val="18"/>
        </w:rPr>
        <w:t>Defined as peak of &lt;16 eos/mm</w:t>
      </w:r>
      <w:r w:rsidRPr="00264902">
        <w:rPr>
          <w:sz w:val="18"/>
          <w:szCs w:val="18"/>
          <w:vertAlign w:val="superscript"/>
        </w:rPr>
        <w:t>2</w:t>
      </w:r>
      <w:r w:rsidRPr="00264902">
        <w:rPr>
          <w:sz w:val="18"/>
          <w:szCs w:val="18"/>
        </w:rPr>
        <w:t xml:space="preserve"> hpf (&lt;5 eos/hpf) at week 6 (LOCF)</w:t>
      </w:r>
    </w:p>
    <w:p w14:paraId="5048545B" w14:textId="38C66A42" w:rsidR="00574A3A" w:rsidRPr="00102C19" w:rsidRDefault="00574A3A" w:rsidP="00102C19">
      <w:pPr>
        <w:pStyle w:val="TableFooter"/>
        <w:spacing w:after="120"/>
        <w:rPr>
          <w:szCs w:val="18"/>
        </w:rPr>
      </w:pPr>
      <w:r w:rsidRPr="00264902">
        <w:rPr>
          <w:szCs w:val="18"/>
          <w:vertAlign w:val="superscript"/>
        </w:rPr>
        <w:t>e</w:t>
      </w:r>
      <w:r w:rsidRPr="00574A3A">
        <w:rPr>
          <w:szCs w:val="18"/>
        </w:rPr>
        <w:t>Resolution of symptoms on each day in the week prior to week 6, based on the NRS score of ≤ 2 for dysphagia and odynophagia on the respective 0-10</w:t>
      </w:r>
      <w:bookmarkEnd w:id="4"/>
    </w:p>
    <w:bookmarkEnd w:id="3"/>
    <w:p w14:paraId="43429B06" w14:textId="2420D873" w:rsidR="00BB298A" w:rsidRDefault="00BB298A" w:rsidP="00102C19">
      <w:pPr>
        <w:pStyle w:val="3Bodytext"/>
        <w:jc w:val="both"/>
        <w:rPr>
          <w:iCs/>
        </w:rPr>
      </w:pPr>
      <w:r w:rsidRPr="005830D9">
        <w:rPr>
          <w:iCs/>
          <w:lang w:eastAsia="en-US"/>
        </w:rPr>
        <w:t xml:space="preserve">As a </w:t>
      </w:r>
      <w:r w:rsidR="00277569" w:rsidRPr="005830D9">
        <w:rPr>
          <w:iCs/>
          <w:lang w:eastAsia="en-US"/>
        </w:rPr>
        <w:t>C</w:t>
      </w:r>
      <w:r w:rsidR="006A7311" w:rsidRPr="005830D9">
        <w:rPr>
          <w:iCs/>
          <w:lang w:eastAsia="en-US"/>
        </w:rPr>
        <w:t>ategory 3</w:t>
      </w:r>
      <w:r w:rsidRPr="005830D9">
        <w:rPr>
          <w:iCs/>
          <w:lang w:eastAsia="en-US"/>
        </w:rPr>
        <w:t xml:space="preserve"> submission, no evaluation of the clinical evidence was undertaken</w:t>
      </w:r>
      <w:r w:rsidRPr="005830D9">
        <w:rPr>
          <w:iCs/>
        </w:rPr>
        <w:t>.</w:t>
      </w:r>
    </w:p>
    <w:p w14:paraId="5B2D1C1E" w14:textId="3C63A050" w:rsidR="006717C0" w:rsidRDefault="006717C0" w:rsidP="00102C19">
      <w:pPr>
        <w:pStyle w:val="4-SubsectionHeading"/>
        <w:rPr>
          <w:lang w:eastAsia="en-US"/>
        </w:rPr>
      </w:pPr>
      <w:r>
        <w:rPr>
          <w:lang w:eastAsia="en-US"/>
        </w:rPr>
        <w:t>Drug cost/patient/year: $</w:t>
      </w:r>
      <w:r w:rsidR="00206741" w:rsidRPr="006A0A6B">
        <w:rPr>
          <w:color w:val="000000"/>
          <w:spacing w:val="1"/>
          <w:w w:val="49"/>
          <w:kern w:val="0"/>
          <w:shd w:val="solid" w:color="000000" w:fill="000000"/>
          <w:fitText w:val="990" w:id="-1233815296"/>
          <w:lang w:eastAsia="en-US"/>
          <w14:textFill>
            <w14:solidFill>
              <w14:srgbClr w14:val="000000">
                <w14:alpha w14:val="100000"/>
              </w14:srgbClr>
            </w14:solidFill>
          </w14:textFill>
        </w:rPr>
        <w:t>|||||||  |||||||</w:t>
      </w:r>
    </w:p>
    <w:p w14:paraId="55B6A6E2" w14:textId="6222BF06" w:rsidR="006717C0" w:rsidRPr="00264902" w:rsidRDefault="006717C0" w:rsidP="00102C19">
      <w:pPr>
        <w:pStyle w:val="3Bodytext"/>
        <w:jc w:val="both"/>
        <w:rPr>
          <w:rFonts w:cs="Calibri"/>
        </w:rPr>
      </w:pPr>
      <w:r w:rsidRPr="009D507A">
        <w:t xml:space="preserve">The estimated drug cost/patient per year would be </w:t>
      </w:r>
      <w:r w:rsidRPr="00264902">
        <w:t>$</w:t>
      </w:r>
      <w:r w:rsidR="00206741" w:rsidRPr="006A0A6B">
        <w:rPr>
          <w:color w:val="000000"/>
          <w:w w:val="55"/>
          <w:shd w:val="solid" w:color="000000" w:fill="000000"/>
          <w:fitText w:val="800" w:id="-1233815295"/>
          <w14:textFill>
            <w14:solidFill>
              <w14:srgbClr w14:val="000000">
                <w14:alpha w14:val="100000"/>
              </w14:srgbClr>
            </w14:solidFill>
          </w14:textFill>
        </w:rPr>
        <w:t>||||||  |||||</w:t>
      </w:r>
      <w:r w:rsidR="00206741" w:rsidRPr="006A0A6B">
        <w:rPr>
          <w:color w:val="000000"/>
          <w:spacing w:val="12"/>
          <w:w w:val="55"/>
          <w:shd w:val="solid" w:color="000000" w:fill="000000"/>
          <w:fitText w:val="800" w:id="-1233815295"/>
          <w14:textFill>
            <w14:solidFill>
              <w14:srgbClr w14:val="000000">
                <w14:alpha w14:val="100000"/>
              </w14:srgbClr>
            </w14:solidFill>
          </w14:textFill>
        </w:rPr>
        <w:t>|</w:t>
      </w:r>
      <w:r w:rsidRPr="00264902">
        <w:t>,</w:t>
      </w:r>
      <w:r w:rsidRPr="0095662A">
        <w:t xml:space="preserve"> </w:t>
      </w:r>
      <w:r w:rsidRPr="009D507A">
        <w:t>based on a</w:t>
      </w:r>
      <w:r>
        <w:t>n initial treatment course of BOT 1 mg twice daily</w:t>
      </w:r>
      <w:r w:rsidR="00B75A06">
        <w:t xml:space="preserve"> for 45 days (</w:t>
      </w:r>
      <w:r w:rsidR="00B655ED">
        <w:t>effective price of $</w:t>
      </w:r>
      <w:r w:rsidR="00206741" w:rsidRPr="006A0A6B">
        <w:rPr>
          <w:color w:val="000000"/>
          <w:w w:val="22"/>
          <w:shd w:val="solid" w:color="000000" w:fill="000000"/>
          <w:fitText w:val="80" w:id="-1233815294"/>
          <w14:textFill>
            <w14:solidFill>
              <w14:srgbClr w14:val="000000">
                <w14:alpha w14:val="100000"/>
              </w14:srgbClr>
            </w14:solidFill>
          </w14:textFill>
        </w:rPr>
        <w:t>|  |</w:t>
      </w:r>
      <w:r w:rsidR="00B75A06">
        <w:t>)</w:t>
      </w:r>
      <w:r>
        <w:t>, and then ongoing treatment of either BOT 0.5 mg or BOT 1 mg twice daily</w:t>
      </w:r>
      <w:r w:rsidR="00B75A06">
        <w:t xml:space="preserve"> (</w:t>
      </w:r>
      <w:r w:rsidR="00B655ED">
        <w:t>effective price of $</w:t>
      </w:r>
      <w:r w:rsidR="00206741" w:rsidRPr="006A0A6B">
        <w:rPr>
          <w:color w:val="000000"/>
          <w:spacing w:val="3"/>
          <w:w w:val="18"/>
          <w:shd w:val="solid" w:color="000000" w:fill="000000"/>
          <w:fitText w:val="70" w:id="-1233815293"/>
          <w14:textFill>
            <w14:solidFill>
              <w14:srgbClr w14:val="000000">
                <w14:alpha w14:val="100000"/>
              </w14:srgbClr>
            </w14:solidFill>
          </w14:textFill>
        </w:rPr>
        <w:t>|</w:t>
      </w:r>
      <w:r w:rsidR="00206741" w:rsidRPr="006A0A6B">
        <w:rPr>
          <w:color w:val="000000"/>
          <w:w w:val="18"/>
          <w:shd w:val="solid" w:color="000000" w:fill="000000"/>
          <w:fitText w:val="70" w:id="-1233815293"/>
          <w14:textFill>
            <w14:solidFill>
              <w14:srgbClr w14:val="000000">
                <w14:alpha w14:val="100000"/>
              </w14:srgbClr>
            </w14:solidFill>
          </w14:textFill>
        </w:rPr>
        <w:t xml:space="preserve">  |</w:t>
      </w:r>
      <w:r w:rsidR="00B75A06">
        <w:t>)</w:t>
      </w:r>
      <w:r>
        <w:t>.</w:t>
      </w:r>
    </w:p>
    <w:p w14:paraId="5EB16602" w14:textId="0FC7970C" w:rsidR="00D70349" w:rsidRDefault="00D70349" w:rsidP="00102C19">
      <w:pPr>
        <w:pStyle w:val="4-SubsectionHeading"/>
        <w:rPr>
          <w:lang w:eastAsia="en-US"/>
        </w:rPr>
      </w:pPr>
      <w:r w:rsidRPr="009D507A">
        <w:rPr>
          <w:lang w:eastAsia="en-US"/>
        </w:rPr>
        <w:t xml:space="preserve">Estimated PBS </w:t>
      </w:r>
      <w:r w:rsidR="00B75A06" w:rsidRPr="009D507A">
        <w:rPr>
          <w:lang w:eastAsia="en-US"/>
        </w:rPr>
        <w:t>u</w:t>
      </w:r>
      <w:r w:rsidR="00B75A06">
        <w:rPr>
          <w:lang w:eastAsia="en-US"/>
        </w:rPr>
        <w:t>sage</w:t>
      </w:r>
      <w:r w:rsidR="00B75A06" w:rsidRPr="009D507A">
        <w:rPr>
          <w:lang w:eastAsia="en-US"/>
        </w:rPr>
        <w:t xml:space="preserve"> </w:t>
      </w:r>
      <w:r w:rsidRPr="009D507A">
        <w:rPr>
          <w:lang w:eastAsia="en-US"/>
        </w:rPr>
        <w:t>and financial implications</w:t>
      </w:r>
    </w:p>
    <w:p w14:paraId="58532F75" w14:textId="7E027823" w:rsidR="00B85785" w:rsidRDefault="00B85785" w:rsidP="00102C19">
      <w:pPr>
        <w:pStyle w:val="3Bodytext"/>
        <w:jc w:val="both"/>
      </w:pPr>
      <w:bookmarkStart w:id="5" w:name="_Hlk126234722"/>
      <w:r>
        <w:t xml:space="preserve">The submission estimated additional costs to the PBS/RPBS of approximately </w:t>
      </w:r>
      <w:r w:rsidR="00CA582C" w:rsidRPr="00CA582C">
        <w:t>$0 to &lt; $10 million</w:t>
      </w:r>
      <w:r w:rsidR="00CA582C">
        <w:t xml:space="preserve"> </w:t>
      </w:r>
      <w:r>
        <w:t xml:space="preserve">over 6 years of listing if the requirement for histological assessment (endoscopy) for continuing treatment was removed. </w:t>
      </w:r>
      <w:bookmarkEnd w:id="5"/>
      <w:r>
        <w:t xml:space="preserve">This assumed a 100% treatment continuation rate (a treatment continuation of 93.2% was applied in the original estimates). The submission stated that these costs would be offset by savings </w:t>
      </w:r>
      <w:r w:rsidR="00D01CD7">
        <w:t xml:space="preserve">to the healthcare system </w:t>
      </w:r>
      <w:r>
        <w:t>of &gt;$5.5 million over 6 years by endoscopies no longer being performed to assess for response in this patient cohort.</w:t>
      </w:r>
    </w:p>
    <w:p w14:paraId="1E482E1A" w14:textId="4F3A3B21" w:rsidR="003D72AC" w:rsidRPr="007E5513" w:rsidRDefault="003D72AC" w:rsidP="00102C19">
      <w:pPr>
        <w:pStyle w:val="3Bodytext"/>
        <w:jc w:val="both"/>
      </w:pPr>
      <w:r w:rsidRPr="005830D9">
        <w:t xml:space="preserve">There is currently limited PBS data available to estimate the proportion of patients initiating treatment with BOT who transition to continuing treatment. The PBAC </w:t>
      </w:r>
      <w:r w:rsidR="005C44E0">
        <w:t>considered</w:t>
      </w:r>
      <w:r w:rsidR="00DD6DE0">
        <w:t xml:space="preserve"> a review of the use of BOT by the Drug Utilisation Sub-Committee (DUSC)</w:t>
      </w:r>
      <w:r w:rsidR="005C44E0">
        <w:t xml:space="preserve"> would be appropriate</w:t>
      </w:r>
      <w:r w:rsidRPr="005830D9">
        <w:t>.</w:t>
      </w:r>
    </w:p>
    <w:p w14:paraId="633DE9F2" w14:textId="07FB3716" w:rsidR="00B85785" w:rsidRDefault="00B85785" w:rsidP="00102C19">
      <w:pPr>
        <w:pStyle w:val="3Bodytext"/>
        <w:jc w:val="both"/>
      </w:pPr>
      <w:bookmarkStart w:id="6" w:name="_Hlk127283772"/>
      <w:r>
        <w:t xml:space="preserve">The submission stated that the use of BOT beyond the current restriction will be managed </w:t>
      </w:r>
      <w:r w:rsidR="00375A0C">
        <w:t>through the Risk Share Arrangements currently in place for BOT</w:t>
      </w:r>
      <w:r w:rsidR="00B36F4C">
        <w:t xml:space="preserve"> and proposed no changes to the subsidisation caps</w:t>
      </w:r>
      <w:r w:rsidR="00375A0C">
        <w:t>.</w:t>
      </w:r>
    </w:p>
    <w:bookmarkEnd w:id="6"/>
    <w:p w14:paraId="4FA1F909" w14:textId="12309154" w:rsidR="00D70349" w:rsidRDefault="00D70349" w:rsidP="00102C19">
      <w:pPr>
        <w:pStyle w:val="3Bodytext"/>
        <w:jc w:val="both"/>
      </w:pPr>
      <w:r w:rsidRPr="00167C39">
        <w:t xml:space="preserve">Table </w:t>
      </w:r>
      <w:r w:rsidR="00445ADF">
        <w:t>2</w:t>
      </w:r>
      <w:r w:rsidRPr="00167C39">
        <w:t xml:space="preserve"> pre</w:t>
      </w:r>
      <w:r w:rsidRPr="00445ADF">
        <w:t xml:space="preserve">sents the estimated extent of use, cost of </w:t>
      </w:r>
      <w:r w:rsidR="00DB3526">
        <w:t>BOT</w:t>
      </w:r>
      <w:r w:rsidRPr="00445ADF">
        <w:t xml:space="preserve"> to the </w:t>
      </w:r>
      <w:r w:rsidRPr="00167C39">
        <w:t>PBS/RPBS and the net financial implications to the PBS/RPBS</w:t>
      </w:r>
      <w:r w:rsidR="000B5B80">
        <w:t xml:space="preserve"> and</w:t>
      </w:r>
      <w:r w:rsidRPr="00167C39">
        <w:t xml:space="preserve"> MBS.</w:t>
      </w:r>
      <w:r w:rsidRPr="00197F03">
        <w:t xml:space="preserve"> </w:t>
      </w:r>
    </w:p>
    <w:p w14:paraId="1712BD3F" w14:textId="4ECE94C3" w:rsidR="00D01CD7" w:rsidRPr="00167C39" w:rsidRDefault="00D01CD7" w:rsidP="00102C19">
      <w:pPr>
        <w:pStyle w:val="3Bodytext"/>
        <w:jc w:val="both"/>
      </w:pPr>
      <w:r>
        <w:t xml:space="preserve">The submission estimated that </w:t>
      </w:r>
      <w:r w:rsidR="003702ED" w:rsidRPr="003702ED">
        <w:t>500</w:t>
      </w:r>
      <w:r w:rsidR="00EC00AE">
        <w:t> </w:t>
      </w:r>
      <w:r w:rsidR="003702ED" w:rsidRPr="003702ED">
        <w:t xml:space="preserve"> to</w:t>
      </w:r>
      <w:r w:rsidR="00EC00AE">
        <w:t> </w:t>
      </w:r>
      <w:r w:rsidR="003702ED" w:rsidRPr="003702ED">
        <w:t xml:space="preserve"> &lt;</w:t>
      </w:r>
      <w:r w:rsidR="00EC00AE">
        <w:t> </w:t>
      </w:r>
      <w:r w:rsidR="003702ED" w:rsidRPr="003702ED">
        <w:t xml:space="preserve"> 5,000</w:t>
      </w:r>
      <w:r w:rsidR="00EC00AE">
        <w:t xml:space="preserve"> </w:t>
      </w:r>
      <w:r>
        <w:t>patients would be supplied BOT initial treatment over the first six years of listing (</w:t>
      </w:r>
      <w:r w:rsidR="003702ED" w:rsidRPr="003702ED">
        <w:t>500</w:t>
      </w:r>
      <w:r w:rsidR="00DC0895">
        <w:t> </w:t>
      </w:r>
      <w:r w:rsidR="003702ED" w:rsidRPr="003702ED">
        <w:t xml:space="preserve"> to</w:t>
      </w:r>
      <w:r w:rsidR="00DC0895">
        <w:t> </w:t>
      </w:r>
      <w:r w:rsidR="003702ED" w:rsidRPr="003702ED">
        <w:t xml:space="preserve"> &lt;</w:t>
      </w:r>
      <w:r w:rsidR="00DC0895">
        <w:t> </w:t>
      </w:r>
      <w:r w:rsidR="003702ED" w:rsidRPr="003702ED">
        <w:t xml:space="preserve"> 5,000</w:t>
      </w:r>
      <w:r w:rsidR="00DC0895">
        <w:t> </w:t>
      </w:r>
      <w:r w:rsidR="00EC00AE">
        <w:t xml:space="preserve"> </w:t>
      </w:r>
      <w:r>
        <w:t xml:space="preserve">in Year 1 to </w:t>
      </w:r>
      <w:r w:rsidR="003702ED" w:rsidRPr="003702ED">
        <w:t>500</w:t>
      </w:r>
      <w:r w:rsidR="00EC00AE">
        <w:t> </w:t>
      </w:r>
      <w:r w:rsidR="003702ED" w:rsidRPr="003702ED">
        <w:t xml:space="preserve"> to</w:t>
      </w:r>
      <w:r w:rsidR="00EC00AE">
        <w:t> </w:t>
      </w:r>
      <w:r w:rsidR="003702ED" w:rsidRPr="003702ED">
        <w:t xml:space="preserve"> &lt;</w:t>
      </w:r>
      <w:r w:rsidR="00EC00AE">
        <w:t> </w:t>
      </w:r>
      <w:r w:rsidR="003702ED" w:rsidRPr="003702ED">
        <w:t xml:space="preserve"> 5,000</w:t>
      </w:r>
      <w:r w:rsidR="00EC00AE">
        <w:t> </w:t>
      </w:r>
      <w:r>
        <w:t xml:space="preserve"> in Year 6), and </w:t>
      </w:r>
      <w:r w:rsidR="003702ED" w:rsidRPr="003702ED">
        <w:t>10,000</w:t>
      </w:r>
      <w:r w:rsidR="00EC00AE">
        <w:t> </w:t>
      </w:r>
      <w:r w:rsidR="003702ED" w:rsidRPr="003702ED">
        <w:t xml:space="preserve"> to</w:t>
      </w:r>
      <w:r w:rsidR="00EC00AE">
        <w:t> </w:t>
      </w:r>
      <w:r w:rsidR="003702ED" w:rsidRPr="003702ED">
        <w:t xml:space="preserve"> &lt; 20,000</w:t>
      </w:r>
      <w:r w:rsidR="00EC00AE">
        <w:t xml:space="preserve">  </w:t>
      </w:r>
      <w:r w:rsidRPr="00167C39">
        <w:t xml:space="preserve">patients </w:t>
      </w:r>
      <w:r>
        <w:t>would</w:t>
      </w:r>
      <w:r w:rsidRPr="00167C39">
        <w:t xml:space="preserve"> be supplied</w:t>
      </w:r>
      <w:r w:rsidRPr="0095662A">
        <w:t xml:space="preserve"> </w:t>
      </w:r>
      <w:r w:rsidRPr="00264902">
        <w:t>BOT continuing treatment</w:t>
      </w:r>
      <w:r w:rsidRPr="0095662A">
        <w:t xml:space="preserve"> </w:t>
      </w:r>
      <w:r w:rsidRPr="00167C39">
        <w:t>over the first six years of listing (</w:t>
      </w:r>
      <w:r w:rsidR="003702ED" w:rsidRPr="003702ED">
        <w:t>500</w:t>
      </w:r>
      <w:r w:rsidR="00EC00AE">
        <w:t> </w:t>
      </w:r>
      <w:r w:rsidR="003702ED" w:rsidRPr="003702ED">
        <w:t xml:space="preserve"> to</w:t>
      </w:r>
      <w:r w:rsidR="00EC00AE">
        <w:t> </w:t>
      </w:r>
      <w:r w:rsidR="003702ED" w:rsidRPr="003702ED">
        <w:t xml:space="preserve"> &lt;</w:t>
      </w:r>
      <w:r w:rsidR="00EC00AE">
        <w:t> </w:t>
      </w:r>
      <w:r w:rsidR="003702ED" w:rsidRPr="003702ED">
        <w:t xml:space="preserve"> 5,000</w:t>
      </w:r>
      <w:r w:rsidR="00EC00AE">
        <w:t xml:space="preserve"> </w:t>
      </w:r>
      <w:r>
        <w:t>in Year 1</w:t>
      </w:r>
      <w:r w:rsidRPr="00167C39">
        <w:t xml:space="preserve"> to </w:t>
      </w:r>
      <w:r w:rsidR="003702ED" w:rsidRPr="003702ED">
        <w:t>500 to &lt; 5,000</w:t>
      </w:r>
      <w:r w:rsidR="00EC00AE">
        <w:t xml:space="preserve"> </w:t>
      </w:r>
      <w:r>
        <w:t>in Year 6</w:t>
      </w:r>
      <w:r w:rsidRPr="00167C39">
        <w:t>).</w:t>
      </w:r>
      <w:r>
        <w:t xml:space="preserve"> </w:t>
      </w:r>
    </w:p>
    <w:p w14:paraId="44F2E33E" w14:textId="0A45CE25" w:rsidR="00D01CD7" w:rsidRPr="00167C39" w:rsidRDefault="00D01CD7" w:rsidP="00102C19">
      <w:pPr>
        <w:pStyle w:val="3Bodytext"/>
        <w:jc w:val="both"/>
      </w:pPr>
      <w:r>
        <w:t>The submission claimed that t</w:t>
      </w:r>
      <w:r w:rsidRPr="00167C39">
        <w:t xml:space="preserve">he cost of </w:t>
      </w:r>
      <w:r w:rsidR="000E26BF">
        <w:t>BOT</w:t>
      </w:r>
      <w:r w:rsidRPr="000C1AFF">
        <w:t xml:space="preserve"> </w:t>
      </w:r>
      <w:r w:rsidRPr="00167C39">
        <w:t xml:space="preserve">to the PBS/RPBS is expected to be </w:t>
      </w:r>
      <w:r w:rsidR="003702ED" w:rsidRPr="003702ED">
        <w:t>$40</w:t>
      </w:r>
      <w:r w:rsidR="00EC00AE">
        <w:t> </w:t>
      </w:r>
      <w:r w:rsidR="003702ED" w:rsidRPr="003702ED">
        <w:t xml:space="preserve"> million</w:t>
      </w:r>
      <w:r w:rsidR="00EC00AE">
        <w:t> </w:t>
      </w:r>
      <w:r w:rsidR="003702ED" w:rsidRPr="003702ED">
        <w:t xml:space="preserve"> to</w:t>
      </w:r>
      <w:r w:rsidR="00EC00AE">
        <w:t> </w:t>
      </w:r>
      <w:r w:rsidR="003702ED" w:rsidRPr="003702ED">
        <w:t xml:space="preserve"> &lt;</w:t>
      </w:r>
      <w:r w:rsidR="00EC00AE">
        <w:t> </w:t>
      </w:r>
      <w:r w:rsidR="003702ED" w:rsidRPr="003702ED">
        <w:t xml:space="preserve"> $50</w:t>
      </w:r>
      <w:r w:rsidR="00EC00AE">
        <w:t> </w:t>
      </w:r>
      <w:r w:rsidR="003702ED" w:rsidRPr="003702ED">
        <w:t xml:space="preserve"> million</w:t>
      </w:r>
      <w:r w:rsidR="003702ED">
        <w:t xml:space="preserve"> </w:t>
      </w:r>
      <w:r w:rsidRPr="00167C39">
        <w:t xml:space="preserve">over six years (Year 1 </w:t>
      </w:r>
      <w:r w:rsidR="003702ED" w:rsidRPr="003702ED">
        <w:t>$0</w:t>
      </w:r>
      <w:r w:rsidR="00EC00AE">
        <w:t> </w:t>
      </w:r>
      <w:r w:rsidR="003702ED" w:rsidRPr="003702ED">
        <w:t xml:space="preserve"> to</w:t>
      </w:r>
      <w:r w:rsidR="00EC00AE">
        <w:t> </w:t>
      </w:r>
      <w:r w:rsidR="003702ED" w:rsidRPr="003702ED">
        <w:t xml:space="preserve"> &lt;</w:t>
      </w:r>
      <w:r w:rsidR="00EC00AE">
        <w:t> </w:t>
      </w:r>
      <w:r w:rsidR="003702ED" w:rsidRPr="003702ED">
        <w:t xml:space="preserve"> $10</w:t>
      </w:r>
      <w:r w:rsidR="00EC00AE">
        <w:t> </w:t>
      </w:r>
      <w:r w:rsidR="003702ED" w:rsidRPr="003702ED">
        <w:t xml:space="preserve"> million</w:t>
      </w:r>
      <w:r w:rsidR="003702ED">
        <w:t xml:space="preserve"> </w:t>
      </w:r>
      <w:r w:rsidRPr="00167C39">
        <w:t xml:space="preserve">to Year 6 </w:t>
      </w:r>
      <w:r w:rsidR="003702ED" w:rsidRPr="003702ED">
        <w:t>$10</w:t>
      </w:r>
      <w:r w:rsidR="00EC00AE">
        <w:t> </w:t>
      </w:r>
      <w:r w:rsidR="003702ED" w:rsidRPr="003702ED">
        <w:t xml:space="preserve"> million</w:t>
      </w:r>
      <w:r w:rsidR="00EC00AE">
        <w:t> </w:t>
      </w:r>
      <w:r w:rsidR="003702ED" w:rsidRPr="003702ED">
        <w:t xml:space="preserve"> to</w:t>
      </w:r>
      <w:r w:rsidR="00EC00AE">
        <w:t> </w:t>
      </w:r>
      <w:r w:rsidR="003702ED" w:rsidRPr="003702ED">
        <w:t xml:space="preserve"> &lt; $20</w:t>
      </w:r>
      <w:r w:rsidR="00EC00AE">
        <w:t> </w:t>
      </w:r>
      <w:r w:rsidR="003702ED" w:rsidRPr="003702ED">
        <w:t xml:space="preserve"> million</w:t>
      </w:r>
      <w:r w:rsidRPr="00167C39">
        <w:t>).</w:t>
      </w:r>
    </w:p>
    <w:p w14:paraId="7B0201FA" w14:textId="0ECF2FD5" w:rsidR="00D01CD7" w:rsidRDefault="00D01CD7" w:rsidP="00102C19">
      <w:pPr>
        <w:pStyle w:val="3Bodytext"/>
        <w:jc w:val="both"/>
      </w:pPr>
      <w:r>
        <w:t>The submission stated that t</w:t>
      </w:r>
      <w:r w:rsidRPr="00167C39">
        <w:t>he estimated net financial impact to the PBS/R</w:t>
      </w:r>
      <w:r>
        <w:t>P</w:t>
      </w:r>
      <w:r w:rsidRPr="00167C39">
        <w:t xml:space="preserve">BS for the listing of </w:t>
      </w:r>
      <w:r w:rsidR="000E26BF">
        <w:t xml:space="preserve">BOT </w:t>
      </w:r>
      <w:r w:rsidRPr="00167C39">
        <w:t xml:space="preserve">is </w:t>
      </w:r>
      <w:r w:rsidR="00EC00AE" w:rsidRPr="00EC00AE">
        <w:t>$40 million to &lt; $50 million</w:t>
      </w:r>
      <w:r w:rsidR="00B23202">
        <w:t xml:space="preserve"> </w:t>
      </w:r>
      <w:r w:rsidRPr="00167C39">
        <w:t xml:space="preserve">over six years (Year 1 </w:t>
      </w:r>
      <w:r w:rsidR="00EC00AE" w:rsidRPr="00EC00AE">
        <w:t>$0 to &lt; $10 million</w:t>
      </w:r>
      <w:r w:rsidR="00EC00AE">
        <w:t xml:space="preserve"> </w:t>
      </w:r>
      <w:r w:rsidRPr="00167C39">
        <w:t xml:space="preserve">to Year 6 </w:t>
      </w:r>
      <w:r w:rsidR="00EC00AE" w:rsidRPr="00EC00AE">
        <w:t>$0 to &lt; $10 million</w:t>
      </w:r>
      <w:r w:rsidRPr="00167C39">
        <w:t xml:space="preserve">). </w:t>
      </w:r>
    </w:p>
    <w:p w14:paraId="6DB038A1" w14:textId="62FDFAF7" w:rsidR="00D70349" w:rsidRDefault="000A02F8" w:rsidP="00102C19">
      <w:pPr>
        <w:pStyle w:val="3Bodytext"/>
        <w:jc w:val="both"/>
      </w:pPr>
      <w:r>
        <w:t xml:space="preserve">The submission </w:t>
      </w:r>
      <w:r w:rsidR="006B6F62">
        <w:t xml:space="preserve">stated </w:t>
      </w:r>
      <w:r>
        <w:t>that t</w:t>
      </w:r>
      <w:r w:rsidR="00D70349" w:rsidRPr="00167C39">
        <w:t xml:space="preserve">he </w:t>
      </w:r>
      <w:r w:rsidR="006B6F62">
        <w:t>estimated net financial impact</w:t>
      </w:r>
      <w:r w:rsidR="006B6F62" w:rsidRPr="00167C39">
        <w:t xml:space="preserve"> </w:t>
      </w:r>
      <w:r w:rsidR="00D70349" w:rsidRPr="00167C39">
        <w:t xml:space="preserve">of </w:t>
      </w:r>
      <w:r w:rsidR="00D57894">
        <w:t>BOT</w:t>
      </w:r>
      <w:r w:rsidR="006B6F62">
        <w:t xml:space="preserve"> </w:t>
      </w:r>
      <w:r w:rsidR="00D70349" w:rsidRPr="00167C39">
        <w:t xml:space="preserve">to the </w:t>
      </w:r>
      <w:r w:rsidR="000D1674">
        <w:t>healthcare system</w:t>
      </w:r>
      <w:r w:rsidR="00D70349" w:rsidRPr="00167C39">
        <w:t xml:space="preserve"> is </w:t>
      </w:r>
      <w:r w:rsidR="006B6F62">
        <w:t>a cost saving of</w:t>
      </w:r>
      <w:r w:rsidR="006B6F62" w:rsidRPr="00167C39">
        <w:t xml:space="preserve"> </w:t>
      </w:r>
      <w:r w:rsidR="00FB620D">
        <w:t xml:space="preserve">$0 to &lt; $10 million </w:t>
      </w:r>
      <w:r w:rsidR="00D70349" w:rsidRPr="00167C39">
        <w:t xml:space="preserve">over six years (Year 1 </w:t>
      </w:r>
      <w:r w:rsidR="006B6F62">
        <w:t>-</w:t>
      </w:r>
      <w:r w:rsidR="00FB620D">
        <w:t>$0 to &lt; $10 million</w:t>
      </w:r>
      <w:r w:rsidR="00FB620D" w:rsidRPr="00167C39">
        <w:t xml:space="preserve"> </w:t>
      </w:r>
      <w:r w:rsidR="00D70349" w:rsidRPr="00167C39">
        <w:t xml:space="preserve">to Year 6 </w:t>
      </w:r>
      <w:r w:rsidR="006B6F62">
        <w:t>-</w:t>
      </w:r>
      <w:r w:rsidR="00FB620D">
        <w:t>$0 to &lt; $10 million</w:t>
      </w:r>
      <w:r w:rsidR="00D70349" w:rsidRPr="00167C39">
        <w:t>).</w:t>
      </w:r>
    </w:p>
    <w:p w14:paraId="235AB0A3" w14:textId="77777777" w:rsidR="00DA49D8" w:rsidRPr="00167C39" w:rsidRDefault="00DA49D8" w:rsidP="00102C19">
      <w:pPr>
        <w:pStyle w:val="Tabletitles"/>
        <w:keepNext/>
        <w:keepLines/>
        <w:spacing w:after="0"/>
      </w:pPr>
      <w:r w:rsidRPr="00167C39">
        <w:rPr>
          <w:rStyle w:val="CommentReference"/>
          <w:sz w:val="20"/>
          <w:szCs w:val="22"/>
        </w:rPr>
        <w:t>Table</w:t>
      </w:r>
      <w:r w:rsidRPr="00167C39">
        <w:rPr>
          <w:rFonts w:eastAsiaTheme="majorEastAsia"/>
        </w:rPr>
        <w:t xml:space="preserve"> </w:t>
      </w:r>
      <w:r>
        <w:rPr>
          <w:rFonts w:eastAsiaTheme="majorEastAsia"/>
        </w:rPr>
        <w:t>2</w:t>
      </w:r>
      <w:r w:rsidRPr="00167C39">
        <w:rPr>
          <w:rFonts w:eastAsiaTheme="majorEastAsia"/>
        </w:rPr>
        <w:t xml:space="preserve">: </w:t>
      </w:r>
      <w:r w:rsidRPr="00167C39">
        <w:rPr>
          <w:rStyle w:val="CommentReference"/>
          <w:sz w:val="20"/>
          <w:szCs w:val="22"/>
        </w:rPr>
        <w:t>Estimated use and financial implications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90"/>
        <w:gridCol w:w="1020"/>
        <w:gridCol w:w="1021"/>
        <w:gridCol w:w="1021"/>
        <w:gridCol w:w="1021"/>
        <w:gridCol w:w="1021"/>
        <w:gridCol w:w="1022"/>
      </w:tblGrid>
      <w:tr w:rsidR="00206741" w:rsidRPr="00197F03" w14:paraId="3201E566" w14:textId="77777777" w:rsidTr="001639CF">
        <w:trPr>
          <w:cantSplit/>
          <w:tblHeader/>
          <w:jc w:val="center"/>
        </w:trPr>
        <w:tc>
          <w:tcPr>
            <w:tcW w:w="1603" w:type="pct"/>
            <w:shd w:val="clear" w:color="auto" w:fill="auto"/>
            <w:vAlign w:val="center"/>
          </w:tcPr>
          <w:p w14:paraId="69373062" w14:textId="77777777" w:rsidR="00DA49D8" w:rsidRPr="0095662A" w:rsidRDefault="00DA49D8" w:rsidP="001639CF">
            <w:pPr>
              <w:pStyle w:val="TableText0"/>
              <w:keepLines/>
              <w:rPr>
                <w:szCs w:val="20"/>
              </w:rPr>
            </w:pPr>
          </w:p>
        </w:tc>
        <w:tc>
          <w:tcPr>
            <w:tcW w:w="566" w:type="pct"/>
            <w:shd w:val="clear" w:color="auto" w:fill="auto"/>
            <w:vAlign w:val="center"/>
          </w:tcPr>
          <w:p w14:paraId="05481146" w14:textId="77777777" w:rsidR="00DA49D8" w:rsidRPr="0095662A" w:rsidRDefault="00DA49D8" w:rsidP="001639CF">
            <w:pPr>
              <w:pStyle w:val="TableText0"/>
              <w:keepLines/>
              <w:rPr>
                <w:b/>
                <w:szCs w:val="20"/>
              </w:rPr>
            </w:pPr>
            <w:r w:rsidRPr="0095662A">
              <w:rPr>
                <w:b/>
                <w:szCs w:val="20"/>
              </w:rPr>
              <w:t>Year 1</w:t>
            </w:r>
          </w:p>
        </w:tc>
        <w:tc>
          <w:tcPr>
            <w:tcW w:w="566" w:type="pct"/>
            <w:shd w:val="clear" w:color="auto" w:fill="auto"/>
            <w:vAlign w:val="center"/>
          </w:tcPr>
          <w:p w14:paraId="38CB4C99" w14:textId="77777777" w:rsidR="00DA49D8" w:rsidRPr="00A7751B" w:rsidRDefault="00DA49D8" w:rsidP="001639CF">
            <w:pPr>
              <w:pStyle w:val="TableText0"/>
              <w:keepLines/>
              <w:rPr>
                <w:b/>
                <w:szCs w:val="20"/>
              </w:rPr>
            </w:pPr>
            <w:r w:rsidRPr="00A7751B">
              <w:rPr>
                <w:b/>
                <w:szCs w:val="20"/>
              </w:rPr>
              <w:t>Year 2</w:t>
            </w:r>
          </w:p>
        </w:tc>
        <w:tc>
          <w:tcPr>
            <w:tcW w:w="566" w:type="pct"/>
            <w:shd w:val="clear" w:color="auto" w:fill="auto"/>
            <w:vAlign w:val="center"/>
          </w:tcPr>
          <w:p w14:paraId="6A465CD3" w14:textId="77777777" w:rsidR="00DA49D8" w:rsidRPr="00A7751B" w:rsidRDefault="00DA49D8" w:rsidP="001639CF">
            <w:pPr>
              <w:pStyle w:val="TableText0"/>
              <w:keepLines/>
              <w:rPr>
                <w:b/>
                <w:szCs w:val="20"/>
              </w:rPr>
            </w:pPr>
            <w:r w:rsidRPr="00A7751B">
              <w:rPr>
                <w:b/>
                <w:szCs w:val="20"/>
              </w:rPr>
              <w:t>Year 3</w:t>
            </w:r>
          </w:p>
        </w:tc>
        <w:tc>
          <w:tcPr>
            <w:tcW w:w="566" w:type="pct"/>
            <w:shd w:val="clear" w:color="auto" w:fill="auto"/>
            <w:vAlign w:val="center"/>
          </w:tcPr>
          <w:p w14:paraId="2864034A" w14:textId="77777777" w:rsidR="00DA49D8" w:rsidRPr="00A7751B" w:rsidRDefault="00DA49D8" w:rsidP="001639CF">
            <w:pPr>
              <w:pStyle w:val="TableText0"/>
              <w:keepLines/>
              <w:rPr>
                <w:b/>
                <w:szCs w:val="20"/>
              </w:rPr>
            </w:pPr>
            <w:r w:rsidRPr="00A7751B">
              <w:rPr>
                <w:b/>
                <w:szCs w:val="20"/>
              </w:rPr>
              <w:t>Year 4</w:t>
            </w:r>
          </w:p>
        </w:tc>
        <w:tc>
          <w:tcPr>
            <w:tcW w:w="566" w:type="pct"/>
            <w:shd w:val="clear" w:color="auto" w:fill="auto"/>
            <w:vAlign w:val="center"/>
          </w:tcPr>
          <w:p w14:paraId="1FDEF24B" w14:textId="77777777" w:rsidR="00DA49D8" w:rsidRPr="006B4320" w:rsidRDefault="00DA49D8" w:rsidP="001639CF">
            <w:pPr>
              <w:pStyle w:val="TableText0"/>
              <w:keepLines/>
              <w:rPr>
                <w:b/>
                <w:szCs w:val="20"/>
              </w:rPr>
            </w:pPr>
            <w:r w:rsidRPr="006B4320">
              <w:rPr>
                <w:b/>
                <w:szCs w:val="20"/>
              </w:rPr>
              <w:t>Year 5</w:t>
            </w:r>
          </w:p>
        </w:tc>
        <w:tc>
          <w:tcPr>
            <w:tcW w:w="567" w:type="pct"/>
          </w:tcPr>
          <w:p w14:paraId="4701FADE" w14:textId="77777777" w:rsidR="00DA49D8" w:rsidRPr="006B4320" w:rsidRDefault="00DA49D8" w:rsidP="001639CF">
            <w:pPr>
              <w:pStyle w:val="TableText0"/>
              <w:keepLines/>
              <w:rPr>
                <w:b/>
                <w:szCs w:val="20"/>
              </w:rPr>
            </w:pPr>
            <w:r w:rsidRPr="006B4320">
              <w:rPr>
                <w:b/>
                <w:szCs w:val="20"/>
              </w:rPr>
              <w:t>Year 6</w:t>
            </w:r>
          </w:p>
        </w:tc>
      </w:tr>
      <w:tr w:rsidR="00DA49D8" w:rsidRPr="00197F03" w14:paraId="25747034" w14:textId="77777777" w:rsidTr="001639CF">
        <w:trPr>
          <w:cantSplit/>
          <w:jc w:val="center"/>
        </w:trPr>
        <w:tc>
          <w:tcPr>
            <w:tcW w:w="5000" w:type="pct"/>
            <w:gridSpan w:val="7"/>
            <w:shd w:val="clear" w:color="auto" w:fill="auto"/>
            <w:vAlign w:val="center"/>
          </w:tcPr>
          <w:p w14:paraId="0DCA503A" w14:textId="77777777" w:rsidR="00DA49D8" w:rsidRPr="00CD6835" w:rsidRDefault="00DA49D8" w:rsidP="001639CF">
            <w:pPr>
              <w:pStyle w:val="TableText0"/>
              <w:keepLines/>
              <w:rPr>
                <w:b/>
                <w:color w:val="000000"/>
                <w:szCs w:val="20"/>
                <w:vertAlign w:val="superscript"/>
              </w:rPr>
            </w:pPr>
            <w:r w:rsidRPr="0095662A">
              <w:rPr>
                <w:b/>
                <w:color w:val="000000"/>
                <w:szCs w:val="20"/>
              </w:rPr>
              <w:t>Estimated extent of use (number of patients treated)</w:t>
            </w:r>
            <w:r>
              <w:rPr>
                <w:b/>
                <w:color w:val="000000"/>
                <w:szCs w:val="20"/>
              </w:rPr>
              <w:t>, revised</w:t>
            </w:r>
            <w:r w:rsidRPr="00CD6835">
              <w:rPr>
                <w:b/>
                <w:i/>
                <w:iCs/>
                <w:color w:val="000000"/>
                <w:szCs w:val="20"/>
                <w:vertAlign w:val="superscript"/>
              </w:rPr>
              <w:t>a</w:t>
            </w:r>
          </w:p>
        </w:tc>
      </w:tr>
      <w:tr w:rsidR="00206741" w:rsidRPr="00197F03" w14:paraId="04918AAE" w14:textId="77777777" w:rsidTr="001639CF">
        <w:trPr>
          <w:cantSplit/>
          <w:jc w:val="center"/>
        </w:trPr>
        <w:tc>
          <w:tcPr>
            <w:tcW w:w="1603" w:type="pct"/>
            <w:shd w:val="clear" w:color="auto" w:fill="auto"/>
            <w:vAlign w:val="center"/>
          </w:tcPr>
          <w:p w14:paraId="7F013807" w14:textId="77777777" w:rsidR="00DA49D8" w:rsidRPr="003D096B" w:rsidRDefault="00DA49D8" w:rsidP="001639CF">
            <w:pPr>
              <w:pStyle w:val="TableText0"/>
              <w:keepLines/>
              <w:rPr>
                <w:szCs w:val="20"/>
              </w:rPr>
            </w:pPr>
            <w:r w:rsidRPr="0095662A">
              <w:rPr>
                <w:szCs w:val="20"/>
                <w:lang w:eastAsia="en-US"/>
              </w:rPr>
              <w:t>Initiators</w:t>
            </w:r>
          </w:p>
        </w:tc>
        <w:tc>
          <w:tcPr>
            <w:tcW w:w="566" w:type="pct"/>
            <w:shd w:val="clear" w:color="auto" w:fill="auto"/>
            <w:vAlign w:val="center"/>
          </w:tcPr>
          <w:p w14:paraId="6CCF6D23" w14:textId="191AC5F3" w:rsidR="00DA49D8" w:rsidRPr="00107503" w:rsidRDefault="00206741" w:rsidP="001639CF">
            <w:pPr>
              <w:pStyle w:val="TableText0"/>
              <w:keepLines/>
              <w:jc w:val="right"/>
              <w:rPr>
                <w:color w:val="000000"/>
                <w:szCs w:val="20"/>
                <w:highlight w:val="lightGray"/>
              </w:rPr>
            </w:pPr>
            <w:r w:rsidRPr="00206741">
              <w:rPr>
                <w:color w:val="000000"/>
                <w:spacing w:val="195"/>
                <w:szCs w:val="20"/>
                <w:shd w:val="solid" w:color="000000" w:fill="000000"/>
                <w:fitText w:val="290" w:id="-1233815292"/>
                <w:lang w:eastAsia="en-US"/>
                <w14:textFill>
                  <w14:solidFill>
                    <w14:srgbClr w14:val="000000">
                      <w14:alpha w14:val="100000"/>
                    </w14:srgbClr>
                  </w14:solidFill>
                </w14:textFill>
              </w:rPr>
              <w:t>|</w:t>
            </w:r>
            <w:r w:rsidRPr="00206741">
              <w:rPr>
                <w:color w:val="000000"/>
                <w:szCs w:val="20"/>
                <w:shd w:val="solid" w:color="000000" w:fill="000000"/>
                <w:fitText w:val="290" w:id="-1233815292"/>
                <w:lang w:eastAsia="en-US"/>
                <w14:textFill>
                  <w14:solidFill>
                    <w14:srgbClr w14:val="000000">
                      <w14:alpha w14:val="100000"/>
                    </w14:srgbClr>
                  </w14:solidFill>
                </w14:textFill>
              </w:rPr>
              <w:t>|</w:t>
            </w:r>
            <w:r w:rsidR="00EC00AE" w:rsidRPr="00107503">
              <w:rPr>
                <w:szCs w:val="20"/>
                <w:vertAlign w:val="superscript"/>
                <w:lang w:eastAsia="en-US"/>
              </w:rPr>
              <w:t>1</w:t>
            </w:r>
          </w:p>
        </w:tc>
        <w:tc>
          <w:tcPr>
            <w:tcW w:w="566" w:type="pct"/>
            <w:shd w:val="clear" w:color="auto" w:fill="auto"/>
            <w:vAlign w:val="center"/>
          </w:tcPr>
          <w:p w14:paraId="6C9AB6A6" w14:textId="3B482223"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91"/>
                <w:lang w:eastAsia="en-US"/>
                <w14:textFill>
                  <w14:solidFill>
                    <w14:srgbClr w14:val="000000">
                      <w14:alpha w14:val="100000"/>
                    </w14:srgbClr>
                  </w14:solidFill>
                </w14:textFill>
              </w:rPr>
              <w:t>|</w:t>
            </w:r>
            <w:r w:rsidRPr="00206741">
              <w:rPr>
                <w:color w:val="000000"/>
                <w:szCs w:val="20"/>
                <w:shd w:val="solid" w:color="000000" w:fill="000000"/>
                <w:fitText w:val="300" w:id="-1233815291"/>
                <w:lang w:eastAsia="en-US"/>
                <w14:textFill>
                  <w14:solidFill>
                    <w14:srgbClr w14:val="000000">
                      <w14:alpha w14:val="100000"/>
                    </w14:srgbClr>
                  </w14:solidFill>
                </w14:textFill>
              </w:rPr>
              <w:t>|</w:t>
            </w:r>
            <w:r w:rsidR="00EC00AE" w:rsidRPr="006F69AD">
              <w:rPr>
                <w:szCs w:val="20"/>
                <w:vertAlign w:val="superscript"/>
                <w:lang w:eastAsia="en-US"/>
              </w:rPr>
              <w:t>1</w:t>
            </w:r>
          </w:p>
        </w:tc>
        <w:tc>
          <w:tcPr>
            <w:tcW w:w="566" w:type="pct"/>
            <w:shd w:val="clear" w:color="auto" w:fill="auto"/>
            <w:vAlign w:val="center"/>
          </w:tcPr>
          <w:p w14:paraId="065DDD8B" w14:textId="46E23E9B"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90"/>
                <w:lang w:eastAsia="en-US"/>
                <w14:textFill>
                  <w14:solidFill>
                    <w14:srgbClr w14:val="000000">
                      <w14:alpha w14:val="100000"/>
                    </w14:srgbClr>
                  </w14:solidFill>
                </w14:textFill>
              </w:rPr>
              <w:t>|</w:t>
            </w:r>
            <w:r w:rsidRPr="00206741">
              <w:rPr>
                <w:color w:val="000000"/>
                <w:szCs w:val="20"/>
                <w:shd w:val="solid" w:color="000000" w:fill="000000"/>
                <w:fitText w:val="300" w:id="-1233815290"/>
                <w:lang w:eastAsia="en-US"/>
                <w14:textFill>
                  <w14:solidFill>
                    <w14:srgbClr w14:val="000000">
                      <w14:alpha w14:val="100000"/>
                    </w14:srgbClr>
                  </w14:solidFill>
                </w14:textFill>
              </w:rPr>
              <w:t>|</w:t>
            </w:r>
            <w:r w:rsidR="00EC00AE" w:rsidRPr="006F69AD">
              <w:rPr>
                <w:szCs w:val="20"/>
                <w:vertAlign w:val="superscript"/>
                <w:lang w:eastAsia="en-US"/>
              </w:rPr>
              <w:t>1</w:t>
            </w:r>
          </w:p>
        </w:tc>
        <w:tc>
          <w:tcPr>
            <w:tcW w:w="566" w:type="pct"/>
            <w:shd w:val="clear" w:color="auto" w:fill="auto"/>
            <w:vAlign w:val="center"/>
          </w:tcPr>
          <w:p w14:paraId="5A08CBE0" w14:textId="132CBA9A"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89"/>
                <w:lang w:eastAsia="en-US"/>
                <w14:textFill>
                  <w14:solidFill>
                    <w14:srgbClr w14:val="000000">
                      <w14:alpha w14:val="100000"/>
                    </w14:srgbClr>
                  </w14:solidFill>
                </w14:textFill>
              </w:rPr>
              <w:t>|</w:t>
            </w:r>
            <w:r w:rsidRPr="00206741">
              <w:rPr>
                <w:color w:val="000000"/>
                <w:szCs w:val="20"/>
                <w:shd w:val="solid" w:color="000000" w:fill="000000"/>
                <w:fitText w:val="300" w:id="-1233815289"/>
                <w:lang w:eastAsia="en-US"/>
                <w14:textFill>
                  <w14:solidFill>
                    <w14:srgbClr w14:val="000000">
                      <w14:alpha w14:val="100000"/>
                    </w14:srgbClr>
                  </w14:solidFill>
                </w14:textFill>
              </w:rPr>
              <w:t>|</w:t>
            </w:r>
            <w:r w:rsidR="00EC00AE" w:rsidRPr="006F69AD">
              <w:rPr>
                <w:szCs w:val="20"/>
                <w:vertAlign w:val="superscript"/>
                <w:lang w:eastAsia="en-US"/>
              </w:rPr>
              <w:t>1</w:t>
            </w:r>
          </w:p>
        </w:tc>
        <w:tc>
          <w:tcPr>
            <w:tcW w:w="566" w:type="pct"/>
            <w:shd w:val="clear" w:color="auto" w:fill="auto"/>
            <w:vAlign w:val="center"/>
          </w:tcPr>
          <w:p w14:paraId="1E823AED" w14:textId="20E52D52"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88"/>
                <w:lang w:eastAsia="en-US"/>
                <w14:textFill>
                  <w14:solidFill>
                    <w14:srgbClr w14:val="000000">
                      <w14:alpha w14:val="100000"/>
                    </w14:srgbClr>
                  </w14:solidFill>
                </w14:textFill>
              </w:rPr>
              <w:t>|</w:t>
            </w:r>
            <w:r w:rsidRPr="00206741">
              <w:rPr>
                <w:color w:val="000000"/>
                <w:szCs w:val="20"/>
                <w:shd w:val="solid" w:color="000000" w:fill="000000"/>
                <w:fitText w:val="300" w:id="-1233815288"/>
                <w:lang w:eastAsia="en-US"/>
                <w14:textFill>
                  <w14:solidFill>
                    <w14:srgbClr w14:val="000000">
                      <w14:alpha w14:val="100000"/>
                    </w14:srgbClr>
                  </w14:solidFill>
                </w14:textFill>
              </w:rPr>
              <w:t>|</w:t>
            </w:r>
            <w:r w:rsidR="00EC00AE" w:rsidRPr="006F69AD">
              <w:rPr>
                <w:szCs w:val="20"/>
                <w:vertAlign w:val="superscript"/>
                <w:lang w:eastAsia="en-US"/>
              </w:rPr>
              <w:t>1</w:t>
            </w:r>
          </w:p>
        </w:tc>
        <w:tc>
          <w:tcPr>
            <w:tcW w:w="567" w:type="pct"/>
            <w:vAlign w:val="center"/>
          </w:tcPr>
          <w:p w14:paraId="051B54D1" w14:textId="3A61E783"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87"/>
                <w:lang w:eastAsia="en-US"/>
                <w14:textFill>
                  <w14:solidFill>
                    <w14:srgbClr w14:val="000000">
                      <w14:alpha w14:val="100000"/>
                    </w14:srgbClr>
                  </w14:solidFill>
                </w14:textFill>
              </w:rPr>
              <w:t>|</w:t>
            </w:r>
            <w:r w:rsidRPr="00206741">
              <w:rPr>
                <w:color w:val="000000"/>
                <w:szCs w:val="20"/>
                <w:shd w:val="solid" w:color="000000" w:fill="000000"/>
                <w:fitText w:val="300" w:id="-1233815287"/>
                <w:lang w:eastAsia="en-US"/>
                <w14:textFill>
                  <w14:solidFill>
                    <w14:srgbClr w14:val="000000">
                      <w14:alpha w14:val="100000"/>
                    </w14:srgbClr>
                  </w14:solidFill>
                </w14:textFill>
              </w:rPr>
              <w:t>|</w:t>
            </w:r>
            <w:r w:rsidR="00EC00AE" w:rsidRPr="006F69AD">
              <w:rPr>
                <w:szCs w:val="20"/>
                <w:vertAlign w:val="superscript"/>
                <w:lang w:eastAsia="en-US"/>
              </w:rPr>
              <w:t>1</w:t>
            </w:r>
          </w:p>
        </w:tc>
      </w:tr>
      <w:tr w:rsidR="00206741" w:rsidRPr="008D35F6" w14:paraId="757B58C3" w14:textId="77777777" w:rsidTr="001639CF">
        <w:trPr>
          <w:cantSplit/>
          <w:jc w:val="center"/>
        </w:trPr>
        <w:tc>
          <w:tcPr>
            <w:tcW w:w="1603" w:type="pct"/>
            <w:shd w:val="clear" w:color="auto" w:fill="auto"/>
            <w:vAlign w:val="center"/>
          </w:tcPr>
          <w:p w14:paraId="5E81E3E4" w14:textId="77777777" w:rsidR="00DA49D8" w:rsidRPr="003D096B" w:rsidRDefault="00DA49D8" w:rsidP="001639CF">
            <w:pPr>
              <w:pStyle w:val="TableText0"/>
              <w:keepLines/>
              <w:rPr>
                <w:szCs w:val="20"/>
                <w:vertAlign w:val="superscript"/>
              </w:rPr>
            </w:pPr>
            <w:r w:rsidRPr="0095662A">
              <w:rPr>
                <w:szCs w:val="20"/>
                <w:lang w:eastAsia="en-US"/>
              </w:rPr>
              <w:t>Continuers</w:t>
            </w:r>
          </w:p>
        </w:tc>
        <w:tc>
          <w:tcPr>
            <w:tcW w:w="566" w:type="pct"/>
            <w:shd w:val="clear" w:color="auto" w:fill="auto"/>
            <w:vAlign w:val="center"/>
          </w:tcPr>
          <w:p w14:paraId="381081E3" w14:textId="3090EE50" w:rsidR="00DA49D8" w:rsidRPr="00107503" w:rsidRDefault="00206741" w:rsidP="001639CF">
            <w:pPr>
              <w:pStyle w:val="TableText0"/>
              <w:keepLines/>
              <w:jc w:val="right"/>
              <w:rPr>
                <w:color w:val="000000"/>
                <w:szCs w:val="20"/>
                <w:highlight w:val="lightGray"/>
              </w:rPr>
            </w:pPr>
            <w:r w:rsidRPr="00206741">
              <w:rPr>
                <w:color w:val="000000"/>
                <w:spacing w:val="204"/>
                <w:szCs w:val="20"/>
                <w:shd w:val="solid" w:color="000000" w:fill="000000"/>
                <w:fitText w:val="290" w:id="-1233815286"/>
                <w:lang w:eastAsia="en-US"/>
                <w14:textFill>
                  <w14:solidFill>
                    <w14:srgbClr w14:val="000000">
                      <w14:alpha w14:val="100000"/>
                    </w14:srgbClr>
                  </w14:solidFill>
                </w14:textFill>
              </w:rPr>
              <w:t>|</w:t>
            </w:r>
            <w:r w:rsidRPr="00206741">
              <w:rPr>
                <w:color w:val="000000"/>
                <w:szCs w:val="20"/>
                <w:shd w:val="solid" w:color="000000" w:fill="000000"/>
                <w:fitText w:val="290" w:id="-1233815286"/>
                <w:lang w:eastAsia="en-US"/>
                <w14:textFill>
                  <w14:solidFill>
                    <w14:srgbClr w14:val="000000">
                      <w14:alpha w14:val="100000"/>
                    </w14:srgbClr>
                  </w14:solidFill>
                </w14:textFill>
              </w:rPr>
              <w:t>|</w:t>
            </w:r>
            <w:r w:rsidR="00EC00AE" w:rsidRPr="006F69AD">
              <w:rPr>
                <w:szCs w:val="20"/>
                <w:vertAlign w:val="superscript"/>
                <w:lang w:eastAsia="en-US"/>
              </w:rPr>
              <w:t>1</w:t>
            </w:r>
          </w:p>
        </w:tc>
        <w:tc>
          <w:tcPr>
            <w:tcW w:w="566" w:type="pct"/>
            <w:shd w:val="clear" w:color="auto" w:fill="auto"/>
            <w:vAlign w:val="center"/>
          </w:tcPr>
          <w:p w14:paraId="6C53B60E" w14:textId="1DDE2DA4" w:rsidR="00DA49D8" w:rsidRPr="00107503" w:rsidRDefault="00206741" w:rsidP="001639CF">
            <w:pPr>
              <w:pStyle w:val="TableText0"/>
              <w:keepLines/>
              <w:jc w:val="right"/>
              <w:rPr>
                <w:color w:val="000000"/>
                <w:szCs w:val="20"/>
                <w:highlight w:val="lightGray"/>
              </w:rPr>
            </w:pPr>
            <w:r w:rsidRPr="001579BE">
              <w:rPr>
                <w:color w:val="000000"/>
                <w:spacing w:val="214"/>
                <w:szCs w:val="20"/>
                <w:shd w:val="solid" w:color="000000" w:fill="000000"/>
                <w:fitText w:val="300" w:id="-1233815285"/>
                <w:lang w:eastAsia="en-US"/>
                <w14:textFill>
                  <w14:solidFill>
                    <w14:srgbClr w14:val="000000">
                      <w14:alpha w14:val="100000"/>
                    </w14:srgbClr>
                  </w14:solidFill>
                </w14:textFill>
              </w:rPr>
              <w:t>|</w:t>
            </w:r>
            <w:r w:rsidRPr="001579BE">
              <w:rPr>
                <w:color w:val="000000"/>
                <w:szCs w:val="20"/>
                <w:shd w:val="solid" w:color="000000" w:fill="000000"/>
                <w:fitText w:val="300" w:id="-1233815285"/>
                <w:lang w:eastAsia="en-US"/>
                <w14:textFill>
                  <w14:solidFill>
                    <w14:srgbClr w14:val="000000">
                      <w14:alpha w14:val="100000"/>
                    </w14:srgbClr>
                  </w14:solidFill>
                </w14:textFill>
              </w:rPr>
              <w:t>|</w:t>
            </w:r>
            <w:r w:rsidR="00EC00AE" w:rsidRPr="006F69AD">
              <w:rPr>
                <w:szCs w:val="20"/>
                <w:vertAlign w:val="superscript"/>
                <w:lang w:eastAsia="en-US"/>
              </w:rPr>
              <w:t>1</w:t>
            </w:r>
          </w:p>
        </w:tc>
        <w:tc>
          <w:tcPr>
            <w:tcW w:w="566" w:type="pct"/>
            <w:shd w:val="clear" w:color="auto" w:fill="auto"/>
            <w:vAlign w:val="center"/>
          </w:tcPr>
          <w:p w14:paraId="627C3A0F" w14:textId="37ACFCD8"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84"/>
                <w:lang w:eastAsia="en-US"/>
                <w14:textFill>
                  <w14:solidFill>
                    <w14:srgbClr w14:val="000000">
                      <w14:alpha w14:val="100000"/>
                    </w14:srgbClr>
                  </w14:solidFill>
                </w14:textFill>
              </w:rPr>
              <w:t>|</w:t>
            </w:r>
            <w:r w:rsidRPr="00206741">
              <w:rPr>
                <w:color w:val="000000"/>
                <w:szCs w:val="20"/>
                <w:shd w:val="solid" w:color="000000" w:fill="000000"/>
                <w:fitText w:val="300" w:id="-1233815284"/>
                <w:lang w:eastAsia="en-US"/>
                <w14:textFill>
                  <w14:solidFill>
                    <w14:srgbClr w14:val="000000">
                      <w14:alpha w14:val="100000"/>
                    </w14:srgbClr>
                  </w14:solidFill>
                </w14:textFill>
              </w:rPr>
              <w:t>|</w:t>
            </w:r>
            <w:r w:rsidR="00EC00AE" w:rsidRPr="006F69AD">
              <w:rPr>
                <w:szCs w:val="20"/>
                <w:vertAlign w:val="superscript"/>
                <w:lang w:eastAsia="en-US"/>
              </w:rPr>
              <w:t>1</w:t>
            </w:r>
          </w:p>
        </w:tc>
        <w:tc>
          <w:tcPr>
            <w:tcW w:w="566" w:type="pct"/>
            <w:shd w:val="clear" w:color="auto" w:fill="auto"/>
            <w:vAlign w:val="center"/>
          </w:tcPr>
          <w:p w14:paraId="52CC3EC5" w14:textId="44524D64"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83"/>
                <w:lang w:eastAsia="en-US"/>
                <w14:textFill>
                  <w14:solidFill>
                    <w14:srgbClr w14:val="000000">
                      <w14:alpha w14:val="100000"/>
                    </w14:srgbClr>
                  </w14:solidFill>
                </w14:textFill>
              </w:rPr>
              <w:t>|</w:t>
            </w:r>
            <w:r w:rsidRPr="00206741">
              <w:rPr>
                <w:color w:val="000000"/>
                <w:szCs w:val="20"/>
                <w:shd w:val="solid" w:color="000000" w:fill="000000"/>
                <w:fitText w:val="300" w:id="-1233815283"/>
                <w:lang w:eastAsia="en-US"/>
                <w14:textFill>
                  <w14:solidFill>
                    <w14:srgbClr w14:val="000000">
                      <w14:alpha w14:val="100000"/>
                    </w14:srgbClr>
                  </w14:solidFill>
                </w14:textFill>
              </w:rPr>
              <w:t>|</w:t>
            </w:r>
            <w:r w:rsidR="00EC00AE" w:rsidRPr="006F69AD">
              <w:rPr>
                <w:szCs w:val="20"/>
                <w:vertAlign w:val="superscript"/>
                <w:lang w:eastAsia="en-US"/>
              </w:rPr>
              <w:t>1</w:t>
            </w:r>
          </w:p>
        </w:tc>
        <w:tc>
          <w:tcPr>
            <w:tcW w:w="566" w:type="pct"/>
            <w:shd w:val="clear" w:color="auto" w:fill="auto"/>
            <w:vAlign w:val="center"/>
          </w:tcPr>
          <w:p w14:paraId="0090E5EF" w14:textId="0FEB2F04"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82"/>
                <w:lang w:eastAsia="en-US"/>
                <w14:textFill>
                  <w14:solidFill>
                    <w14:srgbClr w14:val="000000">
                      <w14:alpha w14:val="100000"/>
                    </w14:srgbClr>
                  </w14:solidFill>
                </w14:textFill>
              </w:rPr>
              <w:t>|</w:t>
            </w:r>
            <w:r w:rsidRPr="00206741">
              <w:rPr>
                <w:color w:val="000000"/>
                <w:szCs w:val="20"/>
                <w:shd w:val="solid" w:color="000000" w:fill="000000"/>
                <w:fitText w:val="300" w:id="-1233815282"/>
                <w:lang w:eastAsia="en-US"/>
                <w14:textFill>
                  <w14:solidFill>
                    <w14:srgbClr w14:val="000000">
                      <w14:alpha w14:val="100000"/>
                    </w14:srgbClr>
                  </w14:solidFill>
                </w14:textFill>
              </w:rPr>
              <w:t>|</w:t>
            </w:r>
            <w:r w:rsidR="00EC00AE" w:rsidRPr="006F69AD">
              <w:rPr>
                <w:szCs w:val="20"/>
                <w:vertAlign w:val="superscript"/>
                <w:lang w:eastAsia="en-US"/>
              </w:rPr>
              <w:t>1</w:t>
            </w:r>
          </w:p>
        </w:tc>
        <w:tc>
          <w:tcPr>
            <w:tcW w:w="567" w:type="pct"/>
            <w:vAlign w:val="center"/>
          </w:tcPr>
          <w:p w14:paraId="51D1B78C" w14:textId="51954030"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81"/>
                <w:lang w:eastAsia="en-US"/>
                <w14:textFill>
                  <w14:solidFill>
                    <w14:srgbClr w14:val="000000">
                      <w14:alpha w14:val="100000"/>
                    </w14:srgbClr>
                  </w14:solidFill>
                </w14:textFill>
              </w:rPr>
              <w:t>|</w:t>
            </w:r>
            <w:r w:rsidRPr="00206741">
              <w:rPr>
                <w:color w:val="000000"/>
                <w:szCs w:val="20"/>
                <w:shd w:val="solid" w:color="000000" w:fill="000000"/>
                <w:fitText w:val="300" w:id="-1233815281"/>
                <w:lang w:eastAsia="en-US"/>
                <w14:textFill>
                  <w14:solidFill>
                    <w14:srgbClr w14:val="000000">
                      <w14:alpha w14:val="100000"/>
                    </w14:srgbClr>
                  </w14:solidFill>
                </w14:textFill>
              </w:rPr>
              <w:t>|</w:t>
            </w:r>
            <w:r w:rsidR="00EC00AE" w:rsidRPr="006F69AD">
              <w:rPr>
                <w:szCs w:val="20"/>
                <w:vertAlign w:val="superscript"/>
                <w:lang w:eastAsia="en-US"/>
              </w:rPr>
              <w:t>1</w:t>
            </w:r>
          </w:p>
        </w:tc>
      </w:tr>
      <w:tr w:rsidR="00DA49D8" w:rsidRPr="00197F03" w14:paraId="340A2067" w14:textId="77777777" w:rsidTr="001639CF">
        <w:trPr>
          <w:cantSplit/>
          <w:jc w:val="center"/>
        </w:trPr>
        <w:tc>
          <w:tcPr>
            <w:tcW w:w="5000" w:type="pct"/>
            <w:gridSpan w:val="7"/>
            <w:shd w:val="clear" w:color="auto" w:fill="auto"/>
            <w:vAlign w:val="center"/>
          </w:tcPr>
          <w:p w14:paraId="18093384" w14:textId="77777777" w:rsidR="00DA49D8" w:rsidRPr="003D096B" w:rsidRDefault="00DA49D8" w:rsidP="001639CF">
            <w:pPr>
              <w:pStyle w:val="TableText0"/>
              <w:keepLines/>
              <w:rPr>
                <w:b/>
                <w:color w:val="000000"/>
                <w:szCs w:val="20"/>
              </w:rPr>
            </w:pPr>
            <w:r w:rsidRPr="0095662A">
              <w:rPr>
                <w:b/>
                <w:color w:val="000000"/>
                <w:szCs w:val="20"/>
              </w:rPr>
              <w:t>Estimated extent of use (number of scripts dispensed), revised</w:t>
            </w:r>
            <w:r w:rsidRPr="00CD6835">
              <w:rPr>
                <w:b/>
                <w:i/>
                <w:iCs/>
                <w:color w:val="000000"/>
                <w:szCs w:val="20"/>
                <w:vertAlign w:val="superscript"/>
              </w:rPr>
              <w:t>a</w:t>
            </w:r>
          </w:p>
        </w:tc>
      </w:tr>
      <w:tr w:rsidR="00206741" w:rsidRPr="00197F03" w14:paraId="59147AF0" w14:textId="77777777" w:rsidTr="001639CF">
        <w:trPr>
          <w:cantSplit/>
          <w:jc w:val="center"/>
        </w:trPr>
        <w:tc>
          <w:tcPr>
            <w:tcW w:w="1603" w:type="pct"/>
            <w:shd w:val="clear" w:color="auto" w:fill="auto"/>
          </w:tcPr>
          <w:p w14:paraId="0389D3E8" w14:textId="7884C16D" w:rsidR="00DA49D8" w:rsidRPr="0095662A" w:rsidRDefault="00DA49D8" w:rsidP="001639CF">
            <w:pPr>
              <w:pStyle w:val="TableText0"/>
              <w:keepLines/>
              <w:rPr>
                <w:szCs w:val="20"/>
              </w:rPr>
            </w:pPr>
            <w:r w:rsidRPr="0095662A">
              <w:rPr>
                <w:szCs w:val="20"/>
                <w:lang w:eastAsia="en-US"/>
              </w:rPr>
              <w:t>BOT initiation scripts</w:t>
            </w:r>
          </w:p>
        </w:tc>
        <w:tc>
          <w:tcPr>
            <w:tcW w:w="566" w:type="pct"/>
            <w:shd w:val="clear" w:color="auto" w:fill="auto"/>
            <w:vAlign w:val="center"/>
          </w:tcPr>
          <w:p w14:paraId="59931F81" w14:textId="48860431" w:rsidR="00DA49D8" w:rsidRPr="00107503" w:rsidRDefault="00206741" w:rsidP="001639CF">
            <w:pPr>
              <w:pStyle w:val="TableText0"/>
              <w:keepLines/>
              <w:jc w:val="right"/>
              <w:rPr>
                <w:color w:val="000000"/>
                <w:szCs w:val="20"/>
                <w:highlight w:val="lightGray"/>
              </w:rPr>
            </w:pPr>
            <w:r w:rsidRPr="00206741">
              <w:rPr>
                <w:color w:val="000000"/>
                <w:spacing w:val="204"/>
                <w:szCs w:val="20"/>
                <w:shd w:val="solid" w:color="000000" w:fill="000000"/>
                <w:fitText w:val="290" w:id="-1233815280"/>
                <w:lang w:eastAsia="en-US"/>
                <w14:textFill>
                  <w14:solidFill>
                    <w14:srgbClr w14:val="000000">
                      <w14:alpha w14:val="100000"/>
                    </w14:srgbClr>
                  </w14:solidFill>
                </w14:textFill>
              </w:rPr>
              <w:t>|</w:t>
            </w:r>
            <w:r w:rsidRPr="00206741">
              <w:rPr>
                <w:color w:val="000000"/>
                <w:szCs w:val="20"/>
                <w:shd w:val="solid" w:color="000000" w:fill="000000"/>
                <w:fitText w:val="290" w:id="-1233815280"/>
                <w:lang w:eastAsia="en-US"/>
                <w14:textFill>
                  <w14:solidFill>
                    <w14:srgbClr w14:val="000000">
                      <w14:alpha w14:val="100000"/>
                    </w14:srgbClr>
                  </w14:solidFill>
                </w14:textFill>
              </w:rPr>
              <w:t>|</w:t>
            </w:r>
            <w:r w:rsidR="00EC00AE" w:rsidRPr="006F69AD">
              <w:rPr>
                <w:szCs w:val="20"/>
                <w:vertAlign w:val="superscript"/>
                <w:lang w:eastAsia="en-US"/>
              </w:rPr>
              <w:t>1</w:t>
            </w:r>
          </w:p>
        </w:tc>
        <w:tc>
          <w:tcPr>
            <w:tcW w:w="566" w:type="pct"/>
            <w:shd w:val="clear" w:color="auto" w:fill="auto"/>
            <w:vAlign w:val="center"/>
          </w:tcPr>
          <w:p w14:paraId="7C2C88DA" w14:textId="376D2A03"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96"/>
                <w:lang w:eastAsia="en-US"/>
                <w14:textFill>
                  <w14:solidFill>
                    <w14:srgbClr w14:val="000000">
                      <w14:alpha w14:val="100000"/>
                    </w14:srgbClr>
                  </w14:solidFill>
                </w14:textFill>
              </w:rPr>
              <w:t>|</w:t>
            </w:r>
            <w:r w:rsidRPr="00206741">
              <w:rPr>
                <w:color w:val="000000"/>
                <w:szCs w:val="20"/>
                <w:shd w:val="solid" w:color="000000" w:fill="000000"/>
                <w:fitText w:val="300" w:id="-1233815296"/>
                <w:lang w:eastAsia="en-US"/>
                <w14:textFill>
                  <w14:solidFill>
                    <w14:srgbClr w14:val="000000">
                      <w14:alpha w14:val="100000"/>
                    </w14:srgbClr>
                  </w14:solidFill>
                </w14:textFill>
              </w:rPr>
              <w:t>|</w:t>
            </w:r>
            <w:r w:rsidR="00EC00AE" w:rsidRPr="006F69AD">
              <w:rPr>
                <w:szCs w:val="20"/>
                <w:vertAlign w:val="superscript"/>
                <w:lang w:eastAsia="en-US"/>
              </w:rPr>
              <w:t>1</w:t>
            </w:r>
          </w:p>
        </w:tc>
        <w:tc>
          <w:tcPr>
            <w:tcW w:w="566" w:type="pct"/>
            <w:shd w:val="clear" w:color="auto" w:fill="auto"/>
            <w:vAlign w:val="center"/>
          </w:tcPr>
          <w:p w14:paraId="538B101A" w14:textId="0191A238"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95"/>
                <w:lang w:eastAsia="en-US"/>
                <w14:textFill>
                  <w14:solidFill>
                    <w14:srgbClr w14:val="000000">
                      <w14:alpha w14:val="100000"/>
                    </w14:srgbClr>
                  </w14:solidFill>
                </w14:textFill>
              </w:rPr>
              <w:t>|</w:t>
            </w:r>
            <w:r w:rsidRPr="00206741">
              <w:rPr>
                <w:color w:val="000000"/>
                <w:szCs w:val="20"/>
                <w:shd w:val="solid" w:color="000000" w:fill="000000"/>
                <w:fitText w:val="300" w:id="-1233815295"/>
                <w:lang w:eastAsia="en-US"/>
                <w14:textFill>
                  <w14:solidFill>
                    <w14:srgbClr w14:val="000000">
                      <w14:alpha w14:val="100000"/>
                    </w14:srgbClr>
                  </w14:solidFill>
                </w14:textFill>
              </w:rPr>
              <w:t>|</w:t>
            </w:r>
            <w:r w:rsidR="00EC00AE" w:rsidRPr="006F69AD">
              <w:rPr>
                <w:szCs w:val="20"/>
                <w:vertAlign w:val="superscript"/>
                <w:lang w:eastAsia="en-US"/>
              </w:rPr>
              <w:t>1</w:t>
            </w:r>
          </w:p>
        </w:tc>
        <w:tc>
          <w:tcPr>
            <w:tcW w:w="566" w:type="pct"/>
            <w:shd w:val="clear" w:color="auto" w:fill="auto"/>
            <w:vAlign w:val="center"/>
          </w:tcPr>
          <w:p w14:paraId="18F5877F" w14:textId="670C867C"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94"/>
                <w:lang w:eastAsia="en-US"/>
                <w14:textFill>
                  <w14:solidFill>
                    <w14:srgbClr w14:val="000000">
                      <w14:alpha w14:val="100000"/>
                    </w14:srgbClr>
                  </w14:solidFill>
                </w14:textFill>
              </w:rPr>
              <w:t>|</w:t>
            </w:r>
            <w:r w:rsidRPr="00206741">
              <w:rPr>
                <w:color w:val="000000"/>
                <w:szCs w:val="20"/>
                <w:shd w:val="solid" w:color="000000" w:fill="000000"/>
                <w:fitText w:val="300" w:id="-1233815294"/>
                <w:lang w:eastAsia="en-US"/>
                <w14:textFill>
                  <w14:solidFill>
                    <w14:srgbClr w14:val="000000">
                      <w14:alpha w14:val="100000"/>
                    </w14:srgbClr>
                  </w14:solidFill>
                </w14:textFill>
              </w:rPr>
              <w:t>|</w:t>
            </w:r>
            <w:r w:rsidR="00EC00AE" w:rsidRPr="006F69AD">
              <w:rPr>
                <w:szCs w:val="20"/>
                <w:vertAlign w:val="superscript"/>
                <w:lang w:eastAsia="en-US"/>
              </w:rPr>
              <w:t>1</w:t>
            </w:r>
          </w:p>
        </w:tc>
        <w:tc>
          <w:tcPr>
            <w:tcW w:w="566" w:type="pct"/>
            <w:shd w:val="clear" w:color="auto" w:fill="auto"/>
            <w:vAlign w:val="center"/>
          </w:tcPr>
          <w:p w14:paraId="1E5BC2A5" w14:textId="72DB9881"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93"/>
                <w:lang w:eastAsia="en-US"/>
                <w14:textFill>
                  <w14:solidFill>
                    <w14:srgbClr w14:val="000000">
                      <w14:alpha w14:val="100000"/>
                    </w14:srgbClr>
                  </w14:solidFill>
                </w14:textFill>
              </w:rPr>
              <w:t>|</w:t>
            </w:r>
            <w:r w:rsidRPr="00206741">
              <w:rPr>
                <w:color w:val="000000"/>
                <w:szCs w:val="20"/>
                <w:shd w:val="solid" w:color="000000" w:fill="000000"/>
                <w:fitText w:val="300" w:id="-1233815293"/>
                <w:lang w:eastAsia="en-US"/>
                <w14:textFill>
                  <w14:solidFill>
                    <w14:srgbClr w14:val="000000">
                      <w14:alpha w14:val="100000"/>
                    </w14:srgbClr>
                  </w14:solidFill>
                </w14:textFill>
              </w:rPr>
              <w:t>|</w:t>
            </w:r>
            <w:r w:rsidR="00EC00AE" w:rsidRPr="006F69AD">
              <w:rPr>
                <w:szCs w:val="20"/>
                <w:vertAlign w:val="superscript"/>
                <w:lang w:eastAsia="en-US"/>
              </w:rPr>
              <w:t>1</w:t>
            </w:r>
          </w:p>
        </w:tc>
        <w:tc>
          <w:tcPr>
            <w:tcW w:w="567" w:type="pct"/>
            <w:vAlign w:val="center"/>
          </w:tcPr>
          <w:p w14:paraId="4146ED90" w14:textId="21CF86A1"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92"/>
                <w:lang w:eastAsia="en-US"/>
                <w14:textFill>
                  <w14:solidFill>
                    <w14:srgbClr w14:val="000000">
                      <w14:alpha w14:val="100000"/>
                    </w14:srgbClr>
                  </w14:solidFill>
                </w14:textFill>
              </w:rPr>
              <w:t>|</w:t>
            </w:r>
            <w:r w:rsidRPr="00206741">
              <w:rPr>
                <w:color w:val="000000"/>
                <w:szCs w:val="20"/>
                <w:shd w:val="solid" w:color="000000" w:fill="000000"/>
                <w:fitText w:val="300" w:id="-1233815292"/>
                <w:lang w:eastAsia="en-US"/>
                <w14:textFill>
                  <w14:solidFill>
                    <w14:srgbClr w14:val="000000">
                      <w14:alpha w14:val="100000"/>
                    </w14:srgbClr>
                  </w14:solidFill>
                </w14:textFill>
              </w:rPr>
              <w:t>|</w:t>
            </w:r>
            <w:r w:rsidR="00EC00AE" w:rsidRPr="006F69AD">
              <w:rPr>
                <w:szCs w:val="20"/>
                <w:vertAlign w:val="superscript"/>
                <w:lang w:eastAsia="en-US"/>
              </w:rPr>
              <w:t>1</w:t>
            </w:r>
          </w:p>
        </w:tc>
      </w:tr>
      <w:tr w:rsidR="00206741" w:rsidRPr="00197F03" w14:paraId="6B47A12F" w14:textId="77777777" w:rsidTr="001639CF">
        <w:trPr>
          <w:cantSplit/>
          <w:jc w:val="center"/>
        </w:trPr>
        <w:tc>
          <w:tcPr>
            <w:tcW w:w="1603" w:type="pct"/>
            <w:shd w:val="clear" w:color="auto" w:fill="auto"/>
          </w:tcPr>
          <w:p w14:paraId="01BD29ED" w14:textId="77777777" w:rsidR="00DA49D8" w:rsidRPr="0095662A" w:rsidRDefault="00DA49D8" w:rsidP="001639CF">
            <w:pPr>
              <w:pStyle w:val="TableText0"/>
              <w:keepLines/>
              <w:rPr>
                <w:szCs w:val="20"/>
              </w:rPr>
            </w:pPr>
            <w:r w:rsidRPr="0095662A">
              <w:rPr>
                <w:szCs w:val="20"/>
                <w:lang w:eastAsia="en-US"/>
              </w:rPr>
              <w:t>BOT continuation scripts</w:t>
            </w:r>
          </w:p>
        </w:tc>
        <w:tc>
          <w:tcPr>
            <w:tcW w:w="566" w:type="pct"/>
            <w:shd w:val="clear" w:color="auto" w:fill="auto"/>
            <w:vAlign w:val="center"/>
          </w:tcPr>
          <w:p w14:paraId="50FE0951" w14:textId="2044873B" w:rsidR="00DA49D8" w:rsidRPr="00107503" w:rsidRDefault="00206741" w:rsidP="001639CF">
            <w:pPr>
              <w:pStyle w:val="TableText0"/>
              <w:keepLines/>
              <w:jc w:val="right"/>
              <w:rPr>
                <w:color w:val="000000"/>
                <w:szCs w:val="20"/>
                <w:highlight w:val="lightGray"/>
              </w:rPr>
            </w:pPr>
            <w:r w:rsidRPr="00206741">
              <w:rPr>
                <w:color w:val="000000"/>
                <w:spacing w:val="204"/>
                <w:szCs w:val="20"/>
                <w:shd w:val="solid" w:color="000000" w:fill="000000"/>
                <w:fitText w:val="290" w:id="-1233815291"/>
                <w:lang w:eastAsia="en-US"/>
                <w14:textFill>
                  <w14:solidFill>
                    <w14:srgbClr w14:val="000000">
                      <w14:alpha w14:val="100000"/>
                    </w14:srgbClr>
                  </w14:solidFill>
                </w14:textFill>
              </w:rPr>
              <w:t>|</w:t>
            </w:r>
            <w:r w:rsidRPr="00206741">
              <w:rPr>
                <w:color w:val="000000"/>
                <w:szCs w:val="20"/>
                <w:shd w:val="solid" w:color="000000" w:fill="000000"/>
                <w:fitText w:val="290" w:id="-1233815291"/>
                <w:lang w:eastAsia="en-US"/>
                <w14:textFill>
                  <w14:solidFill>
                    <w14:srgbClr w14:val="000000">
                      <w14:alpha w14:val="100000"/>
                    </w14:srgbClr>
                  </w14:solidFill>
                </w14:textFill>
              </w:rPr>
              <w:t>|</w:t>
            </w:r>
            <w:r w:rsidR="00EC00AE" w:rsidRPr="00107503">
              <w:rPr>
                <w:szCs w:val="20"/>
                <w:vertAlign w:val="superscript"/>
                <w:lang w:eastAsia="en-US"/>
              </w:rPr>
              <w:t>2</w:t>
            </w:r>
          </w:p>
        </w:tc>
        <w:tc>
          <w:tcPr>
            <w:tcW w:w="566" w:type="pct"/>
            <w:shd w:val="clear" w:color="auto" w:fill="auto"/>
            <w:vAlign w:val="center"/>
          </w:tcPr>
          <w:p w14:paraId="3CB84650" w14:textId="2DCB8D4B"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90"/>
                <w:lang w:eastAsia="en-US"/>
                <w14:textFill>
                  <w14:solidFill>
                    <w14:srgbClr w14:val="000000">
                      <w14:alpha w14:val="100000"/>
                    </w14:srgbClr>
                  </w14:solidFill>
                </w14:textFill>
              </w:rPr>
              <w:t>|</w:t>
            </w:r>
            <w:r w:rsidRPr="00206741">
              <w:rPr>
                <w:color w:val="000000"/>
                <w:szCs w:val="20"/>
                <w:shd w:val="solid" w:color="000000" w:fill="000000"/>
                <w:fitText w:val="300" w:id="-1233815290"/>
                <w:lang w:eastAsia="en-US"/>
                <w14:textFill>
                  <w14:solidFill>
                    <w14:srgbClr w14:val="000000">
                      <w14:alpha w14:val="100000"/>
                    </w14:srgbClr>
                  </w14:solidFill>
                </w14:textFill>
              </w:rPr>
              <w:t>|</w:t>
            </w:r>
            <w:r w:rsidR="001325E1" w:rsidRPr="006F69AD">
              <w:rPr>
                <w:szCs w:val="20"/>
                <w:vertAlign w:val="superscript"/>
                <w:lang w:eastAsia="en-US"/>
              </w:rPr>
              <w:t>2</w:t>
            </w:r>
          </w:p>
        </w:tc>
        <w:tc>
          <w:tcPr>
            <w:tcW w:w="566" w:type="pct"/>
            <w:shd w:val="clear" w:color="auto" w:fill="auto"/>
            <w:vAlign w:val="center"/>
          </w:tcPr>
          <w:p w14:paraId="046E4C66" w14:textId="0E49E0A2"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89"/>
                <w:lang w:eastAsia="en-US"/>
                <w14:textFill>
                  <w14:solidFill>
                    <w14:srgbClr w14:val="000000">
                      <w14:alpha w14:val="100000"/>
                    </w14:srgbClr>
                  </w14:solidFill>
                </w14:textFill>
              </w:rPr>
              <w:t>|</w:t>
            </w:r>
            <w:r w:rsidRPr="00206741">
              <w:rPr>
                <w:color w:val="000000"/>
                <w:szCs w:val="20"/>
                <w:shd w:val="solid" w:color="000000" w:fill="000000"/>
                <w:fitText w:val="300" w:id="-1233815289"/>
                <w:lang w:eastAsia="en-US"/>
                <w14:textFill>
                  <w14:solidFill>
                    <w14:srgbClr w14:val="000000">
                      <w14:alpha w14:val="100000"/>
                    </w14:srgbClr>
                  </w14:solidFill>
                </w14:textFill>
              </w:rPr>
              <w:t>|</w:t>
            </w:r>
            <w:r w:rsidR="001325E1">
              <w:rPr>
                <w:szCs w:val="20"/>
                <w:vertAlign w:val="superscript"/>
                <w:lang w:eastAsia="en-US"/>
              </w:rPr>
              <w:t>3</w:t>
            </w:r>
          </w:p>
        </w:tc>
        <w:tc>
          <w:tcPr>
            <w:tcW w:w="566" w:type="pct"/>
            <w:shd w:val="clear" w:color="auto" w:fill="auto"/>
            <w:vAlign w:val="center"/>
          </w:tcPr>
          <w:p w14:paraId="167596A9" w14:textId="3CCEFC67"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88"/>
                <w:lang w:eastAsia="en-US"/>
                <w14:textFill>
                  <w14:solidFill>
                    <w14:srgbClr w14:val="000000">
                      <w14:alpha w14:val="100000"/>
                    </w14:srgbClr>
                  </w14:solidFill>
                </w14:textFill>
              </w:rPr>
              <w:t>|</w:t>
            </w:r>
            <w:r w:rsidRPr="00206741">
              <w:rPr>
                <w:color w:val="000000"/>
                <w:szCs w:val="20"/>
                <w:shd w:val="solid" w:color="000000" w:fill="000000"/>
                <w:fitText w:val="300" w:id="-1233815288"/>
                <w:lang w:eastAsia="en-US"/>
                <w14:textFill>
                  <w14:solidFill>
                    <w14:srgbClr w14:val="000000">
                      <w14:alpha w14:val="100000"/>
                    </w14:srgbClr>
                  </w14:solidFill>
                </w14:textFill>
              </w:rPr>
              <w:t>|</w:t>
            </w:r>
            <w:r w:rsidR="001325E1">
              <w:rPr>
                <w:szCs w:val="20"/>
                <w:vertAlign w:val="superscript"/>
                <w:lang w:eastAsia="en-US"/>
              </w:rPr>
              <w:t>3</w:t>
            </w:r>
          </w:p>
        </w:tc>
        <w:tc>
          <w:tcPr>
            <w:tcW w:w="566" w:type="pct"/>
            <w:shd w:val="clear" w:color="auto" w:fill="auto"/>
            <w:vAlign w:val="center"/>
          </w:tcPr>
          <w:p w14:paraId="38218E50" w14:textId="39FA8BDD"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87"/>
                <w:lang w:eastAsia="en-US"/>
                <w14:textFill>
                  <w14:solidFill>
                    <w14:srgbClr w14:val="000000">
                      <w14:alpha w14:val="100000"/>
                    </w14:srgbClr>
                  </w14:solidFill>
                </w14:textFill>
              </w:rPr>
              <w:t>|</w:t>
            </w:r>
            <w:r w:rsidRPr="00206741">
              <w:rPr>
                <w:color w:val="000000"/>
                <w:szCs w:val="20"/>
                <w:shd w:val="solid" w:color="000000" w:fill="000000"/>
                <w:fitText w:val="300" w:id="-1233815287"/>
                <w:lang w:eastAsia="en-US"/>
                <w14:textFill>
                  <w14:solidFill>
                    <w14:srgbClr w14:val="000000">
                      <w14:alpha w14:val="100000"/>
                    </w14:srgbClr>
                  </w14:solidFill>
                </w14:textFill>
              </w:rPr>
              <w:t>|</w:t>
            </w:r>
            <w:r w:rsidR="001325E1">
              <w:rPr>
                <w:szCs w:val="20"/>
                <w:vertAlign w:val="superscript"/>
                <w:lang w:eastAsia="en-US"/>
              </w:rPr>
              <w:t>4</w:t>
            </w:r>
          </w:p>
        </w:tc>
        <w:tc>
          <w:tcPr>
            <w:tcW w:w="567" w:type="pct"/>
            <w:vAlign w:val="center"/>
          </w:tcPr>
          <w:p w14:paraId="7A5D6063" w14:textId="1B467C3A"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86"/>
                <w:lang w:eastAsia="en-US"/>
                <w14:textFill>
                  <w14:solidFill>
                    <w14:srgbClr w14:val="000000">
                      <w14:alpha w14:val="100000"/>
                    </w14:srgbClr>
                  </w14:solidFill>
                </w14:textFill>
              </w:rPr>
              <w:t>|</w:t>
            </w:r>
            <w:r w:rsidRPr="00206741">
              <w:rPr>
                <w:color w:val="000000"/>
                <w:szCs w:val="20"/>
                <w:shd w:val="solid" w:color="000000" w:fill="000000"/>
                <w:fitText w:val="300" w:id="-1233815286"/>
                <w:lang w:eastAsia="en-US"/>
                <w14:textFill>
                  <w14:solidFill>
                    <w14:srgbClr w14:val="000000">
                      <w14:alpha w14:val="100000"/>
                    </w14:srgbClr>
                  </w14:solidFill>
                </w14:textFill>
              </w:rPr>
              <w:t>|</w:t>
            </w:r>
            <w:r w:rsidR="001325E1">
              <w:rPr>
                <w:szCs w:val="20"/>
                <w:vertAlign w:val="superscript"/>
                <w:lang w:eastAsia="en-US"/>
              </w:rPr>
              <w:t>4</w:t>
            </w:r>
          </w:p>
        </w:tc>
      </w:tr>
      <w:tr w:rsidR="00206741" w:rsidRPr="00197F03" w14:paraId="15A1035C" w14:textId="77777777" w:rsidTr="001639CF">
        <w:trPr>
          <w:cantSplit/>
          <w:jc w:val="center"/>
        </w:trPr>
        <w:tc>
          <w:tcPr>
            <w:tcW w:w="1603" w:type="pct"/>
            <w:shd w:val="clear" w:color="auto" w:fill="auto"/>
          </w:tcPr>
          <w:p w14:paraId="35FF8594" w14:textId="77777777" w:rsidR="00DA49D8" w:rsidRPr="0095662A" w:rsidRDefault="00DA49D8" w:rsidP="001639CF">
            <w:pPr>
              <w:pStyle w:val="TableText0"/>
              <w:keepLines/>
              <w:rPr>
                <w:szCs w:val="20"/>
              </w:rPr>
            </w:pPr>
            <w:r w:rsidRPr="0095662A">
              <w:rPr>
                <w:szCs w:val="20"/>
                <w:lang w:eastAsia="en-US"/>
              </w:rPr>
              <w:t>Total BOT scripts</w:t>
            </w:r>
          </w:p>
        </w:tc>
        <w:tc>
          <w:tcPr>
            <w:tcW w:w="566" w:type="pct"/>
            <w:shd w:val="clear" w:color="auto" w:fill="auto"/>
            <w:vAlign w:val="center"/>
          </w:tcPr>
          <w:p w14:paraId="26B46233" w14:textId="1EFCD04B" w:rsidR="00DA49D8" w:rsidRPr="00107503" w:rsidRDefault="00206741" w:rsidP="001639CF">
            <w:pPr>
              <w:pStyle w:val="TableText0"/>
              <w:keepLines/>
              <w:jc w:val="right"/>
              <w:rPr>
                <w:color w:val="000000"/>
                <w:szCs w:val="20"/>
                <w:highlight w:val="lightGray"/>
              </w:rPr>
            </w:pPr>
            <w:r w:rsidRPr="00206741">
              <w:rPr>
                <w:color w:val="000000"/>
                <w:spacing w:val="204"/>
                <w:szCs w:val="20"/>
                <w:shd w:val="solid" w:color="000000" w:fill="000000"/>
                <w:fitText w:val="290" w:id="-1233815285"/>
                <w:lang w:eastAsia="en-US"/>
                <w14:textFill>
                  <w14:solidFill>
                    <w14:srgbClr w14:val="000000">
                      <w14:alpha w14:val="100000"/>
                    </w14:srgbClr>
                  </w14:solidFill>
                </w14:textFill>
              </w:rPr>
              <w:t>|</w:t>
            </w:r>
            <w:r w:rsidRPr="00206741">
              <w:rPr>
                <w:color w:val="000000"/>
                <w:szCs w:val="20"/>
                <w:shd w:val="solid" w:color="000000" w:fill="000000"/>
                <w:fitText w:val="290" w:id="-1233815285"/>
                <w:lang w:eastAsia="en-US"/>
                <w14:textFill>
                  <w14:solidFill>
                    <w14:srgbClr w14:val="000000">
                      <w14:alpha w14:val="100000"/>
                    </w14:srgbClr>
                  </w14:solidFill>
                </w14:textFill>
              </w:rPr>
              <w:t>|</w:t>
            </w:r>
            <w:r w:rsidR="001325E1" w:rsidRPr="006F69AD">
              <w:rPr>
                <w:szCs w:val="20"/>
                <w:vertAlign w:val="superscript"/>
                <w:lang w:eastAsia="en-US"/>
              </w:rPr>
              <w:t>2</w:t>
            </w:r>
          </w:p>
        </w:tc>
        <w:tc>
          <w:tcPr>
            <w:tcW w:w="566" w:type="pct"/>
            <w:shd w:val="clear" w:color="auto" w:fill="auto"/>
            <w:vAlign w:val="center"/>
          </w:tcPr>
          <w:p w14:paraId="7127F36D" w14:textId="2C703EB7"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84"/>
                <w:lang w:eastAsia="en-US"/>
                <w14:textFill>
                  <w14:solidFill>
                    <w14:srgbClr w14:val="000000">
                      <w14:alpha w14:val="100000"/>
                    </w14:srgbClr>
                  </w14:solidFill>
                </w14:textFill>
              </w:rPr>
              <w:t>|</w:t>
            </w:r>
            <w:r w:rsidRPr="00206741">
              <w:rPr>
                <w:color w:val="000000"/>
                <w:szCs w:val="20"/>
                <w:shd w:val="solid" w:color="000000" w:fill="000000"/>
                <w:fitText w:val="300" w:id="-1233815284"/>
                <w:lang w:eastAsia="en-US"/>
                <w14:textFill>
                  <w14:solidFill>
                    <w14:srgbClr w14:val="000000">
                      <w14:alpha w14:val="100000"/>
                    </w14:srgbClr>
                  </w14:solidFill>
                </w14:textFill>
              </w:rPr>
              <w:t>|</w:t>
            </w:r>
            <w:r w:rsidR="001325E1">
              <w:rPr>
                <w:szCs w:val="20"/>
                <w:vertAlign w:val="superscript"/>
                <w:lang w:eastAsia="en-US"/>
              </w:rPr>
              <w:t>3</w:t>
            </w:r>
          </w:p>
        </w:tc>
        <w:tc>
          <w:tcPr>
            <w:tcW w:w="566" w:type="pct"/>
            <w:shd w:val="clear" w:color="auto" w:fill="auto"/>
            <w:vAlign w:val="center"/>
          </w:tcPr>
          <w:p w14:paraId="24B27F94" w14:textId="7D7ABF0A"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83"/>
                <w:lang w:eastAsia="en-US"/>
                <w14:textFill>
                  <w14:solidFill>
                    <w14:srgbClr w14:val="000000">
                      <w14:alpha w14:val="100000"/>
                    </w14:srgbClr>
                  </w14:solidFill>
                </w14:textFill>
              </w:rPr>
              <w:t>|</w:t>
            </w:r>
            <w:r w:rsidRPr="00206741">
              <w:rPr>
                <w:color w:val="000000"/>
                <w:szCs w:val="20"/>
                <w:shd w:val="solid" w:color="000000" w:fill="000000"/>
                <w:fitText w:val="300" w:id="-1233815283"/>
                <w:lang w:eastAsia="en-US"/>
                <w14:textFill>
                  <w14:solidFill>
                    <w14:srgbClr w14:val="000000">
                      <w14:alpha w14:val="100000"/>
                    </w14:srgbClr>
                  </w14:solidFill>
                </w14:textFill>
              </w:rPr>
              <w:t>|</w:t>
            </w:r>
            <w:r w:rsidR="001325E1">
              <w:rPr>
                <w:szCs w:val="20"/>
                <w:vertAlign w:val="superscript"/>
                <w:lang w:eastAsia="en-US"/>
              </w:rPr>
              <w:t>3</w:t>
            </w:r>
          </w:p>
        </w:tc>
        <w:tc>
          <w:tcPr>
            <w:tcW w:w="566" w:type="pct"/>
            <w:shd w:val="clear" w:color="auto" w:fill="auto"/>
            <w:vAlign w:val="center"/>
          </w:tcPr>
          <w:p w14:paraId="6ED528A7" w14:textId="105FF1D2"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82"/>
                <w:lang w:eastAsia="en-US"/>
                <w14:textFill>
                  <w14:solidFill>
                    <w14:srgbClr w14:val="000000">
                      <w14:alpha w14:val="100000"/>
                    </w14:srgbClr>
                  </w14:solidFill>
                </w14:textFill>
              </w:rPr>
              <w:t>|</w:t>
            </w:r>
            <w:r w:rsidRPr="00206741">
              <w:rPr>
                <w:color w:val="000000"/>
                <w:szCs w:val="20"/>
                <w:shd w:val="solid" w:color="000000" w:fill="000000"/>
                <w:fitText w:val="300" w:id="-1233815282"/>
                <w:lang w:eastAsia="en-US"/>
                <w14:textFill>
                  <w14:solidFill>
                    <w14:srgbClr w14:val="000000">
                      <w14:alpha w14:val="100000"/>
                    </w14:srgbClr>
                  </w14:solidFill>
                </w14:textFill>
              </w:rPr>
              <w:t>|</w:t>
            </w:r>
            <w:r w:rsidR="001325E1">
              <w:rPr>
                <w:szCs w:val="20"/>
                <w:vertAlign w:val="superscript"/>
                <w:lang w:eastAsia="en-US"/>
              </w:rPr>
              <w:t>3</w:t>
            </w:r>
          </w:p>
        </w:tc>
        <w:tc>
          <w:tcPr>
            <w:tcW w:w="566" w:type="pct"/>
            <w:shd w:val="clear" w:color="auto" w:fill="auto"/>
            <w:vAlign w:val="center"/>
          </w:tcPr>
          <w:p w14:paraId="02859159" w14:textId="3D72BA7A"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81"/>
                <w:lang w:eastAsia="en-US"/>
                <w14:textFill>
                  <w14:solidFill>
                    <w14:srgbClr w14:val="000000">
                      <w14:alpha w14:val="100000"/>
                    </w14:srgbClr>
                  </w14:solidFill>
                </w14:textFill>
              </w:rPr>
              <w:t>|</w:t>
            </w:r>
            <w:r w:rsidRPr="00206741">
              <w:rPr>
                <w:color w:val="000000"/>
                <w:szCs w:val="20"/>
                <w:shd w:val="solid" w:color="000000" w:fill="000000"/>
                <w:fitText w:val="300" w:id="-1233815281"/>
                <w:lang w:eastAsia="en-US"/>
                <w14:textFill>
                  <w14:solidFill>
                    <w14:srgbClr w14:val="000000">
                      <w14:alpha w14:val="100000"/>
                    </w14:srgbClr>
                  </w14:solidFill>
                </w14:textFill>
              </w:rPr>
              <w:t>|</w:t>
            </w:r>
            <w:r w:rsidR="001325E1">
              <w:rPr>
                <w:szCs w:val="20"/>
                <w:vertAlign w:val="superscript"/>
                <w:lang w:eastAsia="en-US"/>
              </w:rPr>
              <w:t>4</w:t>
            </w:r>
          </w:p>
        </w:tc>
        <w:tc>
          <w:tcPr>
            <w:tcW w:w="567" w:type="pct"/>
            <w:vAlign w:val="center"/>
          </w:tcPr>
          <w:p w14:paraId="5925AE6A" w14:textId="48E6B398" w:rsidR="00DA49D8" w:rsidRPr="00107503" w:rsidRDefault="00206741" w:rsidP="001639CF">
            <w:pPr>
              <w:pStyle w:val="TableText0"/>
              <w:keepLines/>
              <w:jc w:val="right"/>
              <w:rPr>
                <w:color w:val="000000"/>
                <w:szCs w:val="20"/>
                <w:highlight w:val="lightGray"/>
              </w:rPr>
            </w:pPr>
            <w:r w:rsidRPr="00206741">
              <w:rPr>
                <w:color w:val="000000"/>
                <w:spacing w:val="214"/>
                <w:szCs w:val="20"/>
                <w:shd w:val="solid" w:color="000000" w:fill="000000"/>
                <w:fitText w:val="300" w:id="-1233815280"/>
                <w:lang w:eastAsia="en-US"/>
                <w14:textFill>
                  <w14:solidFill>
                    <w14:srgbClr w14:val="000000">
                      <w14:alpha w14:val="100000"/>
                    </w14:srgbClr>
                  </w14:solidFill>
                </w14:textFill>
              </w:rPr>
              <w:t>|</w:t>
            </w:r>
            <w:r w:rsidRPr="00206741">
              <w:rPr>
                <w:color w:val="000000"/>
                <w:szCs w:val="20"/>
                <w:shd w:val="solid" w:color="000000" w:fill="000000"/>
                <w:fitText w:val="300" w:id="-1233815280"/>
                <w:lang w:eastAsia="en-US"/>
                <w14:textFill>
                  <w14:solidFill>
                    <w14:srgbClr w14:val="000000">
                      <w14:alpha w14:val="100000"/>
                    </w14:srgbClr>
                  </w14:solidFill>
                </w14:textFill>
              </w:rPr>
              <w:t>|</w:t>
            </w:r>
            <w:r w:rsidR="001325E1">
              <w:rPr>
                <w:szCs w:val="20"/>
                <w:vertAlign w:val="superscript"/>
                <w:lang w:eastAsia="en-US"/>
              </w:rPr>
              <w:t>4</w:t>
            </w:r>
          </w:p>
        </w:tc>
      </w:tr>
      <w:tr w:rsidR="00DA49D8" w:rsidRPr="00197F03" w14:paraId="7D67E73A" w14:textId="77777777" w:rsidTr="001639CF">
        <w:trPr>
          <w:cantSplit/>
          <w:jc w:val="center"/>
        </w:trPr>
        <w:tc>
          <w:tcPr>
            <w:tcW w:w="5000" w:type="pct"/>
            <w:gridSpan w:val="7"/>
            <w:shd w:val="clear" w:color="auto" w:fill="auto"/>
          </w:tcPr>
          <w:p w14:paraId="5D0AABA6" w14:textId="77777777" w:rsidR="00DA49D8" w:rsidRPr="00CD6835" w:rsidRDefault="00DA49D8" w:rsidP="001639CF">
            <w:pPr>
              <w:pStyle w:val="TableText0"/>
              <w:keepLines/>
              <w:rPr>
                <w:i/>
                <w:iCs/>
                <w:szCs w:val="20"/>
                <w:vertAlign w:val="superscript"/>
                <w:lang w:eastAsia="en-US"/>
              </w:rPr>
            </w:pPr>
            <w:r w:rsidRPr="00CD6835">
              <w:rPr>
                <w:b/>
              </w:rPr>
              <w:t>Estimated financial implications of BOT, revised</w:t>
            </w:r>
            <w:r>
              <w:rPr>
                <w:b/>
                <w:i/>
                <w:iCs/>
                <w:vertAlign w:val="superscript"/>
              </w:rPr>
              <w:t>a</w:t>
            </w:r>
          </w:p>
        </w:tc>
      </w:tr>
      <w:tr w:rsidR="00206741" w:rsidRPr="00197F03" w14:paraId="3ED0CEFF" w14:textId="77777777" w:rsidTr="001639CF">
        <w:trPr>
          <w:cantSplit/>
          <w:jc w:val="center"/>
        </w:trPr>
        <w:tc>
          <w:tcPr>
            <w:tcW w:w="1603" w:type="pct"/>
            <w:shd w:val="clear" w:color="auto" w:fill="auto"/>
            <w:vAlign w:val="center"/>
          </w:tcPr>
          <w:p w14:paraId="161E99CE" w14:textId="77777777" w:rsidR="00DA49D8" w:rsidRPr="0095662A" w:rsidRDefault="00DA49D8" w:rsidP="001639CF">
            <w:pPr>
              <w:pStyle w:val="TableText0"/>
              <w:keepLines/>
              <w:rPr>
                <w:szCs w:val="20"/>
              </w:rPr>
            </w:pPr>
            <w:r w:rsidRPr="0095662A">
              <w:rPr>
                <w:szCs w:val="20"/>
              </w:rPr>
              <w:t>Cost to PBS/RPBS less co-payment</w:t>
            </w:r>
          </w:p>
        </w:tc>
        <w:tc>
          <w:tcPr>
            <w:tcW w:w="566" w:type="pct"/>
            <w:shd w:val="clear" w:color="auto" w:fill="auto"/>
            <w:vAlign w:val="center"/>
          </w:tcPr>
          <w:p w14:paraId="2EFF1F85" w14:textId="6DE4499A" w:rsidR="00DA49D8" w:rsidRPr="00107503" w:rsidRDefault="00206741" w:rsidP="001639CF">
            <w:pPr>
              <w:pStyle w:val="TableText0"/>
              <w:keepLines/>
              <w:jc w:val="right"/>
              <w:rPr>
                <w:szCs w:val="20"/>
                <w:highlight w:val="lightGray"/>
                <w:lang w:eastAsia="en-US"/>
              </w:rPr>
            </w:pPr>
            <w:r w:rsidRPr="00206741">
              <w:rPr>
                <w:color w:val="000000"/>
                <w:spacing w:val="204"/>
                <w:szCs w:val="20"/>
                <w:shd w:val="solid" w:color="000000" w:fill="000000"/>
                <w:fitText w:val="290" w:id="-1233815296"/>
                <w:lang w:eastAsia="en-US"/>
                <w14:textFill>
                  <w14:solidFill>
                    <w14:srgbClr w14:val="000000">
                      <w14:alpha w14:val="100000"/>
                    </w14:srgbClr>
                  </w14:solidFill>
                </w14:textFill>
              </w:rPr>
              <w:t>|</w:t>
            </w:r>
            <w:r w:rsidRPr="00206741">
              <w:rPr>
                <w:color w:val="000000"/>
                <w:szCs w:val="20"/>
                <w:shd w:val="solid" w:color="000000" w:fill="000000"/>
                <w:fitText w:val="290" w:id="-1233815296"/>
                <w:lang w:eastAsia="en-US"/>
                <w14:textFill>
                  <w14:solidFill>
                    <w14:srgbClr w14:val="000000">
                      <w14:alpha w14:val="100000"/>
                    </w14:srgbClr>
                  </w14:solidFill>
                </w14:textFill>
              </w:rPr>
              <w:t>|</w:t>
            </w:r>
            <w:r w:rsidR="001325E1">
              <w:rPr>
                <w:szCs w:val="20"/>
                <w:vertAlign w:val="superscript"/>
                <w:lang w:eastAsia="en-US"/>
              </w:rPr>
              <w:t>5</w:t>
            </w:r>
          </w:p>
        </w:tc>
        <w:tc>
          <w:tcPr>
            <w:tcW w:w="566" w:type="pct"/>
            <w:shd w:val="clear" w:color="auto" w:fill="auto"/>
            <w:vAlign w:val="center"/>
          </w:tcPr>
          <w:p w14:paraId="0C690730" w14:textId="37949A6F" w:rsidR="00DA49D8" w:rsidRPr="00107503" w:rsidRDefault="00206741" w:rsidP="001639CF">
            <w:pPr>
              <w:pStyle w:val="TableText0"/>
              <w:keepLines/>
              <w:jc w:val="right"/>
              <w:rPr>
                <w:szCs w:val="20"/>
                <w:highlight w:val="lightGray"/>
                <w:lang w:eastAsia="en-US"/>
              </w:rPr>
            </w:pPr>
            <w:r w:rsidRPr="00206741">
              <w:rPr>
                <w:color w:val="000000"/>
                <w:spacing w:val="214"/>
                <w:szCs w:val="20"/>
                <w:shd w:val="solid" w:color="000000" w:fill="000000"/>
                <w:fitText w:val="300" w:id="-1233815295"/>
                <w:lang w:eastAsia="en-US"/>
                <w14:textFill>
                  <w14:solidFill>
                    <w14:srgbClr w14:val="000000">
                      <w14:alpha w14:val="100000"/>
                    </w14:srgbClr>
                  </w14:solidFill>
                </w14:textFill>
              </w:rPr>
              <w:t>|</w:t>
            </w:r>
            <w:r w:rsidRPr="00206741">
              <w:rPr>
                <w:color w:val="000000"/>
                <w:szCs w:val="20"/>
                <w:shd w:val="solid" w:color="000000" w:fill="000000"/>
                <w:fitText w:val="300" w:id="-1233815295"/>
                <w:lang w:eastAsia="en-US"/>
                <w14:textFill>
                  <w14:solidFill>
                    <w14:srgbClr w14:val="000000">
                      <w14:alpha w14:val="100000"/>
                    </w14:srgbClr>
                  </w14:solidFill>
                </w14:textFill>
              </w:rPr>
              <w:t>|</w:t>
            </w:r>
            <w:r w:rsidR="001325E1">
              <w:rPr>
                <w:szCs w:val="20"/>
                <w:vertAlign w:val="superscript"/>
                <w:lang w:eastAsia="en-US"/>
              </w:rPr>
              <w:t>5</w:t>
            </w:r>
          </w:p>
        </w:tc>
        <w:tc>
          <w:tcPr>
            <w:tcW w:w="566" w:type="pct"/>
            <w:shd w:val="clear" w:color="auto" w:fill="auto"/>
            <w:vAlign w:val="center"/>
          </w:tcPr>
          <w:p w14:paraId="3445760F" w14:textId="3598984E" w:rsidR="00DA49D8" w:rsidRPr="00107503" w:rsidRDefault="00206741" w:rsidP="001639CF">
            <w:pPr>
              <w:pStyle w:val="TableText0"/>
              <w:keepLines/>
              <w:jc w:val="right"/>
              <w:rPr>
                <w:szCs w:val="20"/>
                <w:highlight w:val="lightGray"/>
                <w:lang w:eastAsia="en-US"/>
              </w:rPr>
            </w:pPr>
            <w:r w:rsidRPr="00206741">
              <w:rPr>
                <w:color w:val="000000"/>
                <w:spacing w:val="214"/>
                <w:szCs w:val="20"/>
                <w:shd w:val="solid" w:color="000000" w:fill="000000"/>
                <w:fitText w:val="300" w:id="-1233815040"/>
                <w:lang w:eastAsia="en-US"/>
                <w14:textFill>
                  <w14:solidFill>
                    <w14:srgbClr w14:val="000000">
                      <w14:alpha w14:val="100000"/>
                    </w14:srgbClr>
                  </w14:solidFill>
                </w14:textFill>
              </w:rPr>
              <w:t>|</w:t>
            </w:r>
            <w:r w:rsidRPr="00206741">
              <w:rPr>
                <w:color w:val="000000"/>
                <w:szCs w:val="20"/>
                <w:shd w:val="solid" w:color="000000" w:fill="000000"/>
                <w:fitText w:val="300" w:id="-1233815040"/>
                <w:lang w:eastAsia="en-US"/>
                <w14:textFill>
                  <w14:solidFill>
                    <w14:srgbClr w14:val="000000">
                      <w14:alpha w14:val="100000"/>
                    </w14:srgbClr>
                  </w14:solidFill>
                </w14:textFill>
              </w:rPr>
              <w:t>|</w:t>
            </w:r>
            <w:r w:rsidR="001325E1">
              <w:rPr>
                <w:szCs w:val="20"/>
                <w:vertAlign w:val="superscript"/>
                <w:lang w:eastAsia="en-US"/>
              </w:rPr>
              <w:t>5</w:t>
            </w:r>
          </w:p>
        </w:tc>
        <w:tc>
          <w:tcPr>
            <w:tcW w:w="566" w:type="pct"/>
            <w:shd w:val="clear" w:color="auto" w:fill="auto"/>
            <w:vAlign w:val="center"/>
          </w:tcPr>
          <w:p w14:paraId="67CEEB13" w14:textId="20DB0DF8" w:rsidR="00DA49D8" w:rsidRPr="00107503" w:rsidRDefault="00206741" w:rsidP="001639CF">
            <w:pPr>
              <w:pStyle w:val="TableText0"/>
              <w:keepLines/>
              <w:jc w:val="right"/>
              <w:rPr>
                <w:szCs w:val="20"/>
                <w:highlight w:val="lightGray"/>
                <w:lang w:eastAsia="en-US"/>
              </w:rPr>
            </w:pPr>
            <w:r w:rsidRPr="00206741">
              <w:rPr>
                <w:color w:val="000000"/>
                <w:spacing w:val="214"/>
                <w:szCs w:val="20"/>
                <w:shd w:val="solid" w:color="000000" w:fill="000000"/>
                <w:fitText w:val="300" w:id="-1233815039"/>
                <w:lang w:eastAsia="en-US"/>
                <w14:textFill>
                  <w14:solidFill>
                    <w14:srgbClr w14:val="000000">
                      <w14:alpha w14:val="100000"/>
                    </w14:srgbClr>
                  </w14:solidFill>
                </w14:textFill>
              </w:rPr>
              <w:t>|</w:t>
            </w:r>
            <w:r w:rsidRPr="00206741">
              <w:rPr>
                <w:color w:val="000000"/>
                <w:szCs w:val="20"/>
                <w:shd w:val="solid" w:color="000000" w:fill="000000"/>
                <w:fitText w:val="300" w:id="-1233815039"/>
                <w:lang w:eastAsia="en-US"/>
                <w14:textFill>
                  <w14:solidFill>
                    <w14:srgbClr w14:val="000000">
                      <w14:alpha w14:val="100000"/>
                    </w14:srgbClr>
                  </w14:solidFill>
                </w14:textFill>
              </w:rPr>
              <w:t>|</w:t>
            </w:r>
            <w:r w:rsidR="001325E1">
              <w:rPr>
                <w:szCs w:val="20"/>
                <w:vertAlign w:val="superscript"/>
                <w:lang w:eastAsia="en-US"/>
              </w:rPr>
              <w:t>5</w:t>
            </w:r>
          </w:p>
        </w:tc>
        <w:tc>
          <w:tcPr>
            <w:tcW w:w="566" w:type="pct"/>
            <w:shd w:val="clear" w:color="auto" w:fill="auto"/>
            <w:vAlign w:val="center"/>
          </w:tcPr>
          <w:p w14:paraId="081D18A3" w14:textId="65AA3D01" w:rsidR="00DA49D8" w:rsidRPr="00107503" w:rsidRDefault="00206741" w:rsidP="001639CF">
            <w:pPr>
              <w:pStyle w:val="TableText0"/>
              <w:keepLines/>
              <w:jc w:val="right"/>
              <w:rPr>
                <w:szCs w:val="20"/>
                <w:highlight w:val="lightGray"/>
                <w:lang w:eastAsia="en-US"/>
              </w:rPr>
            </w:pPr>
            <w:r w:rsidRPr="00206741">
              <w:rPr>
                <w:color w:val="000000"/>
                <w:spacing w:val="214"/>
                <w:szCs w:val="20"/>
                <w:shd w:val="solid" w:color="000000" w:fill="000000"/>
                <w:fitText w:val="300" w:id="-1233815038"/>
                <w:lang w:eastAsia="en-US"/>
                <w14:textFill>
                  <w14:solidFill>
                    <w14:srgbClr w14:val="000000">
                      <w14:alpha w14:val="100000"/>
                    </w14:srgbClr>
                  </w14:solidFill>
                </w14:textFill>
              </w:rPr>
              <w:t>|</w:t>
            </w:r>
            <w:r w:rsidRPr="00206741">
              <w:rPr>
                <w:color w:val="000000"/>
                <w:szCs w:val="20"/>
                <w:shd w:val="solid" w:color="000000" w:fill="000000"/>
                <w:fitText w:val="300" w:id="-1233815038"/>
                <w:lang w:eastAsia="en-US"/>
                <w14:textFill>
                  <w14:solidFill>
                    <w14:srgbClr w14:val="000000">
                      <w14:alpha w14:val="100000"/>
                    </w14:srgbClr>
                  </w14:solidFill>
                </w14:textFill>
              </w:rPr>
              <w:t>|</w:t>
            </w:r>
            <w:r w:rsidR="001325E1">
              <w:rPr>
                <w:szCs w:val="20"/>
                <w:vertAlign w:val="superscript"/>
                <w:lang w:eastAsia="en-US"/>
              </w:rPr>
              <w:t>5</w:t>
            </w:r>
          </w:p>
        </w:tc>
        <w:tc>
          <w:tcPr>
            <w:tcW w:w="567" w:type="pct"/>
            <w:vAlign w:val="center"/>
          </w:tcPr>
          <w:p w14:paraId="5F46EBCC" w14:textId="10A16BDC" w:rsidR="00DA49D8" w:rsidRPr="00107503" w:rsidRDefault="00206741" w:rsidP="001639CF">
            <w:pPr>
              <w:pStyle w:val="TableText0"/>
              <w:keepLines/>
              <w:jc w:val="right"/>
              <w:rPr>
                <w:szCs w:val="20"/>
                <w:highlight w:val="lightGray"/>
                <w:lang w:eastAsia="en-US"/>
              </w:rPr>
            </w:pPr>
            <w:r w:rsidRPr="00206741">
              <w:rPr>
                <w:color w:val="000000"/>
                <w:spacing w:val="214"/>
                <w:szCs w:val="20"/>
                <w:shd w:val="solid" w:color="000000" w:fill="000000"/>
                <w:fitText w:val="300" w:id="-1233815037"/>
                <w:lang w:eastAsia="en-US"/>
                <w14:textFill>
                  <w14:solidFill>
                    <w14:srgbClr w14:val="000000">
                      <w14:alpha w14:val="100000"/>
                    </w14:srgbClr>
                  </w14:solidFill>
                </w14:textFill>
              </w:rPr>
              <w:t>|</w:t>
            </w:r>
            <w:r w:rsidRPr="00206741">
              <w:rPr>
                <w:color w:val="000000"/>
                <w:szCs w:val="20"/>
                <w:shd w:val="solid" w:color="000000" w:fill="000000"/>
                <w:fitText w:val="300" w:id="-1233815037"/>
                <w:lang w:eastAsia="en-US"/>
                <w14:textFill>
                  <w14:solidFill>
                    <w14:srgbClr w14:val="000000">
                      <w14:alpha w14:val="100000"/>
                    </w14:srgbClr>
                  </w14:solidFill>
                </w14:textFill>
              </w:rPr>
              <w:t>|</w:t>
            </w:r>
            <w:r w:rsidR="001325E1">
              <w:rPr>
                <w:szCs w:val="20"/>
                <w:vertAlign w:val="superscript"/>
                <w:lang w:eastAsia="en-US"/>
              </w:rPr>
              <w:t>5</w:t>
            </w:r>
          </w:p>
        </w:tc>
      </w:tr>
      <w:tr w:rsidR="00206741" w:rsidRPr="00197F03" w14:paraId="70579520" w14:textId="77777777" w:rsidTr="001639CF">
        <w:trPr>
          <w:cantSplit/>
          <w:jc w:val="center"/>
        </w:trPr>
        <w:tc>
          <w:tcPr>
            <w:tcW w:w="1603" w:type="pct"/>
            <w:shd w:val="clear" w:color="auto" w:fill="auto"/>
            <w:vAlign w:val="center"/>
          </w:tcPr>
          <w:p w14:paraId="6BA1D6F7" w14:textId="77777777" w:rsidR="00DA49D8" w:rsidRPr="0095662A" w:rsidRDefault="00DA49D8" w:rsidP="001639CF">
            <w:pPr>
              <w:pStyle w:val="TableText0"/>
              <w:keepLines/>
              <w:rPr>
                <w:szCs w:val="20"/>
                <w:lang w:eastAsia="en-US"/>
              </w:rPr>
            </w:pPr>
            <w:r w:rsidRPr="00CD6835">
              <w:rPr>
                <w:szCs w:val="20"/>
                <w:lang w:eastAsia="en-US"/>
              </w:rPr>
              <w:t>Hypothetical additional drug costs due to removal of endoscopy criteria</w:t>
            </w:r>
          </w:p>
        </w:tc>
        <w:tc>
          <w:tcPr>
            <w:tcW w:w="566" w:type="pct"/>
            <w:shd w:val="clear" w:color="auto" w:fill="auto"/>
            <w:vAlign w:val="center"/>
          </w:tcPr>
          <w:p w14:paraId="3AC0A2C3" w14:textId="1777F746" w:rsidR="00DA49D8" w:rsidRPr="00107503" w:rsidRDefault="00206741" w:rsidP="001639CF">
            <w:pPr>
              <w:pStyle w:val="TableText0"/>
              <w:keepLines/>
              <w:jc w:val="right"/>
              <w:rPr>
                <w:szCs w:val="20"/>
                <w:highlight w:val="lightGray"/>
                <w:lang w:eastAsia="en-US"/>
              </w:rPr>
            </w:pPr>
            <w:r w:rsidRPr="00206741">
              <w:rPr>
                <w:color w:val="000000"/>
                <w:spacing w:val="204"/>
                <w:szCs w:val="20"/>
                <w:shd w:val="solid" w:color="000000" w:fill="000000"/>
                <w:fitText w:val="290" w:id="-1233815036"/>
                <w:lang w:eastAsia="en-US"/>
                <w14:textFill>
                  <w14:solidFill>
                    <w14:srgbClr w14:val="000000">
                      <w14:alpha w14:val="100000"/>
                    </w14:srgbClr>
                  </w14:solidFill>
                </w14:textFill>
              </w:rPr>
              <w:t>|</w:t>
            </w:r>
            <w:r w:rsidRPr="00206741">
              <w:rPr>
                <w:color w:val="000000"/>
                <w:szCs w:val="20"/>
                <w:shd w:val="solid" w:color="000000" w:fill="000000"/>
                <w:fitText w:val="290" w:id="-1233815036"/>
                <w:lang w:eastAsia="en-US"/>
                <w14:textFill>
                  <w14:solidFill>
                    <w14:srgbClr w14:val="000000">
                      <w14:alpha w14:val="100000"/>
                    </w14:srgbClr>
                  </w14:solidFill>
                </w14:textFill>
              </w:rPr>
              <w:t>|</w:t>
            </w:r>
            <w:r w:rsidR="001325E1">
              <w:rPr>
                <w:szCs w:val="20"/>
                <w:vertAlign w:val="superscript"/>
                <w:lang w:eastAsia="en-US"/>
              </w:rPr>
              <w:t>5</w:t>
            </w:r>
          </w:p>
        </w:tc>
        <w:tc>
          <w:tcPr>
            <w:tcW w:w="566" w:type="pct"/>
            <w:shd w:val="clear" w:color="auto" w:fill="auto"/>
            <w:vAlign w:val="center"/>
          </w:tcPr>
          <w:p w14:paraId="0B30F560" w14:textId="291571D2" w:rsidR="00DA49D8" w:rsidRPr="00107503" w:rsidRDefault="00206741" w:rsidP="001639CF">
            <w:pPr>
              <w:pStyle w:val="TableText0"/>
              <w:keepLines/>
              <w:jc w:val="right"/>
              <w:rPr>
                <w:szCs w:val="20"/>
                <w:highlight w:val="lightGray"/>
                <w:lang w:eastAsia="en-US"/>
              </w:rPr>
            </w:pPr>
            <w:r w:rsidRPr="00206741">
              <w:rPr>
                <w:color w:val="000000"/>
                <w:spacing w:val="214"/>
                <w:szCs w:val="20"/>
                <w:shd w:val="solid" w:color="000000" w:fill="000000"/>
                <w:fitText w:val="300" w:id="-1233815035"/>
                <w:lang w:eastAsia="en-US"/>
                <w14:textFill>
                  <w14:solidFill>
                    <w14:srgbClr w14:val="000000">
                      <w14:alpha w14:val="100000"/>
                    </w14:srgbClr>
                  </w14:solidFill>
                </w14:textFill>
              </w:rPr>
              <w:t>|</w:t>
            </w:r>
            <w:r w:rsidRPr="00206741">
              <w:rPr>
                <w:color w:val="000000"/>
                <w:szCs w:val="20"/>
                <w:shd w:val="solid" w:color="000000" w:fill="000000"/>
                <w:fitText w:val="300" w:id="-1233815035"/>
                <w:lang w:eastAsia="en-US"/>
                <w14:textFill>
                  <w14:solidFill>
                    <w14:srgbClr w14:val="000000">
                      <w14:alpha w14:val="100000"/>
                    </w14:srgbClr>
                  </w14:solidFill>
                </w14:textFill>
              </w:rPr>
              <w:t>|</w:t>
            </w:r>
            <w:r w:rsidR="001325E1">
              <w:rPr>
                <w:szCs w:val="20"/>
                <w:vertAlign w:val="superscript"/>
                <w:lang w:eastAsia="en-US"/>
              </w:rPr>
              <w:t>5</w:t>
            </w:r>
          </w:p>
        </w:tc>
        <w:tc>
          <w:tcPr>
            <w:tcW w:w="566" w:type="pct"/>
            <w:shd w:val="clear" w:color="auto" w:fill="auto"/>
            <w:vAlign w:val="center"/>
          </w:tcPr>
          <w:p w14:paraId="704211E1" w14:textId="3AD4824F" w:rsidR="00DA49D8" w:rsidRPr="00107503" w:rsidRDefault="00206741" w:rsidP="001639CF">
            <w:pPr>
              <w:pStyle w:val="TableText0"/>
              <w:keepLines/>
              <w:jc w:val="right"/>
              <w:rPr>
                <w:szCs w:val="20"/>
                <w:highlight w:val="lightGray"/>
                <w:lang w:eastAsia="en-US"/>
              </w:rPr>
            </w:pPr>
            <w:r w:rsidRPr="00206741">
              <w:rPr>
                <w:color w:val="000000"/>
                <w:spacing w:val="214"/>
                <w:szCs w:val="20"/>
                <w:shd w:val="solid" w:color="000000" w:fill="000000"/>
                <w:fitText w:val="300" w:id="-1233815034"/>
                <w:lang w:eastAsia="en-US"/>
                <w14:textFill>
                  <w14:solidFill>
                    <w14:srgbClr w14:val="000000">
                      <w14:alpha w14:val="100000"/>
                    </w14:srgbClr>
                  </w14:solidFill>
                </w14:textFill>
              </w:rPr>
              <w:t>|</w:t>
            </w:r>
            <w:r w:rsidRPr="00206741">
              <w:rPr>
                <w:color w:val="000000"/>
                <w:szCs w:val="20"/>
                <w:shd w:val="solid" w:color="000000" w:fill="000000"/>
                <w:fitText w:val="300" w:id="-1233815034"/>
                <w:lang w:eastAsia="en-US"/>
                <w14:textFill>
                  <w14:solidFill>
                    <w14:srgbClr w14:val="000000">
                      <w14:alpha w14:val="100000"/>
                    </w14:srgbClr>
                  </w14:solidFill>
                </w14:textFill>
              </w:rPr>
              <w:t>|</w:t>
            </w:r>
            <w:r w:rsidR="001325E1">
              <w:rPr>
                <w:szCs w:val="20"/>
                <w:vertAlign w:val="superscript"/>
                <w:lang w:eastAsia="en-US"/>
              </w:rPr>
              <w:t>5</w:t>
            </w:r>
          </w:p>
        </w:tc>
        <w:tc>
          <w:tcPr>
            <w:tcW w:w="566" w:type="pct"/>
            <w:shd w:val="clear" w:color="auto" w:fill="auto"/>
            <w:vAlign w:val="center"/>
          </w:tcPr>
          <w:p w14:paraId="31B4D2CF" w14:textId="7318AF20" w:rsidR="00DA49D8" w:rsidRPr="00107503" w:rsidRDefault="00206741" w:rsidP="001639CF">
            <w:pPr>
              <w:pStyle w:val="TableText0"/>
              <w:keepLines/>
              <w:jc w:val="right"/>
              <w:rPr>
                <w:szCs w:val="20"/>
                <w:highlight w:val="lightGray"/>
                <w:lang w:eastAsia="en-US"/>
              </w:rPr>
            </w:pPr>
            <w:r w:rsidRPr="00206741">
              <w:rPr>
                <w:color w:val="000000"/>
                <w:spacing w:val="214"/>
                <w:szCs w:val="20"/>
                <w:shd w:val="solid" w:color="000000" w:fill="000000"/>
                <w:fitText w:val="300" w:id="-1233815033"/>
                <w:lang w:eastAsia="en-US"/>
                <w14:textFill>
                  <w14:solidFill>
                    <w14:srgbClr w14:val="000000">
                      <w14:alpha w14:val="100000"/>
                    </w14:srgbClr>
                  </w14:solidFill>
                </w14:textFill>
              </w:rPr>
              <w:t>|</w:t>
            </w:r>
            <w:r w:rsidRPr="00206741">
              <w:rPr>
                <w:color w:val="000000"/>
                <w:szCs w:val="20"/>
                <w:shd w:val="solid" w:color="000000" w:fill="000000"/>
                <w:fitText w:val="300" w:id="-1233815033"/>
                <w:lang w:eastAsia="en-US"/>
                <w14:textFill>
                  <w14:solidFill>
                    <w14:srgbClr w14:val="000000">
                      <w14:alpha w14:val="100000"/>
                    </w14:srgbClr>
                  </w14:solidFill>
                </w14:textFill>
              </w:rPr>
              <w:t>|</w:t>
            </w:r>
            <w:r w:rsidR="001325E1">
              <w:rPr>
                <w:szCs w:val="20"/>
                <w:vertAlign w:val="superscript"/>
                <w:lang w:eastAsia="en-US"/>
              </w:rPr>
              <w:t>5</w:t>
            </w:r>
          </w:p>
        </w:tc>
        <w:tc>
          <w:tcPr>
            <w:tcW w:w="566" w:type="pct"/>
            <w:shd w:val="clear" w:color="auto" w:fill="auto"/>
            <w:vAlign w:val="center"/>
          </w:tcPr>
          <w:p w14:paraId="01082299" w14:textId="090AC0D4" w:rsidR="00DA49D8" w:rsidRPr="00107503" w:rsidRDefault="00206741" w:rsidP="001639CF">
            <w:pPr>
              <w:pStyle w:val="TableText0"/>
              <w:keepLines/>
              <w:jc w:val="right"/>
              <w:rPr>
                <w:szCs w:val="20"/>
                <w:highlight w:val="lightGray"/>
                <w:lang w:eastAsia="en-US"/>
              </w:rPr>
            </w:pPr>
            <w:r w:rsidRPr="00206741">
              <w:rPr>
                <w:color w:val="000000"/>
                <w:spacing w:val="214"/>
                <w:szCs w:val="20"/>
                <w:shd w:val="solid" w:color="000000" w:fill="000000"/>
                <w:fitText w:val="300" w:id="-1233815032"/>
                <w:lang w:eastAsia="en-US"/>
                <w14:textFill>
                  <w14:solidFill>
                    <w14:srgbClr w14:val="000000">
                      <w14:alpha w14:val="100000"/>
                    </w14:srgbClr>
                  </w14:solidFill>
                </w14:textFill>
              </w:rPr>
              <w:t>|</w:t>
            </w:r>
            <w:r w:rsidRPr="00206741">
              <w:rPr>
                <w:color w:val="000000"/>
                <w:szCs w:val="20"/>
                <w:shd w:val="solid" w:color="000000" w:fill="000000"/>
                <w:fitText w:val="300" w:id="-1233815032"/>
                <w:lang w:eastAsia="en-US"/>
                <w14:textFill>
                  <w14:solidFill>
                    <w14:srgbClr w14:val="000000">
                      <w14:alpha w14:val="100000"/>
                    </w14:srgbClr>
                  </w14:solidFill>
                </w14:textFill>
              </w:rPr>
              <w:t>|</w:t>
            </w:r>
            <w:r w:rsidR="001325E1">
              <w:rPr>
                <w:szCs w:val="20"/>
                <w:vertAlign w:val="superscript"/>
                <w:lang w:eastAsia="en-US"/>
              </w:rPr>
              <w:t>5</w:t>
            </w:r>
          </w:p>
        </w:tc>
        <w:tc>
          <w:tcPr>
            <w:tcW w:w="567" w:type="pct"/>
            <w:vAlign w:val="center"/>
          </w:tcPr>
          <w:p w14:paraId="3024016E" w14:textId="6B408A90" w:rsidR="00DA49D8" w:rsidRPr="00107503" w:rsidRDefault="00206741" w:rsidP="001639CF">
            <w:pPr>
              <w:pStyle w:val="TableText0"/>
              <w:keepLines/>
              <w:jc w:val="right"/>
              <w:rPr>
                <w:szCs w:val="20"/>
                <w:highlight w:val="lightGray"/>
                <w:lang w:eastAsia="en-US"/>
              </w:rPr>
            </w:pPr>
            <w:r w:rsidRPr="00206741">
              <w:rPr>
                <w:color w:val="000000"/>
                <w:spacing w:val="214"/>
                <w:szCs w:val="20"/>
                <w:shd w:val="solid" w:color="000000" w:fill="000000"/>
                <w:fitText w:val="300" w:id="-1233815031"/>
                <w:lang w:eastAsia="en-US"/>
                <w14:textFill>
                  <w14:solidFill>
                    <w14:srgbClr w14:val="000000">
                      <w14:alpha w14:val="100000"/>
                    </w14:srgbClr>
                  </w14:solidFill>
                </w14:textFill>
              </w:rPr>
              <w:t>|</w:t>
            </w:r>
            <w:r w:rsidRPr="00206741">
              <w:rPr>
                <w:color w:val="000000"/>
                <w:szCs w:val="20"/>
                <w:shd w:val="solid" w:color="000000" w:fill="000000"/>
                <w:fitText w:val="300" w:id="-1233815031"/>
                <w:lang w:eastAsia="en-US"/>
                <w14:textFill>
                  <w14:solidFill>
                    <w14:srgbClr w14:val="000000">
                      <w14:alpha w14:val="100000"/>
                    </w14:srgbClr>
                  </w14:solidFill>
                </w14:textFill>
              </w:rPr>
              <w:t>|</w:t>
            </w:r>
            <w:r w:rsidR="001325E1">
              <w:rPr>
                <w:szCs w:val="20"/>
                <w:vertAlign w:val="superscript"/>
                <w:lang w:eastAsia="en-US"/>
              </w:rPr>
              <w:t>5</w:t>
            </w:r>
          </w:p>
        </w:tc>
      </w:tr>
      <w:tr w:rsidR="00206741" w:rsidRPr="00197F03" w14:paraId="28778A17" w14:textId="77777777" w:rsidTr="001639CF">
        <w:trPr>
          <w:cantSplit/>
          <w:jc w:val="center"/>
        </w:trPr>
        <w:tc>
          <w:tcPr>
            <w:tcW w:w="1603" w:type="pct"/>
            <w:shd w:val="clear" w:color="auto" w:fill="auto"/>
            <w:vAlign w:val="center"/>
          </w:tcPr>
          <w:p w14:paraId="6B00F2DB" w14:textId="77777777" w:rsidR="00DA49D8" w:rsidRPr="0095662A" w:rsidRDefault="00DA49D8" w:rsidP="001639CF">
            <w:pPr>
              <w:pStyle w:val="TableText0"/>
              <w:keepLines/>
              <w:rPr>
                <w:szCs w:val="20"/>
                <w:lang w:eastAsia="en-US"/>
              </w:rPr>
            </w:pPr>
            <w:r w:rsidRPr="00C8605E">
              <w:rPr>
                <w:szCs w:val="20"/>
                <w:lang w:eastAsia="en-US"/>
              </w:rPr>
              <w:t>Costs to MBS of endoscopies avoided</w:t>
            </w:r>
          </w:p>
        </w:tc>
        <w:tc>
          <w:tcPr>
            <w:tcW w:w="566" w:type="pct"/>
            <w:shd w:val="clear" w:color="auto" w:fill="auto"/>
            <w:vAlign w:val="center"/>
          </w:tcPr>
          <w:p w14:paraId="1E71B851" w14:textId="52E07D81" w:rsidR="00DA49D8" w:rsidRPr="00107503" w:rsidRDefault="00206741" w:rsidP="001639CF">
            <w:pPr>
              <w:pStyle w:val="TableText0"/>
              <w:keepLines/>
              <w:jc w:val="right"/>
              <w:rPr>
                <w:szCs w:val="20"/>
                <w:highlight w:val="lightGray"/>
                <w:lang w:eastAsia="en-US"/>
              </w:rPr>
            </w:pPr>
            <w:r w:rsidRPr="00206741">
              <w:rPr>
                <w:color w:val="000000"/>
                <w:spacing w:val="204"/>
                <w:szCs w:val="20"/>
                <w:shd w:val="solid" w:color="000000" w:fill="000000"/>
                <w:fitText w:val="290" w:id="-1233815030"/>
                <w:lang w:eastAsia="en-US"/>
                <w14:textFill>
                  <w14:solidFill>
                    <w14:srgbClr w14:val="000000">
                      <w14:alpha w14:val="100000"/>
                    </w14:srgbClr>
                  </w14:solidFill>
                </w14:textFill>
              </w:rPr>
              <w:t>|</w:t>
            </w:r>
            <w:r w:rsidRPr="00206741">
              <w:rPr>
                <w:color w:val="000000"/>
                <w:szCs w:val="20"/>
                <w:shd w:val="solid" w:color="000000" w:fill="000000"/>
                <w:fitText w:val="290" w:id="-1233815030"/>
                <w:lang w:eastAsia="en-US"/>
                <w14:textFill>
                  <w14:solidFill>
                    <w14:srgbClr w14:val="000000">
                      <w14:alpha w14:val="100000"/>
                    </w14:srgbClr>
                  </w14:solidFill>
                </w14:textFill>
              </w:rPr>
              <w:t>|</w:t>
            </w:r>
            <w:r w:rsidR="001325E1">
              <w:rPr>
                <w:szCs w:val="20"/>
                <w:vertAlign w:val="superscript"/>
                <w:lang w:eastAsia="en-US"/>
              </w:rPr>
              <w:t>6</w:t>
            </w:r>
          </w:p>
        </w:tc>
        <w:tc>
          <w:tcPr>
            <w:tcW w:w="566" w:type="pct"/>
            <w:shd w:val="clear" w:color="auto" w:fill="auto"/>
            <w:vAlign w:val="center"/>
          </w:tcPr>
          <w:p w14:paraId="0BB8BF8A" w14:textId="4C12080E" w:rsidR="00DA49D8" w:rsidRPr="00107503" w:rsidRDefault="00206741" w:rsidP="001639CF">
            <w:pPr>
              <w:pStyle w:val="TableText0"/>
              <w:keepLines/>
              <w:jc w:val="right"/>
              <w:rPr>
                <w:szCs w:val="20"/>
                <w:highlight w:val="lightGray"/>
                <w:lang w:eastAsia="en-US"/>
              </w:rPr>
            </w:pPr>
            <w:r w:rsidRPr="00206741">
              <w:rPr>
                <w:color w:val="000000"/>
                <w:spacing w:val="214"/>
                <w:szCs w:val="20"/>
                <w:shd w:val="solid" w:color="000000" w:fill="000000"/>
                <w:fitText w:val="300" w:id="-1233815029"/>
                <w:lang w:eastAsia="en-US"/>
                <w14:textFill>
                  <w14:solidFill>
                    <w14:srgbClr w14:val="000000">
                      <w14:alpha w14:val="100000"/>
                    </w14:srgbClr>
                  </w14:solidFill>
                </w14:textFill>
              </w:rPr>
              <w:t>|</w:t>
            </w:r>
            <w:r w:rsidRPr="00206741">
              <w:rPr>
                <w:color w:val="000000"/>
                <w:szCs w:val="20"/>
                <w:shd w:val="solid" w:color="000000" w:fill="000000"/>
                <w:fitText w:val="300" w:id="-1233815029"/>
                <w:lang w:eastAsia="en-US"/>
                <w14:textFill>
                  <w14:solidFill>
                    <w14:srgbClr w14:val="000000">
                      <w14:alpha w14:val="100000"/>
                    </w14:srgbClr>
                  </w14:solidFill>
                </w14:textFill>
              </w:rPr>
              <w:t>|</w:t>
            </w:r>
            <w:r w:rsidR="001325E1">
              <w:rPr>
                <w:szCs w:val="20"/>
                <w:vertAlign w:val="superscript"/>
                <w:lang w:eastAsia="en-US"/>
              </w:rPr>
              <w:t>6</w:t>
            </w:r>
          </w:p>
        </w:tc>
        <w:tc>
          <w:tcPr>
            <w:tcW w:w="566" w:type="pct"/>
            <w:shd w:val="clear" w:color="auto" w:fill="auto"/>
            <w:vAlign w:val="center"/>
          </w:tcPr>
          <w:p w14:paraId="4998C8E1" w14:textId="6909D2F6" w:rsidR="00DA49D8" w:rsidRPr="00107503" w:rsidRDefault="00206741" w:rsidP="001639CF">
            <w:pPr>
              <w:pStyle w:val="TableText0"/>
              <w:keepLines/>
              <w:jc w:val="right"/>
              <w:rPr>
                <w:szCs w:val="20"/>
                <w:highlight w:val="lightGray"/>
                <w:lang w:eastAsia="en-US"/>
              </w:rPr>
            </w:pPr>
            <w:r w:rsidRPr="00206741">
              <w:rPr>
                <w:color w:val="000000"/>
                <w:spacing w:val="214"/>
                <w:szCs w:val="20"/>
                <w:shd w:val="solid" w:color="000000" w:fill="000000"/>
                <w:fitText w:val="300" w:id="-1233815028"/>
                <w:lang w:eastAsia="en-US"/>
                <w14:textFill>
                  <w14:solidFill>
                    <w14:srgbClr w14:val="000000">
                      <w14:alpha w14:val="100000"/>
                    </w14:srgbClr>
                  </w14:solidFill>
                </w14:textFill>
              </w:rPr>
              <w:t>|</w:t>
            </w:r>
            <w:r w:rsidRPr="00206741">
              <w:rPr>
                <w:color w:val="000000"/>
                <w:szCs w:val="20"/>
                <w:shd w:val="solid" w:color="000000" w:fill="000000"/>
                <w:fitText w:val="300" w:id="-1233815028"/>
                <w:lang w:eastAsia="en-US"/>
                <w14:textFill>
                  <w14:solidFill>
                    <w14:srgbClr w14:val="000000">
                      <w14:alpha w14:val="100000"/>
                    </w14:srgbClr>
                  </w14:solidFill>
                </w14:textFill>
              </w:rPr>
              <w:t>|</w:t>
            </w:r>
            <w:r w:rsidR="001325E1">
              <w:rPr>
                <w:szCs w:val="20"/>
                <w:vertAlign w:val="superscript"/>
                <w:lang w:eastAsia="en-US"/>
              </w:rPr>
              <w:t>6</w:t>
            </w:r>
          </w:p>
        </w:tc>
        <w:tc>
          <w:tcPr>
            <w:tcW w:w="566" w:type="pct"/>
            <w:shd w:val="clear" w:color="auto" w:fill="auto"/>
            <w:vAlign w:val="center"/>
          </w:tcPr>
          <w:p w14:paraId="055F3EFA" w14:textId="38038A1D" w:rsidR="00DA49D8" w:rsidRPr="00107503" w:rsidRDefault="00206741" w:rsidP="001639CF">
            <w:pPr>
              <w:pStyle w:val="TableText0"/>
              <w:keepLines/>
              <w:jc w:val="right"/>
              <w:rPr>
                <w:szCs w:val="20"/>
                <w:highlight w:val="lightGray"/>
                <w:lang w:eastAsia="en-US"/>
              </w:rPr>
            </w:pPr>
            <w:r w:rsidRPr="00206741">
              <w:rPr>
                <w:color w:val="000000"/>
                <w:spacing w:val="214"/>
                <w:szCs w:val="20"/>
                <w:shd w:val="solid" w:color="000000" w:fill="000000"/>
                <w:fitText w:val="300" w:id="-1233815027"/>
                <w:lang w:eastAsia="en-US"/>
                <w14:textFill>
                  <w14:solidFill>
                    <w14:srgbClr w14:val="000000">
                      <w14:alpha w14:val="100000"/>
                    </w14:srgbClr>
                  </w14:solidFill>
                </w14:textFill>
              </w:rPr>
              <w:t>|</w:t>
            </w:r>
            <w:r w:rsidRPr="00206741">
              <w:rPr>
                <w:color w:val="000000"/>
                <w:szCs w:val="20"/>
                <w:shd w:val="solid" w:color="000000" w:fill="000000"/>
                <w:fitText w:val="300" w:id="-1233815027"/>
                <w:lang w:eastAsia="en-US"/>
                <w14:textFill>
                  <w14:solidFill>
                    <w14:srgbClr w14:val="000000">
                      <w14:alpha w14:val="100000"/>
                    </w14:srgbClr>
                  </w14:solidFill>
                </w14:textFill>
              </w:rPr>
              <w:t>|</w:t>
            </w:r>
            <w:r w:rsidR="001325E1">
              <w:rPr>
                <w:szCs w:val="20"/>
                <w:vertAlign w:val="superscript"/>
                <w:lang w:eastAsia="en-US"/>
              </w:rPr>
              <w:t>6</w:t>
            </w:r>
          </w:p>
        </w:tc>
        <w:tc>
          <w:tcPr>
            <w:tcW w:w="566" w:type="pct"/>
            <w:shd w:val="clear" w:color="auto" w:fill="auto"/>
            <w:vAlign w:val="center"/>
          </w:tcPr>
          <w:p w14:paraId="31FFAB21" w14:textId="3DC2C614" w:rsidR="00DA49D8" w:rsidRPr="00107503" w:rsidRDefault="00206741" w:rsidP="001639CF">
            <w:pPr>
              <w:pStyle w:val="TableText0"/>
              <w:keepLines/>
              <w:jc w:val="right"/>
              <w:rPr>
                <w:szCs w:val="20"/>
                <w:highlight w:val="lightGray"/>
                <w:lang w:eastAsia="en-US"/>
              </w:rPr>
            </w:pPr>
            <w:r w:rsidRPr="00206741">
              <w:rPr>
                <w:color w:val="000000"/>
                <w:spacing w:val="214"/>
                <w:szCs w:val="20"/>
                <w:shd w:val="solid" w:color="000000" w:fill="000000"/>
                <w:fitText w:val="300" w:id="-1233815026"/>
                <w:lang w:eastAsia="en-US"/>
                <w14:textFill>
                  <w14:solidFill>
                    <w14:srgbClr w14:val="000000">
                      <w14:alpha w14:val="100000"/>
                    </w14:srgbClr>
                  </w14:solidFill>
                </w14:textFill>
              </w:rPr>
              <w:t>|</w:t>
            </w:r>
            <w:r w:rsidRPr="00206741">
              <w:rPr>
                <w:color w:val="000000"/>
                <w:szCs w:val="20"/>
                <w:shd w:val="solid" w:color="000000" w:fill="000000"/>
                <w:fitText w:val="300" w:id="-1233815026"/>
                <w:lang w:eastAsia="en-US"/>
                <w14:textFill>
                  <w14:solidFill>
                    <w14:srgbClr w14:val="000000">
                      <w14:alpha w14:val="100000"/>
                    </w14:srgbClr>
                  </w14:solidFill>
                </w14:textFill>
              </w:rPr>
              <w:t>|</w:t>
            </w:r>
            <w:r w:rsidR="001325E1">
              <w:rPr>
                <w:szCs w:val="20"/>
                <w:vertAlign w:val="superscript"/>
                <w:lang w:eastAsia="en-US"/>
              </w:rPr>
              <w:t>6</w:t>
            </w:r>
          </w:p>
        </w:tc>
        <w:tc>
          <w:tcPr>
            <w:tcW w:w="567" w:type="pct"/>
            <w:vAlign w:val="center"/>
          </w:tcPr>
          <w:p w14:paraId="3854CE35" w14:textId="3273F74E" w:rsidR="00DA49D8" w:rsidRPr="00107503" w:rsidRDefault="00206741" w:rsidP="001639CF">
            <w:pPr>
              <w:pStyle w:val="TableText0"/>
              <w:keepLines/>
              <w:jc w:val="right"/>
              <w:rPr>
                <w:szCs w:val="20"/>
                <w:highlight w:val="lightGray"/>
                <w:lang w:eastAsia="en-US"/>
              </w:rPr>
            </w:pPr>
            <w:r w:rsidRPr="00206741">
              <w:rPr>
                <w:color w:val="000000"/>
                <w:spacing w:val="214"/>
                <w:szCs w:val="20"/>
                <w:shd w:val="solid" w:color="000000" w:fill="000000"/>
                <w:fitText w:val="300" w:id="-1233815025"/>
                <w:lang w:eastAsia="en-US"/>
                <w14:textFill>
                  <w14:solidFill>
                    <w14:srgbClr w14:val="000000">
                      <w14:alpha w14:val="100000"/>
                    </w14:srgbClr>
                  </w14:solidFill>
                </w14:textFill>
              </w:rPr>
              <w:t>|</w:t>
            </w:r>
            <w:r w:rsidRPr="00206741">
              <w:rPr>
                <w:color w:val="000000"/>
                <w:szCs w:val="20"/>
                <w:shd w:val="solid" w:color="000000" w:fill="000000"/>
                <w:fitText w:val="300" w:id="-1233815025"/>
                <w:lang w:eastAsia="en-US"/>
                <w14:textFill>
                  <w14:solidFill>
                    <w14:srgbClr w14:val="000000">
                      <w14:alpha w14:val="100000"/>
                    </w14:srgbClr>
                  </w14:solidFill>
                </w14:textFill>
              </w:rPr>
              <w:t>|</w:t>
            </w:r>
            <w:r w:rsidR="001325E1">
              <w:rPr>
                <w:szCs w:val="20"/>
                <w:vertAlign w:val="superscript"/>
                <w:lang w:eastAsia="en-US"/>
              </w:rPr>
              <w:t>6</w:t>
            </w:r>
          </w:p>
        </w:tc>
      </w:tr>
      <w:tr w:rsidR="00DA49D8" w:rsidRPr="00197F03" w14:paraId="5827C448" w14:textId="77777777" w:rsidTr="001639CF">
        <w:trPr>
          <w:cantSplit/>
          <w:jc w:val="center"/>
        </w:trPr>
        <w:tc>
          <w:tcPr>
            <w:tcW w:w="5000" w:type="pct"/>
            <w:gridSpan w:val="7"/>
            <w:shd w:val="clear" w:color="auto" w:fill="auto"/>
            <w:vAlign w:val="center"/>
          </w:tcPr>
          <w:p w14:paraId="0CF96F19" w14:textId="77777777" w:rsidR="00DA49D8" w:rsidRPr="00CD6835" w:rsidRDefault="00DA49D8" w:rsidP="001639CF">
            <w:pPr>
              <w:pStyle w:val="TableText0"/>
              <w:keepLines/>
              <w:rPr>
                <w:b/>
                <w:bCs w:val="0"/>
                <w:szCs w:val="20"/>
              </w:rPr>
            </w:pPr>
            <w:r w:rsidRPr="00CD6835">
              <w:rPr>
                <w:b/>
                <w:bCs w:val="0"/>
                <w:szCs w:val="20"/>
              </w:rPr>
              <w:t>Net financial implications</w:t>
            </w:r>
          </w:p>
        </w:tc>
      </w:tr>
      <w:tr w:rsidR="00206741" w:rsidRPr="00197F03" w14:paraId="5E71B8F0" w14:textId="77777777" w:rsidTr="001639CF">
        <w:trPr>
          <w:cantSplit/>
          <w:jc w:val="center"/>
        </w:trPr>
        <w:tc>
          <w:tcPr>
            <w:tcW w:w="1603" w:type="pct"/>
            <w:shd w:val="clear" w:color="auto" w:fill="auto"/>
            <w:vAlign w:val="center"/>
          </w:tcPr>
          <w:p w14:paraId="47ED3502" w14:textId="778E9F65" w:rsidR="00DA49D8" w:rsidRPr="0095662A" w:rsidRDefault="00DA49D8" w:rsidP="001639CF">
            <w:pPr>
              <w:pStyle w:val="TableText0"/>
              <w:keepLines/>
              <w:rPr>
                <w:szCs w:val="20"/>
              </w:rPr>
            </w:pPr>
            <w:r w:rsidRPr="0095662A">
              <w:rPr>
                <w:szCs w:val="20"/>
              </w:rPr>
              <w:t xml:space="preserve">Net </w:t>
            </w:r>
            <w:r>
              <w:rPr>
                <w:szCs w:val="20"/>
              </w:rPr>
              <w:t>impact</w:t>
            </w:r>
          </w:p>
        </w:tc>
        <w:tc>
          <w:tcPr>
            <w:tcW w:w="566" w:type="pct"/>
            <w:shd w:val="clear" w:color="auto" w:fill="auto"/>
            <w:vAlign w:val="center"/>
          </w:tcPr>
          <w:p w14:paraId="72177BF1" w14:textId="148CD28C" w:rsidR="00DA49D8" w:rsidRPr="00107503" w:rsidRDefault="00206741" w:rsidP="001639CF">
            <w:pPr>
              <w:pStyle w:val="TableText0"/>
              <w:keepLines/>
              <w:jc w:val="right"/>
              <w:rPr>
                <w:szCs w:val="20"/>
                <w:highlight w:val="lightGray"/>
              </w:rPr>
            </w:pPr>
            <w:r w:rsidRPr="00206741">
              <w:rPr>
                <w:color w:val="000000"/>
                <w:spacing w:val="204"/>
                <w:szCs w:val="20"/>
                <w:shd w:val="solid" w:color="000000" w:fill="000000"/>
                <w:fitText w:val="290" w:id="-1233815024"/>
                <w:lang w:eastAsia="en-US"/>
                <w14:textFill>
                  <w14:solidFill>
                    <w14:srgbClr w14:val="000000">
                      <w14:alpha w14:val="100000"/>
                    </w14:srgbClr>
                  </w14:solidFill>
                </w14:textFill>
              </w:rPr>
              <w:t>|</w:t>
            </w:r>
            <w:r w:rsidRPr="00206741">
              <w:rPr>
                <w:color w:val="000000"/>
                <w:szCs w:val="20"/>
                <w:shd w:val="solid" w:color="000000" w:fill="000000"/>
                <w:fitText w:val="290" w:id="-1233815024"/>
                <w:lang w:eastAsia="en-US"/>
                <w14:textFill>
                  <w14:solidFill>
                    <w14:srgbClr w14:val="000000">
                      <w14:alpha w14:val="100000"/>
                    </w14:srgbClr>
                  </w14:solidFill>
                </w14:textFill>
              </w:rPr>
              <w:t>|</w:t>
            </w:r>
            <w:r w:rsidR="001325E1">
              <w:rPr>
                <w:szCs w:val="20"/>
                <w:vertAlign w:val="superscript"/>
                <w:lang w:eastAsia="en-US"/>
              </w:rPr>
              <w:t>6</w:t>
            </w:r>
          </w:p>
        </w:tc>
        <w:tc>
          <w:tcPr>
            <w:tcW w:w="566" w:type="pct"/>
            <w:shd w:val="clear" w:color="auto" w:fill="auto"/>
            <w:vAlign w:val="center"/>
          </w:tcPr>
          <w:p w14:paraId="09FAD42D" w14:textId="36D74030" w:rsidR="00DA49D8" w:rsidRPr="00107503" w:rsidRDefault="00206741" w:rsidP="001639CF">
            <w:pPr>
              <w:pStyle w:val="TableText0"/>
              <w:keepLines/>
              <w:jc w:val="right"/>
              <w:rPr>
                <w:szCs w:val="20"/>
                <w:highlight w:val="lightGray"/>
              </w:rPr>
            </w:pPr>
            <w:r w:rsidRPr="00206741">
              <w:rPr>
                <w:color w:val="000000"/>
                <w:spacing w:val="214"/>
                <w:szCs w:val="20"/>
                <w:shd w:val="solid" w:color="000000" w:fill="000000"/>
                <w:fitText w:val="300" w:id="-1233815040"/>
                <w:lang w:eastAsia="en-US"/>
                <w14:textFill>
                  <w14:solidFill>
                    <w14:srgbClr w14:val="000000">
                      <w14:alpha w14:val="100000"/>
                    </w14:srgbClr>
                  </w14:solidFill>
                </w14:textFill>
              </w:rPr>
              <w:t>|</w:t>
            </w:r>
            <w:r w:rsidRPr="00206741">
              <w:rPr>
                <w:color w:val="000000"/>
                <w:szCs w:val="20"/>
                <w:shd w:val="solid" w:color="000000" w:fill="000000"/>
                <w:fitText w:val="300" w:id="-1233815040"/>
                <w:lang w:eastAsia="en-US"/>
                <w14:textFill>
                  <w14:solidFill>
                    <w14:srgbClr w14:val="000000">
                      <w14:alpha w14:val="100000"/>
                    </w14:srgbClr>
                  </w14:solidFill>
                </w14:textFill>
              </w:rPr>
              <w:t>|</w:t>
            </w:r>
            <w:r w:rsidR="001325E1">
              <w:rPr>
                <w:szCs w:val="20"/>
                <w:vertAlign w:val="superscript"/>
                <w:lang w:eastAsia="en-US"/>
              </w:rPr>
              <w:t>6</w:t>
            </w:r>
          </w:p>
        </w:tc>
        <w:tc>
          <w:tcPr>
            <w:tcW w:w="566" w:type="pct"/>
            <w:shd w:val="clear" w:color="auto" w:fill="auto"/>
            <w:vAlign w:val="center"/>
          </w:tcPr>
          <w:p w14:paraId="76AA6D21" w14:textId="603DFDEF" w:rsidR="00DA49D8" w:rsidRPr="00107503" w:rsidRDefault="00206741" w:rsidP="001639CF">
            <w:pPr>
              <w:pStyle w:val="TableText0"/>
              <w:keepLines/>
              <w:jc w:val="right"/>
              <w:rPr>
                <w:szCs w:val="20"/>
                <w:highlight w:val="lightGray"/>
              </w:rPr>
            </w:pPr>
            <w:r w:rsidRPr="00206741">
              <w:rPr>
                <w:color w:val="000000"/>
                <w:spacing w:val="214"/>
                <w:szCs w:val="20"/>
                <w:shd w:val="solid" w:color="000000" w:fill="000000"/>
                <w:fitText w:val="300" w:id="-1233815039"/>
                <w:lang w:eastAsia="en-US"/>
                <w14:textFill>
                  <w14:solidFill>
                    <w14:srgbClr w14:val="000000">
                      <w14:alpha w14:val="100000"/>
                    </w14:srgbClr>
                  </w14:solidFill>
                </w14:textFill>
              </w:rPr>
              <w:t>|</w:t>
            </w:r>
            <w:r w:rsidRPr="00206741">
              <w:rPr>
                <w:color w:val="000000"/>
                <w:szCs w:val="20"/>
                <w:shd w:val="solid" w:color="000000" w:fill="000000"/>
                <w:fitText w:val="300" w:id="-1233815039"/>
                <w:lang w:eastAsia="en-US"/>
                <w14:textFill>
                  <w14:solidFill>
                    <w14:srgbClr w14:val="000000">
                      <w14:alpha w14:val="100000"/>
                    </w14:srgbClr>
                  </w14:solidFill>
                </w14:textFill>
              </w:rPr>
              <w:t>|</w:t>
            </w:r>
            <w:r w:rsidR="001325E1">
              <w:rPr>
                <w:szCs w:val="20"/>
                <w:vertAlign w:val="superscript"/>
                <w:lang w:eastAsia="en-US"/>
              </w:rPr>
              <w:t>6</w:t>
            </w:r>
          </w:p>
        </w:tc>
        <w:tc>
          <w:tcPr>
            <w:tcW w:w="566" w:type="pct"/>
            <w:shd w:val="clear" w:color="auto" w:fill="auto"/>
            <w:vAlign w:val="center"/>
          </w:tcPr>
          <w:p w14:paraId="03298054" w14:textId="300CBB49" w:rsidR="00DA49D8" w:rsidRPr="00107503" w:rsidRDefault="00206741" w:rsidP="001639CF">
            <w:pPr>
              <w:pStyle w:val="TableText0"/>
              <w:keepLines/>
              <w:jc w:val="right"/>
              <w:rPr>
                <w:szCs w:val="20"/>
                <w:highlight w:val="lightGray"/>
              </w:rPr>
            </w:pPr>
            <w:r w:rsidRPr="00206741">
              <w:rPr>
                <w:color w:val="000000"/>
                <w:spacing w:val="214"/>
                <w:szCs w:val="20"/>
                <w:shd w:val="solid" w:color="000000" w:fill="000000"/>
                <w:fitText w:val="300" w:id="-1233815038"/>
                <w:lang w:eastAsia="en-US"/>
                <w14:textFill>
                  <w14:solidFill>
                    <w14:srgbClr w14:val="000000">
                      <w14:alpha w14:val="100000"/>
                    </w14:srgbClr>
                  </w14:solidFill>
                </w14:textFill>
              </w:rPr>
              <w:t>|</w:t>
            </w:r>
            <w:r w:rsidRPr="00206741">
              <w:rPr>
                <w:color w:val="000000"/>
                <w:szCs w:val="20"/>
                <w:shd w:val="solid" w:color="000000" w:fill="000000"/>
                <w:fitText w:val="300" w:id="-1233815038"/>
                <w:lang w:eastAsia="en-US"/>
                <w14:textFill>
                  <w14:solidFill>
                    <w14:srgbClr w14:val="000000">
                      <w14:alpha w14:val="100000"/>
                    </w14:srgbClr>
                  </w14:solidFill>
                </w14:textFill>
              </w:rPr>
              <w:t>|</w:t>
            </w:r>
            <w:r w:rsidR="001325E1">
              <w:rPr>
                <w:szCs w:val="20"/>
                <w:vertAlign w:val="superscript"/>
                <w:lang w:eastAsia="en-US"/>
              </w:rPr>
              <w:t>6</w:t>
            </w:r>
          </w:p>
        </w:tc>
        <w:tc>
          <w:tcPr>
            <w:tcW w:w="566" w:type="pct"/>
            <w:shd w:val="clear" w:color="auto" w:fill="auto"/>
            <w:vAlign w:val="center"/>
          </w:tcPr>
          <w:p w14:paraId="6A2CDB5F" w14:textId="62A7772F" w:rsidR="00DA49D8" w:rsidRPr="00107503" w:rsidRDefault="00206741" w:rsidP="001639CF">
            <w:pPr>
              <w:pStyle w:val="TableText0"/>
              <w:keepLines/>
              <w:jc w:val="right"/>
              <w:rPr>
                <w:szCs w:val="20"/>
                <w:highlight w:val="lightGray"/>
              </w:rPr>
            </w:pPr>
            <w:r w:rsidRPr="00206741">
              <w:rPr>
                <w:color w:val="000000"/>
                <w:spacing w:val="214"/>
                <w:szCs w:val="20"/>
                <w:shd w:val="solid" w:color="000000" w:fill="000000"/>
                <w:fitText w:val="300" w:id="-1233815037"/>
                <w:lang w:eastAsia="en-US"/>
                <w14:textFill>
                  <w14:solidFill>
                    <w14:srgbClr w14:val="000000">
                      <w14:alpha w14:val="100000"/>
                    </w14:srgbClr>
                  </w14:solidFill>
                </w14:textFill>
              </w:rPr>
              <w:t>|</w:t>
            </w:r>
            <w:r w:rsidRPr="00206741">
              <w:rPr>
                <w:color w:val="000000"/>
                <w:szCs w:val="20"/>
                <w:shd w:val="solid" w:color="000000" w:fill="000000"/>
                <w:fitText w:val="300" w:id="-1233815037"/>
                <w:lang w:eastAsia="en-US"/>
                <w14:textFill>
                  <w14:solidFill>
                    <w14:srgbClr w14:val="000000">
                      <w14:alpha w14:val="100000"/>
                    </w14:srgbClr>
                  </w14:solidFill>
                </w14:textFill>
              </w:rPr>
              <w:t>|</w:t>
            </w:r>
            <w:r w:rsidR="001325E1">
              <w:rPr>
                <w:szCs w:val="20"/>
                <w:vertAlign w:val="superscript"/>
                <w:lang w:eastAsia="en-US"/>
              </w:rPr>
              <w:t>6</w:t>
            </w:r>
          </w:p>
        </w:tc>
        <w:tc>
          <w:tcPr>
            <w:tcW w:w="567" w:type="pct"/>
            <w:vAlign w:val="center"/>
          </w:tcPr>
          <w:p w14:paraId="55E8C8F1" w14:textId="4E9AE372" w:rsidR="00DA49D8" w:rsidRPr="00107503" w:rsidRDefault="00206741" w:rsidP="001639CF">
            <w:pPr>
              <w:pStyle w:val="TableText0"/>
              <w:keepLines/>
              <w:jc w:val="right"/>
              <w:rPr>
                <w:szCs w:val="20"/>
                <w:highlight w:val="lightGray"/>
              </w:rPr>
            </w:pPr>
            <w:r w:rsidRPr="00206741">
              <w:rPr>
                <w:color w:val="000000"/>
                <w:spacing w:val="214"/>
                <w:szCs w:val="20"/>
                <w:shd w:val="solid" w:color="000000" w:fill="000000"/>
                <w:fitText w:val="300" w:id="-1233815036"/>
                <w:lang w:eastAsia="en-US"/>
                <w14:textFill>
                  <w14:solidFill>
                    <w14:srgbClr w14:val="000000">
                      <w14:alpha w14:val="100000"/>
                    </w14:srgbClr>
                  </w14:solidFill>
                </w14:textFill>
              </w:rPr>
              <w:t>|</w:t>
            </w:r>
            <w:r w:rsidRPr="00206741">
              <w:rPr>
                <w:color w:val="000000"/>
                <w:szCs w:val="20"/>
                <w:shd w:val="solid" w:color="000000" w:fill="000000"/>
                <w:fitText w:val="300" w:id="-1233815036"/>
                <w:lang w:eastAsia="en-US"/>
                <w14:textFill>
                  <w14:solidFill>
                    <w14:srgbClr w14:val="000000">
                      <w14:alpha w14:val="100000"/>
                    </w14:srgbClr>
                  </w14:solidFill>
                </w14:textFill>
              </w:rPr>
              <w:t>|</w:t>
            </w:r>
            <w:r w:rsidR="001325E1">
              <w:rPr>
                <w:szCs w:val="20"/>
                <w:vertAlign w:val="superscript"/>
                <w:lang w:eastAsia="en-US"/>
              </w:rPr>
              <w:t>6</w:t>
            </w:r>
          </w:p>
        </w:tc>
      </w:tr>
    </w:tbl>
    <w:p w14:paraId="28306B0A" w14:textId="56238EFB" w:rsidR="00F96026" w:rsidRPr="00794679" w:rsidRDefault="00F96026" w:rsidP="00DA49D8">
      <w:pPr>
        <w:pStyle w:val="Tablenotes0"/>
        <w:spacing w:after="0"/>
        <w:rPr>
          <w:sz w:val="18"/>
          <w:szCs w:val="18"/>
        </w:rPr>
      </w:pPr>
      <w:r w:rsidRPr="00794679">
        <w:rPr>
          <w:sz w:val="18"/>
          <w:szCs w:val="18"/>
        </w:rPr>
        <w:t>Source: Submission main body, Table 6, p.12</w:t>
      </w:r>
    </w:p>
    <w:p w14:paraId="231E931C" w14:textId="7F1CAF42" w:rsidR="00DA49D8" w:rsidRDefault="00DA49D8" w:rsidP="00F96026">
      <w:pPr>
        <w:pStyle w:val="Tablenotes0"/>
        <w:spacing w:after="0"/>
      </w:pPr>
      <w:r w:rsidRPr="00CD6835">
        <w:rPr>
          <w:sz w:val="18"/>
          <w:szCs w:val="18"/>
        </w:rPr>
        <w:t>Note: These estimates are based on the latest budget impact model spreadsheet from post-PBAC discussions following the November 2021 submission and vary slightly to those in the final deed</w:t>
      </w:r>
    </w:p>
    <w:p w14:paraId="66FE4DB2" w14:textId="093E7F3B" w:rsidR="00DA49D8" w:rsidRDefault="00DA49D8" w:rsidP="00DA49D8">
      <w:pPr>
        <w:pStyle w:val="TableFigureFooter"/>
        <w:keepNext/>
        <w:jc w:val="left"/>
      </w:pPr>
      <w:r>
        <w:t xml:space="preserve">BOT = </w:t>
      </w:r>
      <w:r w:rsidRPr="00CA3428">
        <w:t>budesonide orally disintegrating tablet</w:t>
      </w:r>
      <w:r>
        <w:t>s</w:t>
      </w:r>
      <w:r w:rsidRPr="000B5B80">
        <w:t xml:space="preserve">, </w:t>
      </w:r>
      <w:r w:rsidRPr="00AB4684">
        <w:t>MBS = Medica</w:t>
      </w:r>
      <w:r w:rsidR="005C44E0">
        <w:t>re</w:t>
      </w:r>
      <w:r w:rsidRPr="00AB4684">
        <w:t xml:space="preserve"> Benefits Sche</w:t>
      </w:r>
      <w:r w:rsidR="005C44E0">
        <w:t>dule</w:t>
      </w:r>
      <w:r>
        <w:t>,</w:t>
      </w:r>
      <w:r w:rsidRPr="00AB4684">
        <w:t xml:space="preserve"> PBS = Pharmaceutical Benefits Scheme</w:t>
      </w:r>
      <w:r>
        <w:t>,</w:t>
      </w:r>
      <w:r w:rsidRPr="00AB4684">
        <w:t xml:space="preserve"> RPBS = Repatriation Pharmaceutical Benefits Schem</w:t>
      </w:r>
      <w:r>
        <w:t>e.</w:t>
      </w:r>
    </w:p>
    <w:p w14:paraId="44F78C2A" w14:textId="4D12C29F" w:rsidR="00DA49D8" w:rsidRDefault="00DA49D8" w:rsidP="00DA49D8">
      <w:pPr>
        <w:pStyle w:val="TableFigureFooter"/>
        <w:keepNext/>
        <w:jc w:val="left"/>
      </w:pPr>
      <w:r w:rsidRPr="005830D9">
        <w:rPr>
          <w:vertAlign w:val="superscript"/>
        </w:rPr>
        <w:t>a</w:t>
      </w:r>
      <w:r w:rsidRPr="005830D9">
        <w:t>Revised from estimates in the previous submission</w:t>
      </w:r>
    </w:p>
    <w:p w14:paraId="5E73AEA3" w14:textId="77777777" w:rsidR="00EC00AE" w:rsidRPr="00107503" w:rsidRDefault="00EC00AE" w:rsidP="00EC00AE">
      <w:pPr>
        <w:pStyle w:val="TableFigureFooter"/>
        <w:keepNext/>
        <w:jc w:val="left"/>
        <w:rPr>
          <w:i/>
          <w:iCs/>
        </w:rPr>
      </w:pPr>
      <w:r w:rsidRPr="00107503">
        <w:rPr>
          <w:i/>
          <w:iCs/>
        </w:rPr>
        <w:t xml:space="preserve">The redacted values correspond to the following ranges: </w:t>
      </w:r>
    </w:p>
    <w:p w14:paraId="16FF8812" w14:textId="7E1BBE23" w:rsidR="00EC00AE" w:rsidRPr="00107503" w:rsidRDefault="00EC00AE" w:rsidP="00EC00AE">
      <w:pPr>
        <w:pStyle w:val="TableFigureFooter"/>
        <w:keepNext/>
        <w:jc w:val="left"/>
        <w:rPr>
          <w:i/>
          <w:iCs/>
          <w:vertAlign w:val="superscript"/>
        </w:rPr>
      </w:pPr>
      <w:r w:rsidRPr="00107503">
        <w:rPr>
          <w:i/>
          <w:iCs/>
          <w:vertAlign w:val="superscript"/>
        </w:rPr>
        <w:t xml:space="preserve">1 </w:t>
      </w:r>
      <w:r w:rsidRPr="00107503">
        <w:rPr>
          <w:i/>
          <w:iCs/>
        </w:rPr>
        <w:t>500 to &lt; 5,000</w:t>
      </w:r>
    </w:p>
    <w:p w14:paraId="2926A379" w14:textId="02BC78B7" w:rsidR="00EC00AE" w:rsidRPr="00107503" w:rsidRDefault="00EC00AE" w:rsidP="00EC00AE">
      <w:pPr>
        <w:pStyle w:val="TableFigureFooter"/>
        <w:keepNext/>
        <w:jc w:val="left"/>
        <w:rPr>
          <w:i/>
          <w:iCs/>
        </w:rPr>
      </w:pPr>
      <w:r w:rsidRPr="00107503">
        <w:rPr>
          <w:i/>
          <w:iCs/>
          <w:vertAlign w:val="superscript"/>
        </w:rPr>
        <w:t xml:space="preserve">2 </w:t>
      </w:r>
      <w:r w:rsidRPr="00EC00AE">
        <w:rPr>
          <w:i/>
          <w:iCs/>
        </w:rPr>
        <w:t>10,000 to &lt; 20,000</w:t>
      </w:r>
    </w:p>
    <w:p w14:paraId="6413E0BF" w14:textId="13CA3EB2" w:rsidR="00EC00AE" w:rsidRPr="00107503" w:rsidRDefault="00EC00AE" w:rsidP="00EC00AE">
      <w:pPr>
        <w:pStyle w:val="TableFigureFooter"/>
        <w:keepNext/>
        <w:jc w:val="left"/>
        <w:rPr>
          <w:i/>
          <w:iCs/>
        </w:rPr>
      </w:pPr>
      <w:r w:rsidRPr="006F69AD">
        <w:rPr>
          <w:i/>
          <w:iCs/>
          <w:vertAlign w:val="superscript"/>
        </w:rPr>
        <w:t>3</w:t>
      </w:r>
      <w:r w:rsidRPr="00107503">
        <w:rPr>
          <w:i/>
          <w:iCs/>
        </w:rPr>
        <w:t>20,000 to &lt; 30,000</w:t>
      </w:r>
    </w:p>
    <w:p w14:paraId="3B587986" w14:textId="4491C719" w:rsidR="001325E1" w:rsidRDefault="001325E1" w:rsidP="00EC00AE">
      <w:pPr>
        <w:pStyle w:val="TableFigureFooter"/>
        <w:keepNext/>
        <w:jc w:val="left"/>
        <w:rPr>
          <w:i/>
          <w:iCs/>
        </w:rPr>
      </w:pPr>
      <w:r>
        <w:rPr>
          <w:i/>
          <w:iCs/>
          <w:vertAlign w:val="superscript"/>
        </w:rPr>
        <w:t>4</w:t>
      </w:r>
      <w:r w:rsidRPr="001325E1">
        <w:rPr>
          <w:i/>
          <w:iCs/>
        </w:rPr>
        <w:t>30,000 to &lt; 40,000</w:t>
      </w:r>
      <w:r>
        <w:rPr>
          <w:i/>
          <w:iCs/>
          <w:vertAlign w:val="superscript"/>
        </w:rPr>
        <w:t>5</w:t>
      </w:r>
      <w:r w:rsidRPr="001325E1">
        <w:rPr>
          <w:i/>
          <w:iCs/>
        </w:rPr>
        <w:t>$0 to &lt; $10 million</w:t>
      </w:r>
    </w:p>
    <w:p w14:paraId="097C5F66" w14:textId="51D48C71" w:rsidR="001325E1" w:rsidRPr="00107503" w:rsidRDefault="001325E1" w:rsidP="00EC00AE">
      <w:pPr>
        <w:pStyle w:val="TableFigureFooter"/>
        <w:keepNext/>
        <w:jc w:val="left"/>
        <w:rPr>
          <w:i/>
          <w:iCs/>
        </w:rPr>
      </w:pPr>
      <w:r>
        <w:rPr>
          <w:i/>
          <w:iCs/>
          <w:vertAlign w:val="superscript"/>
        </w:rPr>
        <w:t>6</w:t>
      </w:r>
      <w:r w:rsidRPr="001325E1">
        <w:t xml:space="preserve"> </w:t>
      </w:r>
      <w:r w:rsidRPr="001325E1">
        <w:rPr>
          <w:i/>
          <w:iCs/>
        </w:rPr>
        <w:t>net cost saving</w:t>
      </w:r>
    </w:p>
    <w:p w14:paraId="5E6ED3A7" w14:textId="56CD8A30" w:rsidR="00102C19" w:rsidRDefault="007E1230" w:rsidP="00AE0A4F">
      <w:pPr>
        <w:pStyle w:val="3Bodytext"/>
        <w:jc w:val="both"/>
      </w:pPr>
      <w:r w:rsidRPr="005830D9">
        <w:t xml:space="preserve">As a Category 3 submission, the financial estimates analysis </w:t>
      </w:r>
      <w:r w:rsidR="00CC0A6E">
        <w:t>was</w:t>
      </w:r>
      <w:r w:rsidR="006E3EEC" w:rsidRPr="005830D9">
        <w:t xml:space="preserve"> </w:t>
      </w:r>
      <w:r w:rsidRPr="005830D9">
        <w:t>not independently evaluated.</w:t>
      </w:r>
    </w:p>
    <w:p w14:paraId="09CD1429" w14:textId="5B5A6C74" w:rsidR="0087721E" w:rsidRPr="0087721E" w:rsidRDefault="0087721E" w:rsidP="005830D9">
      <w:pPr>
        <w:pStyle w:val="3Bodytext"/>
        <w:numPr>
          <w:ilvl w:val="0"/>
          <w:numId w:val="0"/>
        </w:numPr>
        <w:ind w:left="720"/>
        <w:jc w:val="both"/>
        <w:rPr>
          <w:i/>
          <w:iCs/>
        </w:rPr>
      </w:pPr>
      <w:r w:rsidRPr="005830D9">
        <w:rPr>
          <w:i/>
          <w:iCs/>
        </w:rPr>
        <w:t>For more detail on PBAC’s view, see section 5 PBAC outcome.</w:t>
      </w:r>
    </w:p>
    <w:p w14:paraId="299E38EC" w14:textId="77777777" w:rsidR="0090392E" w:rsidRPr="0090150D" w:rsidRDefault="0090392E" w:rsidP="005830D9">
      <w:pPr>
        <w:pStyle w:val="2-SectionHeading"/>
      </w:pPr>
      <w:r w:rsidRPr="0090150D">
        <w:t>PBAC Outcome</w:t>
      </w:r>
    </w:p>
    <w:p w14:paraId="47641436" w14:textId="5679CFFC" w:rsidR="00012B72" w:rsidRPr="00CC0A6E" w:rsidRDefault="00012B72" w:rsidP="00012B72">
      <w:pPr>
        <w:widowControl w:val="0"/>
        <w:spacing w:after="120"/>
        <w:rPr>
          <w:rFonts w:asciiTheme="minorHAnsi" w:hAnsiTheme="minorHAnsi" w:cs="Arial"/>
          <w:i/>
          <w:iCs/>
          <w:snapToGrid w:val="0"/>
          <w:u w:val="single"/>
          <w:lang w:val="en-GB"/>
        </w:rPr>
      </w:pPr>
      <w:bookmarkStart w:id="7" w:name="_Hlk111543188"/>
      <w:r w:rsidRPr="00CC0A6E">
        <w:rPr>
          <w:rFonts w:asciiTheme="minorHAnsi" w:hAnsiTheme="minorHAnsi" w:cs="Arial"/>
          <w:i/>
          <w:iCs/>
          <w:snapToGrid w:val="0"/>
          <w:u w:val="single"/>
          <w:lang w:val="en-GB"/>
        </w:rPr>
        <w:t xml:space="preserve">Request to remove requirement for histological assessment (endoscopy) for continuing </w:t>
      </w:r>
      <w:proofErr w:type="gramStart"/>
      <w:r w:rsidRPr="00CC0A6E">
        <w:rPr>
          <w:rFonts w:asciiTheme="minorHAnsi" w:hAnsiTheme="minorHAnsi" w:cs="Arial"/>
          <w:i/>
          <w:iCs/>
          <w:snapToGrid w:val="0"/>
          <w:u w:val="single"/>
          <w:lang w:val="en-GB"/>
        </w:rPr>
        <w:t>treatment</w:t>
      </w:r>
      <w:proofErr w:type="gramEnd"/>
    </w:p>
    <w:p w14:paraId="1A2CD3AF" w14:textId="2E2212AD" w:rsidR="00012B72" w:rsidRDefault="00012B72" w:rsidP="00CC0A6E">
      <w:pPr>
        <w:pStyle w:val="3Bodytext"/>
        <w:jc w:val="both"/>
        <w:rPr>
          <w:snapToGrid w:val="0"/>
          <w:lang w:val="en-GB"/>
        </w:rPr>
      </w:pPr>
      <w:r>
        <w:rPr>
          <w:snapToGrid w:val="0"/>
          <w:lang w:val="en-GB"/>
        </w:rPr>
        <w:t xml:space="preserve">The PBAC deferred making a recommendation </w:t>
      </w:r>
      <w:r w:rsidR="006E3EEC">
        <w:rPr>
          <w:snapToGrid w:val="0"/>
          <w:lang w:val="en-GB"/>
        </w:rPr>
        <w:t>regarding the request to</w:t>
      </w:r>
      <w:r>
        <w:rPr>
          <w:snapToGrid w:val="0"/>
          <w:lang w:val="en-GB"/>
        </w:rPr>
        <w:t xml:space="preserve"> remov</w:t>
      </w:r>
      <w:r w:rsidR="006E3EEC">
        <w:rPr>
          <w:snapToGrid w:val="0"/>
          <w:lang w:val="en-GB"/>
        </w:rPr>
        <w:t>e</w:t>
      </w:r>
      <w:r>
        <w:rPr>
          <w:snapToGrid w:val="0"/>
          <w:lang w:val="en-GB"/>
        </w:rPr>
        <w:t xml:space="preserve"> the PBS criteria requiring a histological assessment (endoscopy) to determine treatment response/eligibility for continuing treating for budesonide orally disintegrating tablets (BOT) </w:t>
      </w:r>
      <w:proofErr w:type="gramStart"/>
      <w:r>
        <w:rPr>
          <w:snapToGrid w:val="0"/>
          <w:lang w:val="en-GB"/>
        </w:rPr>
        <w:t>500</w:t>
      </w:r>
      <w:proofErr w:type="gramEnd"/>
      <w:r>
        <w:rPr>
          <w:snapToGrid w:val="0"/>
          <w:lang w:val="en-GB"/>
        </w:rPr>
        <w:t> micrograms and 1 mg for the treatment of eosinophilic oesophagitis (EoE)</w:t>
      </w:r>
      <w:r w:rsidR="006E3EEC">
        <w:rPr>
          <w:snapToGrid w:val="0"/>
          <w:lang w:val="en-GB"/>
        </w:rPr>
        <w:t>.</w:t>
      </w:r>
      <w:r>
        <w:rPr>
          <w:snapToGrid w:val="0"/>
          <w:lang w:val="en-GB"/>
        </w:rPr>
        <w:t xml:space="preserve"> </w:t>
      </w:r>
      <w:r w:rsidR="006E3EEC">
        <w:rPr>
          <w:snapToGrid w:val="0"/>
          <w:lang w:val="en-GB"/>
        </w:rPr>
        <w:t xml:space="preserve">The PBAC deferred making a recommendation to seek </w:t>
      </w:r>
      <w:r>
        <w:rPr>
          <w:snapToGrid w:val="0"/>
          <w:lang w:val="en-GB"/>
        </w:rPr>
        <w:t>further advice from relevant experts</w:t>
      </w:r>
      <w:r w:rsidR="006E3EEC">
        <w:rPr>
          <w:snapToGrid w:val="0"/>
          <w:lang w:val="en-GB"/>
        </w:rPr>
        <w:t xml:space="preserve"> </w:t>
      </w:r>
      <w:r w:rsidR="00D10095">
        <w:rPr>
          <w:snapToGrid w:val="0"/>
          <w:lang w:val="en-GB"/>
        </w:rPr>
        <w:t xml:space="preserve">and </w:t>
      </w:r>
      <w:r w:rsidR="006E3EEC">
        <w:rPr>
          <w:snapToGrid w:val="0"/>
          <w:lang w:val="en-GB"/>
        </w:rPr>
        <w:t>for the</w:t>
      </w:r>
      <w:r>
        <w:rPr>
          <w:snapToGrid w:val="0"/>
          <w:lang w:val="en-GB"/>
        </w:rPr>
        <w:t xml:space="preserve"> </w:t>
      </w:r>
      <w:r w:rsidR="006E3EEC">
        <w:rPr>
          <w:snapToGrid w:val="0"/>
          <w:lang w:val="en-GB"/>
        </w:rPr>
        <w:t xml:space="preserve">DUSC to conduct </w:t>
      </w:r>
      <w:r>
        <w:rPr>
          <w:snapToGrid w:val="0"/>
          <w:lang w:val="en-GB"/>
        </w:rPr>
        <w:t>a utilisation review</w:t>
      </w:r>
      <w:r w:rsidR="005C44E0">
        <w:rPr>
          <w:snapToGrid w:val="0"/>
          <w:lang w:val="en-GB"/>
        </w:rPr>
        <w:t xml:space="preserve"> </w:t>
      </w:r>
      <w:r w:rsidR="006E3EEC">
        <w:rPr>
          <w:snapToGrid w:val="0"/>
          <w:lang w:val="en-GB"/>
        </w:rPr>
        <w:t>of BOT</w:t>
      </w:r>
      <w:r>
        <w:rPr>
          <w:snapToGrid w:val="0"/>
          <w:lang w:val="en-GB"/>
        </w:rPr>
        <w:t>.</w:t>
      </w:r>
    </w:p>
    <w:p w14:paraId="02B81347" w14:textId="61BB3929" w:rsidR="00012B72" w:rsidRDefault="00C55D47" w:rsidP="00CC0A6E">
      <w:pPr>
        <w:pStyle w:val="3Bodytext"/>
        <w:jc w:val="both"/>
        <w:rPr>
          <w:snapToGrid w:val="0"/>
          <w:lang w:val="en-GB"/>
        </w:rPr>
      </w:pPr>
      <w:r>
        <w:rPr>
          <w:snapToGrid w:val="0"/>
          <w:lang w:val="en-GB"/>
        </w:rPr>
        <w:t xml:space="preserve">The PBAC noted the submission’s concerns that patients who were unable to obtain a second endoscopy within the required </w:t>
      </w:r>
      <w:proofErr w:type="gramStart"/>
      <w:r>
        <w:rPr>
          <w:snapToGrid w:val="0"/>
          <w:lang w:val="en-GB"/>
        </w:rPr>
        <w:t>timeframe</w:t>
      </w:r>
      <w:proofErr w:type="gramEnd"/>
      <w:r>
        <w:rPr>
          <w:snapToGrid w:val="0"/>
          <w:lang w:val="en-GB"/>
        </w:rPr>
        <w:t xml:space="preserve"> could not meet the PBS criteria for continuing treatment and subsequently need</w:t>
      </w:r>
      <w:r w:rsidR="00A44A24">
        <w:rPr>
          <w:snapToGrid w:val="0"/>
          <w:lang w:val="en-GB"/>
        </w:rPr>
        <w:t>ed</w:t>
      </w:r>
      <w:r>
        <w:rPr>
          <w:snapToGrid w:val="0"/>
          <w:lang w:val="en-GB"/>
        </w:rPr>
        <w:t xml:space="preserve"> to cease treatment.</w:t>
      </w:r>
    </w:p>
    <w:p w14:paraId="73B71167" w14:textId="3A62C128" w:rsidR="00962D11" w:rsidRDefault="00962D11" w:rsidP="00CC0A6E">
      <w:pPr>
        <w:pStyle w:val="3Bodytext"/>
        <w:jc w:val="both"/>
        <w:rPr>
          <w:snapToGrid w:val="0"/>
          <w:lang w:val="en-GB"/>
        </w:rPr>
      </w:pPr>
      <w:r>
        <w:rPr>
          <w:snapToGrid w:val="0"/>
          <w:lang w:val="en-GB"/>
        </w:rPr>
        <w:t xml:space="preserve">The PBAC noted </w:t>
      </w:r>
      <w:r w:rsidR="00D10095">
        <w:rPr>
          <w:snapToGrid w:val="0"/>
          <w:lang w:val="en-GB"/>
        </w:rPr>
        <w:t>concerns raised by</w:t>
      </w:r>
      <w:r>
        <w:rPr>
          <w:snapToGrid w:val="0"/>
          <w:lang w:val="en-GB"/>
        </w:rPr>
        <w:t xml:space="preserve"> healthcare professionals about </w:t>
      </w:r>
      <w:r w:rsidR="00D10095">
        <w:rPr>
          <w:snapToGrid w:val="0"/>
          <w:lang w:val="en-GB"/>
        </w:rPr>
        <w:t xml:space="preserve">the difficulty in </w:t>
      </w:r>
      <w:r>
        <w:rPr>
          <w:snapToGrid w:val="0"/>
          <w:lang w:val="en-GB"/>
        </w:rPr>
        <w:t xml:space="preserve">scheduling a repeat endoscopy within a short </w:t>
      </w:r>
      <w:proofErr w:type="gramStart"/>
      <w:r>
        <w:rPr>
          <w:snapToGrid w:val="0"/>
          <w:lang w:val="en-GB"/>
        </w:rPr>
        <w:t>timeframe</w:t>
      </w:r>
      <w:proofErr w:type="gramEnd"/>
      <w:r>
        <w:rPr>
          <w:snapToGrid w:val="0"/>
          <w:lang w:val="en-GB"/>
        </w:rPr>
        <w:t xml:space="preserve">, particularly in the public system. It </w:t>
      </w:r>
      <w:r w:rsidR="00F95587">
        <w:rPr>
          <w:snapToGrid w:val="0"/>
          <w:lang w:val="en-GB"/>
        </w:rPr>
        <w:t xml:space="preserve">also noted concerns raised by </w:t>
      </w:r>
      <w:proofErr w:type="gramStart"/>
      <w:r w:rsidR="00F95587">
        <w:rPr>
          <w:snapToGrid w:val="0"/>
          <w:lang w:val="en-GB"/>
        </w:rPr>
        <w:t>several</w:t>
      </w:r>
      <w:proofErr w:type="gramEnd"/>
      <w:r w:rsidR="00F95587">
        <w:rPr>
          <w:snapToGrid w:val="0"/>
          <w:lang w:val="en-GB"/>
        </w:rPr>
        <w:t xml:space="preserve"> healthcare professionals </w:t>
      </w:r>
      <w:r w:rsidR="00D10095">
        <w:rPr>
          <w:snapToGrid w:val="0"/>
          <w:lang w:val="en-GB"/>
        </w:rPr>
        <w:t>that</w:t>
      </w:r>
      <w:r w:rsidR="00F95587">
        <w:rPr>
          <w:snapToGrid w:val="0"/>
          <w:lang w:val="en-GB"/>
        </w:rPr>
        <w:t xml:space="preserve"> removing the requirement for a second histological assessment </w:t>
      </w:r>
      <w:r w:rsidR="00D10095">
        <w:rPr>
          <w:snapToGrid w:val="0"/>
          <w:lang w:val="en-GB"/>
        </w:rPr>
        <w:t xml:space="preserve">increased </w:t>
      </w:r>
      <w:r w:rsidR="00F95587">
        <w:rPr>
          <w:snapToGrid w:val="0"/>
          <w:lang w:val="en-GB"/>
        </w:rPr>
        <w:t>the risk of patients continuing on a</w:t>
      </w:r>
      <w:r w:rsidR="00D10095">
        <w:rPr>
          <w:snapToGrid w:val="0"/>
          <w:lang w:val="en-GB"/>
        </w:rPr>
        <w:t>n ineffective</w:t>
      </w:r>
      <w:r w:rsidR="00F95587">
        <w:rPr>
          <w:snapToGrid w:val="0"/>
          <w:lang w:val="en-GB"/>
        </w:rPr>
        <w:t xml:space="preserve"> treatment.</w:t>
      </w:r>
    </w:p>
    <w:p w14:paraId="36DCE596" w14:textId="6064D88D" w:rsidR="003318DC" w:rsidRDefault="003318DC" w:rsidP="00CC0A6E">
      <w:pPr>
        <w:pStyle w:val="3Bodytext"/>
        <w:jc w:val="both"/>
        <w:rPr>
          <w:snapToGrid w:val="0"/>
          <w:lang w:val="en-GB"/>
        </w:rPr>
      </w:pPr>
      <w:r>
        <w:rPr>
          <w:snapToGrid w:val="0"/>
          <w:lang w:val="en-GB"/>
        </w:rPr>
        <w:t xml:space="preserve">The PBAC noted the submission’s claim that the use of BOT beyond the current restriction would </w:t>
      </w:r>
      <w:proofErr w:type="gramStart"/>
      <w:r>
        <w:rPr>
          <w:snapToGrid w:val="0"/>
          <w:lang w:val="en-GB"/>
        </w:rPr>
        <w:t>be manage</w:t>
      </w:r>
      <w:r w:rsidR="00AC67FA">
        <w:rPr>
          <w:snapToGrid w:val="0"/>
          <w:lang w:val="en-GB"/>
        </w:rPr>
        <w:t>d</w:t>
      </w:r>
      <w:proofErr w:type="gramEnd"/>
      <w:r>
        <w:rPr>
          <w:snapToGrid w:val="0"/>
          <w:lang w:val="en-GB"/>
        </w:rPr>
        <w:t xml:space="preserve"> through the Risk Share Arrangements currently in place for BOT and that there were no</w:t>
      </w:r>
      <w:r w:rsidR="00AC67FA">
        <w:rPr>
          <w:snapToGrid w:val="0"/>
          <w:lang w:val="en-GB"/>
        </w:rPr>
        <w:t xml:space="preserve"> proposed</w:t>
      </w:r>
      <w:r>
        <w:rPr>
          <w:snapToGrid w:val="0"/>
          <w:lang w:val="en-GB"/>
        </w:rPr>
        <w:t xml:space="preserve"> changes to the subsidisation caps. The PBAC further noted the submission’s claim of a</w:t>
      </w:r>
      <w:r w:rsidR="00D10095">
        <w:rPr>
          <w:snapToGrid w:val="0"/>
          <w:lang w:val="en-GB"/>
        </w:rPr>
        <w:t xml:space="preserve"> cost</w:t>
      </w:r>
      <w:r>
        <w:rPr>
          <w:snapToGrid w:val="0"/>
          <w:lang w:val="en-GB"/>
        </w:rPr>
        <w:t xml:space="preserve"> saving to the healthcare system </w:t>
      </w:r>
      <w:r w:rsidR="00AC67FA">
        <w:rPr>
          <w:snapToGrid w:val="0"/>
          <w:lang w:val="en-GB"/>
        </w:rPr>
        <w:t>overall</w:t>
      </w:r>
      <w:r>
        <w:rPr>
          <w:snapToGrid w:val="0"/>
          <w:lang w:val="en-GB"/>
        </w:rPr>
        <w:t xml:space="preserve"> from fewer endoscopies </w:t>
      </w:r>
      <w:proofErr w:type="gramStart"/>
      <w:r>
        <w:rPr>
          <w:snapToGrid w:val="0"/>
          <w:lang w:val="en-GB"/>
        </w:rPr>
        <w:t>being performed</w:t>
      </w:r>
      <w:proofErr w:type="gramEnd"/>
      <w:r>
        <w:rPr>
          <w:snapToGrid w:val="0"/>
          <w:lang w:val="en-GB"/>
        </w:rPr>
        <w:t xml:space="preserve"> if the requirement for a second histological assessment was removed.</w:t>
      </w:r>
    </w:p>
    <w:p w14:paraId="1B58FAC0" w14:textId="5738E8FC" w:rsidR="00497ADD" w:rsidRDefault="00497ADD" w:rsidP="00CC0A6E">
      <w:pPr>
        <w:pStyle w:val="3Bodytext"/>
        <w:jc w:val="both"/>
        <w:rPr>
          <w:snapToGrid w:val="0"/>
          <w:lang w:val="en-GB"/>
        </w:rPr>
      </w:pPr>
      <w:r>
        <w:rPr>
          <w:snapToGrid w:val="0"/>
          <w:lang w:val="en-GB"/>
        </w:rPr>
        <w:t xml:space="preserve">However, the PBAC remained concerned that removing the requirement for a histological assessment to determine treatment response could lead to patients continuing treatment that was ineffective and therefore </w:t>
      </w:r>
      <w:r w:rsidR="00962D11">
        <w:rPr>
          <w:snapToGrid w:val="0"/>
          <w:lang w:val="en-GB"/>
        </w:rPr>
        <w:t>using a</w:t>
      </w:r>
      <w:r>
        <w:rPr>
          <w:snapToGrid w:val="0"/>
          <w:lang w:val="en-GB"/>
        </w:rPr>
        <w:t xml:space="preserve"> treatment unnecessari</w:t>
      </w:r>
      <w:r w:rsidR="001E37BF">
        <w:rPr>
          <w:snapToGrid w:val="0"/>
          <w:lang w:val="en-GB"/>
        </w:rPr>
        <w:t>ly.</w:t>
      </w:r>
    </w:p>
    <w:p w14:paraId="372891DD" w14:textId="6C334F43" w:rsidR="00577665" w:rsidRDefault="00577665" w:rsidP="00CC0A6E">
      <w:pPr>
        <w:pStyle w:val="3Bodytext"/>
        <w:jc w:val="both"/>
        <w:rPr>
          <w:snapToGrid w:val="0"/>
          <w:lang w:val="en-GB"/>
        </w:rPr>
      </w:pPr>
      <w:r>
        <w:rPr>
          <w:snapToGrid w:val="0"/>
          <w:lang w:val="en-GB"/>
        </w:rPr>
        <w:t xml:space="preserve">The PBAC requested that </w:t>
      </w:r>
      <w:r w:rsidR="00D10095">
        <w:rPr>
          <w:snapToGrid w:val="0"/>
          <w:lang w:val="en-GB"/>
        </w:rPr>
        <w:t xml:space="preserve">further </w:t>
      </w:r>
      <w:r>
        <w:rPr>
          <w:snapToGrid w:val="0"/>
          <w:lang w:val="en-GB"/>
        </w:rPr>
        <w:t xml:space="preserve">advice </w:t>
      </w:r>
      <w:proofErr w:type="gramStart"/>
      <w:r w:rsidR="00CF6484">
        <w:rPr>
          <w:snapToGrid w:val="0"/>
          <w:lang w:val="en-GB"/>
        </w:rPr>
        <w:t>be sought</w:t>
      </w:r>
      <w:proofErr w:type="gramEnd"/>
      <w:r w:rsidR="00CF6484">
        <w:rPr>
          <w:snapToGrid w:val="0"/>
          <w:lang w:val="en-GB"/>
        </w:rPr>
        <w:t xml:space="preserve"> </w:t>
      </w:r>
      <w:r w:rsidR="00610A8D">
        <w:rPr>
          <w:snapToGrid w:val="0"/>
          <w:lang w:val="en-GB"/>
        </w:rPr>
        <w:t>from</w:t>
      </w:r>
      <w:r>
        <w:rPr>
          <w:snapToGrid w:val="0"/>
          <w:lang w:val="en-GB"/>
        </w:rPr>
        <w:t xml:space="preserve"> relevant experts on the appropriateness and safety of the removal of this restriction criteria. </w:t>
      </w:r>
    </w:p>
    <w:p w14:paraId="7DBB396B" w14:textId="0C46B3C4" w:rsidR="00577665" w:rsidRDefault="00577665" w:rsidP="00CC0A6E">
      <w:pPr>
        <w:pStyle w:val="3Bodytext"/>
        <w:jc w:val="both"/>
        <w:rPr>
          <w:snapToGrid w:val="0"/>
          <w:lang w:val="en-GB"/>
        </w:rPr>
      </w:pPr>
      <w:r>
        <w:rPr>
          <w:snapToGrid w:val="0"/>
          <w:lang w:val="en-GB"/>
        </w:rPr>
        <w:t>The PBAC also referred the matter to the DUSC</w:t>
      </w:r>
      <w:r w:rsidR="00962D11">
        <w:rPr>
          <w:snapToGrid w:val="0"/>
          <w:lang w:val="en-GB"/>
        </w:rPr>
        <w:t xml:space="preserve"> to review the utilisation of BOT</w:t>
      </w:r>
      <w:r>
        <w:rPr>
          <w:snapToGrid w:val="0"/>
          <w:lang w:val="en-GB"/>
        </w:rPr>
        <w:t xml:space="preserve"> </w:t>
      </w:r>
      <w:r w:rsidR="000E5357">
        <w:rPr>
          <w:snapToGrid w:val="0"/>
          <w:lang w:val="en-GB"/>
        </w:rPr>
        <w:t xml:space="preserve">after 12 months of listing, noting that BOT for the treatment of EoE </w:t>
      </w:r>
      <w:proofErr w:type="gramStart"/>
      <w:r w:rsidR="000E5357">
        <w:rPr>
          <w:snapToGrid w:val="0"/>
          <w:lang w:val="en-GB"/>
        </w:rPr>
        <w:t>was listed</w:t>
      </w:r>
      <w:proofErr w:type="gramEnd"/>
      <w:r w:rsidR="000E5357">
        <w:rPr>
          <w:snapToGrid w:val="0"/>
          <w:lang w:val="en-GB"/>
        </w:rPr>
        <w:t xml:space="preserve"> on the PBS in May 2022</w:t>
      </w:r>
      <w:r>
        <w:rPr>
          <w:snapToGrid w:val="0"/>
          <w:lang w:val="en-GB"/>
        </w:rPr>
        <w:t>.</w:t>
      </w:r>
    </w:p>
    <w:p w14:paraId="01CF3FB2" w14:textId="13254E0E" w:rsidR="00610A8D" w:rsidRDefault="00610A8D" w:rsidP="00CC0A6E">
      <w:pPr>
        <w:pStyle w:val="3Bodytext"/>
        <w:jc w:val="both"/>
        <w:rPr>
          <w:snapToGrid w:val="0"/>
          <w:lang w:val="en-GB"/>
        </w:rPr>
      </w:pPr>
      <w:r>
        <w:rPr>
          <w:snapToGrid w:val="0"/>
          <w:lang w:val="en-GB"/>
        </w:rPr>
        <w:t>The PBAC requested that this additional information be available for its July 2023 meeting.</w:t>
      </w:r>
    </w:p>
    <w:p w14:paraId="6CAA29F5" w14:textId="77777777" w:rsidR="00A44A24" w:rsidRPr="00525B39" w:rsidRDefault="00A44A24" w:rsidP="00A44A24">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598D3D46" w14:textId="1A749ACC" w:rsidR="00CC0A6E" w:rsidRPr="00CC0A6E" w:rsidRDefault="00A44A24" w:rsidP="00CC0A6E">
      <w:pPr>
        <w:spacing w:after="240"/>
        <w:rPr>
          <w:rFonts w:asciiTheme="minorHAnsi" w:hAnsiTheme="minorHAnsi" w:cs="Arial"/>
          <w:bCs/>
          <w:snapToGrid w:val="0"/>
          <w:lang w:val="en-GB"/>
        </w:rPr>
      </w:pPr>
      <w:r w:rsidRPr="00525B39">
        <w:rPr>
          <w:rFonts w:asciiTheme="minorHAnsi" w:hAnsiTheme="minorHAnsi" w:cs="Arial"/>
          <w:bCs/>
          <w:snapToGrid w:val="0"/>
          <w:lang w:val="en-GB"/>
        </w:rPr>
        <w:t xml:space="preserve">Deferred </w:t>
      </w:r>
    </w:p>
    <w:p w14:paraId="39182B16" w14:textId="5D03A5E3" w:rsidR="00012B72" w:rsidRPr="00CC0A6E" w:rsidRDefault="00012B72" w:rsidP="004B01D0">
      <w:pPr>
        <w:keepNext/>
        <w:widowControl w:val="0"/>
        <w:spacing w:after="120"/>
        <w:rPr>
          <w:rFonts w:asciiTheme="minorHAnsi" w:hAnsiTheme="minorHAnsi" w:cs="Arial"/>
          <w:i/>
          <w:iCs/>
          <w:snapToGrid w:val="0"/>
          <w:u w:val="single"/>
          <w:lang w:val="en-GB"/>
        </w:rPr>
      </w:pPr>
      <w:r w:rsidRPr="00CC0A6E">
        <w:rPr>
          <w:rFonts w:asciiTheme="minorHAnsi" w:hAnsiTheme="minorHAnsi" w:cs="Arial"/>
          <w:i/>
          <w:iCs/>
          <w:snapToGrid w:val="0"/>
          <w:u w:val="single"/>
          <w:lang w:val="en-GB"/>
        </w:rPr>
        <w:t xml:space="preserve">Request to expand the list of eligible </w:t>
      </w:r>
      <w:proofErr w:type="gramStart"/>
      <w:r w:rsidRPr="00CC0A6E">
        <w:rPr>
          <w:rFonts w:asciiTheme="minorHAnsi" w:hAnsiTheme="minorHAnsi" w:cs="Arial"/>
          <w:i/>
          <w:iCs/>
          <w:snapToGrid w:val="0"/>
          <w:u w:val="single"/>
          <w:lang w:val="en-GB"/>
        </w:rPr>
        <w:t>prescribers</w:t>
      </w:r>
      <w:proofErr w:type="gramEnd"/>
    </w:p>
    <w:p w14:paraId="084CC4F7" w14:textId="0E4DD087" w:rsidR="00A01B09" w:rsidRDefault="00A01B09" w:rsidP="00CC0A6E">
      <w:pPr>
        <w:pStyle w:val="3Bodytext"/>
        <w:jc w:val="both"/>
        <w:rPr>
          <w:snapToGrid w:val="0"/>
          <w:lang w:val="en-GB"/>
        </w:rPr>
      </w:pPr>
      <w:r>
        <w:rPr>
          <w:snapToGrid w:val="0"/>
          <w:lang w:val="en-GB"/>
        </w:rPr>
        <w:t>The PBAC recommended expanding the list of eligible prescribers in the PBS treatment criteria for BOT to include physicians or surgeons experienced in the diagnosis and management of Eo</w:t>
      </w:r>
      <w:r w:rsidR="00C55D47">
        <w:rPr>
          <w:snapToGrid w:val="0"/>
          <w:lang w:val="en-GB"/>
        </w:rPr>
        <w:t>E.</w:t>
      </w:r>
    </w:p>
    <w:p w14:paraId="5A457347" w14:textId="77A82F77" w:rsidR="00C55D47" w:rsidRDefault="00C55D47" w:rsidP="00CC0A6E">
      <w:pPr>
        <w:pStyle w:val="3Bodytext"/>
        <w:jc w:val="both"/>
        <w:rPr>
          <w:snapToGrid w:val="0"/>
          <w:lang w:val="en-GB"/>
        </w:rPr>
      </w:pPr>
      <w:r>
        <w:rPr>
          <w:snapToGrid w:val="0"/>
          <w:lang w:val="en-GB"/>
        </w:rPr>
        <w:t>The PBAC noted the submission’s concerns that the current PBS treatment criteria for eligible prescribers may disadvantage patients living in rural and remote areas if there is a lack of access to gastroenterologists</w:t>
      </w:r>
      <w:r w:rsidR="003318DC">
        <w:rPr>
          <w:snapToGrid w:val="0"/>
          <w:lang w:val="en-GB"/>
        </w:rPr>
        <w:t xml:space="preserve">, and that there are non-gastroenterologist physicians and surgeons who </w:t>
      </w:r>
      <w:proofErr w:type="gramStart"/>
      <w:r w:rsidR="003318DC">
        <w:rPr>
          <w:snapToGrid w:val="0"/>
          <w:lang w:val="en-GB"/>
        </w:rPr>
        <w:t>are accredited</w:t>
      </w:r>
      <w:proofErr w:type="gramEnd"/>
      <w:r w:rsidR="003318DC">
        <w:rPr>
          <w:snapToGrid w:val="0"/>
          <w:lang w:val="en-GB"/>
        </w:rPr>
        <w:t xml:space="preserve"> to perform endoscopies/biopsies and are experienced in the diagnosis and management of EoE.</w:t>
      </w:r>
    </w:p>
    <w:p w14:paraId="3C3AA0CB" w14:textId="2F91FA54" w:rsidR="00C55D47" w:rsidRDefault="00C55D47" w:rsidP="00CC0A6E">
      <w:pPr>
        <w:pStyle w:val="3Bodytext"/>
        <w:jc w:val="both"/>
        <w:rPr>
          <w:snapToGrid w:val="0"/>
          <w:lang w:val="en-GB"/>
        </w:rPr>
      </w:pPr>
      <w:r>
        <w:rPr>
          <w:snapToGrid w:val="0"/>
          <w:lang w:val="en-GB"/>
        </w:rPr>
        <w:t>The PBAC n</w:t>
      </w:r>
      <w:r w:rsidR="00962D11">
        <w:rPr>
          <w:snapToGrid w:val="0"/>
          <w:lang w:val="en-GB"/>
        </w:rPr>
        <w:t>oted input received from the Australasian Society of Clinical Immunology and Allergy and Allergy &amp; Anaphylaxis Australia that non-gastroenterologist specialists are commonly responsible for caring for patients with EoE.</w:t>
      </w:r>
    </w:p>
    <w:p w14:paraId="370B988E" w14:textId="77777777" w:rsidR="00A44A24" w:rsidRPr="00A63F02" w:rsidRDefault="00A44A24" w:rsidP="00BC24B8">
      <w:pPr>
        <w:widowControl w:val="0"/>
        <w:rPr>
          <w:rFonts w:asciiTheme="minorHAnsi" w:hAnsiTheme="minorHAnsi" w:cs="Arial"/>
          <w:b/>
          <w:bCs/>
          <w:snapToGrid w:val="0"/>
          <w:lang w:val="en-GB"/>
        </w:rPr>
      </w:pPr>
      <w:r w:rsidRPr="00A63F02">
        <w:rPr>
          <w:rFonts w:asciiTheme="minorHAnsi" w:hAnsiTheme="minorHAnsi" w:cs="Arial"/>
          <w:b/>
          <w:bCs/>
          <w:snapToGrid w:val="0"/>
          <w:lang w:val="en-GB"/>
        </w:rPr>
        <w:t>Outcome:</w:t>
      </w:r>
    </w:p>
    <w:p w14:paraId="42C486D8" w14:textId="308B68BB" w:rsidR="00A44A24" w:rsidRPr="00A63F02" w:rsidRDefault="00A44A24" w:rsidP="00CC0A6E">
      <w:pPr>
        <w:widowControl w:val="0"/>
        <w:spacing w:after="240"/>
        <w:rPr>
          <w:rFonts w:asciiTheme="minorHAnsi" w:hAnsiTheme="minorHAnsi" w:cs="Arial"/>
          <w:snapToGrid w:val="0"/>
          <w:lang w:val="en-GB"/>
        </w:rPr>
      </w:pPr>
      <w:r w:rsidRPr="00A63F02">
        <w:rPr>
          <w:rFonts w:asciiTheme="minorHAnsi" w:hAnsiTheme="minorHAnsi" w:cs="Arial"/>
          <w:snapToGrid w:val="0"/>
          <w:lang w:val="en-GB"/>
        </w:rPr>
        <w:t>Recommended</w:t>
      </w:r>
    </w:p>
    <w:p w14:paraId="47E04F82" w14:textId="79E4F7E5" w:rsidR="00012B72" w:rsidRPr="00CC0A6E" w:rsidRDefault="00012B72" w:rsidP="00BC24B8">
      <w:pPr>
        <w:widowControl w:val="0"/>
        <w:spacing w:after="120"/>
        <w:rPr>
          <w:rFonts w:asciiTheme="minorHAnsi" w:hAnsiTheme="minorHAnsi" w:cs="Arial"/>
          <w:i/>
          <w:iCs/>
          <w:snapToGrid w:val="0"/>
          <w:u w:val="single"/>
          <w:lang w:val="en-GB"/>
        </w:rPr>
      </w:pPr>
      <w:r w:rsidRPr="00CC0A6E">
        <w:rPr>
          <w:rFonts w:asciiTheme="minorHAnsi" w:hAnsiTheme="minorHAnsi" w:cs="Arial"/>
          <w:i/>
          <w:iCs/>
          <w:snapToGrid w:val="0"/>
          <w:u w:val="single"/>
          <w:lang w:val="en-GB"/>
        </w:rPr>
        <w:t xml:space="preserve">Request for advice </w:t>
      </w:r>
      <w:r w:rsidR="000126FC" w:rsidRPr="00CC0A6E">
        <w:rPr>
          <w:rFonts w:asciiTheme="minorHAnsi" w:hAnsiTheme="minorHAnsi" w:cs="Arial"/>
          <w:i/>
          <w:iCs/>
          <w:snapToGrid w:val="0"/>
          <w:u w:val="single"/>
          <w:lang w:val="en-GB"/>
        </w:rPr>
        <w:t>about</w:t>
      </w:r>
      <w:r w:rsidRPr="00CC0A6E">
        <w:rPr>
          <w:rFonts w:asciiTheme="minorHAnsi" w:hAnsiTheme="minorHAnsi" w:cs="Arial"/>
          <w:i/>
          <w:iCs/>
          <w:snapToGrid w:val="0"/>
          <w:u w:val="single"/>
          <w:lang w:val="en-GB"/>
        </w:rPr>
        <w:t xml:space="preserve"> the Prescribing Instruction on the optimal number of biopsies in the PBS restriction criteria</w:t>
      </w:r>
    </w:p>
    <w:bookmarkEnd w:id="7"/>
    <w:p w14:paraId="79CCAC1B" w14:textId="77777777" w:rsidR="00483DC1" w:rsidRDefault="00483DC1" w:rsidP="0090392E">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recommended a change to wording of the Prescribing Instruction on the optimal number of biopsies in the PBS restriction criteria to provide additional clarity around this matter for prescribers. </w:t>
      </w:r>
    </w:p>
    <w:p w14:paraId="11A3C4FF" w14:textId="755F82EE" w:rsidR="00A01B09" w:rsidRDefault="00A01B09" w:rsidP="0090392E">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noted the submission’s concerns about confusion </w:t>
      </w:r>
      <w:r w:rsidR="000E5357">
        <w:rPr>
          <w:rFonts w:asciiTheme="minorHAnsi" w:hAnsiTheme="minorHAnsi" w:cs="Arial"/>
          <w:snapToGrid w:val="0"/>
          <w:lang w:val="en-GB"/>
        </w:rPr>
        <w:t>caused by</w:t>
      </w:r>
      <w:r>
        <w:rPr>
          <w:rFonts w:asciiTheme="minorHAnsi" w:hAnsiTheme="minorHAnsi" w:cs="Arial"/>
          <w:snapToGrid w:val="0"/>
          <w:lang w:val="en-GB"/>
        </w:rPr>
        <w:t xml:space="preserve"> the Prescribing Instruction </w:t>
      </w:r>
      <w:r w:rsidR="006E5C3E">
        <w:rPr>
          <w:rFonts w:asciiTheme="minorHAnsi" w:hAnsiTheme="minorHAnsi" w:cs="Arial"/>
          <w:snapToGrid w:val="0"/>
          <w:lang w:val="en-GB"/>
        </w:rPr>
        <w:t>regarding</w:t>
      </w:r>
      <w:r>
        <w:rPr>
          <w:rFonts w:asciiTheme="minorHAnsi" w:hAnsiTheme="minorHAnsi" w:cs="Arial"/>
          <w:snapToGrid w:val="0"/>
          <w:lang w:val="en-GB"/>
        </w:rPr>
        <w:t xml:space="preserve"> the optimal number of biopsies in the PBS restriction criteria for BOT.</w:t>
      </w:r>
    </w:p>
    <w:p w14:paraId="7716EF6E" w14:textId="2A20BA6D" w:rsidR="003318DC" w:rsidRDefault="003318DC" w:rsidP="0090392E">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noted the advice received from Services Australia that the number of biopsies obtained during endoscopy </w:t>
      </w:r>
      <w:proofErr w:type="gramStart"/>
      <w:r>
        <w:rPr>
          <w:rFonts w:asciiTheme="minorHAnsi" w:hAnsiTheme="minorHAnsi" w:cs="Arial"/>
          <w:snapToGrid w:val="0"/>
          <w:lang w:val="en-GB"/>
        </w:rPr>
        <w:t>is not assessed</w:t>
      </w:r>
      <w:proofErr w:type="gramEnd"/>
      <w:r>
        <w:rPr>
          <w:rFonts w:asciiTheme="minorHAnsi" w:hAnsiTheme="minorHAnsi" w:cs="Arial"/>
          <w:snapToGrid w:val="0"/>
          <w:lang w:val="en-GB"/>
        </w:rPr>
        <w:t xml:space="preserve"> during the telephone authority application from prescribers, and that the current wording of the Prescribing Instruction doe</w:t>
      </w:r>
      <w:r w:rsidR="00497ADD">
        <w:rPr>
          <w:rFonts w:asciiTheme="minorHAnsi" w:hAnsiTheme="minorHAnsi" w:cs="Arial"/>
          <w:snapToGrid w:val="0"/>
          <w:lang w:val="en-GB"/>
        </w:rPr>
        <w:t>s</w:t>
      </w:r>
      <w:r>
        <w:rPr>
          <w:rFonts w:asciiTheme="minorHAnsi" w:hAnsiTheme="minorHAnsi" w:cs="Arial"/>
          <w:snapToGrid w:val="0"/>
          <w:lang w:val="en-GB"/>
        </w:rPr>
        <w:t xml:space="preserve"> not mandate a minimum number of </w:t>
      </w:r>
      <w:r w:rsidR="00497ADD">
        <w:rPr>
          <w:rFonts w:asciiTheme="minorHAnsi" w:hAnsiTheme="minorHAnsi" w:cs="Arial"/>
          <w:snapToGrid w:val="0"/>
          <w:lang w:val="en-GB"/>
        </w:rPr>
        <w:t>biopsies collected during the endoscopy.</w:t>
      </w:r>
    </w:p>
    <w:p w14:paraId="7DA766A3" w14:textId="503C6065" w:rsidR="006E5C3E" w:rsidRPr="00C7441D" w:rsidRDefault="00483DC1" w:rsidP="00CC0A6E">
      <w:pPr>
        <w:pStyle w:val="3Bodytext"/>
        <w:jc w:val="both"/>
        <w:rPr>
          <w:rFonts w:cs="Arial"/>
          <w:snapToGrid w:val="0"/>
          <w:lang w:val="en-GB"/>
        </w:rPr>
      </w:pPr>
      <w:r w:rsidRPr="00483DC1">
        <w:rPr>
          <w:rFonts w:eastAsia="Times New Roman" w:cs="Arial"/>
          <w:snapToGrid w:val="0"/>
          <w:szCs w:val="24"/>
          <w:lang w:val="en-GB"/>
        </w:rPr>
        <w:t>The PBAC</w:t>
      </w:r>
      <w:r>
        <w:rPr>
          <w:rFonts w:eastAsia="Times New Roman" w:cs="Arial"/>
          <w:snapToGrid w:val="0"/>
          <w:szCs w:val="24"/>
          <w:lang w:val="en-GB"/>
        </w:rPr>
        <w:t xml:space="preserve"> agreed with the change to wording of the Prescribing Instruction as suggested by the Secretariat in Section </w:t>
      </w:r>
      <w:proofErr w:type="gramStart"/>
      <w:r>
        <w:rPr>
          <w:rFonts w:eastAsia="Times New Roman" w:cs="Arial"/>
          <w:snapToGrid w:val="0"/>
          <w:szCs w:val="24"/>
          <w:lang w:val="en-GB"/>
        </w:rPr>
        <w:t>3,</w:t>
      </w:r>
      <w:r w:rsidR="00C23539">
        <w:rPr>
          <w:rFonts w:eastAsia="Times New Roman" w:cs="Arial"/>
          <w:snapToGrid w:val="0"/>
          <w:szCs w:val="24"/>
          <w:lang w:val="en-GB"/>
        </w:rPr>
        <w:t xml:space="preserve"> </w:t>
      </w:r>
      <w:r>
        <w:rPr>
          <w:rFonts w:eastAsia="Times New Roman" w:cs="Arial"/>
          <w:snapToGrid w:val="0"/>
          <w:szCs w:val="24"/>
          <w:lang w:val="en-GB"/>
        </w:rPr>
        <w:t>and</w:t>
      </w:r>
      <w:proofErr w:type="gramEnd"/>
      <w:r w:rsidRPr="00483DC1">
        <w:rPr>
          <w:rFonts w:eastAsia="Times New Roman" w:cs="Arial"/>
          <w:snapToGrid w:val="0"/>
          <w:szCs w:val="24"/>
          <w:lang w:val="en-GB"/>
        </w:rPr>
        <w:t xml:space="preserve"> noted that the sponsor had also supported this wording change in its pre-PBAC response.</w:t>
      </w:r>
    </w:p>
    <w:p w14:paraId="71F81BC2" w14:textId="77777777" w:rsidR="00442433" w:rsidRPr="00442433" w:rsidRDefault="00442433" w:rsidP="00442433">
      <w:pPr>
        <w:pStyle w:val="3Bodytext"/>
        <w:numPr>
          <w:ilvl w:val="0"/>
          <w:numId w:val="0"/>
        </w:numPr>
        <w:rPr>
          <w:rFonts w:cs="Arial"/>
          <w:b/>
          <w:snapToGrid w:val="0"/>
          <w:lang w:val="en-GB"/>
        </w:rPr>
      </w:pPr>
      <w:bookmarkStart w:id="8" w:name="_Hlk76381249"/>
      <w:bookmarkStart w:id="9" w:name="_Hlk111543254"/>
      <w:r w:rsidRPr="00442433">
        <w:rPr>
          <w:rFonts w:cs="Arial"/>
          <w:b/>
          <w:snapToGrid w:val="0"/>
          <w:lang w:val="en-GB"/>
        </w:rPr>
        <w:t>Outcome:</w:t>
      </w:r>
    </w:p>
    <w:p w14:paraId="48E70032" w14:textId="12A5B640" w:rsidR="00442433" w:rsidRDefault="00442433" w:rsidP="00442433">
      <w:pPr>
        <w:pStyle w:val="3Bodytext"/>
        <w:numPr>
          <w:ilvl w:val="0"/>
          <w:numId w:val="0"/>
        </w:numPr>
        <w:ind w:left="720" w:hanging="720"/>
        <w:rPr>
          <w:rFonts w:cs="Arial"/>
          <w:bCs/>
          <w:snapToGrid w:val="0"/>
          <w:lang w:val="en-GB"/>
        </w:rPr>
      </w:pPr>
      <w:r w:rsidRPr="00442433">
        <w:rPr>
          <w:rFonts w:cs="Arial"/>
          <w:bCs/>
          <w:snapToGrid w:val="0"/>
          <w:lang w:val="en-GB"/>
        </w:rPr>
        <w:t>Recommended</w:t>
      </w:r>
    </w:p>
    <w:p w14:paraId="71F8B93B" w14:textId="77777777" w:rsidR="00D343B3" w:rsidRPr="00442433" w:rsidRDefault="00D343B3" w:rsidP="00D343B3">
      <w:pPr>
        <w:pStyle w:val="3Bodytext"/>
        <w:jc w:val="both"/>
        <w:rPr>
          <w:rFonts w:cs="Arial"/>
          <w:bCs/>
          <w:snapToGrid w:val="0"/>
          <w:lang w:val="en-GB"/>
        </w:rPr>
      </w:pPr>
      <w:r>
        <w:rPr>
          <w:snapToGrid w:val="0"/>
          <w:lang w:val="en-GB"/>
        </w:rPr>
        <w:t>The PBAC noted that this submission is not eligible for an Independent Review as the requested change to expand the list of eligible prescribers and requested advice about the Prescribing Instruction on the optimal number of biopsies received positive recommendations.</w:t>
      </w:r>
    </w:p>
    <w:bookmarkEnd w:id="8"/>
    <w:bookmarkEnd w:id="9"/>
    <w:p w14:paraId="4232D740" w14:textId="77777777" w:rsidR="0090392E" w:rsidRPr="00F237A4" w:rsidRDefault="0090392E" w:rsidP="00BC24B8">
      <w:pPr>
        <w:pStyle w:val="2-SectionHeading"/>
        <w:rPr>
          <w:b w:val="0"/>
          <w:iCs/>
          <w:lang w:val="en-GB"/>
        </w:rPr>
      </w:pPr>
      <w:r w:rsidRPr="00525B39">
        <w:rPr>
          <w:lang w:val="en-GB"/>
        </w:rPr>
        <w:t xml:space="preserve">Recommended </w:t>
      </w:r>
      <w:proofErr w:type="gramStart"/>
      <w:r w:rsidRPr="00525B39">
        <w:rPr>
          <w:lang w:val="en-GB"/>
        </w:rPr>
        <w:t>listing</w:t>
      </w:r>
      <w:proofErr w:type="gramEnd"/>
    </w:p>
    <w:p w14:paraId="68ADBA58" w14:textId="3E1BD7FB" w:rsidR="0090392E" w:rsidRPr="00CC0A6E" w:rsidRDefault="0090392E" w:rsidP="00CC0A6E">
      <w:pPr>
        <w:widowControl w:val="0"/>
        <w:numPr>
          <w:ilvl w:val="1"/>
          <w:numId w:val="2"/>
        </w:numPr>
        <w:spacing w:after="240"/>
        <w:contextualSpacing/>
        <w:rPr>
          <w:rFonts w:asciiTheme="minorHAnsi" w:hAnsiTheme="minorHAnsi" w:cs="Arial"/>
          <w:b/>
          <w:bCs/>
          <w:snapToGrid w:val="0"/>
        </w:rPr>
      </w:pPr>
      <w:r w:rsidRPr="009322AA">
        <w:rPr>
          <w:rFonts w:asciiTheme="minorHAnsi" w:hAnsiTheme="minorHAnsi" w:cs="Arial"/>
          <w:bCs/>
          <w:snapToGrid w:val="0"/>
        </w:rPr>
        <w:t>Amend existing listing as follows:</w:t>
      </w:r>
      <w:bookmarkStart w:id="10" w:name="_Hlk76377955"/>
    </w:p>
    <w:p w14:paraId="4D397DF1" w14:textId="77777777" w:rsidR="00CC0A6E" w:rsidRPr="00BC24B8" w:rsidRDefault="00CC0A6E" w:rsidP="00CC0A6E">
      <w:pPr>
        <w:widowControl w:val="0"/>
        <w:spacing w:after="240"/>
        <w:ind w:left="720"/>
        <w:contextualSpacing/>
        <w:rPr>
          <w:rFonts w:asciiTheme="minorHAnsi" w:hAnsiTheme="minorHAnsi" w:cs="Arial"/>
          <w:b/>
          <w:bCs/>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784"/>
        <w:gridCol w:w="2692"/>
        <w:gridCol w:w="994"/>
        <w:gridCol w:w="849"/>
        <w:gridCol w:w="851"/>
        <w:gridCol w:w="709"/>
        <w:gridCol w:w="1650"/>
      </w:tblGrid>
      <w:tr w:rsidR="00491629" w:rsidRPr="00A06410" w14:paraId="2CEEA00F" w14:textId="77777777" w:rsidTr="00383AEB">
        <w:trPr>
          <w:cantSplit/>
          <w:trHeight w:val="471"/>
        </w:trPr>
        <w:tc>
          <w:tcPr>
            <w:tcW w:w="2198" w:type="pct"/>
            <w:gridSpan w:val="3"/>
          </w:tcPr>
          <w:bookmarkEnd w:id="10"/>
          <w:p w14:paraId="717BBAFF" w14:textId="77777777" w:rsidR="00491629" w:rsidRPr="00A06410" w:rsidRDefault="00491629" w:rsidP="00383AEB">
            <w:pPr>
              <w:keepNext/>
              <w:ind w:left="-108"/>
              <w:rPr>
                <w:rFonts w:ascii="Arial Narrow" w:hAnsi="Arial Narrow" w:cs="Arial"/>
                <w:b/>
                <w:bCs/>
                <w:sz w:val="20"/>
                <w:szCs w:val="20"/>
              </w:rPr>
            </w:pPr>
            <w:r w:rsidRPr="00A06410">
              <w:rPr>
                <w:rFonts w:ascii="Arial Narrow" w:hAnsi="Arial Narrow" w:cs="Arial"/>
                <w:b/>
                <w:bCs/>
                <w:sz w:val="20"/>
                <w:szCs w:val="20"/>
              </w:rPr>
              <w:t>MEDICINAL PRODUCT</w:t>
            </w:r>
          </w:p>
          <w:p w14:paraId="32C1A9AC" w14:textId="77777777" w:rsidR="00491629" w:rsidRPr="00A06410" w:rsidRDefault="00491629" w:rsidP="00383AEB">
            <w:pPr>
              <w:keepNext/>
              <w:ind w:left="-108"/>
              <w:rPr>
                <w:rFonts w:ascii="Arial Narrow" w:hAnsi="Arial Narrow" w:cs="Arial"/>
                <w:b/>
                <w:sz w:val="20"/>
                <w:szCs w:val="20"/>
              </w:rPr>
            </w:pPr>
            <w:r w:rsidRPr="00A06410">
              <w:rPr>
                <w:rFonts w:ascii="Arial Narrow" w:hAnsi="Arial Narrow" w:cs="Arial"/>
                <w:b/>
                <w:bCs/>
                <w:sz w:val="20"/>
                <w:szCs w:val="20"/>
              </w:rPr>
              <w:t xml:space="preserve"> Medicinal Product Pack</w:t>
            </w:r>
          </w:p>
        </w:tc>
        <w:tc>
          <w:tcPr>
            <w:tcW w:w="551" w:type="pct"/>
          </w:tcPr>
          <w:p w14:paraId="4A96E7A7" w14:textId="77777777" w:rsidR="00491629" w:rsidRPr="00A06410" w:rsidRDefault="00491629" w:rsidP="00383AEB">
            <w:pPr>
              <w:keepNext/>
              <w:ind w:left="-108"/>
              <w:jc w:val="center"/>
              <w:rPr>
                <w:rFonts w:ascii="Arial Narrow" w:hAnsi="Arial Narrow" w:cs="Arial"/>
                <w:b/>
                <w:sz w:val="20"/>
                <w:szCs w:val="20"/>
              </w:rPr>
            </w:pPr>
            <w:r w:rsidRPr="00A06410">
              <w:rPr>
                <w:rFonts w:ascii="Arial Narrow" w:hAnsi="Arial Narrow" w:cs="Arial"/>
                <w:b/>
                <w:sz w:val="20"/>
                <w:szCs w:val="20"/>
              </w:rPr>
              <w:t>PBS item code</w:t>
            </w:r>
          </w:p>
        </w:tc>
        <w:tc>
          <w:tcPr>
            <w:tcW w:w="471" w:type="pct"/>
          </w:tcPr>
          <w:p w14:paraId="1A41C60A" w14:textId="77777777" w:rsidR="00491629" w:rsidRPr="00A06410" w:rsidRDefault="00491629" w:rsidP="00383AEB">
            <w:pPr>
              <w:keepNext/>
              <w:ind w:left="-108"/>
              <w:jc w:val="center"/>
              <w:rPr>
                <w:rFonts w:ascii="Arial Narrow" w:hAnsi="Arial Narrow" w:cs="Arial"/>
                <w:b/>
                <w:sz w:val="20"/>
                <w:szCs w:val="20"/>
              </w:rPr>
            </w:pPr>
            <w:r w:rsidRPr="00A06410">
              <w:rPr>
                <w:rFonts w:ascii="Arial Narrow" w:hAnsi="Arial Narrow" w:cs="Arial"/>
                <w:b/>
                <w:sz w:val="20"/>
                <w:szCs w:val="20"/>
              </w:rPr>
              <w:t>Max. qty packs</w:t>
            </w:r>
          </w:p>
        </w:tc>
        <w:tc>
          <w:tcPr>
            <w:tcW w:w="472" w:type="pct"/>
          </w:tcPr>
          <w:p w14:paraId="68573556" w14:textId="77777777" w:rsidR="00491629" w:rsidRPr="00A06410" w:rsidRDefault="00491629" w:rsidP="00383AEB">
            <w:pPr>
              <w:keepNext/>
              <w:ind w:left="-108"/>
              <w:jc w:val="center"/>
              <w:rPr>
                <w:rFonts w:ascii="Arial Narrow" w:hAnsi="Arial Narrow" w:cs="Arial"/>
                <w:b/>
                <w:sz w:val="20"/>
                <w:szCs w:val="20"/>
              </w:rPr>
            </w:pPr>
            <w:r w:rsidRPr="00A06410">
              <w:rPr>
                <w:rFonts w:ascii="Arial Narrow" w:hAnsi="Arial Narrow" w:cs="Arial"/>
                <w:b/>
                <w:sz w:val="20"/>
                <w:szCs w:val="20"/>
              </w:rPr>
              <w:t>Max. qty units</w:t>
            </w:r>
          </w:p>
        </w:tc>
        <w:tc>
          <w:tcPr>
            <w:tcW w:w="393" w:type="pct"/>
          </w:tcPr>
          <w:p w14:paraId="74A61DEC" w14:textId="77777777" w:rsidR="00491629" w:rsidRPr="00A06410" w:rsidRDefault="00491629" w:rsidP="00383AEB">
            <w:pPr>
              <w:keepNext/>
              <w:ind w:left="-108"/>
              <w:jc w:val="center"/>
              <w:rPr>
                <w:rFonts w:ascii="Arial Narrow" w:hAnsi="Arial Narrow" w:cs="Arial"/>
                <w:b/>
                <w:sz w:val="20"/>
                <w:szCs w:val="20"/>
              </w:rPr>
            </w:pPr>
            <w:r w:rsidRPr="00A06410">
              <w:rPr>
                <w:rFonts w:ascii="Arial Narrow" w:hAnsi="Arial Narrow" w:cs="Arial"/>
                <w:b/>
                <w:sz w:val="20"/>
                <w:szCs w:val="20"/>
              </w:rPr>
              <w:t>№.of</w:t>
            </w:r>
          </w:p>
          <w:p w14:paraId="23D6E657" w14:textId="77777777" w:rsidR="00491629" w:rsidRPr="00A06410" w:rsidRDefault="00491629" w:rsidP="00383AEB">
            <w:pPr>
              <w:keepNext/>
              <w:ind w:left="-108"/>
              <w:jc w:val="center"/>
              <w:rPr>
                <w:rFonts w:ascii="Arial Narrow" w:hAnsi="Arial Narrow" w:cs="Arial"/>
                <w:b/>
                <w:sz w:val="20"/>
                <w:szCs w:val="20"/>
              </w:rPr>
            </w:pPr>
            <w:r w:rsidRPr="00A06410">
              <w:rPr>
                <w:rFonts w:ascii="Arial Narrow" w:hAnsi="Arial Narrow" w:cs="Arial"/>
                <w:b/>
                <w:sz w:val="20"/>
                <w:szCs w:val="20"/>
              </w:rPr>
              <w:t>Rpts</w:t>
            </w:r>
          </w:p>
        </w:tc>
        <w:tc>
          <w:tcPr>
            <w:tcW w:w="915" w:type="pct"/>
          </w:tcPr>
          <w:p w14:paraId="064F57F9" w14:textId="77777777" w:rsidR="00491629" w:rsidRPr="00A06410" w:rsidRDefault="00491629" w:rsidP="00383AEB">
            <w:pPr>
              <w:keepNext/>
              <w:rPr>
                <w:rFonts w:ascii="Arial Narrow" w:hAnsi="Arial Narrow" w:cs="Arial"/>
                <w:b/>
                <w:sz w:val="20"/>
                <w:szCs w:val="20"/>
                <w:lang w:val="fr-FR"/>
              </w:rPr>
            </w:pPr>
            <w:r w:rsidRPr="00A06410">
              <w:rPr>
                <w:rFonts w:ascii="Arial Narrow" w:hAnsi="Arial Narrow" w:cs="Arial"/>
                <w:b/>
                <w:sz w:val="20"/>
                <w:szCs w:val="20"/>
              </w:rPr>
              <w:t>Available brands</w:t>
            </w:r>
          </w:p>
        </w:tc>
      </w:tr>
      <w:tr w:rsidR="00491629" w:rsidRPr="00A06410" w14:paraId="7DF6FDE2" w14:textId="77777777" w:rsidTr="00383AEB">
        <w:trPr>
          <w:cantSplit/>
          <w:trHeight w:val="165"/>
        </w:trPr>
        <w:tc>
          <w:tcPr>
            <w:tcW w:w="5000" w:type="pct"/>
            <w:gridSpan w:val="8"/>
          </w:tcPr>
          <w:p w14:paraId="597F268E" w14:textId="77777777" w:rsidR="00491629" w:rsidRPr="003D096B" w:rsidRDefault="00491629" w:rsidP="00383AEB">
            <w:pPr>
              <w:keepNext/>
              <w:ind w:left="-108"/>
              <w:jc w:val="left"/>
              <w:rPr>
                <w:rFonts w:ascii="Arial Narrow" w:hAnsi="Arial Narrow" w:cs="Arial"/>
                <w:sz w:val="20"/>
                <w:szCs w:val="20"/>
              </w:rPr>
            </w:pPr>
            <w:r w:rsidRPr="00A06410">
              <w:rPr>
                <w:rFonts w:ascii="Arial Narrow" w:hAnsi="Arial Narrow" w:cs="Arial"/>
                <w:sz w:val="20"/>
                <w:szCs w:val="20"/>
              </w:rPr>
              <w:t>BUDESONIDE</w:t>
            </w:r>
          </w:p>
        </w:tc>
      </w:tr>
      <w:tr w:rsidR="00491629" w:rsidRPr="00A06410" w14:paraId="7464B5D1" w14:textId="77777777" w:rsidTr="00383AEB">
        <w:trPr>
          <w:cantSplit/>
          <w:trHeight w:val="211"/>
        </w:trPr>
        <w:tc>
          <w:tcPr>
            <w:tcW w:w="2198" w:type="pct"/>
            <w:gridSpan w:val="3"/>
          </w:tcPr>
          <w:p w14:paraId="0776C150" w14:textId="77777777" w:rsidR="00491629" w:rsidRPr="00A06410" w:rsidRDefault="00491629" w:rsidP="00383AEB">
            <w:pPr>
              <w:keepNext/>
              <w:ind w:left="-108"/>
              <w:jc w:val="left"/>
              <w:rPr>
                <w:rFonts w:ascii="Arial Narrow" w:hAnsi="Arial Narrow" w:cs="Arial"/>
                <w:sz w:val="20"/>
                <w:szCs w:val="20"/>
              </w:rPr>
            </w:pPr>
            <w:r w:rsidRPr="00A06410">
              <w:rPr>
                <w:rFonts w:ascii="Arial Narrow" w:hAnsi="Arial Narrow" w:cs="Arial"/>
                <w:sz w:val="20"/>
                <w:szCs w:val="20"/>
              </w:rPr>
              <w:t>budesonide 1 mg orally disintegrating tablet, 90</w:t>
            </w:r>
          </w:p>
        </w:tc>
        <w:tc>
          <w:tcPr>
            <w:tcW w:w="551" w:type="pct"/>
            <w:vAlign w:val="center"/>
          </w:tcPr>
          <w:p w14:paraId="71E2D76D" w14:textId="77777777" w:rsidR="00491629" w:rsidRPr="00A06410" w:rsidRDefault="00491629" w:rsidP="00383AEB">
            <w:pPr>
              <w:keepNext/>
              <w:jc w:val="center"/>
              <w:rPr>
                <w:rFonts w:ascii="Arial Narrow" w:hAnsi="Arial Narrow" w:cs="Arial"/>
                <w:sz w:val="20"/>
                <w:szCs w:val="20"/>
              </w:rPr>
            </w:pPr>
            <w:r w:rsidRPr="00A06410">
              <w:rPr>
                <w:rFonts w:ascii="Arial Narrow" w:hAnsi="Arial Narrow" w:cs="Arial"/>
                <w:sz w:val="20"/>
                <w:szCs w:val="20"/>
              </w:rPr>
              <w:t>12994X</w:t>
            </w:r>
          </w:p>
        </w:tc>
        <w:tc>
          <w:tcPr>
            <w:tcW w:w="471" w:type="pct"/>
            <w:vAlign w:val="center"/>
          </w:tcPr>
          <w:p w14:paraId="266F67BC" w14:textId="77777777" w:rsidR="00491629" w:rsidRPr="003D096B" w:rsidRDefault="00491629" w:rsidP="00383AEB">
            <w:pPr>
              <w:keepNext/>
              <w:jc w:val="center"/>
              <w:rPr>
                <w:rFonts w:ascii="Arial Narrow" w:hAnsi="Arial Narrow" w:cs="Arial"/>
                <w:sz w:val="20"/>
                <w:szCs w:val="20"/>
              </w:rPr>
            </w:pPr>
            <w:r w:rsidRPr="003D096B">
              <w:rPr>
                <w:rFonts w:ascii="Arial Narrow" w:hAnsi="Arial Narrow" w:cs="Arial"/>
                <w:sz w:val="20"/>
                <w:szCs w:val="20"/>
              </w:rPr>
              <w:t>1</w:t>
            </w:r>
          </w:p>
        </w:tc>
        <w:tc>
          <w:tcPr>
            <w:tcW w:w="472" w:type="pct"/>
            <w:vAlign w:val="center"/>
          </w:tcPr>
          <w:p w14:paraId="1AEB69F2" w14:textId="77777777" w:rsidR="00491629" w:rsidRPr="003D096B" w:rsidRDefault="00491629" w:rsidP="00383AEB">
            <w:pPr>
              <w:keepNext/>
              <w:jc w:val="center"/>
              <w:rPr>
                <w:rFonts w:ascii="Arial Narrow" w:hAnsi="Arial Narrow" w:cs="Arial"/>
                <w:sz w:val="20"/>
                <w:szCs w:val="20"/>
              </w:rPr>
            </w:pPr>
            <w:r w:rsidRPr="003D096B">
              <w:rPr>
                <w:rFonts w:ascii="Arial Narrow" w:hAnsi="Arial Narrow" w:cs="Arial"/>
                <w:sz w:val="20"/>
                <w:szCs w:val="20"/>
              </w:rPr>
              <w:t>90</w:t>
            </w:r>
          </w:p>
        </w:tc>
        <w:tc>
          <w:tcPr>
            <w:tcW w:w="393" w:type="pct"/>
            <w:vAlign w:val="center"/>
          </w:tcPr>
          <w:p w14:paraId="544C29CD" w14:textId="77777777" w:rsidR="00491629" w:rsidRPr="003D096B" w:rsidRDefault="00491629" w:rsidP="00383AEB">
            <w:pPr>
              <w:keepNext/>
              <w:jc w:val="center"/>
              <w:rPr>
                <w:rFonts w:ascii="Arial Narrow" w:hAnsi="Arial Narrow" w:cs="Arial"/>
                <w:sz w:val="20"/>
                <w:szCs w:val="20"/>
              </w:rPr>
            </w:pPr>
            <w:r w:rsidRPr="003D096B">
              <w:rPr>
                <w:rFonts w:ascii="Arial Narrow" w:hAnsi="Arial Narrow" w:cs="Arial"/>
                <w:sz w:val="20"/>
                <w:szCs w:val="20"/>
              </w:rPr>
              <w:t>1</w:t>
            </w:r>
          </w:p>
        </w:tc>
        <w:tc>
          <w:tcPr>
            <w:tcW w:w="915" w:type="pct"/>
            <w:vAlign w:val="center"/>
          </w:tcPr>
          <w:p w14:paraId="08EC82DB" w14:textId="77777777" w:rsidR="00491629" w:rsidRPr="00A06410" w:rsidRDefault="00491629" w:rsidP="00383AEB">
            <w:pPr>
              <w:keepNext/>
              <w:jc w:val="center"/>
              <w:rPr>
                <w:rFonts w:ascii="Arial Narrow" w:hAnsi="Arial Narrow" w:cs="Arial"/>
                <w:sz w:val="20"/>
                <w:szCs w:val="20"/>
              </w:rPr>
            </w:pPr>
            <w:r w:rsidRPr="00A06410">
              <w:rPr>
                <w:rFonts w:ascii="Arial Narrow" w:hAnsi="Arial Narrow" w:cs="Arial"/>
                <w:sz w:val="20"/>
                <w:szCs w:val="20"/>
              </w:rPr>
              <w:t>Jorveza</w:t>
            </w:r>
          </w:p>
        </w:tc>
      </w:tr>
      <w:tr w:rsidR="00491629" w:rsidRPr="00A06410" w14:paraId="52DA4F76" w14:textId="77777777" w:rsidTr="00383AEB">
        <w:trPr>
          <w:cantSplit/>
          <w:trHeight w:val="211"/>
        </w:trPr>
        <w:tc>
          <w:tcPr>
            <w:tcW w:w="5000" w:type="pct"/>
            <w:gridSpan w:val="8"/>
          </w:tcPr>
          <w:p w14:paraId="569FFDD9" w14:textId="77777777" w:rsidR="00491629" w:rsidRPr="00A06410" w:rsidRDefault="00491629" w:rsidP="00383AEB">
            <w:pPr>
              <w:keepNext/>
              <w:jc w:val="center"/>
              <w:rPr>
                <w:rFonts w:ascii="Arial Narrow" w:hAnsi="Arial Narrow" w:cs="Arial"/>
                <w:sz w:val="20"/>
                <w:szCs w:val="20"/>
              </w:rPr>
            </w:pPr>
          </w:p>
        </w:tc>
      </w:tr>
      <w:tr w:rsidR="00491629" w:rsidRPr="001428E9" w14:paraId="2C0FD38D" w14:textId="77777777" w:rsidTr="00383AEB">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1C2755B5" w14:textId="086FBD0B" w:rsidR="00491629" w:rsidRPr="00A06410" w:rsidRDefault="00491629" w:rsidP="00383AEB">
            <w:pPr>
              <w:keepLines/>
              <w:jc w:val="left"/>
              <w:rPr>
                <w:rFonts w:ascii="Arial Narrow" w:hAnsi="Arial Narrow" w:cs="Arial"/>
                <w:b/>
                <w:sz w:val="20"/>
                <w:szCs w:val="20"/>
              </w:rPr>
            </w:pPr>
            <w:r w:rsidRPr="00A06410">
              <w:rPr>
                <w:rFonts w:ascii="Arial Narrow" w:hAnsi="Arial Narrow"/>
                <w:b/>
                <w:sz w:val="20"/>
                <w:szCs w:val="20"/>
              </w:rPr>
              <w:t>Restriction Summary [</w:t>
            </w:r>
            <w:r w:rsidR="00A63F02">
              <w:rPr>
                <w:rFonts w:ascii="Arial Narrow" w:hAnsi="Arial Narrow"/>
                <w:b/>
                <w:sz w:val="20"/>
                <w:szCs w:val="20"/>
              </w:rPr>
              <w:t>N</w:t>
            </w:r>
            <w:r w:rsidR="005873A2">
              <w:rPr>
                <w:rFonts w:ascii="Arial Narrow" w:hAnsi="Arial Narrow"/>
                <w:b/>
                <w:sz w:val="20"/>
                <w:szCs w:val="20"/>
              </w:rPr>
              <w:t>ew</w:t>
            </w:r>
            <w:r w:rsidR="00A63F02">
              <w:rPr>
                <w:rFonts w:ascii="Arial Narrow" w:hAnsi="Arial Narrow"/>
                <w:b/>
                <w:sz w:val="20"/>
                <w:szCs w:val="20"/>
              </w:rPr>
              <w:t>1</w:t>
            </w:r>
            <w:r w:rsidRPr="00A06410">
              <w:rPr>
                <w:rFonts w:ascii="Arial Narrow" w:hAnsi="Arial Narrow"/>
                <w:b/>
                <w:sz w:val="20"/>
                <w:szCs w:val="20"/>
              </w:rPr>
              <w:t>]</w:t>
            </w:r>
            <w:r w:rsidRPr="003D096B">
              <w:rPr>
                <w:rFonts w:ascii="Arial Narrow" w:hAnsi="Arial Narrow"/>
                <w:b/>
                <w:sz w:val="20"/>
                <w:szCs w:val="20"/>
              </w:rPr>
              <w:t xml:space="preserve"> </w:t>
            </w:r>
            <w:r w:rsidRPr="00A06410">
              <w:rPr>
                <w:rFonts w:ascii="Arial Narrow" w:hAnsi="Arial Narrow"/>
                <w:b/>
                <w:sz w:val="20"/>
                <w:szCs w:val="20"/>
              </w:rPr>
              <w:t>/ Treatment of Concept: [</w:t>
            </w:r>
            <w:r w:rsidR="00A63F02">
              <w:rPr>
                <w:rFonts w:ascii="Arial Narrow" w:hAnsi="Arial Narrow"/>
                <w:b/>
                <w:sz w:val="20"/>
                <w:szCs w:val="20"/>
              </w:rPr>
              <w:t>N</w:t>
            </w:r>
            <w:r w:rsidR="005873A2">
              <w:rPr>
                <w:rFonts w:ascii="Arial Narrow" w:hAnsi="Arial Narrow"/>
                <w:b/>
                <w:sz w:val="20"/>
                <w:szCs w:val="20"/>
              </w:rPr>
              <w:t>ew</w:t>
            </w:r>
            <w:r w:rsidR="00A63F02">
              <w:rPr>
                <w:rFonts w:ascii="Arial Narrow" w:hAnsi="Arial Narrow"/>
                <w:b/>
                <w:sz w:val="20"/>
                <w:szCs w:val="20"/>
              </w:rPr>
              <w:t>2</w:t>
            </w:r>
            <w:r w:rsidRPr="00A06410">
              <w:rPr>
                <w:rFonts w:ascii="Arial Narrow" w:hAnsi="Arial Narrow"/>
                <w:b/>
                <w:sz w:val="20"/>
                <w:szCs w:val="20"/>
              </w:rPr>
              <w:t>]</w:t>
            </w:r>
          </w:p>
        </w:tc>
      </w:tr>
      <w:tr w:rsidR="00491629" w:rsidRPr="001428E9" w14:paraId="2A85CD96" w14:textId="77777777" w:rsidTr="00383AEB">
        <w:tblPrEx>
          <w:tblCellMar>
            <w:top w:w="15" w:type="dxa"/>
            <w:bottom w:w="15" w:type="dxa"/>
          </w:tblCellMar>
          <w:tblLook w:val="04A0" w:firstRow="1" w:lastRow="0" w:firstColumn="1" w:lastColumn="0" w:noHBand="0" w:noVBand="1"/>
        </w:tblPrEx>
        <w:trPr>
          <w:trHeight w:val="20"/>
        </w:trPr>
        <w:tc>
          <w:tcPr>
            <w:tcW w:w="705" w:type="pct"/>
            <w:gridSpan w:val="2"/>
            <w:vMerge w:val="restart"/>
            <w:tcBorders>
              <w:top w:val="single" w:sz="4" w:space="0" w:color="auto"/>
              <w:left w:val="single" w:sz="4" w:space="0" w:color="auto"/>
              <w:right w:val="single" w:sz="4" w:space="0" w:color="auto"/>
            </w:tcBorders>
          </w:tcPr>
          <w:p w14:paraId="7633970B" w14:textId="12A31D12" w:rsidR="00491629" w:rsidRPr="00A06410" w:rsidRDefault="00491629" w:rsidP="00383AEB">
            <w:pPr>
              <w:jc w:val="left"/>
              <w:rPr>
                <w:rFonts w:ascii="Arial Narrow" w:hAnsi="Arial Narrow" w:cs="Arial"/>
                <w:b/>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3436847F" w14:textId="77777777" w:rsidR="00491629" w:rsidRPr="00A06410" w:rsidRDefault="00491629" w:rsidP="00383AEB">
            <w:pPr>
              <w:keepLines/>
              <w:jc w:val="left"/>
              <w:rPr>
                <w:rFonts w:ascii="Arial Narrow" w:hAnsi="Arial Narrow" w:cs="Arial"/>
                <w:sz w:val="20"/>
                <w:szCs w:val="20"/>
              </w:rPr>
            </w:pPr>
            <w:r w:rsidRPr="00A06410">
              <w:rPr>
                <w:rFonts w:ascii="Arial Narrow" w:hAnsi="Arial Narrow" w:cs="Arial"/>
                <w:b/>
                <w:sz w:val="20"/>
                <w:szCs w:val="20"/>
              </w:rPr>
              <w:t xml:space="preserve">Category / Program: </w:t>
            </w:r>
            <w:r w:rsidRPr="00A06410">
              <w:rPr>
                <w:rFonts w:ascii="Arial Narrow" w:hAnsi="Arial Narrow" w:cs="Arial"/>
                <w:sz w:val="20"/>
                <w:szCs w:val="20"/>
              </w:rPr>
              <w:t>GENERAL – General Schedule (Code GE)</w:t>
            </w:r>
          </w:p>
        </w:tc>
      </w:tr>
      <w:tr w:rsidR="00491629" w:rsidRPr="001428E9" w14:paraId="5DA0A2C6" w14:textId="77777777" w:rsidTr="00383AEB">
        <w:tblPrEx>
          <w:tblCellMar>
            <w:top w:w="15" w:type="dxa"/>
            <w:bottom w:w="15" w:type="dxa"/>
          </w:tblCellMar>
          <w:tblLook w:val="04A0" w:firstRow="1" w:lastRow="0" w:firstColumn="1" w:lastColumn="0" w:noHBand="0" w:noVBand="1"/>
        </w:tblPrEx>
        <w:trPr>
          <w:trHeight w:val="20"/>
        </w:trPr>
        <w:tc>
          <w:tcPr>
            <w:tcW w:w="705" w:type="pct"/>
            <w:gridSpan w:val="2"/>
            <w:vMerge/>
            <w:tcBorders>
              <w:left w:val="single" w:sz="4" w:space="0" w:color="auto"/>
              <w:right w:val="single" w:sz="4" w:space="0" w:color="auto"/>
            </w:tcBorders>
          </w:tcPr>
          <w:p w14:paraId="6A2CB7F9" w14:textId="77777777" w:rsidR="00491629" w:rsidRPr="00A06410" w:rsidRDefault="00491629" w:rsidP="00383AEB">
            <w:pPr>
              <w:jc w:val="left"/>
              <w:rPr>
                <w:rFonts w:ascii="Arial Narrow" w:hAnsi="Arial Narrow" w:cs="Arial"/>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509ACC68" w14:textId="77777777" w:rsidR="00491629" w:rsidRPr="00A06410" w:rsidRDefault="00491629" w:rsidP="00383AEB">
            <w:pPr>
              <w:keepLines/>
              <w:jc w:val="left"/>
              <w:rPr>
                <w:rFonts w:ascii="Arial Narrow" w:hAnsi="Arial Narrow" w:cs="Arial"/>
                <w:b/>
                <w:sz w:val="20"/>
                <w:szCs w:val="20"/>
              </w:rPr>
            </w:pPr>
            <w:r w:rsidRPr="00A06410">
              <w:rPr>
                <w:rFonts w:ascii="Arial Narrow" w:hAnsi="Arial Narrow" w:cs="Arial"/>
                <w:b/>
                <w:sz w:val="20"/>
                <w:szCs w:val="20"/>
              </w:rPr>
              <w:t xml:space="preserve">Prescriber type: </w:t>
            </w:r>
            <w:r w:rsidRPr="00295B12">
              <w:rPr>
                <w:rFonts w:ascii="Arial Narrow" w:hAnsi="Arial Narrow" w:cs="Arial"/>
                <w:sz w:val="20"/>
                <w:szCs w:val="20"/>
              </w:rPr>
              <w:fldChar w:fldCharType="begin" w:fldLock="1">
                <w:ffData>
                  <w:name w:val=""/>
                  <w:enabled/>
                  <w:calcOnExit w:val="0"/>
                  <w:checkBox>
                    <w:sizeAuto/>
                    <w:default w:val="1"/>
                  </w:checkBox>
                </w:ffData>
              </w:fldChar>
            </w:r>
            <w:r w:rsidRPr="00A06410">
              <w:rPr>
                <w:rFonts w:ascii="Arial Narrow" w:hAnsi="Arial Narrow" w:cs="Arial"/>
                <w:sz w:val="20"/>
                <w:szCs w:val="20"/>
              </w:rPr>
              <w:instrText xml:space="preserve"> FORMCHECKBOX </w:instrText>
            </w:r>
            <w:r w:rsidR="001579BE">
              <w:rPr>
                <w:rFonts w:ascii="Arial Narrow" w:hAnsi="Arial Narrow" w:cs="Arial"/>
                <w:sz w:val="20"/>
                <w:szCs w:val="20"/>
              </w:rPr>
            </w:r>
            <w:r w:rsidR="001579BE">
              <w:rPr>
                <w:rFonts w:ascii="Arial Narrow" w:hAnsi="Arial Narrow" w:cs="Arial"/>
                <w:sz w:val="20"/>
                <w:szCs w:val="20"/>
              </w:rPr>
              <w:fldChar w:fldCharType="separate"/>
            </w:r>
            <w:r w:rsidRPr="00295B12">
              <w:rPr>
                <w:rFonts w:ascii="Arial Narrow" w:hAnsi="Arial Narrow" w:cs="Arial"/>
                <w:sz w:val="20"/>
                <w:szCs w:val="20"/>
              </w:rPr>
              <w:fldChar w:fldCharType="end"/>
            </w:r>
            <w:r w:rsidRPr="00A06410">
              <w:rPr>
                <w:rFonts w:ascii="Arial Narrow" w:hAnsi="Arial Narrow" w:cs="Arial"/>
                <w:sz w:val="20"/>
                <w:szCs w:val="20"/>
              </w:rPr>
              <w:t xml:space="preserve">Medical Practitioners </w:t>
            </w:r>
          </w:p>
        </w:tc>
      </w:tr>
      <w:tr w:rsidR="00491629" w:rsidRPr="00D56F94" w14:paraId="1A8DFC83" w14:textId="77777777" w:rsidTr="00383AEB">
        <w:tblPrEx>
          <w:tblCellMar>
            <w:top w:w="15" w:type="dxa"/>
            <w:bottom w:w="15" w:type="dxa"/>
          </w:tblCellMar>
          <w:tblLook w:val="04A0" w:firstRow="1" w:lastRow="0" w:firstColumn="1" w:lastColumn="0" w:noHBand="0" w:noVBand="1"/>
        </w:tblPrEx>
        <w:trPr>
          <w:trHeight w:val="20"/>
        </w:trPr>
        <w:tc>
          <w:tcPr>
            <w:tcW w:w="705" w:type="pct"/>
            <w:gridSpan w:val="2"/>
            <w:vMerge/>
            <w:tcBorders>
              <w:left w:val="single" w:sz="4" w:space="0" w:color="auto"/>
              <w:bottom w:val="single" w:sz="4" w:space="0" w:color="auto"/>
              <w:right w:val="single" w:sz="4" w:space="0" w:color="auto"/>
            </w:tcBorders>
          </w:tcPr>
          <w:p w14:paraId="76915C78" w14:textId="77777777" w:rsidR="00491629" w:rsidRPr="00A06410" w:rsidRDefault="00491629" w:rsidP="00383AEB">
            <w:pPr>
              <w:jc w:val="left"/>
              <w:rPr>
                <w:rFonts w:ascii="Arial Narrow" w:hAnsi="Arial Narrow" w:cs="Arial"/>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41955FEE" w14:textId="77777777" w:rsidR="00491629" w:rsidRPr="004B13C8" w:rsidRDefault="00491629" w:rsidP="00383AEB">
            <w:pPr>
              <w:keepLines/>
              <w:jc w:val="left"/>
              <w:rPr>
                <w:rFonts w:ascii="Arial Narrow" w:eastAsia="Calibri" w:hAnsi="Arial Narrow" w:cs="Arial"/>
                <w:sz w:val="20"/>
                <w:szCs w:val="20"/>
              </w:rPr>
            </w:pPr>
            <w:r w:rsidRPr="00A06410">
              <w:rPr>
                <w:rFonts w:ascii="Arial Narrow" w:hAnsi="Arial Narrow" w:cs="Arial"/>
                <w:b/>
                <w:sz w:val="20"/>
                <w:szCs w:val="20"/>
              </w:rPr>
              <w:t xml:space="preserve">Restriction type: </w:t>
            </w:r>
            <w:r w:rsidRPr="003D096B">
              <w:rPr>
                <w:rFonts w:ascii="Arial Narrow" w:eastAsia="Calibri" w:hAnsi="Arial Narrow" w:cs="Arial"/>
                <w:sz w:val="20"/>
                <w:szCs w:val="20"/>
              </w:rPr>
              <w:br/>
            </w:r>
            <w:r w:rsidRPr="00295B12">
              <w:rPr>
                <w:rFonts w:ascii="Arial Narrow" w:eastAsia="Calibri" w:hAnsi="Arial Narrow" w:cs="Arial"/>
                <w:sz w:val="20"/>
                <w:szCs w:val="20"/>
              </w:rPr>
              <w:fldChar w:fldCharType="begin" w:fldLock="1">
                <w:ffData>
                  <w:name w:val=""/>
                  <w:enabled/>
                  <w:calcOnExit w:val="0"/>
                  <w:checkBox>
                    <w:sizeAuto/>
                    <w:default w:val="1"/>
                  </w:checkBox>
                </w:ffData>
              </w:fldChar>
            </w:r>
            <w:r w:rsidRPr="00A06410">
              <w:rPr>
                <w:rFonts w:ascii="Arial Narrow" w:eastAsia="Calibri" w:hAnsi="Arial Narrow" w:cs="Arial"/>
                <w:sz w:val="20"/>
                <w:szCs w:val="20"/>
              </w:rPr>
              <w:instrText xml:space="preserve"> FORMCHECKBOX </w:instrText>
            </w:r>
            <w:r w:rsidR="001579BE">
              <w:rPr>
                <w:rFonts w:ascii="Arial Narrow" w:eastAsia="Calibri" w:hAnsi="Arial Narrow" w:cs="Arial"/>
                <w:sz w:val="20"/>
                <w:szCs w:val="20"/>
              </w:rPr>
            </w:r>
            <w:r w:rsidR="001579BE">
              <w:rPr>
                <w:rFonts w:ascii="Arial Narrow" w:eastAsia="Calibri" w:hAnsi="Arial Narrow" w:cs="Arial"/>
                <w:sz w:val="20"/>
                <w:szCs w:val="20"/>
              </w:rPr>
              <w:fldChar w:fldCharType="separate"/>
            </w:r>
            <w:r w:rsidRPr="00295B12">
              <w:rPr>
                <w:rFonts w:ascii="Arial Narrow" w:eastAsia="Calibri" w:hAnsi="Arial Narrow" w:cs="Arial"/>
                <w:sz w:val="20"/>
                <w:szCs w:val="20"/>
              </w:rPr>
              <w:fldChar w:fldCharType="end"/>
            </w:r>
            <w:r w:rsidRPr="00A06410">
              <w:rPr>
                <w:rFonts w:ascii="Arial Narrow" w:eastAsia="Calibri" w:hAnsi="Arial Narrow" w:cs="Arial"/>
                <w:sz w:val="20"/>
                <w:szCs w:val="20"/>
              </w:rPr>
              <w:t xml:space="preserve">Authority Required (telephone/online PBS Authorities system) </w:t>
            </w:r>
          </w:p>
        </w:tc>
      </w:tr>
      <w:tr w:rsidR="00491629" w:rsidRPr="001428E9" w14:paraId="0A05A0C4" w14:textId="77777777" w:rsidTr="00383AEB">
        <w:tblPrEx>
          <w:tblCellMar>
            <w:top w:w="15" w:type="dxa"/>
            <w:bottom w:w="15" w:type="dxa"/>
          </w:tblCellMar>
        </w:tblPrEx>
        <w:trPr>
          <w:trHeight w:val="20"/>
        </w:trPr>
        <w:tc>
          <w:tcPr>
            <w:tcW w:w="270" w:type="pct"/>
            <w:vMerge w:val="restart"/>
            <w:tcBorders>
              <w:left w:val="single" w:sz="4" w:space="0" w:color="auto"/>
              <w:right w:val="single" w:sz="4" w:space="0" w:color="auto"/>
            </w:tcBorders>
            <w:textDirection w:val="btLr"/>
            <w:vAlign w:val="center"/>
          </w:tcPr>
          <w:p w14:paraId="541CF944" w14:textId="4C589A45" w:rsidR="00491629" w:rsidRPr="00A06410" w:rsidRDefault="00491629" w:rsidP="00383AEB">
            <w:pPr>
              <w:jc w:val="left"/>
              <w:rPr>
                <w:rFonts w:ascii="Arial Narrow" w:hAnsi="Arial Narrow" w:cs="Arial"/>
                <w:sz w:val="20"/>
                <w:szCs w:val="20"/>
              </w:rPr>
            </w:pPr>
          </w:p>
        </w:tc>
        <w:tc>
          <w:tcPr>
            <w:tcW w:w="435" w:type="pct"/>
          </w:tcPr>
          <w:p w14:paraId="76939113" w14:textId="169EEE91" w:rsidR="00491629" w:rsidRPr="003D096B" w:rsidRDefault="00491629" w:rsidP="00383AEB">
            <w:pPr>
              <w:jc w:val="left"/>
              <w:rPr>
                <w:rFonts w:ascii="Arial Narrow" w:hAnsi="Arial Narrow"/>
                <w:sz w:val="20"/>
                <w:szCs w:val="20"/>
              </w:rPr>
            </w:pPr>
          </w:p>
        </w:tc>
        <w:tc>
          <w:tcPr>
            <w:tcW w:w="4295" w:type="pct"/>
            <w:gridSpan w:val="6"/>
          </w:tcPr>
          <w:p w14:paraId="16316AE9" w14:textId="77777777" w:rsidR="00491629" w:rsidRPr="004B13C8" w:rsidRDefault="00491629" w:rsidP="00383AEB">
            <w:pPr>
              <w:pStyle w:val="NormalWeb"/>
              <w:spacing w:before="0" w:beforeAutospacing="0" w:after="0" w:afterAutospacing="0"/>
              <w:textAlignment w:val="baseline"/>
              <w:rPr>
                <w:rFonts w:ascii="Arial Narrow" w:hAnsi="Arial Narrow" w:cs="Open Sans"/>
                <w:sz w:val="20"/>
                <w:szCs w:val="20"/>
              </w:rPr>
            </w:pPr>
            <w:r w:rsidRPr="004B13C8">
              <w:rPr>
                <w:rStyle w:val="Strong"/>
                <w:rFonts w:ascii="Arial Narrow" w:hAnsi="Arial Narrow" w:cs="Open Sans"/>
                <w:sz w:val="20"/>
                <w:szCs w:val="20"/>
                <w:bdr w:val="none" w:sz="0" w:space="0" w:color="auto" w:frame="1"/>
              </w:rPr>
              <w:t>Administrative Advice:</w:t>
            </w:r>
          </w:p>
          <w:p w14:paraId="00DF1A6E" w14:textId="77777777" w:rsidR="00491629" w:rsidRPr="003D096B" w:rsidRDefault="00491629" w:rsidP="00383AEB">
            <w:pPr>
              <w:jc w:val="left"/>
              <w:rPr>
                <w:rFonts w:ascii="Arial Narrow" w:hAnsi="Arial Narrow"/>
                <w:sz w:val="20"/>
                <w:szCs w:val="20"/>
              </w:rPr>
            </w:pPr>
            <w:r w:rsidRPr="004B13C8">
              <w:rPr>
                <w:rFonts w:ascii="Arial Narrow" w:hAnsi="Arial Narrow" w:cs="Open Sans"/>
                <w:sz w:val="20"/>
                <w:szCs w:val="20"/>
              </w:rPr>
              <w:t>No increase in the maximum number of repeats may be authorised.</w:t>
            </w:r>
          </w:p>
        </w:tc>
      </w:tr>
      <w:tr w:rsidR="00491629" w:rsidRPr="001428E9" w14:paraId="1FEA66A9" w14:textId="77777777" w:rsidTr="00383AEB">
        <w:tblPrEx>
          <w:tblCellMar>
            <w:top w:w="15" w:type="dxa"/>
            <w:bottom w:w="15" w:type="dxa"/>
          </w:tblCellMar>
        </w:tblPrEx>
        <w:trPr>
          <w:trHeight w:val="20"/>
        </w:trPr>
        <w:tc>
          <w:tcPr>
            <w:tcW w:w="270" w:type="pct"/>
            <w:vMerge/>
            <w:tcBorders>
              <w:left w:val="single" w:sz="4" w:space="0" w:color="auto"/>
              <w:right w:val="single" w:sz="4" w:space="0" w:color="auto"/>
            </w:tcBorders>
          </w:tcPr>
          <w:p w14:paraId="14F53887" w14:textId="77777777" w:rsidR="00491629" w:rsidRPr="00A06410" w:rsidRDefault="00491629" w:rsidP="00383AEB">
            <w:pPr>
              <w:jc w:val="left"/>
              <w:rPr>
                <w:rFonts w:ascii="Arial Narrow" w:hAnsi="Arial Narrow" w:cs="Arial"/>
                <w:sz w:val="20"/>
                <w:szCs w:val="20"/>
              </w:rPr>
            </w:pPr>
          </w:p>
        </w:tc>
        <w:tc>
          <w:tcPr>
            <w:tcW w:w="435" w:type="pct"/>
          </w:tcPr>
          <w:p w14:paraId="1E86504D" w14:textId="6A32FEE6" w:rsidR="00491629" w:rsidRPr="003D096B" w:rsidRDefault="00491629" w:rsidP="00383AEB">
            <w:pPr>
              <w:jc w:val="left"/>
              <w:rPr>
                <w:rFonts w:ascii="Arial Narrow" w:hAnsi="Arial Narrow"/>
                <w:sz w:val="20"/>
                <w:szCs w:val="20"/>
              </w:rPr>
            </w:pPr>
          </w:p>
        </w:tc>
        <w:tc>
          <w:tcPr>
            <w:tcW w:w="4295" w:type="pct"/>
            <w:gridSpan w:val="6"/>
          </w:tcPr>
          <w:p w14:paraId="21C34D1D" w14:textId="77777777" w:rsidR="00491629" w:rsidRPr="003D096B" w:rsidRDefault="00491629" w:rsidP="00383AEB">
            <w:pPr>
              <w:pStyle w:val="NormalWeb"/>
              <w:spacing w:before="0" w:beforeAutospacing="0" w:after="0" w:afterAutospacing="0"/>
              <w:textAlignment w:val="baseline"/>
              <w:rPr>
                <w:rFonts w:ascii="Arial Narrow" w:hAnsi="Arial Narrow" w:cs="Open Sans"/>
                <w:sz w:val="20"/>
                <w:szCs w:val="20"/>
              </w:rPr>
            </w:pPr>
            <w:r w:rsidRPr="003D096B">
              <w:rPr>
                <w:rStyle w:val="Strong"/>
                <w:rFonts w:ascii="Arial Narrow" w:hAnsi="Arial Narrow" w:cs="Open Sans"/>
                <w:sz w:val="20"/>
                <w:szCs w:val="20"/>
                <w:bdr w:val="none" w:sz="0" w:space="0" w:color="auto" w:frame="1"/>
              </w:rPr>
              <w:t>Administrative Advice:</w:t>
            </w:r>
          </w:p>
          <w:p w14:paraId="5C721708" w14:textId="77777777" w:rsidR="00491629" w:rsidRPr="003D096B" w:rsidRDefault="00491629" w:rsidP="00383AEB">
            <w:pPr>
              <w:jc w:val="left"/>
              <w:rPr>
                <w:rFonts w:ascii="Arial Narrow" w:hAnsi="Arial Narrow"/>
                <w:b/>
                <w:bCs/>
                <w:sz w:val="20"/>
                <w:szCs w:val="20"/>
              </w:rPr>
            </w:pPr>
            <w:r w:rsidRPr="003D096B">
              <w:rPr>
                <w:rFonts w:ascii="Arial Narrow" w:hAnsi="Arial Narrow" w:cs="Open Sans"/>
                <w:sz w:val="20"/>
                <w:szCs w:val="20"/>
              </w:rPr>
              <w:t>No increase in the maximum quantity or number of units may be authorised.</w:t>
            </w:r>
          </w:p>
        </w:tc>
      </w:tr>
      <w:tr w:rsidR="00491629" w:rsidRPr="001428E9" w14:paraId="682C5042" w14:textId="77777777" w:rsidTr="00383AEB">
        <w:tblPrEx>
          <w:tblCellMar>
            <w:top w:w="15" w:type="dxa"/>
            <w:bottom w:w="15" w:type="dxa"/>
          </w:tblCellMar>
        </w:tblPrEx>
        <w:trPr>
          <w:trHeight w:val="20"/>
        </w:trPr>
        <w:tc>
          <w:tcPr>
            <w:tcW w:w="270" w:type="pct"/>
            <w:vMerge/>
            <w:tcBorders>
              <w:left w:val="single" w:sz="4" w:space="0" w:color="auto"/>
              <w:right w:val="single" w:sz="4" w:space="0" w:color="auto"/>
            </w:tcBorders>
          </w:tcPr>
          <w:p w14:paraId="7E712DF8" w14:textId="77777777" w:rsidR="00491629" w:rsidRPr="00A06410" w:rsidRDefault="00491629" w:rsidP="00383AEB">
            <w:pPr>
              <w:jc w:val="left"/>
              <w:rPr>
                <w:rFonts w:ascii="Arial Narrow" w:hAnsi="Arial Narrow" w:cs="Arial"/>
                <w:sz w:val="20"/>
                <w:szCs w:val="20"/>
              </w:rPr>
            </w:pPr>
          </w:p>
        </w:tc>
        <w:tc>
          <w:tcPr>
            <w:tcW w:w="435" w:type="pct"/>
          </w:tcPr>
          <w:p w14:paraId="56FD755C" w14:textId="4169AFAC" w:rsidR="00491629" w:rsidRPr="003D096B" w:rsidRDefault="00491629" w:rsidP="00383AEB">
            <w:pPr>
              <w:jc w:val="left"/>
              <w:rPr>
                <w:rFonts w:ascii="Arial Narrow" w:hAnsi="Arial Narrow"/>
                <w:sz w:val="20"/>
                <w:szCs w:val="20"/>
              </w:rPr>
            </w:pPr>
          </w:p>
        </w:tc>
        <w:tc>
          <w:tcPr>
            <w:tcW w:w="4295" w:type="pct"/>
            <w:gridSpan w:val="6"/>
          </w:tcPr>
          <w:p w14:paraId="548C2469" w14:textId="77777777" w:rsidR="00491629" w:rsidRPr="003D096B" w:rsidRDefault="00491629" w:rsidP="00383AEB">
            <w:pPr>
              <w:pStyle w:val="NormalWeb"/>
              <w:spacing w:before="0" w:beforeAutospacing="0" w:after="0" w:afterAutospacing="0"/>
              <w:textAlignment w:val="baseline"/>
              <w:rPr>
                <w:rFonts w:ascii="Arial Narrow" w:hAnsi="Arial Narrow" w:cs="Open Sans"/>
                <w:sz w:val="20"/>
                <w:szCs w:val="20"/>
              </w:rPr>
            </w:pPr>
            <w:r w:rsidRPr="003D096B">
              <w:rPr>
                <w:rStyle w:val="Strong"/>
                <w:rFonts w:ascii="Arial Narrow" w:hAnsi="Arial Narrow" w:cs="Open Sans"/>
                <w:sz w:val="20"/>
                <w:szCs w:val="20"/>
                <w:bdr w:val="none" w:sz="0" w:space="0" w:color="auto" w:frame="1"/>
              </w:rPr>
              <w:t>Administrative Advice:</w:t>
            </w:r>
          </w:p>
          <w:p w14:paraId="1F5DAFC1" w14:textId="77777777" w:rsidR="00491629" w:rsidRPr="003D096B" w:rsidRDefault="00491629" w:rsidP="00383AEB">
            <w:pPr>
              <w:jc w:val="left"/>
              <w:rPr>
                <w:rFonts w:ascii="Arial Narrow" w:hAnsi="Arial Narrow"/>
                <w:b/>
                <w:bCs/>
                <w:sz w:val="20"/>
                <w:szCs w:val="20"/>
              </w:rPr>
            </w:pPr>
            <w:r w:rsidRPr="003D096B">
              <w:rPr>
                <w:rFonts w:ascii="Arial Narrow" w:hAnsi="Arial Narrow" w:cs="Open Sans"/>
                <w:sz w:val="20"/>
                <w:szCs w:val="20"/>
              </w:rPr>
              <w:t>Applications for authorisation under this restriction may be made in real time using the Online PBS Authorities system (see www.servicesaustralia.gov.au/HPOS) or by telephone by contacting Services Australia on 1800 888 333.</w:t>
            </w:r>
          </w:p>
        </w:tc>
      </w:tr>
      <w:tr w:rsidR="00491629" w:rsidRPr="001428E9" w14:paraId="7B3F2DBF" w14:textId="77777777" w:rsidTr="00383AEB">
        <w:tblPrEx>
          <w:tblCellMar>
            <w:top w:w="15" w:type="dxa"/>
            <w:bottom w:w="15" w:type="dxa"/>
          </w:tblCellMar>
        </w:tblPrEx>
        <w:trPr>
          <w:trHeight w:val="20"/>
        </w:trPr>
        <w:tc>
          <w:tcPr>
            <w:tcW w:w="270" w:type="pct"/>
            <w:vMerge/>
            <w:tcBorders>
              <w:left w:val="single" w:sz="4" w:space="0" w:color="auto"/>
              <w:bottom w:val="single" w:sz="4" w:space="0" w:color="auto"/>
              <w:right w:val="single" w:sz="4" w:space="0" w:color="auto"/>
            </w:tcBorders>
          </w:tcPr>
          <w:p w14:paraId="070FE951" w14:textId="77777777" w:rsidR="00491629" w:rsidRPr="00A06410" w:rsidRDefault="00491629" w:rsidP="00383AEB">
            <w:pPr>
              <w:jc w:val="left"/>
              <w:rPr>
                <w:rFonts w:ascii="Arial Narrow" w:hAnsi="Arial Narrow" w:cs="Arial"/>
                <w:sz w:val="20"/>
                <w:szCs w:val="20"/>
              </w:rPr>
            </w:pPr>
          </w:p>
        </w:tc>
        <w:tc>
          <w:tcPr>
            <w:tcW w:w="435" w:type="pct"/>
          </w:tcPr>
          <w:p w14:paraId="08768D24" w14:textId="0E852577" w:rsidR="00491629" w:rsidRPr="003D096B" w:rsidRDefault="00491629" w:rsidP="00383AEB">
            <w:pPr>
              <w:jc w:val="left"/>
              <w:rPr>
                <w:rFonts w:ascii="Arial Narrow" w:hAnsi="Arial Narrow"/>
                <w:sz w:val="20"/>
                <w:szCs w:val="20"/>
              </w:rPr>
            </w:pPr>
          </w:p>
        </w:tc>
        <w:tc>
          <w:tcPr>
            <w:tcW w:w="4295" w:type="pct"/>
            <w:gridSpan w:val="6"/>
          </w:tcPr>
          <w:p w14:paraId="471140D8" w14:textId="77777777" w:rsidR="00491629" w:rsidRPr="003D096B" w:rsidRDefault="00491629" w:rsidP="00383AEB">
            <w:pPr>
              <w:pStyle w:val="NormalWeb"/>
              <w:spacing w:before="0" w:beforeAutospacing="0" w:after="0" w:afterAutospacing="0"/>
              <w:textAlignment w:val="baseline"/>
              <w:rPr>
                <w:rFonts w:ascii="Arial Narrow" w:hAnsi="Arial Narrow" w:cs="Open Sans"/>
                <w:sz w:val="20"/>
                <w:szCs w:val="20"/>
              </w:rPr>
            </w:pPr>
            <w:r w:rsidRPr="003D096B">
              <w:rPr>
                <w:rStyle w:val="Strong"/>
                <w:rFonts w:ascii="Arial Narrow" w:hAnsi="Arial Narrow" w:cs="Open Sans"/>
                <w:sz w:val="20"/>
                <w:szCs w:val="20"/>
                <w:bdr w:val="none" w:sz="0" w:space="0" w:color="auto" w:frame="1"/>
              </w:rPr>
              <w:t>Administrative Advice:</w:t>
            </w:r>
          </w:p>
          <w:p w14:paraId="7BF18318" w14:textId="77777777" w:rsidR="00491629" w:rsidRPr="003D096B" w:rsidRDefault="00491629" w:rsidP="00383AEB">
            <w:pPr>
              <w:jc w:val="left"/>
              <w:rPr>
                <w:rFonts w:ascii="Arial Narrow" w:hAnsi="Arial Narrow"/>
                <w:b/>
                <w:bCs/>
                <w:sz w:val="20"/>
                <w:szCs w:val="20"/>
              </w:rPr>
            </w:pPr>
            <w:r w:rsidRPr="003D096B">
              <w:rPr>
                <w:rFonts w:ascii="Arial Narrow" w:hAnsi="Arial Narrow" w:cs="Open Sans"/>
                <w:sz w:val="20"/>
                <w:szCs w:val="20"/>
              </w:rPr>
              <w:t>Special Pricing Arrangements apply.</w:t>
            </w:r>
          </w:p>
        </w:tc>
      </w:tr>
      <w:tr w:rsidR="00491629" w:rsidRPr="001428E9" w14:paraId="284828FC" w14:textId="77777777" w:rsidTr="00383AEB">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1CAE64F" w14:textId="77777777" w:rsidR="00491629" w:rsidRPr="00A06410" w:rsidRDefault="00491629" w:rsidP="00383AEB">
            <w:pPr>
              <w:pStyle w:val="NormalWeb"/>
              <w:spacing w:before="0" w:beforeAutospacing="0" w:after="0" w:afterAutospacing="0"/>
              <w:textAlignment w:val="baseline"/>
              <w:rPr>
                <w:rFonts w:ascii="Arial Narrow" w:hAnsi="Arial Narrow" w:cs="Open Sans"/>
                <w:sz w:val="20"/>
                <w:szCs w:val="20"/>
              </w:rPr>
            </w:pPr>
          </w:p>
        </w:tc>
        <w:tc>
          <w:tcPr>
            <w:tcW w:w="4295" w:type="pct"/>
            <w:gridSpan w:val="6"/>
            <w:vAlign w:val="center"/>
          </w:tcPr>
          <w:p w14:paraId="1FF22A29" w14:textId="77777777" w:rsidR="00491629" w:rsidRPr="00A06410" w:rsidRDefault="00491629" w:rsidP="00383AEB">
            <w:pPr>
              <w:keepLines/>
              <w:jc w:val="left"/>
              <w:rPr>
                <w:rFonts w:ascii="Arial Narrow" w:hAnsi="Arial Narrow"/>
                <w:b/>
                <w:bCs/>
                <w:sz w:val="20"/>
                <w:szCs w:val="20"/>
              </w:rPr>
            </w:pPr>
          </w:p>
        </w:tc>
      </w:tr>
      <w:tr w:rsidR="00491629" w:rsidRPr="001428E9" w14:paraId="279E0EFF" w14:textId="77777777" w:rsidTr="007A34B0">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35906F6" w14:textId="7E231EB5" w:rsidR="00491629" w:rsidRPr="003D096B" w:rsidRDefault="00491629" w:rsidP="00383AEB">
            <w:pPr>
              <w:keepLines/>
              <w:jc w:val="left"/>
              <w:rPr>
                <w:rFonts w:ascii="Arial Narrow" w:hAnsi="Arial Narrow"/>
                <w:sz w:val="20"/>
                <w:szCs w:val="20"/>
              </w:rPr>
            </w:pPr>
          </w:p>
        </w:tc>
        <w:tc>
          <w:tcPr>
            <w:tcW w:w="4295" w:type="pct"/>
            <w:gridSpan w:val="6"/>
            <w:vAlign w:val="center"/>
            <w:hideMark/>
          </w:tcPr>
          <w:p w14:paraId="396D0D25" w14:textId="77777777" w:rsidR="00491629" w:rsidRPr="003D096B" w:rsidRDefault="00491629" w:rsidP="00383AEB">
            <w:pPr>
              <w:keepLines/>
              <w:jc w:val="left"/>
              <w:rPr>
                <w:rFonts w:ascii="Arial Narrow" w:hAnsi="Arial Narrow"/>
                <w:sz w:val="20"/>
                <w:szCs w:val="20"/>
              </w:rPr>
            </w:pPr>
            <w:r w:rsidRPr="003D096B">
              <w:rPr>
                <w:rFonts w:ascii="Arial Narrow" w:hAnsi="Arial Narrow"/>
                <w:b/>
                <w:bCs/>
                <w:sz w:val="20"/>
                <w:szCs w:val="20"/>
              </w:rPr>
              <w:t>Indication:</w:t>
            </w:r>
            <w:r w:rsidRPr="003D096B">
              <w:rPr>
                <w:rFonts w:ascii="Arial Narrow" w:hAnsi="Arial Narrow"/>
                <w:sz w:val="20"/>
                <w:szCs w:val="20"/>
              </w:rPr>
              <w:t xml:space="preserve"> Eosinophilic oesophagitis</w:t>
            </w:r>
          </w:p>
        </w:tc>
      </w:tr>
      <w:tr w:rsidR="00491629" w:rsidRPr="001428E9" w14:paraId="587429B7" w14:textId="77777777" w:rsidTr="007A34B0">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5B21C35" w14:textId="77777777" w:rsidR="00491629" w:rsidRPr="003D096B" w:rsidRDefault="00491629" w:rsidP="00383AEB">
            <w:pPr>
              <w:jc w:val="left"/>
              <w:rPr>
                <w:rFonts w:ascii="Arial Narrow" w:hAnsi="Arial Narrow"/>
                <w:sz w:val="20"/>
                <w:szCs w:val="20"/>
              </w:rPr>
            </w:pPr>
          </w:p>
        </w:tc>
        <w:tc>
          <w:tcPr>
            <w:tcW w:w="4295" w:type="pct"/>
            <w:gridSpan w:val="6"/>
            <w:vAlign w:val="center"/>
            <w:hideMark/>
          </w:tcPr>
          <w:p w14:paraId="4CF119B6" w14:textId="77777777" w:rsidR="00491629" w:rsidRPr="00A06410" w:rsidRDefault="00491629" w:rsidP="00383AEB">
            <w:pPr>
              <w:jc w:val="left"/>
              <w:rPr>
                <w:rFonts w:ascii="Arial Narrow" w:hAnsi="Arial Narrow"/>
                <w:sz w:val="20"/>
                <w:szCs w:val="20"/>
              </w:rPr>
            </w:pPr>
            <w:r w:rsidRPr="003D096B">
              <w:rPr>
                <w:rFonts w:ascii="Arial Narrow" w:hAnsi="Arial Narrow"/>
                <w:b/>
                <w:bCs/>
                <w:sz w:val="20"/>
                <w:szCs w:val="20"/>
              </w:rPr>
              <w:t>Treatment Phase:</w:t>
            </w:r>
            <w:r w:rsidRPr="003D096B">
              <w:rPr>
                <w:rFonts w:ascii="Arial Narrow" w:hAnsi="Arial Narrow"/>
                <w:sz w:val="20"/>
                <w:szCs w:val="20"/>
              </w:rPr>
              <w:t xml:space="preserve"> Initial treatment - Induction of remission</w:t>
            </w:r>
          </w:p>
        </w:tc>
      </w:tr>
      <w:tr w:rsidR="00491629" w:rsidRPr="001428E9" w14:paraId="0D09AE0C" w14:textId="77777777" w:rsidTr="00383AEB">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B714012" w14:textId="77777777" w:rsidR="00491629" w:rsidRPr="003D096B" w:rsidRDefault="00491629" w:rsidP="00383AEB">
            <w:pPr>
              <w:jc w:val="left"/>
              <w:rPr>
                <w:rFonts w:ascii="Arial Narrow" w:hAnsi="Arial Narrow"/>
                <w:sz w:val="20"/>
                <w:szCs w:val="20"/>
              </w:rPr>
            </w:pPr>
          </w:p>
        </w:tc>
        <w:tc>
          <w:tcPr>
            <w:tcW w:w="4295" w:type="pct"/>
            <w:gridSpan w:val="6"/>
            <w:vAlign w:val="center"/>
          </w:tcPr>
          <w:p w14:paraId="42B3F6A3" w14:textId="77777777" w:rsidR="00491629" w:rsidRPr="00A06410" w:rsidRDefault="00491629" w:rsidP="00383AEB">
            <w:pPr>
              <w:jc w:val="left"/>
              <w:rPr>
                <w:rFonts w:ascii="Arial Narrow" w:hAnsi="Arial Narrow"/>
                <w:b/>
                <w:bCs/>
                <w:sz w:val="20"/>
                <w:szCs w:val="20"/>
              </w:rPr>
            </w:pPr>
          </w:p>
        </w:tc>
      </w:tr>
      <w:tr w:rsidR="00491629" w:rsidRPr="001428E9" w14:paraId="5E9FFD34" w14:textId="77777777" w:rsidTr="00383AEB">
        <w:tblPrEx>
          <w:tblCellMar>
            <w:top w:w="15" w:type="dxa"/>
            <w:bottom w:w="15" w:type="dxa"/>
          </w:tblCellMar>
        </w:tblPrEx>
        <w:trPr>
          <w:cantSplit/>
          <w:trHeight w:val="20"/>
        </w:trPr>
        <w:tc>
          <w:tcPr>
            <w:tcW w:w="705" w:type="pct"/>
            <w:gridSpan w:val="2"/>
          </w:tcPr>
          <w:p w14:paraId="4766CC3D" w14:textId="245DF733" w:rsidR="00491629" w:rsidRPr="003D096B" w:rsidRDefault="00491629" w:rsidP="00383AEB">
            <w:pPr>
              <w:jc w:val="left"/>
              <w:rPr>
                <w:rFonts w:ascii="Arial Narrow" w:hAnsi="Arial Narrow"/>
                <w:sz w:val="20"/>
                <w:szCs w:val="20"/>
              </w:rPr>
            </w:pPr>
          </w:p>
        </w:tc>
        <w:tc>
          <w:tcPr>
            <w:tcW w:w="4295" w:type="pct"/>
            <w:gridSpan w:val="6"/>
          </w:tcPr>
          <w:p w14:paraId="4DB61DBF" w14:textId="77777777" w:rsidR="00491629" w:rsidRPr="00A06410" w:rsidRDefault="00491629" w:rsidP="00383AEB">
            <w:pPr>
              <w:jc w:val="left"/>
              <w:rPr>
                <w:rFonts w:ascii="Arial Narrow" w:hAnsi="Arial Narrow"/>
                <w:sz w:val="20"/>
                <w:szCs w:val="20"/>
              </w:rPr>
            </w:pPr>
            <w:r w:rsidRPr="003D096B">
              <w:rPr>
                <w:rStyle w:val="Strong"/>
                <w:rFonts w:ascii="Arial Narrow" w:hAnsi="Arial Narrow" w:cs="Open Sans"/>
                <w:sz w:val="20"/>
                <w:szCs w:val="20"/>
                <w:bdr w:val="none" w:sz="0" w:space="0" w:color="auto" w:frame="1"/>
              </w:rPr>
              <w:t>Clinical criteria:</w:t>
            </w:r>
          </w:p>
        </w:tc>
      </w:tr>
      <w:tr w:rsidR="00491629" w:rsidRPr="001428E9" w14:paraId="61DF9925" w14:textId="77777777" w:rsidTr="00383AEB">
        <w:tblPrEx>
          <w:tblCellMar>
            <w:top w:w="15" w:type="dxa"/>
            <w:bottom w:w="15" w:type="dxa"/>
          </w:tblCellMar>
        </w:tblPrEx>
        <w:trPr>
          <w:cantSplit/>
          <w:trHeight w:val="20"/>
        </w:trPr>
        <w:tc>
          <w:tcPr>
            <w:tcW w:w="705" w:type="pct"/>
            <w:gridSpan w:val="2"/>
          </w:tcPr>
          <w:p w14:paraId="3AC1A568" w14:textId="43E1134E" w:rsidR="00491629" w:rsidRPr="003D096B" w:rsidRDefault="00491629" w:rsidP="00383AEB">
            <w:pPr>
              <w:jc w:val="left"/>
              <w:rPr>
                <w:rFonts w:ascii="Arial Narrow" w:hAnsi="Arial Narrow"/>
                <w:sz w:val="20"/>
                <w:szCs w:val="20"/>
              </w:rPr>
            </w:pPr>
          </w:p>
        </w:tc>
        <w:tc>
          <w:tcPr>
            <w:tcW w:w="4295" w:type="pct"/>
            <w:gridSpan w:val="6"/>
          </w:tcPr>
          <w:p w14:paraId="31F367BD" w14:textId="77777777" w:rsidR="00491629" w:rsidRPr="003D096B" w:rsidRDefault="00491629" w:rsidP="00383AEB">
            <w:pPr>
              <w:jc w:val="left"/>
              <w:rPr>
                <w:rFonts w:ascii="Arial Narrow" w:hAnsi="Arial Narrow"/>
                <w:sz w:val="20"/>
                <w:szCs w:val="20"/>
              </w:rPr>
            </w:pPr>
            <w:r w:rsidRPr="003D096B">
              <w:rPr>
                <w:rFonts w:ascii="Arial Narrow" w:hAnsi="Arial Narrow" w:cs="Open Sans"/>
                <w:sz w:val="20"/>
                <w:szCs w:val="20"/>
              </w:rPr>
              <w:t>Patient must have a history of symptoms of oesophageal dysfunction</w:t>
            </w:r>
          </w:p>
        </w:tc>
      </w:tr>
      <w:tr w:rsidR="00491629" w:rsidRPr="001428E9" w14:paraId="14F61590" w14:textId="77777777" w:rsidTr="00383AEB">
        <w:tblPrEx>
          <w:tblCellMar>
            <w:top w:w="15" w:type="dxa"/>
            <w:bottom w:w="15" w:type="dxa"/>
          </w:tblCellMar>
        </w:tblPrEx>
        <w:trPr>
          <w:cantSplit/>
          <w:trHeight w:val="20"/>
        </w:trPr>
        <w:tc>
          <w:tcPr>
            <w:tcW w:w="705" w:type="pct"/>
            <w:gridSpan w:val="2"/>
          </w:tcPr>
          <w:p w14:paraId="5A031853" w14:textId="77777777" w:rsidR="00491629" w:rsidRPr="003D096B" w:rsidRDefault="00491629" w:rsidP="00383AEB">
            <w:pPr>
              <w:jc w:val="left"/>
              <w:rPr>
                <w:rFonts w:ascii="Arial Narrow" w:hAnsi="Arial Narrow"/>
                <w:sz w:val="20"/>
                <w:szCs w:val="20"/>
              </w:rPr>
            </w:pPr>
          </w:p>
        </w:tc>
        <w:tc>
          <w:tcPr>
            <w:tcW w:w="4295" w:type="pct"/>
            <w:gridSpan w:val="6"/>
          </w:tcPr>
          <w:p w14:paraId="43C919F8" w14:textId="77777777" w:rsidR="00491629" w:rsidRPr="003D096B" w:rsidRDefault="00491629" w:rsidP="00383AEB">
            <w:pPr>
              <w:jc w:val="left"/>
              <w:rPr>
                <w:rFonts w:ascii="Arial Narrow" w:hAnsi="Arial Narrow"/>
                <w:sz w:val="20"/>
                <w:szCs w:val="20"/>
              </w:rPr>
            </w:pPr>
            <w:r w:rsidRPr="003D096B">
              <w:rPr>
                <w:rStyle w:val="Strong"/>
                <w:rFonts w:ascii="Arial Narrow" w:hAnsi="Arial Narrow" w:cs="Open Sans"/>
                <w:sz w:val="20"/>
                <w:szCs w:val="20"/>
                <w:bdr w:val="none" w:sz="0" w:space="0" w:color="auto" w:frame="1"/>
              </w:rPr>
              <w:t>AND</w:t>
            </w:r>
          </w:p>
        </w:tc>
      </w:tr>
      <w:tr w:rsidR="00491629" w:rsidRPr="001428E9" w14:paraId="2F095725" w14:textId="77777777" w:rsidTr="00383AEB">
        <w:tblPrEx>
          <w:tblCellMar>
            <w:top w:w="15" w:type="dxa"/>
            <w:bottom w:w="15" w:type="dxa"/>
          </w:tblCellMar>
        </w:tblPrEx>
        <w:trPr>
          <w:cantSplit/>
          <w:trHeight w:val="20"/>
        </w:trPr>
        <w:tc>
          <w:tcPr>
            <w:tcW w:w="705" w:type="pct"/>
            <w:gridSpan w:val="2"/>
          </w:tcPr>
          <w:p w14:paraId="3FA60051" w14:textId="2CAE5E85" w:rsidR="00491629" w:rsidRPr="003D096B" w:rsidRDefault="00491629" w:rsidP="00383AEB">
            <w:pPr>
              <w:jc w:val="left"/>
              <w:rPr>
                <w:rFonts w:ascii="Arial Narrow" w:hAnsi="Arial Narrow"/>
                <w:sz w:val="20"/>
                <w:szCs w:val="20"/>
              </w:rPr>
            </w:pPr>
          </w:p>
        </w:tc>
        <w:tc>
          <w:tcPr>
            <w:tcW w:w="4295" w:type="pct"/>
            <w:gridSpan w:val="6"/>
          </w:tcPr>
          <w:p w14:paraId="5E66F672" w14:textId="77777777" w:rsidR="00491629" w:rsidRPr="003D096B" w:rsidRDefault="00491629" w:rsidP="00383AEB">
            <w:pPr>
              <w:jc w:val="left"/>
              <w:rPr>
                <w:rFonts w:ascii="Arial Narrow" w:hAnsi="Arial Narrow"/>
                <w:sz w:val="20"/>
                <w:szCs w:val="20"/>
              </w:rPr>
            </w:pPr>
            <w:r w:rsidRPr="003D096B">
              <w:rPr>
                <w:rStyle w:val="Strong"/>
                <w:rFonts w:ascii="Arial Narrow" w:hAnsi="Arial Narrow" w:cs="Open Sans"/>
                <w:sz w:val="20"/>
                <w:szCs w:val="20"/>
                <w:bdr w:val="none" w:sz="0" w:space="0" w:color="auto" w:frame="1"/>
              </w:rPr>
              <w:t>Clinical criteria:</w:t>
            </w:r>
          </w:p>
        </w:tc>
      </w:tr>
      <w:tr w:rsidR="00491629" w:rsidRPr="001428E9" w14:paraId="71A2E0A2" w14:textId="77777777" w:rsidTr="00383AEB">
        <w:tblPrEx>
          <w:tblCellMar>
            <w:top w:w="15" w:type="dxa"/>
            <w:bottom w:w="15" w:type="dxa"/>
          </w:tblCellMar>
        </w:tblPrEx>
        <w:trPr>
          <w:cantSplit/>
          <w:trHeight w:val="20"/>
        </w:trPr>
        <w:tc>
          <w:tcPr>
            <w:tcW w:w="705" w:type="pct"/>
            <w:gridSpan w:val="2"/>
          </w:tcPr>
          <w:p w14:paraId="1460F738" w14:textId="386CDD39" w:rsidR="00491629" w:rsidRPr="003D096B" w:rsidRDefault="00491629" w:rsidP="00383AEB">
            <w:pPr>
              <w:jc w:val="left"/>
              <w:rPr>
                <w:rFonts w:ascii="Arial Narrow" w:hAnsi="Arial Narrow"/>
                <w:sz w:val="20"/>
                <w:szCs w:val="20"/>
              </w:rPr>
            </w:pPr>
          </w:p>
        </w:tc>
        <w:tc>
          <w:tcPr>
            <w:tcW w:w="4295" w:type="pct"/>
            <w:gridSpan w:val="6"/>
          </w:tcPr>
          <w:p w14:paraId="66F8CB79" w14:textId="77777777" w:rsidR="00491629" w:rsidRPr="003D096B" w:rsidRDefault="00491629" w:rsidP="00383AEB">
            <w:pPr>
              <w:jc w:val="left"/>
              <w:rPr>
                <w:rFonts w:ascii="Arial Narrow" w:hAnsi="Arial Narrow"/>
                <w:sz w:val="20"/>
                <w:szCs w:val="20"/>
              </w:rPr>
            </w:pPr>
            <w:r w:rsidRPr="003D096B">
              <w:rPr>
                <w:rFonts w:ascii="Arial Narrow" w:hAnsi="Arial Narrow" w:cs="Open Sans"/>
                <w:sz w:val="20"/>
                <w:szCs w:val="20"/>
              </w:rPr>
              <w:t>Patient must have eosinophilic infiltration of the oesophagus, demonstrated by oesophageal biopsy specimens obtained by endoscopy confirming the presence of at least 15 eosinophils in at least one high power field (hpf); corresponding to approximately 60 eosinophils per mm</w:t>
            </w:r>
            <w:r w:rsidRPr="003D096B">
              <w:rPr>
                <w:rFonts w:ascii="Arial Narrow" w:hAnsi="Arial Narrow" w:cs="Open Sans"/>
                <w:sz w:val="20"/>
                <w:szCs w:val="20"/>
                <w:vertAlign w:val="superscript"/>
              </w:rPr>
              <w:t>2</w:t>
            </w:r>
            <w:r w:rsidRPr="003D096B">
              <w:rPr>
                <w:rFonts w:ascii="Arial Narrow" w:hAnsi="Arial Narrow" w:cs="Open Sans"/>
                <w:sz w:val="20"/>
                <w:szCs w:val="20"/>
              </w:rPr>
              <w:t xml:space="preserve"> hpf</w:t>
            </w:r>
          </w:p>
        </w:tc>
      </w:tr>
      <w:tr w:rsidR="00491629" w:rsidRPr="001428E9" w14:paraId="37FB57DA" w14:textId="77777777" w:rsidTr="00383AEB">
        <w:tblPrEx>
          <w:tblCellMar>
            <w:top w:w="15" w:type="dxa"/>
            <w:bottom w:w="15" w:type="dxa"/>
          </w:tblCellMar>
        </w:tblPrEx>
        <w:trPr>
          <w:cantSplit/>
          <w:trHeight w:val="20"/>
        </w:trPr>
        <w:tc>
          <w:tcPr>
            <w:tcW w:w="705" w:type="pct"/>
            <w:gridSpan w:val="2"/>
          </w:tcPr>
          <w:p w14:paraId="1090947A" w14:textId="77777777" w:rsidR="00491629" w:rsidRPr="003D096B" w:rsidRDefault="00491629" w:rsidP="00383AEB">
            <w:pPr>
              <w:jc w:val="left"/>
              <w:rPr>
                <w:rFonts w:ascii="Arial Narrow" w:hAnsi="Arial Narrow"/>
                <w:sz w:val="20"/>
                <w:szCs w:val="20"/>
              </w:rPr>
            </w:pPr>
          </w:p>
        </w:tc>
        <w:tc>
          <w:tcPr>
            <w:tcW w:w="4295" w:type="pct"/>
            <w:gridSpan w:val="6"/>
          </w:tcPr>
          <w:p w14:paraId="159CB5E9" w14:textId="77777777" w:rsidR="00491629" w:rsidRPr="003D096B" w:rsidRDefault="00491629" w:rsidP="00383AEB">
            <w:pPr>
              <w:jc w:val="left"/>
              <w:rPr>
                <w:rFonts w:ascii="Arial Narrow" w:hAnsi="Arial Narrow"/>
                <w:sz w:val="20"/>
                <w:szCs w:val="20"/>
              </w:rPr>
            </w:pPr>
            <w:r w:rsidRPr="003D096B">
              <w:rPr>
                <w:rStyle w:val="Strong"/>
                <w:rFonts w:ascii="Arial Narrow" w:hAnsi="Arial Narrow" w:cs="Open Sans"/>
                <w:sz w:val="20"/>
                <w:szCs w:val="20"/>
                <w:bdr w:val="none" w:sz="0" w:space="0" w:color="auto" w:frame="1"/>
              </w:rPr>
              <w:t>AND</w:t>
            </w:r>
          </w:p>
        </w:tc>
      </w:tr>
      <w:tr w:rsidR="00491629" w:rsidRPr="001428E9" w14:paraId="6B08EB89" w14:textId="77777777" w:rsidTr="00383AEB">
        <w:tblPrEx>
          <w:tblCellMar>
            <w:top w:w="15" w:type="dxa"/>
            <w:bottom w:w="15" w:type="dxa"/>
          </w:tblCellMar>
        </w:tblPrEx>
        <w:trPr>
          <w:cantSplit/>
          <w:trHeight w:val="20"/>
        </w:trPr>
        <w:tc>
          <w:tcPr>
            <w:tcW w:w="705" w:type="pct"/>
            <w:gridSpan w:val="2"/>
          </w:tcPr>
          <w:p w14:paraId="4066267A" w14:textId="436FA36E" w:rsidR="00491629" w:rsidRPr="003D096B" w:rsidRDefault="00491629" w:rsidP="00383AEB">
            <w:pPr>
              <w:jc w:val="left"/>
              <w:rPr>
                <w:rFonts w:ascii="Arial Narrow" w:hAnsi="Arial Narrow"/>
                <w:sz w:val="20"/>
                <w:szCs w:val="20"/>
              </w:rPr>
            </w:pPr>
          </w:p>
        </w:tc>
        <w:tc>
          <w:tcPr>
            <w:tcW w:w="4295" w:type="pct"/>
            <w:gridSpan w:val="6"/>
          </w:tcPr>
          <w:p w14:paraId="29DEFFD2" w14:textId="77777777" w:rsidR="00491629" w:rsidRPr="003D096B" w:rsidRDefault="00491629" w:rsidP="00383AEB">
            <w:pPr>
              <w:jc w:val="left"/>
              <w:rPr>
                <w:rFonts w:ascii="Arial Narrow" w:hAnsi="Arial Narrow"/>
                <w:sz w:val="20"/>
                <w:szCs w:val="20"/>
              </w:rPr>
            </w:pPr>
            <w:r w:rsidRPr="003D096B">
              <w:rPr>
                <w:rStyle w:val="Strong"/>
                <w:rFonts w:ascii="Arial Narrow" w:hAnsi="Arial Narrow" w:cs="Open Sans"/>
                <w:sz w:val="20"/>
                <w:szCs w:val="20"/>
                <w:bdr w:val="none" w:sz="0" w:space="0" w:color="auto" w:frame="1"/>
              </w:rPr>
              <w:t>Clinical criteria:</w:t>
            </w:r>
          </w:p>
        </w:tc>
      </w:tr>
      <w:tr w:rsidR="00491629" w:rsidRPr="001428E9" w14:paraId="5CEC7308" w14:textId="77777777" w:rsidTr="00383AEB">
        <w:tblPrEx>
          <w:tblCellMar>
            <w:top w:w="15" w:type="dxa"/>
            <w:bottom w:w="15" w:type="dxa"/>
          </w:tblCellMar>
        </w:tblPrEx>
        <w:trPr>
          <w:cantSplit/>
          <w:trHeight w:val="20"/>
        </w:trPr>
        <w:tc>
          <w:tcPr>
            <w:tcW w:w="705" w:type="pct"/>
            <w:gridSpan w:val="2"/>
          </w:tcPr>
          <w:p w14:paraId="5040D537" w14:textId="2CDD96FE" w:rsidR="00491629" w:rsidRPr="003D096B" w:rsidRDefault="00491629" w:rsidP="00383AEB">
            <w:pPr>
              <w:jc w:val="left"/>
              <w:rPr>
                <w:rFonts w:ascii="Arial Narrow" w:hAnsi="Arial Narrow"/>
                <w:sz w:val="20"/>
                <w:szCs w:val="20"/>
              </w:rPr>
            </w:pPr>
          </w:p>
        </w:tc>
        <w:tc>
          <w:tcPr>
            <w:tcW w:w="4295" w:type="pct"/>
            <w:gridSpan w:val="6"/>
          </w:tcPr>
          <w:p w14:paraId="62406EED" w14:textId="77777777" w:rsidR="00491629" w:rsidRPr="003D096B" w:rsidRDefault="00491629" w:rsidP="00383AEB">
            <w:pPr>
              <w:jc w:val="left"/>
              <w:rPr>
                <w:rFonts w:ascii="Arial Narrow" w:hAnsi="Arial Narrow"/>
                <w:sz w:val="20"/>
                <w:szCs w:val="20"/>
              </w:rPr>
            </w:pPr>
            <w:r w:rsidRPr="003D096B">
              <w:rPr>
                <w:rFonts w:ascii="Arial Narrow" w:hAnsi="Arial Narrow" w:cs="Open Sans"/>
                <w:sz w:val="20"/>
                <w:szCs w:val="20"/>
              </w:rPr>
              <w:t>Patient must not receive more than 90 days of treatment under this restriction</w:t>
            </w:r>
          </w:p>
        </w:tc>
      </w:tr>
      <w:tr w:rsidR="00491629" w:rsidRPr="001428E9" w14:paraId="0FE46370" w14:textId="77777777" w:rsidTr="00383AEB">
        <w:tblPrEx>
          <w:tblCellMar>
            <w:top w:w="15" w:type="dxa"/>
            <w:bottom w:w="15" w:type="dxa"/>
          </w:tblCellMar>
          <w:tblLook w:val="04A0" w:firstRow="1" w:lastRow="0" w:firstColumn="1" w:lastColumn="0" w:noHBand="0" w:noVBand="1"/>
        </w:tblPrEx>
        <w:trPr>
          <w:cantSplit/>
          <w:trHeight w:val="20"/>
        </w:trPr>
        <w:tc>
          <w:tcPr>
            <w:tcW w:w="705" w:type="pct"/>
            <w:gridSpan w:val="2"/>
          </w:tcPr>
          <w:p w14:paraId="7605DA30" w14:textId="77777777" w:rsidR="00491629" w:rsidRPr="003D096B" w:rsidRDefault="00491629" w:rsidP="00383AEB">
            <w:pPr>
              <w:jc w:val="left"/>
              <w:rPr>
                <w:rFonts w:ascii="Arial Narrow" w:hAnsi="Arial Narrow" w:cs="Open Sans"/>
                <w:sz w:val="20"/>
                <w:szCs w:val="20"/>
              </w:rPr>
            </w:pPr>
          </w:p>
        </w:tc>
        <w:tc>
          <w:tcPr>
            <w:tcW w:w="4295" w:type="pct"/>
            <w:gridSpan w:val="6"/>
          </w:tcPr>
          <w:p w14:paraId="59904CEF" w14:textId="77777777" w:rsidR="00491629" w:rsidRPr="003D096B" w:rsidRDefault="00491629" w:rsidP="00383AEB">
            <w:pPr>
              <w:jc w:val="left"/>
              <w:rPr>
                <w:rFonts w:ascii="Arial Narrow" w:hAnsi="Arial Narrow" w:cs="Open Sans"/>
                <w:sz w:val="20"/>
                <w:szCs w:val="20"/>
              </w:rPr>
            </w:pPr>
          </w:p>
        </w:tc>
      </w:tr>
      <w:tr w:rsidR="00491629" w:rsidRPr="001428E9" w14:paraId="256DBAC9" w14:textId="77777777" w:rsidTr="00383AEB">
        <w:tblPrEx>
          <w:tblCellMar>
            <w:top w:w="15" w:type="dxa"/>
            <w:bottom w:w="15" w:type="dxa"/>
          </w:tblCellMar>
        </w:tblPrEx>
        <w:trPr>
          <w:cantSplit/>
          <w:trHeight w:val="20"/>
        </w:trPr>
        <w:tc>
          <w:tcPr>
            <w:tcW w:w="705" w:type="pct"/>
            <w:gridSpan w:val="2"/>
          </w:tcPr>
          <w:p w14:paraId="47C787C5" w14:textId="4BF6548E" w:rsidR="00491629" w:rsidRPr="003D096B" w:rsidRDefault="00491629" w:rsidP="00383AEB">
            <w:pPr>
              <w:keepNext/>
              <w:jc w:val="left"/>
              <w:rPr>
                <w:rFonts w:ascii="Arial Narrow" w:hAnsi="Arial Narrow"/>
                <w:sz w:val="20"/>
                <w:szCs w:val="20"/>
              </w:rPr>
            </w:pPr>
          </w:p>
        </w:tc>
        <w:tc>
          <w:tcPr>
            <w:tcW w:w="4295" w:type="pct"/>
            <w:gridSpan w:val="6"/>
          </w:tcPr>
          <w:p w14:paraId="4CB0605D" w14:textId="77777777" w:rsidR="00491629" w:rsidRPr="003D096B" w:rsidRDefault="00491629" w:rsidP="00383AEB">
            <w:pPr>
              <w:keepNext/>
              <w:jc w:val="left"/>
              <w:rPr>
                <w:rFonts w:ascii="Arial Narrow" w:hAnsi="Arial Narrow"/>
                <w:sz w:val="20"/>
                <w:szCs w:val="20"/>
              </w:rPr>
            </w:pPr>
            <w:r w:rsidRPr="001F4B70">
              <w:rPr>
                <w:rStyle w:val="Strong"/>
                <w:rFonts w:ascii="Arial Narrow" w:hAnsi="Arial Narrow" w:cs="Open Sans"/>
                <w:sz w:val="20"/>
                <w:szCs w:val="20"/>
                <w:bdr w:val="none" w:sz="0" w:space="0" w:color="auto" w:frame="1"/>
              </w:rPr>
              <w:t>Treatment criteria:</w:t>
            </w:r>
          </w:p>
        </w:tc>
      </w:tr>
      <w:tr w:rsidR="00491629" w:rsidRPr="001428E9" w14:paraId="7FFA4A4E" w14:textId="77777777" w:rsidTr="00383AEB">
        <w:tblPrEx>
          <w:tblCellMar>
            <w:top w:w="15" w:type="dxa"/>
            <w:bottom w:w="15" w:type="dxa"/>
          </w:tblCellMar>
        </w:tblPrEx>
        <w:trPr>
          <w:cantSplit/>
          <w:trHeight w:val="20"/>
        </w:trPr>
        <w:tc>
          <w:tcPr>
            <w:tcW w:w="705" w:type="pct"/>
            <w:gridSpan w:val="2"/>
          </w:tcPr>
          <w:p w14:paraId="7DA3732E" w14:textId="4416B3F6" w:rsidR="00491629" w:rsidRPr="003D096B" w:rsidRDefault="00491629" w:rsidP="00383AEB">
            <w:pPr>
              <w:jc w:val="left"/>
              <w:rPr>
                <w:rFonts w:ascii="Arial Narrow" w:hAnsi="Arial Narrow"/>
                <w:sz w:val="20"/>
                <w:szCs w:val="20"/>
              </w:rPr>
            </w:pPr>
          </w:p>
        </w:tc>
        <w:tc>
          <w:tcPr>
            <w:tcW w:w="4295" w:type="pct"/>
            <w:gridSpan w:val="6"/>
          </w:tcPr>
          <w:p w14:paraId="02869477" w14:textId="4CA97438" w:rsidR="00491629" w:rsidRPr="00A06410" w:rsidRDefault="00491629" w:rsidP="00383AEB">
            <w:pPr>
              <w:autoSpaceDE w:val="0"/>
              <w:autoSpaceDN w:val="0"/>
              <w:adjustRightInd w:val="0"/>
              <w:jc w:val="left"/>
              <w:rPr>
                <w:rFonts w:ascii="Arial Narrow" w:hAnsi="Arial Narrow" w:cs="Arial Narrow"/>
                <w:i/>
                <w:iCs/>
                <w:sz w:val="20"/>
                <w:szCs w:val="20"/>
              </w:rPr>
            </w:pPr>
            <w:r w:rsidRPr="001F4B70">
              <w:rPr>
                <w:rFonts w:ascii="Arial Narrow" w:hAnsi="Arial Narrow" w:cs="Open Sans"/>
                <w:sz w:val="20"/>
                <w:szCs w:val="20"/>
              </w:rPr>
              <w:t>Must be treated by a</w:t>
            </w:r>
            <w:r>
              <w:rPr>
                <w:rFonts w:ascii="Arial Narrow" w:hAnsi="Arial Narrow" w:cs="Open Sans"/>
                <w:i/>
                <w:iCs/>
                <w:sz w:val="20"/>
                <w:szCs w:val="20"/>
              </w:rPr>
              <w:t xml:space="preserve">t least one of: (i) </w:t>
            </w:r>
            <w:r w:rsidRPr="001F4B70">
              <w:rPr>
                <w:rFonts w:ascii="Arial Narrow" w:hAnsi="Arial Narrow" w:cs="Open Sans"/>
                <w:sz w:val="20"/>
                <w:szCs w:val="20"/>
              </w:rPr>
              <w:t>gastroenterologist</w:t>
            </w:r>
            <w:r>
              <w:rPr>
                <w:rFonts w:ascii="Arial Narrow" w:hAnsi="Arial Narrow" w:cs="Open Sans"/>
                <w:i/>
                <w:iCs/>
                <w:sz w:val="20"/>
                <w:szCs w:val="20"/>
              </w:rPr>
              <w:t>, (ii) surgeon experienced in the management of patients with eosinophilic oesophagitis, (iii) physician experienced in the management of patients with eosinophilic oesophagitis</w:t>
            </w:r>
            <w:r w:rsidR="00A63F02">
              <w:rPr>
                <w:rFonts w:ascii="Arial Narrow" w:hAnsi="Arial Narrow" w:cs="Open Sans"/>
                <w:i/>
                <w:iCs/>
                <w:sz w:val="20"/>
                <w:szCs w:val="20"/>
              </w:rPr>
              <w:t>.</w:t>
            </w:r>
          </w:p>
        </w:tc>
      </w:tr>
      <w:tr w:rsidR="00491629" w:rsidRPr="001428E9" w14:paraId="311874D1" w14:textId="77777777" w:rsidTr="00383AEB">
        <w:tblPrEx>
          <w:tblCellMar>
            <w:top w:w="15" w:type="dxa"/>
            <w:bottom w:w="15" w:type="dxa"/>
          </w:tblCellMar>
          <w:tblLook w:val="04A0" w:firstRow="1" w:lastRow="0" w:firstColumn="1" w:lastColumn="0" w:noHBand="0" w:noVBand="1"/>
        </w:tblPrEx>
        <w:trPr>
          <w:cantSplit/>
          <w:trHeight w:val="20"/>
        </w:trPr>
        <w:tc>
          <w:tcPr>
            <w:tcW w:w="705" w:type="pct"/>
            <w:gridSpan w:val="2"/>
          </w:tcPr>
          <w:p w14:paraId="40019191" w14:textId="77777777" w:rsidR="00491629" w:rsidRPr="003D096B" w:rsidRDefault="00491629" w:rsidP="00383AEB">
            <w:pPr>
              <w:jc w:val="left"/>
              <w:rPr>
                <w:rFonts w:ascii="Arial Narrow" w:hAnsi="Arial Narrow" w:cs="Open Sans"/>
                <w:sz w:val="20"/>
                <w:szCs w:val="20"/>
              </w:rPr>
            </w:pPr>
          </w:p>
        </w:tc>
        <w:tc>
          <w:tcPr>
            <w:tcW w:w="4295" w:type="pct"/>
            <w:gridSpan w:val="6"/>
          </w:tcPr>
          <w:p w14:paraId="173A4291" w14:textId="77777777" w:rsidR="00491629" w:rsidRPr="003D096B" w:rsidRDefault="00491629" w:rsidP="00383AEB">
            <w:pPr>
              <w:autoSpaceDE w:val="0"/>
              <w:autoSpaceDN w:val="0"/>
              <w:adjustRightInd w:val="0"/>
              <w:jc w:val="left"/>
              <w:rPr>
                <w:rFonts w:ascii="Arial Narrow" w:hAnsi="Arial Narrow" w:cs="Open Sans"/>
                <w:sz w:val="20"/>
                <w:szCs w:val="20"/>
              </w:rPr>
            </w:pPr>
          </w:p>
        </w:tc>
      </w:tr>
      <w:tr w:rsidR="00491629" w:rsidRPr="001428E9" w14:paraId="27B734E6" w14:textId="77777777" w:rsidTr="00383AEB">
        <w:tblPrEx>
          <w:tblCellMar>
            <w:top w:w="15" w:type="dxa"/>
            <w:bottom w:w="15" w:type="dxa"/>
          </w:tblCellMar>
        </w:tblPrEx>
        <w:trPr>
          <w:cantSplit/>
          <w:trHeight w:val="20"/>
        </w:trPr>
        <w:tc>
          <w:tcPr>
            <w:tcW w:w="705" w:type="pct"/>
            <w:gridSpan w:val="2"/>
          </w:tcPr>
          <w:p w14:paraId="12463BFD" w14:textId="3602BF2E" w:rsidR="00491629" w:rsidRPr="003D096B" w:rsidRDefault="00491629" w:rsidP="00383AEB">
            <w:pPr>
              <w:jc w:val="left"/>
              <w:rPr>
                <w:rFonts w:ascii="Arial Narrow" w:hAnsi="Arial Narrow"/>
                <w:sz w:val="20"/>
                <w:szCs w:val="20"/>
              </w:rPr>
            </w:pPr>
          </w:p>
        </w:tc>
        <w:tc>
          <w:tcPr>
            <w:tcW w:w="4295" w:type="pct"/>
            <w:gridSpan w:val="6"/>
          </w:tcPr>
          <w:p w14:paraId="2B780605" w14:textId="77777777" w:rsidR="00491629" w:rsidRPr="003D096B" w:rsidRDefault="00491629" w:rsidP="00383AEB">
            <w:pPr>
              <w:pStyle w:val="NormalWeb"/>
              <w:spacing w:before="0" w:beforeAutospacing="0" w:after="0" w:afterAutospacing="0"/>
              <w:textAlignment w:val="baseline"/>
              <w:rPr>
                <w:rFonts w:ascii="Arial Narrow" w:hAnsi="Arial Narrow" w:cs="Open Sans"/>
                <w:sz w:val="20"/>
                <w:szCs w:val="20"/>
              </w:rPr>
            </w:pPr>
            <w:r w:rsidRPr="003D096B">
              <w:rPr>
                <w:rStyle w:val="Strong"/>
                <w:rFonts w:ascii="Arial Narrow" w:hAnsi="Arial Narrow" w:cs="Open Sans"/>
                <w:sz w:val="20"/>
                <w:szCs w:val="20"/>
                <w:bdr w:val="none" w:sz="0" w:space="0" w:color="auto" w:frame="1"/>
              </w:rPr>
              <w:t>Prescribing Instructions:</w:t>
            </w:r>
          </w:p>
          <w:p w14:paraId="368BAEA1" w14:textId="77777777" w:rsidR="00491629" w:rsidRPr="00A06410" w:rsidRDefault="00491629" w:rsidP="00383AEB">
            <w:pPr>
              <w:autoSpaceDE w:val="0"/>
              <w:autoSpaceDN w:val="0"/>
              <w:adjustRightInd w:val="0"/>
              <w:jc w:val="left"/>
              <w:rPr>
                <w:rFonts w:ascii="Arial Narrow" w:hAnsi="Arial Narrow" w:cs="Arial Narrow"/>
                <w:i/>
                <w:iCs/>
                <w:sz w:val="20"/>
                <w:szCs w:val="20"/>
              </w:rPr>
            </w:pPr>
            <w:r w:rsidRPr="003D096B">
              <w:rPr>
                <w:rFonts w:ascii="Arial Narrow" w:hAnsi="Arial Narrow" w:cs="Open Sans"/>
                <w:sz w:val="20"/>
                <w:szCs w:val="20"/>
              </w:rPr>
              <w:t>Applications for treatment of this condition must be received within 12 weeks of biopsy.</w:t>
            </w:r>
          </w:p>
        </w:tc>
      </w:tr>
      <w:tr w:rsidR="00491629" w:rsidRPr="001428E9" w14:paraId="6A27E0C8" w14:textId="77777777" w:rsidTr="00383AEB">
        <w:tblPrEx>
          <w:tblCellMar>
            <w:top w:w="15" w:type="dxa"/>
            <w:bottom w:w="15" w:type="dxa"/>
          </w:tblCellMar>
        </w:tblPrEx>
        <w:trPr>
          <w:cantSplit/>
          <w:trHeight w:val="20"/>
        </w:trPr>
        <w:tc>
          <w:tcPr>
            <w:tcW w:w="705" w:type="pct"/>
            <w:gridSpan w:val="2"/>
          </w:tcPr>
          <w:p w14:paraId="3A75304D" w14:textId="226D273F" w:rsidR="00491629" w:rsidRPr="003D096B" w:rsidRDefault="00491629" w:rsidP="00383AEB">
            <w:pPr>
              <w:jc w:val="left"/>
              <w:rPr>
                <w:rFonts w:ascii="Arial Narrow" w:hAnsi="Arial Narrow"/>
                <w:sz w:val="20"/>
                <w:szCs w:val="20"/>
              </w:rPr>
            </w:pPr>
          </w:p>
        </w:tc>
        <w:tc>
          <w:tcPr>
            <w:tcW w:w="4295" w:type="pct"/>
            <w:gridSpan w:val="6"/>
          </w:tcPr>
          <w:p w14:paraId="3CCABE28" w14:textId="77777777" w:rsidR="00491629" w:rsidRPr="003D096B" w:rsidRDefault="00491629" w:rsidP="00383AEB">
            <w:pPr>
              <w:pStyle w:val="NormalWeb"/>
              <w:spacing w:before="0" w:beforeAutospacing="0" w:after="0" w:afterAutospacing="0"/>
              <w:textAlignment w:val="baseline"/>
              <w:rPr>
                <w:rFonts w:ascii="Arial Narrow" w:hAnsi="Arial Narrow" w:cs="Open Sans"/>
                <w:sz w:val="20"/>
                <w:szCs w:val="20"/>
              </w:rPr>
            </w:pPr>
            <w:r w:rsidRPr="003D096B">
              <w:rPr>
                <w:rStyle w:val="Strong"/>
                <w:rFonts w:ascii="Arial Narrow" w:hAnsi="Arial Narrow" w:cs="Open Sans"/>
                <w:sz w:val="20"/>
                <w:szCs w:val="20"/>
                <w:bdr w:val="none" w:sz="0" w:space="0" w:color="auto" w:frame="1"/>
              </w:rPr>
              <w:t>Prescribing Instructions:</w:t>
            </w:r>
          </w:p>
          <w:p w14:paraId="48EDE99C" w14:textId="77777777" w:rsidR="00491629" w:rsidRPr="003D096B" w:rsidRDefault="00491629" w:rsidP="00383AEB">
            <w:pPr>
              <w:jc w:val="left"/>
              <w:rPr>
                <w:rFonts w:ascii="Arial Narrow" w:hAnsi="Arial Narrow"/>
                <w:b/>
                <w:bCs/>
                <w:sz w:val="20"/>
                <w:szCs w:val="20"/>
              </w:rPr>
            </w:pPr>
            <w:r w:rsidRPr="003D096B">
              <w:rPr>
                <w:rFonts w:ascii="Arial Narrow" w:hAnsi="Arial Narrow" w:cs="Open Sans"/>
                <w:sz w:val="20"/>
                <w:szCs w:val="20"/>
              </w:rPr>
              <w:t>Symptoms of oesophageal dysfunction include at least one of the following: dysphasia, odynophagia, transient or self-cleared food impaction, chest pain, epigastric discomfort, vomiting/regurgitation.</w:t>
            </w:r>
          </w:p>
        </w:tc>
      </w:tr>
      <w:tr w:rsidR="00491629" w:rsidRPr="001428E9" w14:paraId="405DCAEC" w14:textId="77777777" w:rsidTr="00383AEB">
        <w:tblPrEx>
          <w:tblCellMar>
            <w:top w:w="15" w:type="dxa"/>
            <w:bottom w:w="15" w:type="dxa"/>
          </w:tblCellMar>
        </w:tblPrEx>
        <w:trPr>
          <w:cantSplit/>
          <w:trHeight w:val="20"/>
        </w:trPr>
        <w:tc>
          <w:tcPr>
            <w:tcW w:w="705" w:type="pct"/>
            <w:gridSpan w:val="2"/>
          </w:tcPr>
          <w:p w14:paraId="16E75411" w14:textId="50876611" w:rsidR="00491629" w:rsidRPr="003D096B" w:rsidRDefault="00491629" w:rsidP="00383AEB">
            <w:pPr>
              <w:jc w:val="left"/>
              <w:rPr>
                <w:rFonts w:ascii="Arial Narrow" w:hAnsi="Arial Narrow"/>
                <w:sz w:val="20"/>
                <w:szCs w:val="20"/>
              </w:rPr>
            </w:pPr>
          </w:p>
        </w:tc>
        <w:tc>
          <w:tcPr>
            <w:tcW w:w="4295" w:type="pct"/>
            <w:gridSpan w:val="6"/>
          </w:tcPr>
          <w:p w14:paraId="4390C9DF" w14:textId="77777777" w:rsidR="00491629" w:rsidRPr="003D096B" w:rsidRDefault="00491629" w:rsidP="00383AEB">
            <w:pPr>
              <w:pStyle w:val="NormalWeb"/>
              <w:spacing w:before="0" w:beforeAutospacing="0" w:after="0" w:afterAutospacing="0"/>
              <w:textAlignment w:val="baseline"/>
              <w:rPr>
                <w:rFonts w:ascii="Arial Narrow" w:hAnsi="Arial Narrow" w:cs="Open Sans"/>
                <w:sz w:val="20"/>
                <w:szCs w:val="20"/>
              </w:rPr>
            </w:pPr>
            <w:r w:rsidRPr="003D096B">
              <w:rPr>
                <w:rStyle w:val="Strong"/>
                <w:rFonts w:ascii="Arial Narrow" w:hAnsi="Arial Narrow" w:cs="Open Sans"/>
                <w:sz w:val="20"/>
                <w:szCs w:val="20"/>
                <w:bdr w:val="none" w:sz="0" w:space="0" w:color="auto" w:frame="1"/>
              </w:rPr>
              <w:t>Prescribing Instructions:</w:t>
            </w:r>
          </w:p>
          <w:p w14:paraId="249D449C" w14:textId="7C6A4D5B" w:rsidR="00491629" w:rsidRPr="003D096B" w:rsidRDefault="00173437" w:rsidP="00383AEB">
            <w:pPr>
              <w:jc w:val="left"/>
              <w:rPr>
                <w:rFonts w:ascii="Arial Narrow" w:hAnsi="Arial Narrow"/>
                <w:b/>
                <w:bCs/>
                <w:i/>
                <w:iCs/>
                <w:sz w:val="20"/>
                <w:szCs w:val="20"/>
              </w:rPr>
            </w:pPr>
            <w:r w:rsidRPr="003D096B">
              <w:rPr>
                <w:rFonts w:ascii="Arial Narrow" w:hAnsi="Arial Narrow" w:cs="Open Sans"/>
                <w:sz w:val="20"/>
                <w:szCs w:val="20"/>
              </w:rPr>
              <w:t xml:space="preserve">Diagnostic sensitivity increases with the number of biopsies and </w:t>
            </w:r>
            <w:proofErr w:type="gramStart"/>
            <w:r w:rsidRPr="003D096B">
              <w:rPr>
                <w:rFonts w:ascii="Arial Narrow" w:hAnsi="Arial Narrow" w:cs="Open Sans"/>
                <w:strike/>
                <w:sz w:val="20"/>
                <w:szCs w:val="20"/>
              </w:rPr>
              <w:t>is</w:t>
            </w:r>
            <w:r w:rsidRPr="003D096B">
              <w:rPr>
                <w:rFonts w:ascii="Arial Narrow" w:hAnsi="Arial Narrow" w:cs="Open Sans"/>
                <w:sz w:val="20"/>
                <w:szCs w:val="20"/>
              </w:rPr>
              <w:t xml:space="preserve"> </w:t>
            </w:r>
            <w:r>
              <w:rPr>
                <w:rFonts w:ascii="Arial Narrow" w:hAnsi="Arial Narrow" w:cs="Open Sans"/>
                <w:i/>
                <w:iCs/>
                <w:sz w:val="20"/>
                <w:szCs w:val="20"/>
              </w:rPr>
              <w:t>can be</w:t>
            </w:r>
            <w:proofErr w:type="gramEnd"/>
            <w:r>
              <w:rPr>
                <w:rFonts w:ascii="Arial Narrow" w:hAnsi="Arial Narrow" w:cs="Open Sans"/>
                <w:i/>
                <w:iCs/>
                <w:sz w:val="20"/>
                <w:szCs w:val="20"/>
              </w:rPr>
              <w:t xml:space="preserve"> </w:t>
            </w:r>
            <w:r w:rsidRPr="003D096B">
              <w:rPr>
                <w:rFonts w:ascii="Arial Narrow" w:hAnsi="Arial Narrow" w:cs="Open Sans"/>
                <w:sz w:val="20"/>
                <w:szCs w:val="20"/>
              </w:rPr>
              <w:t>optimised</w:t>
            </w:r>
            <w:r>
              <w:rPr>
                <w:rFonts w:ascii="Arial Narrow" w:hAnsi="Arial Narrow" w:cs="Open Sans"/>
                <w:i/>
                <w:iCs/>
                <w:sz w:val="20"/>
                <w:szCs w:val="20"/>
              </w:rPr>
              <w:t xml:space="preserve">, </w:t>
            </w:r>
            <w:r w:rsidR="00A63F02">
              <w:rPr>
                <w:rFonts w:ascii="Arial Narrow" w:hAnsi="Arial Narrow" w:cs="Open Sans"/>
                <w:i/>
                <w:iCs/>
                <w:sz w:val="20"/>
                <w:szCs w:val="20"/>
              </w:rPr>
              <w:t>where</w:t>
            </w:r>
            <w:r>
              <w:rPr>
                <w:rFonts w:ascii="Arial Narrow" w:hAnsi="Arial Narrow" w:cs="Open Sans"/>
                <w:i/>
                <w:iCs/>
                <w:sz w:val="20"/>
                <w:szCs w:val="20"/>
              </w:rPr>
              <w:t xml:space="preserve"> necessary,</w:t>
            </w:r>
            <w:r w:rsidRPr="003D096B">
              <w:rPr>
                <w:rFonts w:ascii="Arial Narrow" w:hAnsi="Arial Narrow" w:cs="Open Sans"/>
                <w:sz w:val="20"/>
                <w:szCs w:val="20"/>
              </w:rPr>
              <w:t xml:space="preserve"> </w:t>
            </w:r>
            <w:r w:rsidRPr="003D096B">
              <w:rPr>
                <w:rFonts w:ascii="Arial Narrow" w:hAnsi="Arial Narrow" w:cs="Open Sans"/>
                <w:strike/>
                <w:sz w:val="20"/>
                <w:szCs w:val="20"/>
              </w:rPr>
              <w:t>after</w:t>
            </w:r>
            <w:r w:rsidRPr="003D096B">
              <w:rPr>
                <w:rFonts w:ascii="Arial Narrow" w:hAnsi="Arial Narrow" w:cs="Open Sans"/>
                <w:sz w:val="20"/>
                <w:szCs w:val="20"/>
              </w:rPr>
              <w:t xml:space="preserve"> </w:t>
            </w:r>
            <w:r>
              <w:rPr>
                <w:rFonts w:ascii="Arial Narrow" w:hAnsi="Arial Narrow" w:cs="Open Sans"/>
                <w:i/>
                <w:iCs/>
                <w:sz w:val="20"/>
                <w:szCs w:val="20"/>
              </w:rPr>
              <w:t xml:space="preserve">by </w:t>
            </w:r>
            <w:r w:rsidRPr="003D096B">
              <w:rPr>
                <w:rFonts w:ascii="Arial Narrow" w:hAnsi="Arial Narrow" w:cs="Open Sans"/>
                <w:sz w:val="20"/>
                <w:szCs w:val="20"/>
              </w:rPr>
              <w:t>taking at least eight biopsies (minimum of four collected from each of the mid and distal segments, with the distal segment biopsies taken at least 5 cm above the gastroesophageal junction).</w:t>
            </w:r>
          </w:p>
        </w:tc>
      </w:tr>
      <w:tr w:rsidR="00491629" w:rsidRPr="001428E9" w14:paraId="056B2061" w14:textId="77777777" w:rsidTr="00383AEB">
        <w:tblPrEx>
          <w:tblCellMar>
            <w:top w:w="15" w:type="dxa"/>
            <w:bottom w:w="15" w:type="dxa"/>
          </w:tblCellMar>
        </w:tblPrEx>
        <w:trPr>
          <w:cantSplit/>
          <w:trHeight w:val="20"/>
        </w:trPr>
        <w:tc>
          <w:tcPr>
            <w:tcW w:w="705" w:type="pct"/>
            <w:gridSpan w:val="2"/>
          </w:tcPr>
          <w:p w14:paraId="693E86B0" w14:textId="75636D45" w:rsidR="00491629" w:rsidRPr="003D096B" w:rsidRDefault="00491629" w:rsidP="00383AEB">
            <w:pPr>
              <w:jc w:val="left"/>
              <w:rPr>
                <w:rFonts w:ascii="Arial Narrow" w:hAnsi="Arial Narrow"/>
                <w:sz w:val="20"/>
                <w:szCs w:val="20"/>
              </w:rPr>
            </w:pPr>
          </w:p>
        </w:tc>
        <w:tc>
          <w:tcPr>
            <w:tcW w:w="4295" w:type="pct"/>
            <w:gridSpan w:val="6"/>
          </w:tcPr>
          <w:p w14:paraId="1EC20EAB" w14:textId="77777777" w:rsidR="00491629" w:rsidRPr="00A63F02" w:rsidRDefault="00491629" w:rsidP="00383AEB">
            <w:pPr>
              <w:pStyle w:val="NormalWeb"/>
              <w:spacing w:before="0" w:beforeAutospacing="0" w:after="0" w:afterAutospacing="0"/>
              <w:textAlignment w:val="baseline"/>
              <w:rPr>
                <w:rFonts w:ascii="Arial Narrow" w:hAnsi="Arial Narrow" w:cs="Open Sans"/>
                <w:sz w:val="20"/>
                <w:szCs w:val="20"/>
              </w:rPr>
            </w:pPr>
            <w:r w:rsidRPr="00A63F02">
              <w:rPr>
                <w:rStyle w:val="Strong"/>
                <w:rFonts w:ascii="Arial Narrow" w:hAnsi="Arial Narrow" w:cs="Open Sans"/>
                <w:sz w:val="20"/>
                <w:szCs w:val="20"/>
                <w:bdr w:val="none" w:sz="0" w:space="0" w:color="auto" w:frame="1"/>
              </w:rPr>
              <w:t>Prescribing Instructions:</w:t>
            </w:r>
          </w:p>
          <w:p w14:paraId="15B96BD9" w14:textId="77777777" w:rsidR="00491629" w:rsidRPr="002B5FE7" w:rsidRDefault="00491629" w:rsidP="00383AEB">
            <w:pPr>
              <w:jc w:val="left"/>
              <w:rPr>
                <w:rFonts w:ascii="Arial Narrow" w:hAnsi="Arial Narrow"/>
                <w:strike/>
                <w:sz w:val="20"/>
                <w:szCs w:val="20"/>
              </w:rPr>
            </w:pPr>
            <w:r w:rsidRPr="00A63F02">
              <w:rPr>
                <w:rFonts w:ascii="Arial Narrow" w:hAnsi="Arial Narrow" w:cs="Open Sans"/>
                <w:sz w:val="20"/>
                <w:szCs w:val="20"/>
              </w:rPr>
              <w:t>A histologic assessment of the oesophageal biopsy should be planned for approximately 8 weeks after the initiation of the first PBS-subsidised treatment with this drug under this restriction, and no later than 2 weeks prior to the patient completing the PBS-subsidised initial treatment course, to determine the patient's eligibility for continuing therapy and to avoid an interruption to supply.</w:t>
            </w:r>
          </w:p>
        </w:tc>
      </w:tr>
    </w:tbl>
    <w:p w14:paraId="355839AC" w14:textId="77777777" w:rsidR="00491629" w:rsidRPr="003D096B" w:rsidRDefault="00491629" w:rsidP="00491629">
      <w:pPr>
        <w:pStyle w:val="3Bodytext"/>
        <w:numPr>
          <w:ilvl w:val="0"/>
          <w:numId w:val="0"/>
        </w:num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765"/>
        <w:gridCol w:w="3094"/>
        <w:gridCol w:w="923"/>
        <w:gridCol w:w="1069"/>
        <w:gridCol w:w="887"/>
        <w:gridCol w:w="882"/>
        <w:gridCol w:w="938"/>
      </w:tblGrid>
      <w:tr w:rsidR="00491629" w:rsidRPr="004F1DFB" w14:paraId="4220C801" w14:textId="77777777" w:rsidTr="00383AEB">
        <w:trPr>
          <w:cantSplit/>
          <w:trHeight w:val="471"/>
        </w:trPr>
        <w:tc>
          <w:tcPr>
            <w:tcW w:w="2394" w:type="pct"/>
            <w:gridSpan w:val="3"/>
          </w:tcPr>
          <w:p w14:paraId="14A950D5" w14:textId="77777777" w:rsidR="00491629" w:rsidRPr="004F1DFB" w:rsidRDefault="00491629" w:rsidP="00383AEB">
            <w:pPr>
              <w:keepNext/>
              <w:ind w:left="-108"/>
              <w:rPr>
                <w:rFonts w:ascii="Arial Narrow" w:hAnsi="Arial Narrow" w:cs="Arial"/>
                <w:b/>
                <w:bCs/>
                <w:sz w:val="20"/>
                <w:szCs w:val="20"/>
              </w:rPr>
            </w:pPr>
            <w:r w:rsidRPr="004F1DFB">
              <w:rPr>
                <w:rFonts w:ascii="Arial Narrow" w:hAnsi="Arial Narrow" w:cs="Arial"/>
                <w:b/>
                <w:bCs/>
                <w:sz w:val="20"/>
                <w:szCs w:val="20"/>
              </w:rPr>
              <w:t>MEDICINAL PRODUCT</w:t>
            </w:r>
          </w:p>
          <w:p w14:paraId="3E8EAA96" w14:textId="77777777" w:rsidR="00491629" w:rsidRPr="004F1DFB" w:rsidRDefault="00491629" w:rsidP="00383AEB">
            <w:pPr>
              <w:keepNext/>
              <w:ind w:left="-108"/>
              <w:rPr>
                <w:rFonts w:ascii="Arial Narrow" w:hAnsi="Arial Narrow" w:cs="Arial"/>
                <w:b/>
                <w:sz w:val="20"/>
                <w:szCs w:val="20"/>
              </w:rPr>
            </w:pPr>
            <w:r w:rsidRPr="004F1DFB">
              <w:rPr>
                <w:rFonts w:ascii="Arial Narrow" w:hAnsi="Arial Narrow" w:cs="Arial"/>
                <w:b/>
                <w:bCs/>
                <w:sz w:val="20"/>
                <w:szCs w:val="20"/>
              </w:rPr>
              <w:t xml:space="preserve"> Medicinal Product Pack</w:t>
            </w:r>
          </w:p>
        </w:tc>
        <w:tc>
          <w:tcPr>
            <w:tcW w:w="512" w:type="pct"/>
          </w:tcPr>
          <w:p w14:paraId="0233009B" w14:textId="77777777" w:rsidR="00491629" w:rsidRPr="004F1DFB" w:rsidRDefault="00491629" w:rsidP="00383AEB">
            <w:pPr>
              <w:keepNext/>
              <w:ind w:left="-108"/>
              <w:jc w:val="center"/>
              <w:rPr>
                <w:rFonts w:ascii="Arial Narrow" w:hAnsi="Arial Narrow" w:cs="Arial"/>
                <w:b/>
                <w:sz w:val="20"/>
                <w:szCs w:val="20"/>
              </w:rPr>
            </w:pPr>
            <w:r w:rsidRPr="004F1DFB">
              <w:rPr>
                <w:rFonts w:ascii="Arial Narrow" w:hAnsi="Arial Narrow" w:cs="Arial"/>
                <w:b/>
                <w:sz w:val="20"/>
                <w:szCs w:val="20"/>
              </w:rPr>
              <w:t>PBS item code</w:t>
            </w:r>
          </w:p>
        </w:tc>
        <w:tc>
          <w:tcPr>
            <w:tcW w:w="593" w:type="pct"/>
          </w:tcPr>
          <w:p w14:paraId="79AAF20D" w14:textId="77777777" w:rsidR="00491629" w:rsidRPr="004F1DFB" w:rsidRDefault="00491629" w:rsidP="00383AEB">
            <w:pPr>
              <w:keepNext/>
              <w:ind w:left="-108"/>
              <w:jc w:val="center"/>
              <w:rPr>
                <w:rFonts w:ascii="Arial Narrow" w:hAnsi="Arial Narrow" w:cs="Arial"/>
                <w:b/>
                <w:sz w:val="20"/>
                <w:szCs w:val="20"/>
              </w:rPr>
            </w:pPr>
            <w:r w:rsidRPr="004F1DFB">
              <w:rPr>
                <w:rFonts w:ascii="Arial Narrow" w:hAnsi="Arial Narrow" w:cs="Arial"/>
                <w:b/>
                <w:sz w:val="20"/>
                <w:szCs w:val="20"/>
              </w:rPr>
              <w:t>Max. qty packs</w:t>
            </w:r>
          </w:p>
        </w:tc>
        <w:tc>
          <w:tcPr>
            <w:tcW w:w="492" w:type="pct"/>
          </w:tcPr>
          <w:p w14:paraId="2E14E253" w14:textId="77777777" w:rsidR="00491629" w:rsidRPr="004F1DFB" w:rsidRDefault="00491629" w:rsidP="00383AEB">
            <w:pPr>
              <w:keepNext/>
              <w:ind w:left="-108"/>
              <w:jc w:val="center"/>
              <w:rPr>
                <w:rFonts w:ascii="Arial Narrow" w:hAnsi="Arial Narrow" w:cs="Arial"/>
                <w:b/>
                <w:sz w:val="20"/>
                <w:szCs w:val="20"/>
              </w:rPr>
            </w:pPr>
            <w:r w:rsidRPr="004F1DFB">
              <w:rPr>
                <w:rFonts w:ascii="Arial Narrow" w:hAnsi="Arial Narrow" w:cs="Arial"/>
                <w:b/>
                <w:sz w:val="20"/>
                <w:szCs w:val="20"/>
              </w:rPr>
              <w:t>Max. qty units</w:t>
            </w:r>
          </w:p>
        </w:tc>
        <w:tc>
          <w:tcPr>
            <w:tcW w:w="489" w:type="pct"/>
          </w:tcPr>
          <w:p w14:paraId="723B4F75" w14:textId="77777777" w:rsidR="00491629" w:rsidRPr="004F1DFB" w:rsidRDefault="00491629" w:rsidP="00383AEB">
            <w:pPr>
              <w:keepNext/>
              <w:ind w:left="-108"/>
              <w:jc w:val="center"/>
              <w:rPr>
                <w:rFonts w:ascii="Arial Narrow" w:hAnsi="Arial Narrow" w:cs="Arial"/>
                <w:b/>
                <w:sz w:val="20"/>
                <w:szCs w:val="20"/>
              </w:rPr>
            </w:pPr>
            <w:r w:rsidRPr="004F1DFB">
              <w:rPr>
                <w:rFonts w:ascii="Arial Narrow" w:hAnsi="Arial Narrow" w:cs="Arial"/>
                <w:b/>
                <w:sz w:val="20"/>
                <w:szCs w:val="20"/>
              </w:rPr>
              <w:t>№.of</w:t>
            </w:r>
          </w:p>
          <w:p w14:paraId="68643C61" w14:textId="77777777" w:rsidR="00491629" w:rsidRPr="004F1DFB" w:rsidRDefault="00491629" w:rsidP="00383AEB">
            <w:pPr>
              <w:keepNext/>
              <w:ind w:left="-108"/>
              <w:jc w:val="center"/>
              <w:rPr>
                <w:rFonts w:ascii="Arial Narrow" w:hAnsi="Arial Narrow" w:cs="Arial"/>
                <w:b/>
                <w:sz w:val="20"/>
                <w:szCs w:val="20"/>
              </w:rPr>
            </w:pPr>
            <w:r w:rsidRPr="004F1DFB">
              <w:rPr>
                <w:rFonts w:ascii="Arial Narrow" w:hAnsi="Arial Narrow" w:cs="Arial"/>
                <w:b/>
                <w:sz w:val="20"/>
                <w:szCs w:val="20"/>
              </w:rPr>
              <w:t>Rpts</w:t>
            </w:r>
          </w:p>
        </w:tc>
        <w:tc>
          <w:tcPr>
            <w:tcW w:w="520" w:type="pct"/>
          </w:tcPr>
          <w:p w14:paraId="686D3F42" w14:textId="77777777" w:rsidR="00491629" w:rsidRPr="004F1DFB" w:rsidRDefault="00491629" w:rsidP="00383AEB">
            <w:pPr>
              <w:keepNext/>
              <w:rPr>
                <w:rFonts w:ascii="Arial Narrow" w:hAnsi="Arial Narrow" w:cs="Arial"/>
                <w:b/>
                <w:sz w:val="20"/>
                <w:szCs w:val="20"/>
                <w:lang w:val="fr-FR"/>
              </w:rPr>
            </w:pPr>
            <w:r w:rsidRPr="004F1DFB">
              <w:rPr>
                <w:rFonts w:ascii="Arial Narrow" w:hAnsi="Arial Narrow" w:cs="Arial"/>
                <w:b/>
                <w:sz w:val="20"/>
                <w:szCs w:val="20"/>
              </w:rPr>
              <w:t>Available brands</w:t>
            </w:r>
          </w:p>
        </w:tc>
      </w:tr>
      <w:tr w:rsidR="00491629" w:rsidRPr="004F1DFB" w14:paraId="32F672CA" w14:textId="77777777" w:rsidTr="00383AEB">
        <w:trPr>
          <w:cantSplit/>
          <w:trHeight w:val="103"/>
        </w:trPr>
        <w:tc>
          <w:tcPr>
            <w:tcW w:w="5000" w:type="pct"/>
            <w:gridSpan w:val="8"/>
            <w:tcBorders>
              <w:bottom w:val="single" w:sz="4" w:space="0" w:color="auto"/>
            </w:tcBorders>
            <w:vAlign w:val="center"/>
          </w:tcPr>
          <w:p w14:paraId="7EA59FF5" w14:textId="77777777" w:rsidR="00491629" w:rsidRPr="003D096B" w:rsidRDefault="00491629" w:rsidP="00383AEB">
            <w:pPr>
              <w:keepNext/>
              <w:jc w:val="left"/>
              <w:rPr>
                <w:rFonts w:ascii="Arial Narrow" w:hAnsi="Arial Narrow" w:cs="Arial"/>
                <w:sz w:val="20"/>
                <w:szCs w:val="20"/>
              </w:rPr>
            </w:pPr>
            <w:r w:rsidRPr="004F1DFB">
              <w:rPr>
                <w:rFonts w:ascii="Arial Narrow" w:hAnsi="Arial Narrow" w:cs="Arial"/>
                <w:sz w:val="20"/>
                <w:szCs w:val="20"/>
              </w:rPr>
              <w:t>BUDESONIDE</w:t>
            </w:r>
          </w:p>
        </w:tc>
      </w:tr>
      <w:tr w:rsidR="00491629" w:rsidRPr="004F1DFB" w14:paraId="284EAF5E" w14:textId="77777777" w:rsidTr="00383AEB">
        <w:trPr>
          <w:cantSplit/>
          <w:trHeight w:val="291"/>
        </w:trPr>
        <w:tc>
          <w:tcPr>
            <w:tcW w:w="2394" w:type="pct"/>
            <w:gridSpan w:val="3"/>
            <w:tcBorders>
              <w:bottom w:val="single" w:sz="4" w:space="0" w:color="auto"/>
            </w:tcBorders>
            <w:vAlign w:val="center"/>
          </w:tcPr>
          <w:p w14:paraId="339E81BB" w14:textId="77777777" w:rsidR="00491629" w:rsidRPr="004F1DFB" w:rsidRDefault="00491629" w:rsidP="00383AEB">
            <w:pPr>
              <w:keepNext/>
              <w:ind w:left="-108"/>
              <w:jc w:val="left"/>
              <w:rPr>
                <w:rFonts w:ascii="Arial Narrow" w:hAnsi="Arial Narrow" w:cs="Arial"/>
                <w:sz w:val="20"/>
                <w:szCs w:val="20"/>
              </w:rPr>
            </w:pPr>
            <w:r w:rsidRPr="004F1DFB">
              <w:rPr>
                <w:rFonts w:ascii="Arial Narrow" w:hAnsi="Arial Narrow" w:cs="Arial"/>
                <w:sz w:val="20"/>
                <w:szCs w:val="20"/>
              </w:rPr>
              <w:t>budesonide 500 microgram orally disintegrating tablet, 60</w:t>
            </w:r>
          </w:p>
        </w:tc>
        <w:tc>
          <w:tcPr>
            <w:tcW w:w="512" w:type="pct"/>
            <w:vAlign w:val="center"/>
          </w:tcPr>
          <w:p w14:paraId="62E3AE4F" w14:textId="77777777" w:rsidR="00491629" w:rsidRPr="004F1DFB" w:rsidRDefault="00491629" w:rsidP="00383AEB">
            <w:pPr>
              <w:keepNext/>
              <w:rPr>
                <w:rFonts w:ascii="Arial Narrow" w:hAnsi="Arial Narrow" w:cs="Arial"/>
                <w:sz w:val="20"/>
                <w:szCs w:val="20"/>
              </w:rPr>
            </w:pPr>
            <w:r w:rsidRPr="004F1DFB">
              <w:rPr>
                <w:rFonts w:ascii="Arial Narrow" w:hAnsi="Arial Narrow" w:cs="Arial"/>
                <w:sz w:val="20"/>
                <w:szCs w:val="20"/>
              </w:rPr>
              <w:t>12987M</w:t>
            </w:r>
          </w:p>
        </w:tc>
        <w:tc>
          <w:tcPr>
            <w:tcW w:w="593" w:type="pct"/>
            <w:vAlign w:val="center"/>
          </w:tcPr>
          <w:p w14:paraId="53A3028F" w14:textId="77777777" w:rsidR="00491629" w:rsidRPr="00080A90" w:rsidRDefault="00491629" w:rsidP="00383AEB">
            <w:pPr>
              <w:keepNext/>
              <w:jc w:val="center"/>
              <w:rPr>
                <w:rFonts w:ascii="Arial Narrow" w:hAnsi="Arial Narrow" w:cs="Arial"/>
                <w:sz w:val="20"/>
                <w:szCs w:val="20"/>
              </w:rPr>
            </w:pPr>
            <w:r w:rsidRPr="00080A90">
              <w:rPr>
                <w:rFonts w:ascii="Arial Narrow" w:hAnsi="Arial Narrow" w:cs="Arial"/>
                <w:sz w:val="20"/>
                <w:szCs w:val="20"/>
              </w:rPr>
              <w:t>1</w:t>
            </w:r>
          </w:p>
        </w:tc>
        <w:tc>
          <w:tcPr>
            <w:tcW w:w="492" w:type="pct"/>
            <w:vAlign w:val="center"/>
          </w:tcPr>
          <w:p w14:paraId="2FA61D70" w14:textId="77777777" w:rsidR="00491629" w:rsidRDefault="00491629" w:rsidP="00383AEB">
            <w:pPr>
              <w:keepNext/>
              <w:ind w:left="-108"/>
              <w:jc w:val="center"/>
              <w:rPr>
                <w:rFonts w:ascii="Arial Narrow" w:hAnsi="Arial Narrow" w:cs="Arial"/>
                <w:sz w:val="20"/>
                <w:szCs w:val="20"/>
              </w:rPr>
            </w:pPr>
            <w:r>
              <w:rPr>
                <w:rFonts w:ascii="Arial Narrow" w:hAnsi="Arial Narrow" w:cs="Arial"/>
                <w:sz w:val="20"/>
                <w:szCs w:val="20"/>
              </w:rPr>
              <w:t>60</w:t>
            </w:r>
          </w:p>
        </w:tc>
        <w:tc>
          <w:tcPr>
            <w:tcW w:w="489" w:type="pct"/>
            <w:vAlign w:val="center"/>
          </w:tcPr>
          <w:p w14:paraId="12C42456" w14:textId="77777777" w:rsidR="00491629" w:rsidRDefault="00491629" w:rsidP="00383AEB">
            <w:pPr>
              <w:keepNext/>
              <w:jc w:val="center"/>
              <w:rPr>
                <w:rFonts w:ascii="Arial Narrow" w:hAnsi="Arial Narrow" w:cs="Arial"/>
                <w:sz w:val="20"/>
                <w:szCs w:val="20"/>
              </w:rPr>
            </w:pPr>
            <w:r>
              <w:rPr>
                <w:rFonts w:ascii="Arial Narrow" w:hAnsi="Arial Narrow" w:cs="Arial"/>
                <w:sz w:val="20"/>
                <w:szCs w:val="20"/>
              </w:rPr>
              <w:t>5</w:t>
            </w:r>
          </w:p>
        </w:tc>
        <w:tc>
          <w:tcPr>
            <w:tcW w:w="520" w:type="pct"/>
            <w:vAlign w:val="center"/>
          </w:tcPr>
          <w:p w14:paraId="09B2B822" w14:textId="77777777" w:rsidR="00491629" w:rsidRDefault="00491629" w:rsidP="00383AEB">
            <w:pPr>
              <w:keepNext/>
              <w:jc w:val="center"/>
              <w:rPr>
                <w:rFonts w:ascii="Arial Narrow" w:hAnsi="Arial Narrow" w:cs="Arial"/>
                <w:sz w:val="20"/>
                <w:szCs w:val="20"/>
              </w:rPr>
            </w:pPr>
            <w:r>
              <w:rPr>
                <w:rFonts w:ascii="Arial Narrow" w:hAnsi="Arial Narrow" w:cs="Arial"/>
                <w:sz w:val="20"/>
                <w:szCs w:val="20"/>
              </w:rPr>
              <w:t>Jorveza</w:t>
            </w:r>
          </w:p>
        </w:tc>
      </w:tr>
      <w:tr w:rsidR="00491629" w:rsidRPr="004F1DFB" w14:paraId="7903C731" w14:textId="77777777" w:rsidTr="00383AEB">
        <w:trPr>
          <w:cantSplit/>
          <w:trHeight w:val="241"/>
        </w:trPr>
        <w:tc>
          <w:tcPr>
            <w:tcW w:w="2394" w:type="pct"/>
            <w:gridSpan w:val="3"/>
            <w:tcBorders>
              <w:bottom w:val="nil"/>
            </w:tcBorders>
          </w:tcPr>
          <w:p w14:paraId="6DAA79C5" w14:textId="16A1F0E5" w:rsidR="00491629" w:rsidRPr="004F1DFB" w:rsidRDefault="00491629" w:rsidP="00383AEB">
            <w:pPr>
              <w:keepNext/>
              <w:ind w:left="-108"/>
              <w:jc w:val="left"/>
              <w:rPr>
                <w:rFonts w:ascii="Arial Narrow" w:hAnsi="Arial Narrow" w:cs="Arial"/>
                <w:sz w:val="20"/>
                <w:szCs w:val="20"/>
              </w:rPr>
            </w:pPr>
            <w:r w:rsidRPr="004F1DFB">
              <w:rPr>
                <w:rFonts w:ascii="Arial Narrow" w:hAnsi="Arial Narrow" w:cs="Arial"/>
                <w:sz w:val="20"/>
                <w:szCs w:val="20"/>
              </w:rPr>
              <w:t>budesonide 1 mg orally disintegrating tablet, 60</w:t>
            </w:r>
          </w:p>
        </w:tc>
        <w:tc>
          <w:tcPr>
            <w:tcW w:w="512" w:type="pct"/>
            <w:vAlign w:val="center"/>
          </w:tcPr>
          <w:p w14:paraId="400E657D" w14:textId="77777777" w:rsidR="00491629" w:rsidRPr="003D096B" w:rsidRDefault="00491629" w:rsidP="00383AEB">
            <w:pPr>
              <w:keepNext/>
              <w:ind w:left="-108"/>
              <w:jc w:val="center"/>
              <w:rPr>
                <w:rFonts w:ascii="Arial Narrow" w:hAnsi="Arial Narrow" w:cs="Arial"/>
                <w:sz w:val="20"/>
                <w:szCs w:val="20"/>
              </w:rPr>
            </w:pPr>
            <w:r w:rsidRPr="004F1DFB">
              <w:rPr>
                <w:rFonts w:ascii="Arial Narrow" w:hAnsi="Arial Narrow" w:cs="Arial"/>
                <w:sz w:val="20"/>
                <w:szCs w:val="20"/>
              </w:rPr>
              <w:t>12982G</w:t>
            </w:r>
          </w:p>
        </w:tc>
        <w:tc>
          <w:tcPr>
            <w:tcW w:w="593" w:type="pct"/>
            <w:vAlign w:val="center"/>
          </w:tcPr>
          <w:p w14:paraId="03584E0C" w14:textId="77777777" w:rsidR="00491629" w:rsidRPr="003D096B" w:rsidRDefault="00491629" w:rsidP="00383AEB">
            <w:pPr>
              <w:keepNext/>
              <w:jc w:val="center"/>
              <w:rPr>
                <w:rFonts w:ascii="Arial Narrow" w:hAnsi="Arial Narrow" w:cs="Arial"/>
                <w:sz w:val="20"/>
                <w:szCs w:val="20"/>
              </w:rPr>
            </w:pPr>
            <w:r w:rsidRPr="00080A90">
              <w:rPr>
                <w:rFonts w:ascii="Arial Narrow" w:hAnsi="Arial Narrow" w:cs="Arial"/>
                <w:sz w:val="20"/>
                <w:szCs w:val="20"/>
              </w:rPr>
              <w:t>1</w:t>
            </w:r>
          </w:p>
        </w:tc>
        <w:tc>
          <w:tcPr>
            <w:tcW w:w="492" w:type="pct"/>
            <w:vAlign w:val="center"/>
          </w:tcPr>
          <w:p w14:paraId="6DB6C978" w14:textId="77777777" w:rsidR="00491629" w:rsidRPr="003D096B" w:rsidRDefault="00491629" w:rsidP="00383AEB">
            <w:pPr>
              <w:keepNext/>
              <w:ind w:left="-108"/>
              <w:jc w:val="center"/>
              <w:rPr>
                <w:rFonts w:ascii="Arial Narrow" w:hAnsi="Arial Narrow" w:cs="Arial"/>
                <w:sz w:val="20"/>
                <w:szCs w:val="20"/>
              </w:rPr>
            </w:pPr>
            <w:r>
              <w:rPr>
                <w:rFonts w:ascii="Arial Narrow" w:hAnsi="Arial Narrow" w:cs="Arial"/>
                <w:sz w:val="20"/>
                <w:szCs w:val="20"/>
              </w:rPr>
              <w:t>60</w:t>
            </w:r>
          </w:p>
        </w:tc>
        <w:tc>
          <w:tcPr>
            <w:tcW w:w="489" w:type="pct"/>
            <w:vAlign w:val="center"/>
          </w:tcPr>
          <w:p w14:paraId="185BF9C1" w14:textId="77777777" w:rsidR="00491629" w:rsidRPr="003D096B" w:rsidRDefault="00491629" w:rsidP="00383AEB">
            <w:pPr>
              <w:keepNext/>
              <w:ind w:left="-108"/>
              <w:jc w:val="center"/>
              <w:rPr>
                <w:rFonts w:ascii="Arial Narrow" w:hAnsi="Arial Narrow" w:cs="Arial"/>
                <w:sz w:val="20"/>
                <w:szCs w:val="20"/>
              </w:rPr>
            </w:pPr>
            <w:r>
              <w:rPr>
                <w:rFonts w:ascii="Arial Narrow" w:hAnsi="Arial Narrow" w:cs="Arial"/>
                <w:sz w:val="20"/>
                <w:szCs w:val="20"/>
              </w:rPr>
              <w:t>5</w:t>
            </w:r>
          </w:p>
        </w:tc>
        <w:tc>
          <w:tcPr>
            <w:tcW w:w="520" w:type="pct"/>
            <w:vAlign w:val="center"/>
          </w:tcPr>
          <w:p w14:paraId="1B893004" w14:textId="77777777" w:rsidR="00491629" w:rsidRPr="003D096B" w:rsidRDefault="00491629" w:rsidP="00383AEB">
            <w:pPr>
              <w:keepNext/>
              <w:jc w:val="center"/>
              <w:rPr>
                <w:rFonts w:ascii="Arial Narrow" w:hAnsi="Arial Narrow" w:cs="Arial"/>
                <w:sz w:val="20"/>
                <w:szCs w:val="20"/>
              </w:rPr>
            </w:pPr>
            <w:r>
              <w:rPr>
                <w:rFonts w:ascii="Arial Narrow" w:hAnsi="Arial Narrow" w:cs="Arial"/>
                <w:sz w:val="20"/>
                <w:szCs w:val="20"/>
              </w:rPr>
              <w:t>Jorveza</w:t>
            </w:r>
          </w:p>
        </w:tc>
      </w:tr>
      <w:tr w:rsidR="00491629" w:rsidRPr="004F1DFB" w14:paraId="3B8044D6" w14:textId="77777777" w:rsidTr="00383AEB">
        <w:trPr>
          <w:cantSplit/>
          <w:trHeight w:val="241"/>
        </w:trPr>
        <w:tc>
          <w:tcPr>
            <w:tcW w:w="5000" w:type="pct"/>
            <w:gridSpan w:val="8"/>
            <w:tcBorders>
              <w:bottom w:val="nil"/>
            </w:tcBorders>
          </w:tcPr>
          <w:p w14:paraId="20FD966B" w14:textId="77777777" w:rsidR="00491629" w:rsidRDefault="00491629" w:rsidP="00383AEB">
            <w:pPr>
              <w:keepNext/>
              <w:jc w:val="center"/>
              <w:rPr>
                <w:rFonts w:ascii="Arial Narrow" w:hAnsi="Arial Narrow" w:cs="Arial"/>
                <w:sz w:val="20"/>
                <w:szCs w:val="20"/>
              </w:rPr>
            </w:pPr>
          </w:p>
        </w:tc>
      </w:tr>
      <w:tr w:rsidR="00491629" w:rsidRPr="001F4B70" w14:paraId="4C7EFA72" w14:textId="77777777" w:rsidTr="00383AEB">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42DDA7E6" w14:textId="30CD890A" w:rsidR="00491629" w:rsidRPr="001F4B70" w:rsidRDefault="00491629" w:rsidP="00383AEB">
            <w:pPr>
              <w:keepLines/>
              <w:jc w:val="left"/>
              <w:rPr>
                <w:rFonts w:ascii="Arial Narrow" w:hAnsi="Arial Narrow" w:cs="Arial"/>
                <w:b/>
                <w:sz w:val="20"/>
                <w:szCs w:val="20"/>
              </w:rPr>
            </w:pPr>
            <w:r>
              <w:rPr>
                <w:rFonts w:ascii="Arial Narrow" w:hAnsi="Arial Narrow"/>
                <w:b/>
                <w:sz w:val="20"/>
                <w:szCs w:val="20"/>
              </w:rPr>
              <w:t xml:space="preserve">Remove </w:t>
            </w:r>
            <w:r w:rsidRPr="001F4B70">
              <w:rPr>
                <w:rFonts w:ascii="Arial Narrow" w:hAnsi="Arial Narrow"/>
                <w:b/>
                <w:sz w:val="20"/>
                <w:szCs w:val="20"/>
              </w:rPr>
              <w:t>Restriction Summary [</w:t>
            </w:r>
            <w:r w:rsidR="00A63F02">
              <w:rPr>
                <w:rFonts w:ascii="Arial Narrow" w:hAnsi="Arial Narrow"/>
                <w:b/>
                <w:sz w:val="20"/>
                <w:szCs w:val="20"/>
              </w:rPr>
              <w:t>N</w:t>
            </w:r>
            <w:r w:rsidR="005873A2">
              <w:rPr>
                <w:rFonts w:ascii="Arial Narrow" w:hAnsi="Arial Narrow"/>
                <w:b/>
                <w:sz w:val="20"/>
                <w:szCs w:val="20"/>
              </w:rPr>
              <w:t>ew</w:t>
            </w:r>
            <w:r w:rsidR="00A63F02">
              <w:rPr>
                <w:rFonts w:ascii="Arial Narrow" w:hAnsi="Arial Narrow"/>
                <w:b/>
                <w:sz w:val="20"/>
                <w:szCs w:val="20"/>
              </w:rPr>
              <w:t>3</w:t>
            </w:r>
            <w:r w:rsidRPr="001F4B70">
              <w:rPr>
                <w:rFonts w:ascii="Arial Narrow" w:hAnsi="Arial Narrow"/>
                <w:b/>
                <w:sz w:val="20"/>
                <w:szCs w:val="20"/>
              </w:rPr>
              <w:t>] / Treatment of Concept: [</w:t>
            </w:r>
            <w:r w:rsidR="00A63F02">
              <w:rPr>
                <w:rFonts w:ascii="Arial Narrow" w:hAnsi="Arial Narrow"/>
                <w:b/>
                <w:sz w:val="20"/>
                <w:szCs w:val="20"/>
              </w:rPr>
              <w:t>N</w:t>
            </w:r>
            <w:r w:rsidR="005873A2">
              <w:rPr>
                <w:rFonts w:ascii="Arial Narrow" w:hAnsi="Arial Narrow"/>
                <w:b/>
                <w:sz w:val="20"/>
                <w:szCs w:val="20"/>
              </w:rPr>
              <w:t>ew</w:t>
            </w:r>
            <w:r w:rsidR="00A63F02">
              <w:rPr>
                <w:rFonts w:ascii="Arial Narrow" w:hAnsi="Arial Narrow"/>
                <w:b/>
                <w:sz w:val="20"/>
                <w:szCs w:val="20"/>
              </w:rPr>
              <w:t>4</w:t>
            </w:r>
            <w:r w:rsidRPr="001F4B70">
              <w:rPr>
                <w:rFonts w:ascii="Arial Narrow" w:hAnsi="Arial Narrow"/>
                <w:b/>
                <w:sz w:val="20"/>
                <w:szCs w:val="20"/>
              </w:rPr>
              <w:t>]</w:t>
            </w:r>
          </w:p>
        </w:tc>
      </w:tr>
      <w:tr w:rsidR="00491629" w:rsidRPr="001F4B70" w14:paraId="7755EC4C" w14:textId="77777777" w:rsidTr="00383AEB">
        <w:tblPrEx>
          <w:tblCellMar>
            <w:top w:w="15" w:type="dxa"/>
            <w:bottom w:w="15" w:type="dxa"/>
          </w:tblCellMar>
          <w:tblLook w:val="04A0" w:firstRow="1" w:lastRow="0" w:firstColumn="1" w:lastColumn="0" w:noHBand="0" w:noVBand="1"/>
        </w:tblPrEx>
        <w:trPr>
          <w:trHeight w:val="20"/>
        </w:trPr>
        <w:tc>
          <w:tcPr>
            <w:tcW w:w="678" w:type="pct"/>
            <w:gridSpan w:val="2"/>
            <w:vMerge w:val="restart"/>
            <w:tcBorders>
              <w:top w:val="single" w:sz="4" w:space="0" w:color="auto"/>
              <w:left w:val="single" w:sz="4" w:space="0" w:color="auto"/>
              <w:right w:val="single" w:sz="4" w:space="0" w:color="auto"/>
            </w:tcBorders>
          </w:tcPr>
          <w:p w14:paraId="3E5AC3BA" w14:textId="0263DAC5" w:rsidR="00491629" w:rsidRPr="001F4B70" w:rsidRDefault="00491629" w:rsidP="00383AEB">
            <w:pPr>
              <w:jc w:val="left"/>
              <w:rPr>
                <w:rFonts w:ascii="Arial Narrow" w:hAnsi="Arial Narrow" w:cs="Arial"/>
                <w:b/>
                <w:sz w:val="20"/>
                <w:szCs w:val="20"/>
              </w:rPr>
            </w:pPr>
          </w:p>
        </w:tc>
        <w:tc>
          <w:tcPr>
            <w:tcW w:w="4322" w:type="pct"/>
            <w:gridSpan w:val="6"/>
            <w:tcBorders>
              <w:top w:val="single" w:sz="4" w:space="0" w:color="auto"/>
              <w:left w:val="single" w:sz="4" w:space="0" w:color="auto"/>
              <w:bottom w:val="single" w:sz="4" w:space="0" w:color="auto"/>
              <w:right w:val="single" w:sz="4" w:space="0" w:color="auto"/>
            </w:tcBorders>
            <w:vAlign w:val="center"/>
          </w:tcPr>
          <w:p w14:paraId="3B138805" w14:textId="77777777" w:rsidR="00491629" w:rsidRPr="001F4B70" w:rsidRDefault="00491629" w:rsidP="00383AEB">
            <w:pPr>
              <w:keepLines/>
              <w:jc w:val="left"/>
              <w:rPr>
                <w:rFonts w:ascii="Arial Narrow" w:hAnsi="Arial Narrow" w:cs="Arial"/>
                <w:sz w:val="20"/>
                <w:szCs w:val="20"/>
              </w:rPr>
            </w:pPr>
            <w:r w:rsidRPr="001F4B70">
              <w:rPr>
                <w:rFonts w:ascii="Arial Narrow" w:hAnsi="Arial Narrow" w:cs="Arial"/>
                <w:b/>
                <w:sz w:val="20"/>
                <w:szCs w:val="20"/>
              </w:rPr>
              <w:t xml:space="preserve">Category / Program: </w:t>
            </w:r>
            <w:r w:rsidRPr="001F4B70">
              <w:rPr>
                <w:rFonts w:ascii="Arial Narrow" w:hAnsi="Arial Narrow" w:cs="Arial"/>
                <w:sz w:val="20"/>
                <w:szCs w:val="20"/>
              </w:rPr>
              <w:t>GENERAL – General Schedule (Code GE)</w:t>
            </w:r>
          </w:p>
        </w:tc>
      </w:tr>
      <w:tr w:rsidR="00491629" w:rsidRPr="001F4B70" w14:paraId="6DAC19F6" w14:textId="77777777" w:rsidTr="00383AEB">
        <w:tblPrEx>
          <w:tblCellMar>
            <w:top w:w="15" w:type="dxa"/>
            <w:bottom w:w="15" w:type="dxa"/>
          </w:tblCellMar>
          <w:tblLook w:val="04A0" w:firstRow="1" w:lastRow="0" w:firstColumn="1" w:lastColumn="0" w:noHBand="0" w:noVBand="1"/>
        </w:tblPrEx>
        <w:trPr>
          <w:trHeight w:val="20"/>
        </w:trPr>
        <w:tc>
          <w:tcPr>
            <w:tcW w:w="678" w:type="pct"/>
            <w:gridSpan w:val="2"/>
            <w:vMerge/>
            <w:tcBorders>
              <w:left w:val="single" w:sz="4" w:space="0" w:color="auto"/>
              <w:right w:val="single" w:sz="4" w:space="0" w:color="auto"/>
            </w:tcBorders>
          </w:tcPr>
          <w:p w14:paraId="36572090" w14:textId="77777777" w:rsidR="00491629" w:rsidRPr="001F4B70" w:rsidRDefault="00491629" w:rsidP="00383AEB">
            <w:pPr>
              <w:jc w:val="left"/>
              <w:rPr>
                <w:rFonts w:ascii="Arial Narrow" w:hAnsi="Arial Narrow" w:cs="Arial"/>
                <w:sz w:val="20"/>
                <w:szCs w:val="20"/>
              </w:rPr>
            </w:pPr>
          </w:p>
        </w:tc>
        <w:tc>
          <w:tcPr>
            <w:tcW w:w="4322" w:type="pct"/>
            <w:gridSpan w:val="6"/>
            <w:tcBorders>
              <w:top w:val="single" w:sz="4" w:space="0" w:color="auto"/>
              <w:left w:val="single" w:sz="4" w:space="0" w:color="auto"/>
              <w:bottom w:val="single" w:sz="4" w:space="0" w:color="auto"/>
              <w:right w:val="single" w:sz="4" w:space="0" w:color="auto"/>
            </w:tcBorders>
            <w:vAlign w:val="center"/>
          </w:tcPr>
          <w:p w14:paraId="4788FF04" w14:textId="77777777" w:rsidR="00491629" w:rsidRPr="001F4B70" w:rsidRDefault="00491629" w:rsidP="00383AEB">
            <w:pPr>
              <w:keepLines/>
              <w:jc w:val="left"/>
              <w:rPr>
                <w:rFonts w:ascii="Arial Narrow" w:hAnsi="Arial Narrow" w:cs="Arial"/>
                <w:b/>
                <w:sz w:val="20"/>
                <w:szCs w:val="20"/>
              </w:rPr>
            </w:pPr>
            <w:r w:rsidRPr="001F4B70">
              <w:rPr>
                <w:rFonts w:ascii="Arial Narrow" w:hAnsi="Arial Narrow" w:cs="Arial"/>
                <w:b/>
                <w:sz w:val="20"/>
                <w:szCs w:val="20"/>
              </w:rPr>
              <w:t xml:space="preserve">Prescriber type: </w:t>
            </w:r>
            <w:r w:rsidRPr="001F4B70">
              <w:rPr>
                <w:rFonts w:ascii="Arial Narrow" w:hAnsi="Arial Narrow" w:cs="Arial"/>
                <w:sz w:val="20"/>
                <w:szCs w:val="20"/>
              </w:rPr>
              <w:fldChar w:fldCharType="begin" w:fldLock="1">
                <w:ffData>
                  <w:name w:val=""/>
                  <w:enabled/>
                  <w:calcOnExit w:val="0"/>
                  <w:checkBox>
                    <w:sizeAuto/>
                    <w:default w:val="1"/>
                  </w:checkBox>
                </w:ffData>
              </w:fldChar>
            </w:r>
            <w:r w:rsidRPr="001F4B70">
              <w:rPr>
                <w:rFonts w:ascii="Arial Narrow" w:hAnsi="Arial Narrow" w:cs="Arial"/>
                <w:sz w:val="20"/>
                <w:szCs w:val="20"/>
              </w:rPr>
              <w:instrText xml:space="preserve"> FORMCHECKBOX </w:instrText>
            </w:r>
            <w:r w:rsidR="001579BE">
              <w:rPr>
                <w:rFonts w:ascii="Arial Narrow" w:hAnsi="Arial Narrow" w:cs="Arial"/>
                <w:sz w:val="20"/>
                <w:szCs w:val="20"/>
              </w:rPr>
            </w:r>
            <w:r w:rsidR="001579BE">
              <w:rPr>
                <w:rFonts w:ascii="Arial Narrow" w:hAnsi="Arial Narrow" w:cs="Arial"/>
                <w:sz w:val="20"/>
                <w:szCs w:val="20"/>
              </w:rPr>
              <w:fldChar w:fldCharType="separate"/>
            </w:r>
            <w:r w:rsidRPr="001F4B70">
              <w:rPr>
                <w:rFonts w:ascii="Arial Narrow" w:hAnsi="Arial Narrow" w:cs="Arial"/>
                <w:sz w:val="20"/>
                <w:szCs w:val="20"/>
              </w:rPr>
              <w:fldChar w:fldCharType="end"/>
            </w:r>
            <w:r w:rsidRPr="001F4B70">
              <w:rPr>
                <w:rFonts w:ascii="Arial Narrow" w:hAnsi="Arial Narrow" w:cs="Arial"/>
                <w:sz w:val="20"/>
                <w:szCs w:val="20"/>
              </w:rPr>
              <w:t xml:space="preserve">Medical Practitioners </w:t>
            </w:r>
          </w:p>
        </w:tc>
      </w:tr>
      <w:tr w:rsidR="00491629" w:rsidRPr="001F4B70" w14:paraId="71637CF2" w14:textId="77777777" w:rsidTr="00383AEB">
        <w:tblPrEx>
          <w:tblCellMar>
            <w:top w:w="15" w:type="dxa"/>
            <w:bottom w:w="15" w:type="dxa"/>
          </w:tblCellMar>
          <w:tblLook w:val="04A0" w:firstRow="1" w:lastRow="0" w:firstColumn="1" w:lastColumn="0" w:noHBand="0" w:noVBand="1"/>
        </w:tblPrEx>
        <w:trPr>
          <w:trHeight w:val="20"/>
        </w:trPr>
        <w:tc>
          <w:tcPr>
            <w:tcW w:w="678" w:type="pct"/>
            <w:gridSpan w:val="2"/>
            <w:vMerge/>
            <w:tcBorders>
              <w:left w:val="single" w:sz="4" w:space="0" w:color="auto"/>
              <w:bottom w:val="single" w:sz="4" w:space="0" w:color="auto"/>
              <w:right w:val="single" w:sz="4" w:space="0" w:color="auto"/>
            </w:tcBorders>
          </w:tcPr>
          <w:p w14:paraId="7E6CE694" w14:textId="77777777" w:rsidR="00491629" w:rsidRPr="001F4B70" w:rsidRDefault="00491629" w:rsidP="00383AEB">
            <w:pPr>
              <w:jc w:val="left"/>
              <w:rPr>
                <w:rFonts w:ascii="Arial Narrow" w:hAnsi="Arial Narrow" w:cs="Arial"/>
                <w:sz w:val="20"/>
                <w:szCs w:val="20"/>
              </w:rPr>
            </w:pPr>
          </w:p>
        </w:tc>
        <w:tc>
          <w:tcPr>
            <w:tcW w:w="4322" w:type="pct"/>
            <w:gridSpan w:val="6"/>
            <w:tcBorders>
              <w:top w:val="single" w:sz="4" w:space="0" w:color="auto"/>
              <w:left w:val="single" w:sz="4" w:space="0" w:color="auto"/>
              <w:bottom w:val="single" w:sz="4" w:space="0" w:color="auto"/>
              <w:right w:val="single" w:sz="4" w:space="0" w:color="auto"/>
            </w:tcBorders>
            <w:vAlign w:val="center"/>
          </w:tcPr>
          <w:p w14:paraId="32D6B17B" w14:textId="77777777" w:rsidR="00491629" w:rsidRPr="001F4B70" w:rsidRDefault="00491629" w:rsidP="00383AEB">
            <w:pPr>
              <w:keepLines/>
              <w:jc w:val="left"/>
              <w:rPr>
                <w:rFonts w:ascii="Arial Narrow" w:eastAsia="Calibri" w:hAnsi="Arial Narrow" w:cs="Arial"/>
                <w:sz w:val="20"/>
                <w:szCs w:val="20"/>
              </w:rPr>
            </w:pPr>
            <w:r w:rsidRPr="001F4B70">
              <w:rPr>
                <w:rFonts w:ascii="Arial Narrow" w:hAnsi="Arial Narrow" w:cs="Arial"/>
                <w:b/>
                <w:sz w:val="20"/>
                <w:szCs w:val="20"/>
              </w:rPr>
              <w:t xml:space="preserve">Restriction type: </w:t>
            </w:r>
            <w:r w:rsidRPr="001F4B70">
              <w:rPr>
                <w:rFonts w:ascii="Arial Narrow" w:eastAsia="Calibri" w:hAnsi="Arial Narrow" w:cs="Arial"/>
                <w:sz w:val="20"/>
                <w:szCs w:val="20"/>
              </w:rPr>
              <w:br/>
            </w:r>
            <w:r w:rsidRPr="001F4B70">
              <w:rPr>
                <w:rFonts w:ascii="Arial Narrow" w:eastAsia="Calibri" w:hAnsi="Arial Narrow" w:cs="Arial"/>
                <w:sz w:val="20"/>
                <w:szCs w:val="20"/>
              </w:rPr>
              <w:fldChar w:fldCharType="begin" w:fldLock="1">
                <w:ffData>
                  <w:name w:val=""/>
                  <w:enabled/>
                  <w:calcOnExit w:val="0"/>
                  <w:checkBox>
                    <w:sizeAuto/>
                    <w:default w:val="1"/>
                  </w:checkBox>
                </w:ffData>
              </w:fldChar>
            </w:r>
            <w:r w:rsidRPr="001F4B70">
              <w:rPr>
                <w:rFonts w:ascii="Arial Narrow" w:eastAsia="Calibri" w:hAnsi="Arial Narrow" w:cs="Arial"/>
                <w:sz w:val="20"/>
                <w:szCs w:val="20"/>
              </w:rPr>
              <w:instrText xml:space="preserve"> FORMCHECKBOX </w:instrText>
            </w:r>
            <w:r w:rsidR="001579BE">
              <w:rPr>
                <w:rFonts w:ascii="Arial Narrow" w:eastAsia="Calibri" w:hAnsi="Arial Narrow" w:cs="Arial"/>
                <w:sz w:val="20"/>
                <w:szCs w:val="20"/>
              </w:rPr>
            </w:r>
            <w:r w:rsidR="001579BE">
              <w:rPr>
                <w:rFonts w:ascii="Arial Narrow" w:eastAsia="Calibri" w:hAnsi="Arial Narrow" w:cs="Arial"/>
                <w:sz w:val="20"/>
                <w:szCs w:val="20"/>
              </w:rPr>
              <w:fldChar w:fldCharType="separate"/>
            </w:r>
            <w:r w:rsidRPr="001F4B70">
              <w:rPr>
                <w:rFonts w:ascii="Arial Narrow" w:eastAsia="Calibri" w:hAnsi="Arial Narrow" w:cs="Arial"/>
                <w:sz w:val="20"/>
                <w:szCs w:val="20"/>
              </w:rPr>
              <w:fldChar w:fldCharType="end"/>
            </w:r>
            <w:r w:rsidRPr="001F4B70">
              <w:rPr>
                <w:rFonts w:ascii="Arial Narrow" w:eastAsia="Calibri" w:hAnsi="Arial Narrow" w:cs="Arial"/>
                <w:sz w:val="20"/>
                <w:szCs w:val="20"/>
              </w:rPr>
              <w:t xml:space="preserve">Authority Required (telephone/online PBS Authorities system) </w:t>
            </w:r>
          </w:p>
        </w:tc>
      </w:tr>
      <w:tr w:rsidR="00491629" w:rsidRPr="001F4B70" w14:paraId="6302B127" w14:textId="77777777" w:rsidTr="00383AEB">
        <w:tblPrEx>
          <w:tblCellMar>
            <w:top w:w="15" w:type="dxa"/>
            <w:bottom w:w="15" w:type="dxa"/>
          </w:tblCellMar>
          <w:tblLook w:val="04A0" w:firstRow="1" w:lastRow="0" w:firstColumn="1" w:lastColumn="0" w:noHBand="0" w:noVBand="1"/>
        </w:tblPrEx>
        <w:trPr>
          <w:trHeight w:val="20"/>
        </w:trPr>
        <w:tc>
          <w:tcPr>
            <w:tcW w:w="254" w:type="pct"/>
            <w:vMerge w:val="restart"/>
            <w:tcBorders>
              <w:left w:val="single" w:sz="4" w:space="0" w:color="auto"/>
              <w:right w:val="single" w:sz="4" w:space="0" w:color="auto"/>
            </w:tcBorders>
            <w:textDirection w:val="btLr"/>
            <w:vAlign w:val="center"/>
          </w:tcPr>
          <w:p w14:paraId="10BD31C6" w14:textId="7A396D6E" w:rsidR="00491629" w:rsidRPr="00D56963" w:rsidRDefault="00491629" w:rsidP="00383AEB">
            <w:pPr>
              <w:jc w:val="left"/>
              <w:rPr>
                <w:rFonts w:ascii="Arial Narrow" w:hAnsi="Arial Narrow" w:cs="Arial"/>
                <w:sz w:val="20"/>
                <w:szCs w:val="20"/>
              </w:rPr>
            </w:pPr>
          </w:p>
        </w:tc>
        <w:tc>
          <w:tcPr>
            <w:tcW w:w="424" w:type="pct"/>
          </w:tcPr>
          <w:p w14:paraId="452B3519" w14:textId="4BCC5DDB" w:rsidR="00491629" w:rsidRPr="00D56963" w:rsidRDefault="00491629" w:rsidP="00383AEB">
            <w:pPr>
              <w:jc w:val="left"/>
              <w:rPr>
                <w:rFonts w:ascii="Arial Narrow" w:hAnsi="Arial Narrow"/>
                <w:sz w:val="20"/>
                <w:szCs w:val="20"/>
              </w:rPr>
            </w:pPr>
          </w:p>
        </w:tc>
        <w:tc>
          <w:tcPr>
            <w:tcW w:w="4322" w:type="pct"/>
            <w:gridSpan w:val="6"/>
          </w:tcPr>
          <w:p w14:paraId="25A0D474" w14:textId="77777777" w:rsidR="00491629" w:rsidRPr="00D56963" w:rsidRDefault="00491629" w:rsidP="00383AEB">
            <w:pPr>
              <w:pStyle w:val="NormalWeb"/>
              <w:spacing w:before="0" w:beforeAutospacing="0" w:after="0" w:afterAutospacing="0"/>
              <w:textAlignment w:val="baseline"/>
              <w:rPr>
                <w:rFonts w:ascii="Arial Narrow" w:hAnsi="Arial Narrow" w:cs="Open Sans"/>
                <w:sz w:val="20"/>
                <w:szCs w:val="20"/>
              </w:rPr>
            </w:pPr>
            <w:r w:rsidRPr="00D56963">
              <w:rPr>
                <w:rStyle w:val="Strong"/>
                <w:rFonts w:ascii="Arial Narrow" w:hAnsi="Arial Narrow" w:cs="Open Sans"/>
                <w:sz w:val="20"/>
                <w:szCs w:val="20"/>
                <w:bdr w:val="none" w:sz="0" w:space="0" w:color="auto" w:frame="1"/>
              </w:rPr>
              <w:t>Administrative Advice:</w:t>
            </w:r>
          </w:p>
          <w:p w14:paraId="26032DD9" w14:textId="77777777" w:rsidR="00491629" w:rsidRPr="00D56963" w:rsidRDefault="00491629" w:rsidP="00383AEB">
            <w:pPr>
              <w:jc w:val="left"/>
              <w:rPr>
                <w:rFonts w:ascii="Arial Narrow" w:hAnsi="Arial Narrow"/>
                <w:sz w:val="20"/>
                <w:szCs w:val="20"/>
              </w:rPr>
            </w:pPr>
            <w:r w:rsidRPr="00D56963">
              <w:rPr>
                <w:rFonts w:ascii="Arial Narrow" w:hAnsi="Arial Narrow" w:cs="Open Sans"/>
                <w:sz w:val="20"/>
                <w:szCs w:val="20"/>
              </w:rPr>
              <w:t>No increase in the maximum number of repeats may be authorised.</w:t>
            </w:r>
          </w:p>
        </w:tc>
      </w:tr>
      <w:tr w:rsidR="00491629" w:rsidRPr="001F4B70" w14:paraId="4A794608" w14:textId="77777777" w:rsidTr="00383AEB">
        <w:tblPrEx>
          <w:tblCellMar>
            <w:top w:w="15" w:type="dxa"/>
            <w:bottom w:w="15" w:type="dxa"/>
          </w:tblCellMar>
          <w:tblLook w:val="04A0" w:firstRow="1" w:lastRow="0" w:firstColumn="1" w:lastColumn="0" w:noHBand="0" w:noVBand="1"/>
        </w:tblPrEx>
        <w:trPr>
          <w:trHeight w:val="20"/>
        </w:trPr>
        <w:tc>
          <w:tcPr>
            <w:tcW w:w="254" w:type="pct"/>
            <w:vMerge/>
            <w:tcBorders>
              <w:left w:val="single" w:sz="4" w:space="0" w:color="auto"/>
              <w:right w:val="single" w:sz="4" w:space="0" w:color="auto"/>
            </w:tcBorders>
          </w:tcPr>
          <w:p w14:paraId="7952FE68" w14:textId="77777777" w:rsidR="00491629" w:rsidRPr="00D56963" w:rsidRDefault="00491629" w:rsidP="00383AEB">
            <w:pPr>
              <w:jc w:val="left"/>
              <w:rPr>
                <w:rFonts w:ascii="Arial Narrow" w:hAnsi="Arial Narrow" w:cs="Arial"/>
                <w:sz w:val="20"/>
                <w:szCs w:val="20"/>
              </w:rPr>
            </w:pPr>
          </w:p>
        </w:tc>
        <w:tc>
          <w:tcPr>
            <w:tcW w:w="424" w:type="pct"/>
          </w:tcPr>
          <w:p w14:paraId="7FF6C26E" w14:textId="082801C3" w:rsidR="00491629" w:rsidRPr="00D56963" w:rsidRDefault="00491629" w:rsidP="00383AEB">
            <w:pPr>
              <w:jc w:val="left"/>
              <w:rPr>
                <w:rFonts w:ascii="Arial Narrow" w:hAnsi="Arial Narrow"/>
                <w:sz w:val="20"/>
                <w:szCs w:val="20"/>
              </w:rPr>
            </w:pPr>
          </w:p>
        </w:tc>
        <w:tc>
          <w:tcPr>
            <w:tcW w:w="4322" w:type="pct"/>
            <w:gridSpan w:val="6"/>
          </w:tcPr>
          <w:p w14:paraId="388DF078" w14:textId="77777777" w:rsidR="00491629" w:rsidRPr="00D56963" w:rsidRDefault="00491629" w:rsidP="00383AEB">
            <w:pPr>
              <w:pStyle w:val="NormalWeb"/>
              <w:spacing w:before="0" w:beforeAutospacing="0" w:after="0" w:afterAutospacing="0"/>
              <w:textAlignment w:val="baseline"/>
              <w:rPr>
                <w:rFonts w:ascii="Arial Narrow" w:hAnsi="Arial Narrow" w:cs="Open Sans"/>
                <w:sz w:val="20"/>
                <w:szCs w:val="20"/>
              </w:rPr>
            </w:pPr>
            <w:r w:rsidRPr="00D56963">
              <w:rPr>
                <w:rStyle w:val="Strong"/>
                <w:rFonts w:ascii="Arial Narrow" w:hAnsi="Arial Narrow" w:cs="Open Sans"/>
                <w:sz w:val="20"/>
                <w:szCs w:val="20"/>
                <w:bdr w:val="none" w:sz="0" w:space="0" w:color="auto" w:frame="1"/>
              </w:rPr>
              <w:t>Administrative Advice:</w:t>
            </w:r>
          </w:p>
          <w:p w14:paraId="384F04D6" w14:textId="77777777" w:rsidR="00491629" w:rsidRPr="00D56963" w:rsidRDefault="00491629" w:rsidP="00383AEB">
            <w:pPr>
              <w:jc w:val="left"/>
              <w:rPr>
                <w:rFonts w:ascii="Arial Narrow" w:hAnsi="Arial Narrow"/>
                <w:b/>
                <w:bCs/>
                <w:sz w:val="20"/>
                <w:szCs w:val="20"/>
              </w:rPr>
            </w:pPr>
            <w:r w:rsidRPr="00D56963">
              <w:rPr>
                <w:rFonts w:ascii="Arial Narrow" w:hAnsi="Arial Narrow" w:cs="Open Sans"/>
                <w:sz w:val="20"/>
                <w:szCs w:val="20"/>
              </w:rPr>
              <w:t>No increase in the maximum quantity or number of units may be authorised.</w:t>
            </w:r>
          </w:p>
        </w:tc>
      </w:tr>
      <w:tr w:rsidR="00491629" w:rsidRPr="001F4B70" w14:paraId="4DF9BF00" w14:textId="77777777" w:rsidTr="00383AEB">
        <w:tblPrEx>
          <w:tblCellMar>
            <w:top w:w="15" w:type="dxa"/>
            <w:bottom w:w="15" w:type="dxa"/>
          </w:tblCellMar>
          <w:tblLook w:val="04A0" w:firstRow="1" w:lastRow="0" w:firstColumn="1" w:lastColumn="0" w:noHBand="0" w:noVBand="1"/>
        </w:tblPrEx>
        <w:trPr>
          <w:trHeight w:val="20"/>
        </w:trPr>
        <w:tc>
          <w:tcPr>
            <w:tcW w:w="254" w:type="pct"/>
            <w:vMerge/>
            <w:tcBorders>
              <w:left w:val="single" w:sz="4" w:space="0" w:color="auto"/>
              <w:right w:val="single" w:sz="4" w:space="0" w:color="auto"/>
            </w:tcBorders>
          </w:tcPr>
          <w:p w14:paraId="298074E7" w14:textId="77777777" w:rsidR="00491629" w:rsidRPr="00D56963" w:rsidRDefault="00491629" w:rsidP="00383AEB">
            <w:pPr>
              <w:jc w:val="left"/>
              <w:rPr>
                <w:rFonts w:ascii="Arial Narrow" w:hAnsi="Arial Narrow" w:cs="Arial"/>
                <w:sz w:val="20"/>
                <w:szCs w:val="20"/>
              </w:rPr>
            </w:pPr>
          </w:p>
        </w:tc>
        <w:tc>
          <w:tcPr>
            <w:tcW w:w="424" w:type="pct"/>
          </w:tcPr>
          <w:p w14:paraId="40118D25" w14:textId="01D83F6E" w:rsidR="00491629" w:rsidRPr="00D56963" w:rsidRDefault="00491629" w:rsidP="00383AEB">
            <w:pPr>
              <w:jc w:val="left"/>
              <w:rPr>
                <w:rFonts w:ascii="Arial Narrow" w:hAnsi="Arial Narrow"/>
                <w:sz w:val="20"/>
                <w:szCs w:val="20"/>
              </w:rPr>
            </w:pPr>
          </w:p>
        </w:tc>
        <w:tc>
          <w:tcPr>
            <w:tcW w:w="4322" w:type="pct"/>
            <w:gridSpan w:val="6"/>
          </w:tcPr>
          <w:p w14:paraId="7C60AC5D" w14:textId="77777777" w:rsidR="00491629" w:rsidRPr="00D56963" w:rsidRDefault="00491629" w:rsidP="00383AEB">
            <w:pPr>
              <w:pStyle w:val="NormalWeb"/>
              <w:spacing w:before="0" w:beforeAutospacing="0" w:after="0" w:afterAutospacing="0"/>
              <w:textAlignment w:val="baseline"/>
              <w:rPr>
                <w:rFonts w:ascii="Arial Narrow" w:hAnsi="Arial Narrow" w:cs="Open Sans"/>
                <w:sz w:val="20"/>
                <w:szCs w:val="20"/>
              </w:rPr>
            </w:pPr>
            <w:r w:rsidRPr="00D56963">
              <w:rPr>
                <w:rStyle w:val="Strong"/>
                <w:rFonts w:ascii="Arial Narrow" w:hAnsi="Arial Narrow" w:cs="Open Sans"/>
                <w:sz w:val="20"/>
                <w:szCs w:val="20"/>
                <w:bdr w:val="none" w:sz="0" w:space="0" w:color="auto" w:frame="1"/>
              </w:rPr>
              <w:t>Administrative Advice:</w:t>
            </w:r>
          </w:p>
          <w:p w14:paraId="23C16984" w14:textId="77777777" w:rsidR="00491629" w:rsidRPr="00D56963" w:rsidRDefault="00491629" w:rsidP="00383AEB">
            <w:pPr>
              <w:jc w:val="left"/>
              <w:rPr>
                <w:rFonts w:ascii="Arial Narrow" w:hAnsi="Arial Narrow"/>
                <w:b/>
                <w:bCs/>
                <w:sz w:val="20"/>
                <w:szCs w:val="20"/>
              </w:rPr>
            </w:pPr>
            <w:r w:rsidRPr="00D56963">
              <w:rPr>
                <w:rFonts w:ascii="Arial Narrow" w:hAnsi="Arial Narrow" w:cs="Open Sans"/>
                <w:sz w:val="20"/>
                <w:szCs w:val="20"/>
              </w:rPr>
              <w:t>Applications for authorisation under this restriction may be made in real time using the Online PBS Authorities system (see www.servicesaustralia.gov.au/HPOS) or by telephone by contacting Services Australia on 1800 888 333.</w:t>
            </w:r>
          </w:p>
        </w:tc>
      </w:tr>
      <w:tr w:rsidR="00491629" w:rsidRPr="001F4B70" w14:paraId="3CBF90C1" w14:textId="77777777" w:rsidTr="00383AEB">
        <w:tblPrEx>
          <w:tblCellMar>
            <w:top w:w="15" w:type="dxa"/>
            <w:bottom w:w="15" w:type="dxa"/>
          </w:tblCellMar>
          <w:tblLook w:val="04A0" w:firstRow="1" w:lastRow="0" w:firstColumn="1" w:lastColumn="0" w:noHBand="0" w:noVBand="1"/>
        </w:tblPrEx>
        <w:trPr>
          <w:trHeight w:val="20"/>
        </w:trPr>
        <w:tc>
          <w:tcPr>
            <w:tcW w:w="254" w:type="pct"/>
            <w:vMerge/>
            <w:tcBorders>
              <w:left w:val="single" w:sz="4" w:space="0" w:color="auto"/>
              <w:bottom w:val="single" w:sz="4" w:space="0" w:color="auto"/>
              <w:right w:val="single" w:sz="4" w:space="0" w:color="auto"/>
            </w:tcBorders>
          </w:tcPr>
          <w:p w14:paraId="012138DF" w14:textId="77777777" w:rsidR="00491629" w:rsidRPr="00D56963" w:rsidRDefault="00491629" w:rsidP="00383AEB">
            <w:pPr>
              <w:jc w:val="left"/>
              <w:rPr>
                <w:rFonts w:ascii="Arial Narrow" w:hAnsi="Arial Narrow" w:cs="Arial"/>
                <w:sz w:val="20"/>
                <w:szCs w:val="20"/>
              </w:rPr>
            </w:pPr>
          </w:p>
        </w:tc>
        <w:tc>
          <w:tcPr>
            <w:tcW w:w="424" w:type="pct"/>
          </w:tcPr>
          <w:p w14:paraId="728F7CA1" w14:textId="60060B2B" w:rsidR="00491629" w:rsidRPr="00D56963" w:rsidRDefault="00491629" w:rsidP="00383AEB">
            <w:pPr>
              <w:jc w:val="left"/>
              <w:rPr>
                <w:rFonts w:ascii="Arial Narrow" w:hAnsi="Arial Narrow"/>
                <w:sz w:val="20"/>
                <w:szCs w:val="20"/>
              </w:rPr>
            </w:pPr>
          </w:p>
        </w:tc>
        <w:tc>
          <w:tcPr>
            <w:tcW w:w="4322" w:type="pct"/>
            <w:gridSpan w:val="6"/>
          </w:tcPr>
          <w:p w14:paraId="05AD207B" w14:textId="77777777" w:rsidR="00491629" w:rsidRPr="00D56963" w:rsidRDefault="00491629" w:rsidP="00383AEB">
            <w:pPr>
              <w:pStyle w:val="NormalWeb"/>
              <w:spacing w:before="0" w:beforeAutospacing="0" w:after="0" w:afterAutospacing="0"/>
              <w:textAlignment w:val="baseline"/>
              <w:rPr>
                <w:rFonts w:ascii="Arial Narrow" w:hAnsi="Arial Narrow" w:cs="Open Sans"/>
                <w:sz w:val="20"/>
                <w:szCs w:val="20"/>
              </w:rPr>
            </w:pPr>
            <w:r w:rsidRPr="00D56963">
              <w:rPr>
                <w:rStyle w:val="Strong"/>
                <w:rFonts w:ascii="Arial Narrow" w:hAnsi="Arial Narrow" w:cs="Open Sans"/>
                <w:sz w:val="20"/>
                <w:szCs w:val="20"/>
                <w:bdr w:val="none" w:sz="0" w:space="0" w:color="auto" w:frame="1"/>
              </w:rPr>
              <w:t>Administrative Advice:</w:t>
            </w:r>
          </w:p>
          <w:p w14:paraId="5DC3D497" w14:textId="77777777" w:rsidR="00491629" w:rsidRPr="00D56963" w:rsidRDefault="00491629" w:rsidP="00383AEB">
            <w:pPr>
              <w:jc w:val="left"/>
              <w:rPr>
                <w:rFonts w:ascii="Arial Narrow" w:hAnsi="Arial Narrow"/>
                <w:b/>
                <w:bCs/>
                <w:sz w:val="20"/>
                <w:szCs w:val="20"/>
              </w:rPr>
            </w:pPr>
            <w:r w:rsidRPr="00D56963">
              <w:rPr>
                <w:rFonts w:ascii="Arial Narrow" w:hAnsi="Arial Narrow" w:cs="Open Sans"/>
                <w:sz w:val="20"/>
                <w:szCs w:val="20"/>
              </w:rPr>
              <w:t>Special Pricing Arrangements apply.</w:t>
            </w:r>
          </w:p>
        </w:tc>
      </w:tr>
      <w:tr w:rsidR="00491629" w:rsidRPr="001F4B70" w14:paraId="007345F3"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vAlign w:val="center"/>
          </w:tcPr>
          <w:p w14:paraId="1C21052C" w14:textId="77777777" w:rsidR="00491629" w:rsidRPr="00D56963" w:rsidRDefault="00491629" w:rsidP="00383AEB">
            <w:pPr>
              <w:pStyle w:val="NormalWeb"/>
              <w:spacing w:before="0" w:beforeAutospacing="0" w:after="0" w:afterAutospacing="0"/>
              <w:textAlignment w:val="baseline"/>
              <w:rPr>
                <w:rFonts w:ascii="Arial Narrow" w:hAnsi="Arial Narrow" w:cs="Open Sans"/>
                <w:sz w:val="20"/>
                <w:szCs w:val="20"/>
              </w:rPr>
            </w:pPr>
          </w:p>
        </w:tc>
        <w:tc>
          <w:tcPr>
            <w:tcW w:w="4322" w:type="pct"/>
            <w:gridSpan w:val="6"/>
            <w:vAlign w:val="center"/>
          </w:tcPr>
          <w:p w14:paraId="39D02048" w14:textId="77777777" w:rsidR="00491629" w:rsidRPr="00D56963" w:rsidRDefault="00491629" w:rsidP="00383AEB">
            <w:pPr>
              <w:keepLines/>
              <w:jc w:val="left"/>
              <w:rPr>
                <w:rFonts w:ascii="Arial Narrow" w:hAnsi="Arial Narrow"/>
                <w:b/>
                <w:bCs/>
                <w:sz w:val="20"/>
                <w:szCs w:val="20"/>
              </w:rPr>
            </w:pPr>
          </w:p>
        </w:tc>
      </w:tr>
      <w:tr w:rsidR="00491629" w:rsidRPr="001F4B70" w14:paraId="3A79F851" w14:textId="77777777" w:rsidTr="007A34B0">
        <w:tblPrEx>
          <w:tblCellMar>
            <w:top w:w="15" w:type="dxa"/>
            <w:bottom w:w="15" w:type="dxa"/>
          </w:tblCellMar>
          <w:tblLook w:val="04A0" w:firstRow="1" w:lastRow="0" w:firstColumn="1" w:lastColumn="0" w:noHBand="0" w:noVBand="1"/>
        </w:tblPrEx>
        <w:trPr>
          <w:cantSplit/>
          <w:trHeight w:val="20"/>
        </w:trPr>
        <w:tc>
          <w:tcPr>
            <w:tcW w:w="678" w:type="pct"/>
            <w:gridSpan w:val="2"/>
            <w:vAlign w:val="center"/>
          </w:tcPr>
          <w:p w14:paraId="614F1BF2" w14:textId="62E750E8" w:rsidR="00491629" w:rsidRPr="00D56963" w:rsidRDefault="00491629" w:rsidP="00383AEB">
            <w:pPr>
              <w:keepLines/>
              <w:jc w:val="left"/>
              <w:rPr>
                <w:rFonts w:ascii="Arial Narrow" w:hAnsi="Arial Narrow"/>
                <w:sz w:val="20"/>
                <w:szCs w:val="20"/>
              </w:rPr>
            </w:pPr>
          </w:p>
        </w:tc>
        <w:tc>
          <w:tcPr>
            <w:tcW w:w="4322" w:type="pct"/>
            <w:gridSpan w:val="6"/>
            <w:vAlign w:val="center"/>
            <w:hideMark/>
          </w:tcPr>
          <w:p w14:paraId="32EFF440" w14:textId="77777777" w:rsidR="00491629" w:rsidRPr="00D56963" w:rsidRDefault="00491629" w:rsidP="00383AEB">
            <w:pPr>
              <w:keepLines/>
              <w:jc w:val="left"/>
              <w:rPr>
                <w:rFonts w:ascii="Arial Narrow" w:hAnsi="Arial Narrow"/>
                <w:sz w:val="20"/>
                <w:szCs w:val="20"/>
              </w:rPr>
            </w:pPr>
            <w:r w:rsidRPr="00D56963">
              <w:rPr>
                <w:rFonts w:ascii="Arial Narrow" w:hAnsi="Arial Narrow"/>
                <w:b/>
                <w:bCs/>
                <w:sz w:val="20"/>
                <w:szCs w:val="20"/>
              </w:rPr>
              <w:t>Indication:</w:t>
            </w:r>
            <w:r w:rsidRPr="00D56963">
              <w:rPr>
                <w:rFonts w:ascii="Arial Narrow" w:hAnsi="Arial Narrow"/>
                <w:sz w:val="20"/>
                <w:szCs w:val="20"/>
              </w:rPr>
              <w:t xml:space="preserve"> Eosinophilic oesophagitis</w:t>
            </w:r>
          </w:p>
        </w:tc>
      </w:tr>
      <w:tr w:rsidR="00491629" w:rsidRPr="001F4B70" w14:paraId="5E864F43" w14:textId="77777777" w:rsidTr="007A34B0">
        <w:tblPrEx>
          <w:tblCellMar>
            <w:top w:w="15" w:type="dxa"/>
            <w:bottom w:w="15" w:type="dxa"/>
          </w:tblCellMar>
          <w:tblLook w:val="04A0" w:firstRow="1" w:lastRow="0" w:firstColumn="1" w:lastColumn="0" w:noHBand="0" w:noVBand="1"/>
        </w:tblPrEx>
        <w:trPr>
          <w:cantSplit/>
          <w:trHeight w:val="20"/>
        </w:trPr>
        <w:tc>
          <w:tcPr>
            <w:tcW w:w="678" w:type="pct"/>
            <w:gridSpan w:val="2"/>
            <w:vAlign w:val="center"/>
          </w:tcPr>
          <w:p w14:paraId="743816B0" w14:textId="77777777" w:rsidR="00491629" w:rsidRPr="00D56963" w:rsidRDefault="00491629" w:rsidP="00383AEB">
            <w:pPr>
              <w:jc w:val="left"/>
              <w:rPr>
                <w:rFonts w:ascii="Arial Narrow" w:hAnsi="Arial Narrow"/>
                <w:sz w:val="20"/>
                <w:szCs w:val="20"/>
              </w:rPr>
            </w:pPr>
          </w:p>
        </w:tc>
        <w:tc>
          <w:tcPr>
            <w:tcW w:w="4322" w:type="pct"/>
            <w:gridSpan w:val="6"/>
            <w:vAlign w:val="center"/>
            <w:hideMark/>
          </w:tcPr>
          <w:p w14:paraId="26CB40EB" w14:textId="660A3C5B" w:rsidR="00491629" w:rsidRPr="00D56963" w:rsidRDefault="00491629" w:rsidP="00383AEB">
            <w:pPr>
              <w:jc w:val="left"/>
              <w:rPr>
                <w:rFonts w:ascii="Arial Narrow" w:hAnsi="Arial Narrow"/>
                <w:sz w:val="20"/>
                <w:szCs w:val="20"/>
              </w:rPr>
            </w:pPr>
            <w:r w:rsidRPr="00D56963">
              <w:rPr>
                <w:rFonts w:ascii="Arial Narrow" w:hAnsi="Arial Narrow"/>
                <w:b/>
                <w:bCs/>
                <w:sz w:val="20"/>
                <w:szCs w:val="20"/>
              </w:rPr>
              <w:t>Treatment Phase:</w:t>
            </w:r>
            <w:r w:rsidRPr="00D56963">
              <w:rPr>
                <w:rFonts w:ascii="Arial Narrow" w:hAnsi="Arial Narrow"/>
                <w:sz w:val="20"/>
                <w:szCs w:val="20"/>
              </w:rPr>
              <w:t xml:space="preserve"> </w:t>
            </w:r>
            <w:r w:rsidRPr="006A2236">
              <w:rPr>
                <w:rFonts w:ascii="Arial Narrow" w:hAnsi="Arial Narrow"/>
                <w:sz w:val="20"/>
                <w:szCs w:val="20"/>
              </w:rPr>
              <w:t>First</w:t>
            </w:r>
            <w:r w:rsidRPr="00491629">
              <w:rPr>
                <w:rFonts w:ascii="Arial Narrow" w:hAnsi="Arial Narrow"/>
                <w:sz w:val="20"/>
                <w:szCs w:val="20"/>
              </w:rPr>
              <w:t xml:space="preserve"> </w:t>
            </w:r>
            <w:r w:rsidRPr="00D56963">
              <w:rPr>
                <w:rFonts w:ascii="Arial Narrow" w:hAnsi="Arial Narrow"/>
                <w:sz w:val="20"/>
                <w:szCs w:val="20"/>
              </w:rPr>
              <w:t xml:space="preserve">continuing treatment </w:t>
            </w:r>
            <w:r>
              <w:rPr>
                <w:rFonts w:ascii="Arial Narrow" w:hAnsi="Arial Narrow"/>
                <w:sz w:val="20"/>
                <w:szCs w:val="20"/>
              </w:rPr>
              <w:t xml:space="preserve">– </w:t>
            </w:r>
            <w:r w:rsidRPr="006A2236">
              <w:rPr>
                <w:rFonts w:ascii="Arial Narrow" w:hAnsi="Arial Narrow"/>
                <w:sz w:val="20"/>
                <w:szCs w:val="20"/>
              </w:rPr>
              <w:t>Confirmation of remission</w:t>
            </w:r>
          </w:p>
        </w:tc>
      </w:tr>
      <w:tr w:rsidR="00491629" w:rsidRPr="001F4B70" w14:paraId="4000DC62"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vAlign w:val="center"/>
          </w:tcPr>
          <w:p w14:paraId="619B99A6" w14:textId="77777777" w:rsidR="00491629" w:rsidRPr="00D56963" w:rsidRDefault="00491629" w:rsidP="00383AEB">
            <w:pPr>
              <w:jc w:val="left"/>
              <w:rPr>
                <w:rFonts w:ascii="Arial Narrow" w:hAnsi="Arial Narrow"/>
                <w:sz w:val="20"/>
                <w:szCs w:val="20"/>
              </w:rPr>
            </w:pPr>
          </w:p>
        </w:tc>
        <w:tc>
          <w:tcPr>
            <w:tcW w:w="4322" w:type="pct"/>
            <w:gridSpan w:val="6"/>
            <w:vAlign w:val="center"/>
          </w:tcPr>
          <w:p w14:paraId="29626D1E" w14:textId="77777777" w:rsidR="00491629" w:rsidRPr="00D56963" w:rsidRDefault="00491629" w:rsidP="00383AEB">
            <w:pPr>
              <w:jc w:val="left"/>
              <w:rPr>
                <w:rFonts w:ascii="Arial Narrow" w:hAnsi="Arial Narrow"/>
                <w:b/>
                <w:bCs/>
                <w:sz w:val="20"/>
                <w:szCs w:val="20"/>
              </w:rPr>
            </w:pPr>
          </w:p>
        </w:tc>
      </w:tr>
      <w:tr w:rsidR="00491629" w:rsidRPr="001F4B70" w14:paraId="41DF5281"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Pr>
          <w:p w14:paraId="7C137630" w14:textId="5F17AE6B" w:rsidR="00491629" w:rsidRPr="006A2236" w:rsidRDefault="00491629" w:rsidP="00383AEB">
            <w:pPr>
              <w:jc w:val="left"/>
              <w:rPr>
                <w:rFonts w:ascii="Arial Narrow" w:hAnsi="Arial Narrow"/>
                <w:sz w:val="20"/>
                <w:szCs w:val="20"/>
              </w:rPr>
            </w:pPr>
          </w:p>
        </w:tc>
        <w:tc>
          <w:tcPr>
            <w:tcW w:w="4322" w:type="pct"/>
            <w:gridSpan w:val="6"/>
          </w:tcPr>
          <w:p w14:paraId="11AA006F" w14:textId="77777777" w:rsidR="00491629" w:rsidRPr="00D56963" w:rsidRDefault="00491629" w:rsidP="00383AEB">
            <w:pPr>
              <w:jc w:val="left"/>
              <w:rPr>
                <w:rFonts w:ascii="Arial Narrow" w:hAnsi="Arial Narrow"/>
                <w:b/>
                <w:bCs/>
                <w:sz w:val="20"/>
                <w:szCs w:val="20"/>
              </w:rPr>
            </w:pPr>
            <w:r w:rsidRPr="003D096B">
              <w:rPr>
                <w:rStyle w:val="Strong"/>
                <w:rFonts w:ascii="Arial Narrow" w:hAnsi="Arial Narrow" w:cs="Open Sans"/>
                <w:sz w:val="20"/>
                <w:szCs w:val="20"/>
                <w:bdr w:val="none" w:sz="0" w:space="0" w:color="auto" w:frame="1"/>
              </w:rPr>
              <w:t>Clinical criteria:</w:t>
            </w:r>
          </w:p>
        </w:tc>
      </w:tr>
      <w:tr w:rsidR="00491629" w:rsidRPr="001F4B70" w14:paraId="5D6B47AE"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Pr>
          <w:p w14:paraId="2F6CF0D6" w14:textId="2A8B2C6B" w:rsidR="00491629" w:rsidRPr="006A2236" w:rsidRDefault="00491629" w:rsidP="00383AEB">
            <w:pPr>
              <w:jc w:val="left"/>
              <w:rPr>
                <w:rFonts w:ascii="Arial Narrow" w:hAnsi="Arial Narrow"/>
                <w:sz w:val="20"/>
                <w:szCs w:val="20"/>
              </w:rPr>
            </w:pPr>
          </w:p>
        </w:tc>
        <w:tc>
          <w:tcPr>
            <w:tcW w:w="4322" w:type="pct"/>
            <w:gridSpan w:val="6"/>
          </w:tcPr>
          <w:p w14:paraId="016010A5" w14:textId="6DAE5FDA" w:rsidR="00491629" w:rsidRPr="006A2236" w:rsidRDefault="00491629" w:rsidP="00383AEB">
            <w:pPr>
              <w:jc w:val="left"/>
              <w:rPr>
                <w:rFonts w:ascii="Arial Narrow" w:hAnsi="Arial Narrow"/>
                <w:b/>
                <w:bCs/>
                <w:sz w:val="20"/>
                <w:szCs w:val="20"/>
              </w:rPr>
            </w:pPr>
            <w:r w:rsidRPr="00491629">
              <w:rPr>
                <w:rFonts w:ascii="Arial Narrow" w:hAnsi="Arial Narrow" w:cs="Open Sans"/>
                <w:sz w:val="20"/>
                <w:szCs w:val="20"/>
              </w:rPr>
              <w:t xml:space="preserve">Patient must have previously received PBS-subsidised </w:t>
            </w:r>
            <w:r w:rsidRPr="006A2236">
              <w:rPr>
                <w:rFonts w:ascii="Arial Narrow" w:hAnsi="Arial Narrow" w:cs="Open Sans"/>
                <w:sz w:val="20"/>
                <w:szCs w:val="20"/>
              </w:rPr>
              <w:t>initial</w:t>
            </w:r>
            <w:r w:rsidRPr="00491629">
              <w:rPr>
                <w:rFonts w:ascii="Arial Narrow" w:hAnsi="Arial Narrow" w:cs="Open Sans"/>
                <w:sz w:val="20"/>
                <w:szCs w:val="20"/>
              </w:rPr>
              <w:t xml:space="preserve"> treatment with this drug for this condition</w:t>
            </w:r>
            <w:r w:rsidRPr="006A2236">
              <w:rPr>
                <w:rFonts w:ascii="Arial Narrow" w:hAnsi="Arial Narrow" w:cs="Open Sans"/>
                <w:sz w:val="20"/>
                <w:szCs w:val="20"/>
              </w:rPr>
              <w:t xml:space="preserve">; </w:t>
            </w:r>
          </w:p>
        </w:tc>
      </w:tr>
      <w:tr w:rsidR="00491629" w:rsidRPr="001F4B70" w14:paraId="7151D483"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Pr>
          <w:p w14:paraId="69A2EABF" w14:textId="77777777" w:rsidR="00491629" w:rsidRPr="00D56963" w:rsidRDefault="00491629" w:rsidP="00383AEB">
            <w:pPr>
              <w:jc w:val="left"/>
              <w:rPr>
                <w:rFonts w:ascii="Arial Narrow" w:hAnsi="Arial Narrow"/>
                <w:sz w:val="20"/>
                <w:szCs w:val="20"/>
              </w:rPr>
            </w:pPr>
          </w:p>
        </w:tc>
        <w:tc>
          <w:tcPr>
            <w:tcW w:w="4322" w:type="pct"/>
            <w:gridSpan w:val="6"/>
          </w:tcPr>
          <w:p w14:paraId="2A148C29" w14:textId="77777777" w:rsidR="00491629" w:rsidRPr="00D56963" w:rsidRDefault="00491629" w:rsidP="00383AEB">
            <w:pPr>
              <w:jc w:val="left"/>
              <w:rPr>
                <w:rFonts w:ascii="Arial Narrow" w:hAnsi="Arial Narrow"/>
                <w:b/>
                <w:bCs/>
                <w:sz w:val="20"/>
                <w:szCs w:val="20"/>
              </w:rPr>
            </w:pPr>
            <w:r w:rsidRPr="003D096B">
              <w:rPr>
                <w:rStyle w:val="Strong"/>
                <w:rFonts w:ascii="Arial Narrow" w:hAnsi="Arial Narrow" w:cs="Open Sans"/>
                <w:sz w:val="20"/>
                <w:szCs w:val="20"/>
                <w:bdr w:val="none" w:sz="0" w:space="0" w:color="auto" w:frame="1"/>
              </w:rPr>
              <w:t>AND</w:t>
            </w:r>
          </w:p>
        </w:tc>
      </w:tr>
      <w:tr w:rsidR="00491629" w:rsidRPr="001F4B70" w14:paraId="06E24064"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Pr>
          <w:p w14:paraId="6B529AB3" w14:textId="3833CDC7" w:rsidR="00491629" w:rsidRPr="00D56963" w:rsidRDefault="00491629" w:rsidP="00383AEB">
            <w:pPr>
              <w:jc w:val="left"/>
              <w:rPr>
                <w:rFonts w:ascii="Arial Narrow" w:hAnsi="Arial Narrow"/>
                <w:sz w:val="20"/>
                <w:szCs w:val="20"/>
              </w:rPr>
            </w:pPr>
          </w:p>
        </w:tc>
        <w:tc>
          <w:tcPr>
            <w:tcW w:w="4322" w:type="pct"/>
            <w:gridSpan w:val="6"/>
          </w:tcPr>
          <w:p w14:paraId="5B05C1A2" w14:textId="77777777" w:rsidR="00491629" w:rsidRPr="00D56963" w:rsidRDefault="00491629" w:rsidP="00383AEB">
            <w:pPr>
              <w:jc w:val="left"/>
              <w:rPr>
                <w:rFonts w:ascii="Arial Narrow" w:hAnsi="Arial Narrow"/>
                <w:b/>
                <w:bCs/>
                <w:sz w:val="20"/>
                <w:szCs w:val="20"/>
              </w:rPr>
            </w:pPr>
            <w:r w:rsidRPr="003D096B">
              <w:rPr>
                <w:rStyle w:val="Strong"/>
                <w:rFonts w:ascii="Arial Narrow" w:hAnsi="Arial Narrow" w:cs="Open Sans"/>
                <w:sz w:val="20"/>
                <w:szCs w:val="20"/>
                <w:bdr w:val="none" w:sz="0" w:space="0" w:color="auto" w:frame="1"/>
              </w:rPr>
              <w:t>Clinical criteria:</w:t>
            </w:r>
          </w:p>
        </w:tc>
      </w:tr>
      <w:tr w:rsidR="00491629" w:rsidRPr="001F4B70" w14:paraId="5468FF5B"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Pr>
          <w:p w14:paraId="30CCFC51" w14:textId="366A1B05" w:rsidR="00491629" w:rsidRPr="00D56963" w:rsidRDefault="00491629" w:rsidP="00383AEB">
            <w:pPr>
              <w:jc w:val="left"/>
              <w:rPr>
                <w:rFonts w:ascii="Arial Narrow" w:hAnsi="Arial Narrow"/>
                <w:sz w:val="20"/>
                <w:szCs w:val="20"/>
              </w:rPr>
            </w:pPr>
          </w:p>
        </w:tc>
        <w:tc>
          <w:tcPr>
            <w:tcW w:w="4322" w:type="pct"/>
            <w:gridSpan w:val="6"/>
          </w:tcPr>
          <w:p w14:paraId="42F88DE9" w14:textId="77777777" w:rsidR="00491629" w:rsidRPr="006A2236" w:rsidRDefault="00491629" w:rsidP="00383AEB">
            <w:pPr>
              <w:jc w:val="left"/>
              <w:rPr>
                <w:rFonts w:ascii="Arial Narrow" w:hAnsi="Arial Narrow"/>
                <w:b/>
                <w:bCs/>
                <w:sz w:val="20"/>
                <w:szCs w:val="20"/>
              </w:rPr>
            </w:pPr>
            <w:r w:rsidRPr="006A2236">
              <w:rPr>
                <w:rFonts w:ascii="Arial Narrow" w:hAnsi="Arial Narrow" w:cs="Open Sans"/>
                <w:sz w:val="20"/>
                <w:szCs w:val="20"/>
              </w:rPr>
              <w:t>Patient must have documented evidence of having achieved histologic remission while receiving initial PBS-subsidised treatment with this drug for this condition, defined as a peak eosinophil count of less than 5 eosinophils per high power field (hpf), corresponding to less than 16 eosinophils per mm</w:t>
            </w:r>
            <w:r w:rsidRPr="006A2236">
              <w:rPr>
                <w:rFonts w:ascii="Arial Narrow" w:hAnsi="Arial Narrow" w:cs="Open Sans"/>
                <w:sz w:val="20"/>
                <w:szCs w:val="20"/>
                <w:vertAlign w:val="superscript"/>
              </w:rPr>
              <w:t>2</w:t>
            </w:r>
            <w:r w:rsidRPr="006A2236">
              <w:rPr>
                <w:rFonts w:ascii="Arial Narrow" w:hAnsi="Arial Narrow" w:cs="Open Sans"/>
                <w:sz w:val="20"/>
                <w:szCs w:val="20"/>
              </w:rPr>
              <w:t xml:space="preserve"> hpf on oesophageal biopsy</w:t>
            </w:r>
          </w:p>
        </w:tc>
      </w:tr>
      <w:tr w:rsidR="00491629" w:rsidRPr="001F4B70" w14:paraId="2CC1B71C"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Pr>
          <w:p w14:paraId="7B3D2D3B" w14:textId="77777777" w:rsidR="00491629" w:rsidRPr="00D56963" w:rsidRDefault="00491629" w:rsidP="00383AEB">
            <w:pPr>
              <w:jc w:val="left"/>
              <w:rPr>
                <w:rFonts w:ascii="Arial Narrow" w:hAnsi="Arial Narrow"/>
                <w:sz w:val="20"/>
                <w:szCs w:val="20"/>
              </w:rPr>
            </w:pPr>
          </w:p>
        </w:tc>
        <w:tc>
          <w:tcPr>
            <w:tcW w:w="4322" w:type="pct"/>
            <w:gridSpan w:val="6"/>
          </w:tcPr>
          <w:p w14:paraId="74FD1955" w14:textId="77777777" w:rsidR="00491629" w:rsidRPr="00D56963" w:rsidRDefault="00491629" w:rsidP="00383AEB">
            <w:pPr>
              <w:jc w:val="left"/>
              <w:rPr>
                <w:rFonts w:ascii="Arial Narrow" w:hAnsi="Arial Narrow"/>
                <w:b/>
                <w:bCs/>
                <w:sz w:val="20"/>
                <w:szCs w:val="20"/>
              </w:rPr>
            </w:pPr>
            <w:r w:rsidRPr="003D096B">
              <w:rPr>
                <w:rStyle w:val="Strong"/>
                <w:rFonts w:ascii="Arial Narrow" w:hAnsi="Arial Narrow" w:cs="Open Sans"/>
                <w:sz w:val="20"/>
                <w:szCs w:val="20"/>
                <w:bdr w:val="none" w:sz="0" w:space="0" w:color="auto" w:frame="1"/>
              </w:rPr>
              <w:t>AND</w:t>
            </w:r>
          </w:p>
        </w:tc>
      </w:tr>
      <w:tr w:rsidR="00491629" w:rsidRPr="001F4B70" w14:paraId="105B5EE9"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Pr>
          <w:p w14:paraId="1E9A6FEF" w14:textId="1F9B4C7C" w:rsidR="00491629" w:rsidRPr="00D56963" w:rsidRDefault="00491629" w:rsidP="00383AEB">
            <w:pPr>
              <w:jc w:val="left"/>
              <w:rPr>
                <w:rFonts w:ascii="Arial Narrow" w:hAnsi="Arial Narrow"/>
                <w:sz w:val="20"/>
                <w:szCs w:val="20"/>
              </w:rPr>
            </w:pPr>
          </w:p>
        </w:tc>
        <w:tc>
          <w:tcPr>
            <w:tcW w:w="4322" w:type="pct"/>
            <w:gridSpan w:val="6"/>
          </w:tcPr>
          <w:p w14:paraId="25C4F799" w14:textId="77777777" w:rsidR="00491629" w:rsidRPr="006A2236" w:rsidRDefault="00491629" w:rsidP="00383AEB">
            <w:pPr>
              <w:jc w:val="left"/>
              <w:rPr>
                <w:rFonts w:ascii="Arial Narrow" w:hAnsi="Arial Narrow"/>
                <w:b/>
                <w:bCs/>
                <w:sz w:val="20"/>
                <w:szCs w:val="20"/>
              </w:rPr>
            </w:pPr>
            <w:r w:rsidRPr="006A2236">
              <w:rPr>
                <w:rStyle w:val="Strong"/>
                <w:rFonts w:ascii="Arial Narrow" w:hAnsi="Arial Narrow" w:cs="Open Sans"/>
                <w:sz w:val="20"/>
                <w:szCs w:val="20"/>
                <w:bdr w:val="none" w:sz="0" w:space="0" w:color="auto" w:frame="1"/>
              </w:rPr>
              <w:t>Clinical criteria:</w:t>
            </w:r>
          </w:p>
        </w:tc>
      </w:tr>
      <w:tr w:rsidR="00491629" w:rsidRPr="001F4B70" w14:paraId="1992A79A"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Pr>
          <w:p w14:paraId="1C54B836" w14:textId="23D1F755" w:rsidR="00491629" w:rsidRPr="00D56963" w:rsidRDefault="00491629" w:rsidP="00383AEB">
            <w:pPr>
              <w:jc w:val="left"/>
              <w:rPr>
                <w:rFonts w:ascii="Arial Narrow" w:hAnsi="Arial Narrow"/>
                <w:sz w:val="20"/>
                <w:szCs w:val="20"/>
              </w:rPr>
            </w:pPr>
          </w:p>
        </w:tc>
        <w:tc>
          <w:tcPr>
            <w:tcW w:w="4322" w:type="pct"/>
            <w:gridSpan w:val="6"/>
          </w:tcPr>
          <w:p w14:paraId="792B9F7E" w14:textId="77777777" w:rsidR="00491629" w:rsidRPr="006A2236" w:rsidRDefault="00491629" w:rsidP="00383AEB">
            <w:pPr>
              <w:jc w:val="left"/>
              <w:rPr>
                <w:rFonts w:ascii="Arial Narrow" w:hAnsi="Arial Narrow"/>
                <w:b/>
                <w:bCs/>
                <w:sz w:val="20"/>
                <w:szCs w:val="20"/>
              </w:rPr>
            </w:pPr>
            <w:r w:rsidRPr="006A2236">
              <w:rPr>
                <w:rFonts w:ascii="Arial Narrow" w:hAnsi="Arial Narrow" w:cs="Open Sans"/>
                <w:sz w:val="20"/>
                <w:szCs w:val="20"/>
              </w:rPr>
              <w:t>Patient must not receive more than 26 weeks of treatment under this restriction</w:t>
            </w:r>
          </w:p>
        </w:tc>
      </w:tr>
      <w:tr w:rsidR="00491629" w:rsidRPr="001F4B70" w14:paraId="68F78F5C"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Pr>
          <w:p w14:paraId="2A34781E" w14:textId="490A39E4" w:rsidR="00491629" w:rsidRPr="00D56963" w:rsidRDefault="00491629" w:rsidP="00383AEB">
            <w:pPr>
              <w:jc w:val="left"/>
              <w:rPr>
                <w:rFonts w:ascii="Arial Narrow" w:hAnsi="Arial Narrow"/>
                <w:sz w:val="20"/>
                <w:szCs w:val="20"/>
              </w:rPr>
            </w:pPr>
          </w:p>
        </w:tc>
        <w:tc>
          <w:tcPr>
            <w:tcW w:w="4322" w:type="pct"/>
            <w:gridSpan w:val="6"/>
          </w:tcPr>
          <w:p w14:paraId="39F0E114" w14:textId="77777777" w:rsidR="00491629" w:rsidRPr="00D56963" w:rsidRDefault="00491629" w:rsidP="00383AEB">
            <w:pPr>
              <w:jc w:val="left"/>
              <w:rPr>
                <w:rFonts w:ascii="Arial Narrow" w:hAnsi="Arial Narrow"/>
                <w:b/>
                <w:bCs/>
                <w:sz w:val="20"/>
                <w:szCs w:val="20"/>
              </w:rPr>
            </w:pPr>
            <w:r w:rsidRPr="003D096B">
              <w:rPr>
                <w:rStyle w:val="Strong"/>
                <w:rFonts w:ascii="Arial Narrow" w:hAnsi="Arial Narrow" w:cs="Open Sans"/>
                <w:sz w:val="20"/>
                <w:szCs w:val="20"/>
                <w:bdr w:val="none" w:sz="0" w:space="0" w:color="auto" w:frame="1"/>
              </w:rPr>
              <w:t>Treatment criteria:</w:t>
            </w:r>
          </w:p>
        </w:tc>
      </w:tr>
      <w:tr w:rsidR="00491629" w:rsidRPr="001F4B70" w14:paraId="23B50FF5"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Pr>
          <w:p w14:paraId="7C43A71E" w14:textId="285BBAA5" w:rsidR="00491629" w:rsidRPr="00D56963" w:rsidRDefault="00491629" w:rsidP="00383AEB">
            <w:pPr>
              <w:jc w:val="left"/>
              <w:rPr>
                <w:rFonts w:ascii="Arial Narrow" w:hAnsi="Arial Narrow"/>
                <w:sz w:val="20"/>
                <w:szCs w:val="20"/>
              </w:rPr>
            </w:pPr>
          </w:p>
        </w:tc>
        <w:tc>
          <w:tcPr>
            <w:tcW w:w="4322" w:type="pct"/>
            <w:gridSpan w:val="6"/>
          </w:tcPr>
          <w:p w14:paraId="4A6F1CEA" w14:textId="5DD1BF72" w:rsidR="00491629" w:rsidRPr="003D096B" w:rsidRDefault="00491629" w:rsidP="00383AEB">
            <w:pPr>
              <w:jc w:val="left"/>
              <w:rPr>
                <w:rFonts w:ascii="Arial Narrow" w:hAnsi="Arial Narrow"/>
                <w:b/>
                <w:bCs/>
                <w:i/>
                <w:iCs/>
                <w:sz w:val="20"/>
                <w:szCs w:val="20"/>
              </w:rPr>
            </w:pPr>
            <w:r w:rsidRPr="003D096B">
              <w:rPr>
                <w:rFonts w:ascii="Arial Narrow" w:hAnsi="Arial Narrow" w:cs="Open Sans"/>
                <w:sz w:val="20"/>
                <w:szCs w:val="20"/>
              </w:rPr>
              <w:t>Must be treated</w:t>
            </w:r>
            <w:r w:rsidR="005333E0">
              <w:rPr>
                <w:rFonts w:ascii="Arial Narrow" w:hAnsi="Arial Narrow" w:cs="Open Sans"/>
                <w:sz w:val="20"/>
                <w:szCs w:val="20"/>
              </w:rPr>
              <w:t xml:space="preserve"> by</w:t>
            </w:r>
            <w:r w:rsidRPr="003D096B">
              <w:rPr>
                <w:rFonts w:ascii="Arial Narrow" w:hAnsi="Arial Narrow" w:cs="Open Sans"/>
                <w:sz w:val="20"/>
                <w:szCs w:val="20"/>
              </w:rPr>
              <w:t xml:space="preserve"> </w:t>
            </w:r>
            <w:r>
              <w:rPr>
                <w:rFonts w:ascii="Arial Narrow" w:hAnsi="Arial Narrow" w:cs="Open Sans"/>
                <w:i/>
                <w:iCs/>
                <w:sz w:val="20"/>
                <w:szCs w:val="20"/>
              </w:rPr>
              <w:t xml:space="preserve">at least one of: </w:t>
            </w:r>
            <w:r w:rsidRPr="003D096B">
              <w:rPr>
                <w:rFonts w:ascii="Arial Narrow" w:hAnsi="Arial Narrow" w:cs="Open Sans"/>
                <w:strike/>
                <w:sz w:val="20"/>
                <w:szCs w:val="20"/>
              </w:rPr>
              <w:t>by a</w:t>
            </w:r>
            <w:r>
              <w:rPr>
                <w:rFonts w:ascii="Arial Narrow" w:hAnsi="Arial Narrow" w:cs="Open Sans"/>
                <w:i/>
                <w:iCs/>
                <w:sz w:val="20"/>
                <w:szCs w:val="20"/>
              </w:rPr>
              <w:t>(i)</w:t>
            </w:r>
            <w:r>
              <w:rPr>
                <w:rFonts w:ascii="Arial Narrow" w:hAnsi="Arial Narrow" w:cs="Open Sans"/>
                <w:sz w:val="20"/>
                <w:szCs w:val="20"/>
              </w:rPr>
              <w:t xml:space="preserve"> </w:t>
            </w:r>
            <w:r w:rsidRPr="003D096B">
              <w:rPr>
                <w:rFonts w:ascii="Arial Narrow" w:hAnsi="Arial Narrow" w:cs="Open Sans"/>
                <w:sz w:val="20"/>
                <w:szCs w:val="20"/>
              </w:rPr>
              <w:t>gastroenterologist</w:t>
            </w:r>
            <w:r>
              <w:rPr>
                <w:rFonts w:ascii="Arial Narrow" w:hAnsi="Arial Narrow" w:cs="Open Sans"/>
                <w:i/>
                <w:iCs/>
                <w:sz w:val="20"/>
                <w:szCs w:val="20"/>
              </w:rPr>
              <w:t>, (ii) surgeon experienced in the management of patients with eosinophilic oesophagitis, (iii) physician experienced in the management of patients with eosinophilic oesophagitis, (iv) medical practitioner in consultation with one of these prescribers</w:t>
            </w:r>
          </w:p>
        </w:tc>
      </w:tr>
      <w:tr w:rsidR="00491629" w:rsidRPr="001F4B70" w14:paraId="53FE6342"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Pr>
          <w:p w14:paraId="7431E066" w14:textId="77777777" w:rsidR="00491629" w:rsidRPr="00D56963" w:rsidRDefault="00491629" w:rsidP="00383AEB">
            <w:pPr>
              <w:jc w:val="left"/>
              <w:rPr>
                <w:rFonts w:ascii="Arial Narrow" w:hAnsi="Arial Narrow" w:cs="Open Sans"/>
                <w:sz w:val="20"/>
                <w:szCs w:val="20"/>
              </w:rPr>
            </w:pPr>
          </w:p>
        </w:tc>
        <w:tc>
          <w:tcPr>
            <w:tcW w:w="4322" w:type="pct"/>
            <w:gridSpan w:val="6"/>
          </w:tcPr>
          <w:p w14:paraId="387AA450" w14:textId="77777777" w:rsidR="00491629" w:rsidRPr="00D56963" w:rsidRDefault="00491629" w:rsidP="00383AEB">
            <w:pPr>
              <w:jc w:val="left"/>
              <w:rPr>
                <w:rFonts w:ascii="Arial Narrow" w:hAnsi="Arial Narrow" w:cs="Open Sans"/>
                <w:sz w:val="20"/>
                <w:szCs w:val="20"/>
              </w:rPr>
            </w:pPr>
          </w:p>
        </w:tc>
      </w:tr>
      <w:tr w:rsidR="00491629" w:rsidRPr="001F4B70" w14:paraId="6DAFA824"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Pr>
          <w:p w14:paraId="6132BEC8" w14:textId="6214051C" w:rsidR="00491629" w:rsidRPr="00D56963" w:rsidRDefault="00491629" w:rsidP="00383AEB">
            <w:pPr>
              <w:jc w:val="left"/>
              <w:rPr>
                <w:rFonts w:ascii="Arial Narrow" w:hAnsi="Arial Narrow"/>
                <w:sz w:val="20"/>
                <w:szCs w:val="20"/>
              </w:rPr>
            </w:pPr>
          </w:p>
        </w:tc>
        <w:tc>
          <w:tcPr>
            <w:tcW w:w="4322" w:type="pct"/>
            <w:gridSpan w:val="6"/>
          </w:tcPr>
          <w:p w14:paraId="72CDD665" w14:textId="77777777" w:rsidR="00491629" w:rsidRPr="006A2236" w:rsidRDefault="00491629" w:rsidP="00383AEB">
            <w:pPr>
              <w:pStyle w:val="NormalWeb"/>
              <w:spacing w:before="0" w:beforeAutospacing="0" w:after="0" w:afterAutospacing="0"/>
              <w:textAlignment w:val="baseline"/>
              <w:rPr>
                <w:rFonts w:ascii="Arial Narrow" w:hAnsi="Arial Narrow" w:cs="Open Sans"/>
                <w:sz w:val="20"/>
                <w:szCs w:val="20"/>
              </w:rPr>
            </w:pPr>
            <w:r w:rsidRPr="006A2236">
              <w:rPr>
                <w:rStyle w:val="Strong"/>
                <w:rFonts w:ascii="Arial Narrow" w:hAnsi="Arial Narrow" w:cs="Open Sans"/>
                <w:sz w:val="20"/>
                <w:szCs w:val="20"/>
                <w:bdr w:val="none" w:sz="0" w:space="0" w:color="auto" w:frame="1"/>
              </w:rPr>
              <w:t>Prescribing Instructions:</w:t>
            </w:r>
          </w:p>
          <w:p w14:paraId="5DA6D56E" w14:textId="68DCCE7B" w:rsidR="00491629" w:rsidRPr="006A2236" w:rsidRDefault="00491629" w:rsidP="00383AEB">
            <w:pPr>
              <w:pStyle w:val="NormalWeb"/>
              <w:spacing w:before="0" w:beforeAutospacing="0" w:after="0" w:afterAutospacing="0"/>
              <w:textAlignment w:val="baseline"/>
              <w:rPr>
                <w:rFonts w:ascii="Arial Narrow" w:hAnsi="Arial Narrow" w:cs="Open Sans"/>
                <w:sz w:val="20"/>
                <w:szCs w:val="20"/>
              </w:rPr>
            </w:pPr>
            <w:r w:rsidRPr="006A2236">
              <w:rPr>
                <w:rFonts w:ascii="Arial Narrow" w:hAnsi="Arial Narrow" w:cs="Open Sans"/>
                <w:sz w:val="20"/>
                <w:szCs w:val="20"/>
              </w:rPr>
              <w:t>Histologic assessment should be based on the peak eosinophils count derived</w:t>
            </w:r>
            <w:r w:rsidR="006A2236">
              <w:rPr>
                <w:rFonts w:ascii="Arial Narrow" w:hAnsi="Arial Narrow" w:cs="Open Sans"/>
                <w:sz w:val="20"/>
                <w:szCs w:val="20"/>
              </w:rPr>
              <w:t xml:space="preserve">, </w:t>
            </w:r>
            <w:r w:rsidR="006A2236" w:rsidRPr="006A2236">
              <w:rPr>
                <w:rFonts w:ascii="Arial Narrow" w:hAnsi="Arial Narrow" w:cs="Open Sans"/>
                <w:i/>
                <w:iCs/>
                <w:sz w:val="20"/>
                <w:szCs w:val="20"/>
              </w:rPr>
              <w:t>where necessary,</w:t>
            </w:r>
            <w:r w:rsidRPr="006A2236">
              <w:rPr>
                <w:rFonts w:ascii="Arial Narrow" w:hAnsi="Arial Narrow" w:cs="Open Sans"/>
                <w:sz w:val="20"/>
                <w:szCs w:val="20"/>
              </w:rPr>
              <w:t xml:space="preserve"> from the evaluation of at least eight oesophageal biopsies (minimum of four collected from each of the mid and distal segments, with the distal segment biopsies taken at least 5 cm above the gastroesophageal junction).</w:t>
            </w:r>
          </w:p>
          <w:p w14:paraId="6456B6CC" w14:textId="28BEA338" w:rsidR="00491629" w:rsidRPr="00D56963" w:rsidRDefault="00491629" w:rsidP="00383AEB">
            <w:pPr>
              <w:jc w:val="left"/>
              <w:rPr>
                <w:rFonts w:ascii="Arial Narrow" w:hAnsi="Arial Narrow"/>
                <w:b/>
                <w:bCs/>
                <w:sz w:val="20"/>
                <w:szCs w:val="20"/>
              </w:rPr>
            </w:pPr>
            <w:r w:rsidRPr="006A2236">
              <w:rPr>
                <w:rFonts w:ascii="Arial Narrow" w:hAnsi="Arial Narrow" w:cs="Open Sans"/>
                <w:sz w:val="20"/>
                <w:szCs w:val="20"/>
              </w:rPr>
              <w:t>The histologic assessment should, where possible, be performed by</w:t>
            </w:r>
            <w:r w:rsidR="006A2236">
              <w:rPr>
                <w:rFonts w:ascii="Arial Narrow" w:hAnsi="Arial Narrow" w:cs="Open Sans"/>
                <w:sz w:val="20"/>
                <w:szCs w:val="20"/>
              </w:rPr>
              <w:t xml:space="preserve"> </w:t>
            </w:r>
            <w:r w:rsidR="006A2236">
              <w:rPr>
                <w:rFonts w:ascii="Arial Narrow" w:hAnsi="Arial Narrow" w:cs="Open Sans"/>
                <w:i/>
                <w:iCs/>
                <w:sz w:val="20"/>
                <w:szCs w:val="20"/>
              </w:rPr>
              <w:t>or in consultation with</w:t>
            </w:r>
            <w:r w:rsidRPr="006A2236">
              <w:rPr>
                <w:rFonts w:ascii="Arial Narrow" w:hAnsi="Arial Narrow" w:cs="Open Sans"/>
                <w:sz w:val="20"/>
                <w:szCs w:val="20"/>
              </w:rPr>
              <w:t xml:space="preserve"> the same physician</w:t>
            </w:r>
            <w:r w:rsidR="006A2236">
              <w:rPr>
                <w:rFonts w:ascii="Arial Narrow" w:hAnsi="Arial Narrow" w:cs="Open Sans"/>
                <w:sz w:val="20"/>
                <w:szCs w:val="20"/>
              </w:rPr>
              <w:t xml:space="preserve"> </w:t>
            </w:r>
            <w:r w:rsidR="006A2236">
              <w:rPr>
                <w:rFonts w:ascii="Arial Narrow" w:hAnsi="Arial Narrow" w:cs="Open Sans"/>
                <w:i/>
                <w:iCs/>
                <w:sz w:val="20"/>
                <w:szCs w:val="20"/>
              </w:rPr>
              <w:t>or surgeon</w:t>
            </w:r>
            <w:r w:rsidRPr="006A2236">
              <w:rPr>
                <w:rFonts w:ascii="Arial Narrow" w:hAnsi="Arial Narrow" w:cs="Open Sans"/>
                <w:sz w:val="20"/>
                <w:szCs w:val="20"/>
              </w:rPr>
              <w:t xml:space="preserve"> who confirmed the diagnosis of eosinophilic oesophagitis in the patient. This assessment, which will be used to determine eligibility for continuing treatment, should be conducted and submitted after the patient has completed 8 weeks of the initial treatment course and no later than 2 weeks prior to the patient completing the PBS-subsidised initial treatment course, to avoid an interruption to supply. Where a histologic assessment is not undertaken and the results submitted, the patient will </w:t>
            </w:r>
            <w:r w:rsidRPr="00746D06">
              <w:rPr>
                <w:rFonts w:ascii="Arial Narrow" w:hAnsi="Arial Narrow" w:cs="Open Sans"/>
                <w:strike/>
                <w:sz w:val="20"/>
                <w:szCs w:val="20"/>
              </w:rPr>
              <w:t>be</w:t>
            </w:r>
            <w:r w:rsidRPr="006A2236">
              <w:rPr>
                <w:rFonts w:ascii="Arial Narrow" w:hAnsi="Arial Narrow" w:cs="Open Sans"/>
                <w:sz w:val="20"/>
                <w:szCs w:val="20"/>
              </w:rPr>
              <w:t xml:space="preserve"> not be eligible for ongoing treatment.</w:t>
            </w:r>
          </w:p>
        </w:tc>
      </w:tr>
      <w:tr w:rsidR="00491629" w:rsidRPr="001F4B70" w14:paraId="5B7BF641" w14:textId="77777777" w:rsidTr="00383AEB">
        <w:tblPrEx>
          <w:tblCellMar>
            <w:top w:w="15" w:type="dxa"/>
            <w:bottom w:w="15" w:type="dxa"/>
          </w:tblCellMar>
          <w:tblLook w:val="04A0" w:firstRow="1" w:lastRow="0" w:firstColumn="1" w:lastColumn="0" w:noHBand="0" w:noVBand="1"/>
        </w:tblPrEx>
        <w:trPr>
          <w:cantSplit/>
          <w:trHeight w:val="20"/>
        </w:trPr>
        <w:tc>
          <w:tcPr>
            <w:tcW w:w="5000" w:type="pct"/>
            <w:gridSpan w:val="8"/>
            <w:tcBorders>
              <w:top w:val="single" w:sz="4" w:space="0" w:color="auto"/>
              <w:left w:val="single" w:sz="4" w:space="0" w:color="auto"/>
              <w:bottom w:val="single" w:sz="4" w:space="0" w:color="auto"/>
              <w:right w:val="single" w:sz="4" w:space="0" w:color="auto"/>
            </w:tcBorders>
          </w:tcPr>
          <w:p w14:paraId="449EC278"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p>
          <w:p w14:paraId="19974698"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p>
        </w:tc>
      </w:tr>
      <w:tr w:rsidR="00491629" w:rsidRPr="001F4B70" w14:paraId="338088D8" w14:textId="77777777" w:rsidTr="00383AEB">
        <w:tblPrEx>
          <w:tblCellMar>
            <w:top w:w="15" w:type="dxa"/>
            <w:bottom w:w="15" w:type="dxa"/>
          </w:tblCellMar>
          <w:tblLook w:val="04A0" w:firstRow="1" w:lastRow="0" w:firstColumn="1" w:lastColumn="0" w:noHBand="0" w:noVBand="1"/>
        </w:tblPrEx>
        <w:trPr>
          <w:cantSplit/>
          <w:trHeight w:val="20"/>
        </w:trPr>
        <w:tc>
          <w:tcPr>
            <w:tcW w:w="5000" w:type="pct"/>
            <w:gridSpan w:val="8"/>
            <w:tcBorders>
              <w:top w:val="single" w:sz="4" w:space="0" w:color="auto"/>
              <w:left w:val="single" w:sz="4" w:space="0" w:color="auto"/>
              <w:bottom w:val="single" w:sz="4" w:space="0" w:color="auto"/>
              <w:right w:val="single" w:sz="4" w:space="0" w:color="auto"/>
            </w:tcBorders>
          </w:tcPr>
          <w:p w14:paraId="3DA30EEE" w14:textId="473D9BDF" w:rsidR="00491629" w:rsidRPr="00D56963"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Pr>
                <w:rFonts w:ascii="Arial Narrow" w:hAnsi="Arial Narrow"/>
                <w:b/>
                <w:sz w:val="20"/>
                <w:szCs w:val="20"/>
              </w:rPr>
              <w:t xml:space="preserve">Remove </w:t>
            </w:r>
            <w:r w:rsidRPr="00AE4E22">
              <w:rPr>
                <w:rFonts w:ascii="Arial Narrow" w:hAnsi="Arial Narrow"/>
                <w:b/>
                <w:sz w:val="20"/>
                <w:szCs w:val="20"/>
              </w:rPr>
              <w:t>Restriction Summary [</w:t>
            </w:r>
            <w:r w:rsidR="00E3623F">
              <w:rPr>
                <w:rFonts w:ascii="Arial Narrow" w:hAnsi="Arial Narrow"/>
                <w:b/>
                <w:sz w:val="20"/>
                <w:szCs w:val="20"/>
              </w:rPr>
              <w:t>N</w:t>
            </w:r>
            <w:r w:rsidR="005873A2">
              <w:rPr>
                <w:rFonts w:ascii="Arial Narrow" w:hAnsi="Arial Narrow"/>
                <w:b/>
                <w:sz w:val="20"/>
                <w:szCs w:val="20"/>
              </w:rPr>
              <w:t>ew</w:t>
            </w:r>
            <w:r w:rsidR="00E3623F">
              <w:rPr>
                <w:rFonts w:ascii="Arial Narrow" w:hAnsi="Arial Narrow"/>
                <w:b/>
                <w:sz w:val="20"/>
                <w:szCs w:val="20"/>
              </w:rPr>
              <w:t>5</w:t>
            </w:r>
            <w:r w:rsidRPr="00AE4E22">
              <w:rPr>
                <w:rFonts w:ascii="Arial Narrow" w:hAnsi="Arial Narrow"/>
                <w:b/>
                <w:sz w:val="20"/>
                <w:szCs w:val="20"/>
              </w:rPr>
              <w:t>] / Treatment of Concept: [</w:t>
            </w:r>
            <w:r w:rsidR="00E3623F">
              <w:rPr>
                <w:rFonts w:ascii="Arial Narrow" w:hAnsi="Arial Narrow"/>
                <w:b/>
                <w:sz w:val="20"/>
                <w:szCs w:val="20"/>
              </w:rPr>
              <w:t>N</w:t>
            </w:r>
            <w:r w:rsidR="005873A2">
              <w:rPr>
                <w:rFonts w:ascii="Arial Narrow" w:hAnsi="Arial Narrow"/>
                <w:b/>
                <w:sz w:val="20"/>
                <w:szCs w:val="20"/>
              </w:rPr>
              <w:t>ew</w:t>
            </w:r>
            <w:r w:rsidR="00E3623F">
              <w:rPr>
                <w:rFonts w:ascii="Arial Narrow" w:hAnsi="Arial Narrow"/>
                <w:b/>
                <w:sz w:val="20"/>
                <w:szCs w:val="20"/>
              </w:rPr>
              <w:t>6</w:t>
            </w:r>
            <w:r w:rsidRPr="00AE4E22">
              <w:rPr>
                <w:rFonts w:ascii="Arial Narrow" w:hAnsi="Arial Narrow"/>
                <w:b/>
                <w:sz w:val="20"/>
                <w:szCs w:val="20"/>
              </w:rPr>
              <w:t>]</w:t>
            </w:r>
          </w:p>
        </w:tc>
      </w:tr>
      <w:tr w:rsidR="00491629" w:rsidRPr="001F4B70" w14:paraId="193E67DD"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650E8BC7" w14:textId="3514F3B7" w:rsidR="00491629" w:rsidRPr="00E3623F" w:rsidRDefault="00491629" w:rsidP="00383AEB">
            <w:pPr>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7A152BCE" w14:textId="77777777" w:rsidR="00491629" w:rsidRPr="00E3623F"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E3623F">
              <w:rPr>
                <w:rFonts w:ascii="Arial Narrow" w:hAnsi="Arial Narrow" w:cs="Open Sans"/>
                <w:b/>
                <w:bCs/>
                <w:sz w:val="20"/>
                <w:szCs w:val="20"/>
                <w:bdr w:val="none" w:sz="0" w:space="0" w:color="auto" w:frame="1"/>
              </w:rPr>
              <w:t xml:space="preserve">Indication: </w:t>
            </w:r>
            <w:r w:rsidRPr="00E3623F">
              <w:rPr>
                <w:rFonts w:ascii="Arial Narrow" w:hAnsi="Arial Narrow" w:cs="Open Sans"/>
                <w:sz w:val="20"/>
                <w:szCs w:val="20"/>
                <w:bdr w:val="none" w:sz="0" w:space="0" w:color="auto" w:frame="1"/>
              </w:rPr>
              <w:t>Eosinophilic oesophagitis</w:t>
            </w:r>
          </w:p>
        </w:tc>
      </w:tr>
      <w:tr w:rsidR="00491629" w:rsidRPr="001F4B70" w14:paraId="1F252FAB"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0A233DAA" w14:textId="77777777" w:rsidR="00491629" w:rsidRPr="00E3623F"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050154F7" w14:textId="77777777" w:rsidR="00491629" w:rsidRPr="00E3623F"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E3623F">
              <w:rPr>
                <w:rFonts w:ascii="Arial Narrow" w:hAnsi="Arial Narrow" w:cs="Open Sans"/>
                <w:b/>
                <w:bCs/>
                <w:sz w:val="20"/>
                <w:szCs w:val="20"/>
                <w:bdr w:val="none" w:sz="0" w:space="0" w:color="auto" w:frame="1"/>
              </w:rPr>
              <w:t xml:space="preserve">Treatment Phase: </w:t>
            </w:r>
            <w:r w:rsidRPr="00E3623F">
              <w:rPr>
                <w:rFonts w:ascii="Arial Narrow" w:hAnsi="Arial Narrow" w:cs="Open Sans"/>
                <w:sz w:val="20"/>
                <w:szCs w:val="20"/>
                <w:bdr w:val="none" w:sz="0" w:space="0" w:color="auto" w:frame="1"/>
              </w:rPr>
              <w:t>Subsequent continuing treatment - Maintenance of remission</w:t>
            </w:r>
          </w:p>
        </w:tc>
      </w:tr>
      <w:tr w:rsidR="00491629" w:rsidRPr="001F4B70" w14:paraId="54EF8C7C"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70A285D7" w14:textId="7FD68693" w:rsidR="00491629" w:rsidRPr="00E3623F"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25F57754" w14:textId="77777777" w:rsidR="00491629" w:rsidRPr="00E3623F"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E3623F">
              <w:rPr>
                <w:rStyle w:val="Strong"/>
                <w:rFonts w:ascii="Arial Narrow" w:hAnsi="Arial Narrow" w:cs="Open Sans"/>
                <w:sz w:val="20"/>
                <w:szCs w:val="20"/>
                <w:bdr w:val="none" w:sz="0" w:space="0" w:color="auto" w:frame="1"/>
              </w:rPr>
              <w:t>Clinical criteria:</w:t>
            </w:r>
          </w:p>
        </w:tc>
      </w:tr>
      <w:tr w:rsidR="00491629" w:rsidRPr="001F4B70" w14:paraId="6DEA98D6"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04ED4904" w14:textId="63F5A019" w:rsidR="00491629" w:rsidRPr="00E3623F"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1E16DB5F" w14:textId="77777777" w:rsidR="00491629" w:rsidRPr="00E3623F"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E3623F">
              <w:rPr>
                <w:rFonts w:ascii="Arial Narrow" w:hAnsi="Arial Narrow" w:cs="Open Sans"/>
                <w:sz w:val="20"/>
                <w:szCs w:val="20"/>
              </w:rPr>
              <w:t>Patient must have previously received PBS-subsidised treatment with this drug for this condition under the First continuing treatment restriction; or</w:t>
            </w:r>
          </w:p>
        </w:tc>
      </w:tr>
      <w:tr w:rsidR="00491629" w:rsidRPr="001F4B70" w14:paraId="2759545E"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5BF634F7" w14:textId="610BD218" w:rsidR="00491629" w:rsidRPr="00E3623F"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0F5ABEE0" w14:textId="33FA7357" w:rsidR="00491629" w:rsidRPr="00E3623F"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E3623F">
              <w:rPr>
                <w:rFonts w:ascii="Arial Narrow" w:hAnsi="Arial Narrow" w:cs="Open Sans"/>
                <w:sz w:val="20"/>
                <w:szCs w:val="20"/>
              </w:rPr>
              <w:t>Patient must have previously received PBS-subsidised treatment with this drug for this condition under the</w:t>
            </w:r>
            <w:r w:rsidR="00746D06">
              <w:rPr>
                <w:rFonts w:ascii="Arial Narrow" w:hAnsi="Arial Narrow" w:cs="Open Sans"/>
                <w:sz w:val="20"/>
                <w:szCs w:val="20"/>
              </w:rPr>
              <w:t xml:space="preserve"> -</w:t>
            </w:r>
            <w:r w:rsidRPr="00E3623F">
              <w:rPr>
                <w:rFonts w:ascii="Arial Narrow" w:hAnsi="Arial Narrow" w:cs="Open Sans"/>
                <w:sz w:val="20"/>
                <w:szCs w:val="20"/>
              </w:rPr>
              <w:t xml:space="preserve"> Transitioning from non-PBS to PBS-subsided treatment - Grandfather treatment restriction</w:t>
            </w:r>
          </w:p>
        </w:tc>
      </w:tr>
      <w:tr w:rsidR="00491629" w:rsidRPr="001F4B70" w14:paraId="69EFCB9B"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29066E72" w14:textId="77777777" w:rsidR="00491629" w:rsidRPr="00E3623F"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76C7CC26" w14:textId="77777777" w:rsidR="00491629" w:rsidRPr="00E3623F"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E3623F">
              <w:rPr>
                <w:rStyle w:val="Strong"/>
                <w:rFonts w:ascii="Arial Narrow" w:hAnsi="Arial Narrow" w:cs="Open Sans"/>
                <w:sz w:val="20"/>
                <w:szCs w:val="20"/>
                <w:bdr w:val="none" w:sz="0" w:space="0" w:color="auto" w:frame="1"/>
              </w:rPr>
              <w:t>AND</w:t>
            </w:r>
          </w:p>
        </w:tc>
      </w:tr>
      <w:tr w:rsidR="00491629" w:rsidRPr="001F4B70" w14:paraId="2930350B"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2F62F89D" w14:textId="1D87DBF5" w:rsidR="00491629" w:rsidRPr="00E3623F"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02E869D1" w14:textId="77777777" w:rsidR="00491629" w:rsidRPr="00E3623F"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E3623F">
              <w:rPr>
                <w:rStyle w:val="Strong"/>
                <w:rFonts w:ascii="Arial Narrow" w:hAnsi="Arial Narrow" w:cs="Open Sans"/>
                <w:sz w:val="20"/>
                <w:szCs w:val="20"/>
                <w:bdr w:val="none" w:sz="0" w:space="0" w:color="auto" w:frame="1"/>
              </w:rPr>
              <w:t>Clinical criteria:</w:t>
            </w:r>
          </w:p>
        </w:tc>
      </w:tr>
      <w:tr w:rsidR="00491629" w:rsidRPr="001F4B70" w14:paraId="63EA7CB3"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396FB0BB" w14:textId="000DF570" w:rsidR="00491629" w:rsidRPr="00E3623F"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0CDBB63A" w14:textId="77777777" w:rsidR="00491629" w:rsidRPr="00E3623F"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E3623F">
              <w:rPr>
                <w:rFonts w:ascii="Arial Narrow" w:hAnsi="Arial Narrow" w:cs="Open Sans"/>
                <w:sz w:val="20"/>
                <w:szCs w:val="20"/>
              </w:rPr>
              <w:t>The condition must not have progressed while being treated with this drug</w:t>
            </w:r>
          </w:p>
        </w:tc>
      </w:tr>
      <w:tr w:rsidR="00491629" w:rsidRPr="001F4B70" w14:paraId="27E2B885"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35BED09F" w14:textId="328D7C57" w:rsidR="00491629" w:rsidRPr="00E3623F"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74562552" w14:textId="77777777" w:rsidR="00491629" w:rsidRPr="00E3623F"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E3623F">
              <w:rPr>
                <w:rStyle w:val="Strong"/>
                <w:rFonts w:ascii="Arial Narrow" w:hAnsi="Arial Narrow" w:cs="Open Sans"/>
                <w:sz w:val="20"/>
                <w:szCs w:val="20"/>
                <w:bdr w:val="none" w:sz="0" w:space="0" w:color="auto" w:frame="1"/>
              </w:rPr>
              <w:t>Treatment criteria:</w:t>
            </w:r>
          </w:p>
        </w:tc>
      </w:tr>
      <w:tr w:rsidR="00491629" w:rsidRPr="001F4B70" w14:paraId="36C1CFA7"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3FCD985D" w14:textId="78E7E75A" w:rsidR="00491629" w:rsidRPr="00E3623F"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4D5AFDA7" w14:textId="52082CD0" w:rsidR="00491629" w:rsidRPr="00E3623F" w:rsidRDefault="00E3623F"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Fonts w:ascii="Arial Narrow" w:hAnsi="Arial Narrow" w:cs="Open Sans"/>
                <w:sz w:val="20"/>
                <w:szCs w:val="20"/>
              </w:rPr>
              <w:t>Must be treated</w:t>
            </w:r>
            <w:r>
              <w:rPr>
                <w:rFonts w:ascii="Arial Narrow" w:hAnsi="Arial Narrow" w:cs="Open Sans"/>
                <w:sz w:val="20"/>
                <w:szCs w:val="20"/>
              </w:rPr>
              <w:t xml:space="preserve"> by</w:t>
            </w:r>
            <w:r w:rsidRPr="003D096B">
              <w:rPr>
                <w:rFonts w:ascii="Arial Narrow" w:hAnsi="Arial Narrow" w:cs="Open Sans"/>
                <w:sz w:val="20"/>
                <w:szCs w:val="20"/>
              </w:rPr>
              <w:t xml:space="preserve"> </w:t>
            </w:r>
            <w:r>
              <w:rPr>
                <w:rFonts w:ascii="Arial Narrow" w:hAnsi="Arial Narrow" w:cs="Open Sans"/>
                <w:i/>
                <w:iCs/>
                <w:sz w:val="20"/>
                <w:szCs w:val="20"/>
              </w:rPr>
              <w:t xml:space="preserve">at least one of: </w:t>
            </w:r>
            <w:r w:rsidRPr="003D096B">
              <w:rPr>
                <w:rFonts w:ascii="Arial Narrow" w:hAnsi="Arial Narrow" w:cs="Open Sans"/>
                <w:strike/>
                <w:sz w:val="20"/>
                <w:szCs w:val="20"/>
              </w:rPr>
              <w:t>by a</w:t>
            </w:r>
            <w:r>
              <w:rPr>
                <w:rFonts w:ascii="Arial Narrow" w:hAnsi="Arial Narrow" w:cs="Open Sans"/>
                <w:i/>
                <w:iCs/>
                <w:sz w:val="20"/>
                <w:szCs w:val="20"/>
              </w:rPr>
              <w:t>(i)</w:t>
            </w:r>
            <w:r>
              <w:rPr>
                <w:rFonts w:ascii="Arial Narrow" w:hAnsi="Arial Narrow" w:cs="Open Sans"/>
                <w:sz w:val="20"/>
                <w:szCs w:val="20"/>
              </w:rPr>
              <w:t xml:space="preserve"> </w:t>
            </w:r>
            <w:r w:rsidRPr="003D096B">
              <w:rPr>
                <w:rFonts w:ascii="Arial Narrow" w:hAnsi="Arial Narrow" w:cs="Open Sans"/>
                <w:sz w:val="20"/>
                <w:szCs w:val="20"/>
              </w:rPr>
              <w:t>gastroenterologist</w:t>
            </w:r>
            <w:r>
              <w:rPr>
                <w:rFonts w:ascii="Arial Narrow" w:hAnsi="Arial Narrow" w:cs="Open Sans"/>
                <w:i/>
                <w:iCs/>
                <w:sz w:val="20"/>
                <w:szCs w:val="20"/>
              </w:rPr>
              <w:t>, (ii) surgeon experienced in the management of patients with eosinophilic oesophagitis, (iii) physician experienced in the management of patients with eosinophilic oesophagitis, (iv)  medical practitioner in consultation with one of these prescribers.</w:t>
            </w:r>
          </w:p>
        </w:tc>
      </w:tr>
      <w:tr w:rsidR="00491629" w:rsidRPr="001F4B70" w14:paraId="09FB6BC5" w14:textId="77777777" w:rsidTr="00383AEB">
        <w:tblPrEx>
          <w:tblCellMar>
            <w:top w:w="15" w:type="dxa"/>
            <w:bottom w:w="15" w:type="dxa"/>
          </w:tblCellMar>
          <w:tblLook w:val="04A0" w:firstRow="1" w:lastRow="0" w:firstColumn="1" w:lastColumn="0" w:noHBand="0" w:noVBand="1"/>
        </w:tblPrEx>
        <w:trPr>
          <w:cantSplit/>
          <w:trHeight w:val="20"/>
        </w:trPr>
        <w:tc>
          <w:tcPr>
            <w:tcW w:w="5000" w:type="pct"/>
            <w:gridSpan w:val="8"/>
            <w:tcBorders>
              <w:top w:val="single" w:sz="4" w:space="0" w:color="auto"/>
              <w:left w:val="single" w:sz="4" w:space="0" w:color="auto"/>
              <w:bottom w:val="single" w:sz="4" w:space="0" w:color="auto"/>
              <w:right w:val="single" w:sz="4" w:space="0" w:color="auto"/>
            </w:tcBorders>
          </w:tcPr>
          <w:p w14:paraId="4448074B"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p>
          <w:p w14:paraId="1A4CA8FB"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p>
        </w:tc>
      </w:tr>
      <w:tr w:rsidR="00491629" w:rsidRPr="001F4B70" w14:paraId="07DC68B0" w14:textId="77777777" w:rsidTr="00383AEB">
        <w:tblPrEx>
          <w:tblCellMar>
            <w:top w:w="15" w:type="dxa"/>
            <w:bottom w:w="15" w:type="dxa"/>
          </w:tblCellMar>
          <w:tblLook w:val="04A0" w:firstRow="1" w:lastRow="0" w:firstColumn="1" w:lastColumn="0" w:noHBand="0" w:noVBand="1"/>
        </w:tblPrEx>
        <w:trPr>
          <w:cantSplit/>
          <w:trHeight w:val="20"/>
        </w:trPr>
        <w:tc>
          <w:tcPr>
            <w:tcW w:w="5000" w:type="pct"/>
            <w:gridSpan w:val="8"/>
            <w:tcBorders>
              <w:top w:val="single" w:sz="4" w:space="0" w:color="auto"/>
              <w:left w:val="single" w:sz="4" w:space="0" w:color="auto"/>
              <w:bottom w:val="single" w:sz="4" w:space="0" w:color="auto"/>
              <w:right w:val="single" w:sz="4" w:space="0" w:color="auto"/>
            </w:tcBorders>
          </w:tcPr>
          <w:p w14:paraId="0D621C17" w14:textId="2B214EA0" w:rsidR="00491629" w:rsidRPr="00D56963"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AE4E22">
              <w:rPr>
                <w:rFonts w:ascii="Arial Narrow" w:hAnsi="Arial Narrow"/>
                <w:b/>
                <w:sz w:val="20"/>
                <w:szCs w:val="20"/>
              </w:rPr>
              <w:t>Restriction Summary [</w:t>
            </w:r>
            <w:r w:rsidR="00E3623F">
              <w:rPr>
                <w:rFonts w:ascii="Arial Narrow" w:hAnsi="Arial Narrow"/>
                <w:b/>
                <w:sz w:val="20"/>
                <w:szCs w:val="20"/>
              </w:rPr>
              <w:t>N</w:t>
            </w:r>
            <w:r w:rsidR="005873A2">
              <w:rPr>
                <w:rFonts w:ascii="Arial Narrow" w:hAnsi="Arial Narrow"/>
                <w:b/>
                <w:sz w:val="20"/>
                <w:szCs w:val="20"/>
              </w:rPr>
              <w:t>ew</w:t>
            </w:r>
            <w:r w:rsidR="00E3623F">
              <w:rPr>
                <w:rFonts w:ascii="Arial Narrow" w:hAnsi="Arial Narrow"/>
                <w:b/>
                <w:sz w:val="20"/>
                <w:szCs w:val="20"/>
              </w:rPr>
              <w:t>7</w:t>
            </w:r>
            <w:r w:rsidRPr="00AE4E22">
              <w:rPr>
                <w:rFonts w:ascii="Arial Narrow" w:hAnsi="Arial Narrow"/>
                <w:b/>
                <w:sz w:val="20"/>
                <w:szCs w:val="20"/>
              </w:rPr>
              <w:t>] / Treatment of Concept: [</w:t>
            </w:r>
            <w:r w:rsidR="00E3623F">
              <w:rPr>
                <w:rFonts w:ascii="Arial Narrow" w:hAnsi="Arial Narrow"/>
                <w:b/>
                <w:sz w:val="20"/>
                <w:szCs w:val="20"/>
              </w:rPr>
              <w:t>N</w:t>
            </w:r>
            <w:r w:rsidR="005873A2">
              <w:rPr>
                <w:rFonts w:ascii="Arial Narrow" w:hAnsi="Arial Narrow"/>
                <w:b/>
                <w:sz w:val="20"/>
                <w:szCs w:val="20"/>
              </w:rPr>
              <w:t>ew</w:t>
            </w:r>
            <w:r w:rsidR="00E3623F">
              <w:rPr>
                <w:rFonts w:ascii="Arial Narrow" w:hAnsi="Arial Narrow"/>
                <w:b/>
                <w:sz w:val="20"/>
                <w:szCs w:val="20"/>
              </w:rPr>
              <w:t>8</w:t>
            </w:r>
            <w:r w:rsidRPr="00AE4E22">
              <w:rPr>
                <w:rFonts w:ascii="Arial Narrow" w:hAnsi="Arial Narrow"/>
                <w:b/>
                <w:sz w:val="20"/>
                <w:szCs w:val="20"/>
              </w:rPr>
              <w:t>]</w:t>
            </w:r>
          </w:p>
        </w:tc>
      </w:tr>
      <w:tr w:rsidR="00491629" w:rsidRPr="001F4B70" w14:paraId="79E3CA9A"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2DA8E29C" w14:textId="73A355B0" w:rsidR="00491629" w:rsidRPr="003D096B" w:rsidRDefault="00491629" w:rsidP="00383AEB">
            <w:pPr>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430A36C4"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Fonts w:ascii="Arial Narrow" w:hAnsi="Arial Narrow" w:cs="Open Sans"/>
                <w:b/>
                <w:bCs/>
                <w:sz w:val="20"/>
                <w:szCs w:val="20"/>
                <w:bdr w:val="none" w:sz="0" w:space="0" w:color="auto" w:frame="1"/>
              </w:rPr>
              <w:t xml:space="preserve">Indication: </w:t>
            </w:r>
            <w:r w:rsidRPr="003D096B">
              <w:rPr>
                <w:rFonts w:ascii="Arial Narrow" w:hAnsi="Arial Narrow" w:cs="Open Sans"/>
                <w:sz w:val="20"/>
                <w:szCs w:val="20"/>
                <w:bdr w:val="none" w:sz="0" w:space="0" w:color="auto" w:frame="1"/>
              </w:rPr>
              <w:t>Eosinophilic oesophagitis</w:t>
            </w:r>
          </w:p>
        </w:tc>
      </w:tr>
      <w:tr w:rsidR="00491629" w:rsidRPr="001F4B70" w14:paraId="56360528"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32E06823" w14:textId="77777777"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6607D9A9"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Fonts w:ascii="Arial Narrow" w:hAnsi="Arial Narrow" w:cs="Open Sans"/>
                <w:b/>
                <w:bCs/>
                <w:sz w:val="20"/>
                <w:szCs w:val="20"/>
                <w:bdr w:val="none" w:sz="0" w:space="0" w:color="auto" w:frame="1"/>
              </w:rPr>
              <w:t xml:space="preserve">Treatment Phase: </w:t>
            </w:r>
            <w:r w:rsidRPr="003D096B">
              <w:rPr>
                <w:rFonts w:ascii="Arial Narrow" w:hAnsi="Arial Narrow" w:cs="Open Sans"/>
                <w:sz w:val="20"/>
                <w:szCs w:val="20"/>
                <w:bdr w:val="none" w:sz="0" w:space="0" w:color="auto" w:frame="1"/>
              </w:rPr>
              <w:t>Transitioning from non-PBS to PBS-subsidised treatment - Grandfather treatment</w:t>
            </w:r>
          </w:p>
        </w:tc>
      </w:tr>
      <w:tr w:rsidR="00491629" w:rsidRPr="001F4B70" w14:paraId="5F0E5EAE"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7170A46C" w14:textId="77777777"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0960BBB9"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p>
        </w:tc>
      </w:tr>
      <w:tr w:rsidR="00491629" w:rsidRPr="001F4B70" w14:paraId="323F4621"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45531513" w14:textId="5C1B33A7"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1F5C47E8"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Style w:val="Strong"/>
                <w:rFonts w:ascii="Arial Narrow" w:hAnsi="Arial Narrow" w:cs="Open Sans"/>
                <w:sz w:val="20"/>
                <w:szCs w:val="20"/>
                <w:bdr w:val="none" w:sz="0" w:space="0" w:color="auto" w:frame="1"/>
              </w:rPr>
              <w:t>Clinical criteria:</w:t>
            </w:r>
          </w:p>
        </w:tc>
      </w:tr>
      <w:tr w:rsidR="00491629" w:rsidRPr="001F4B70" w14:paraId="6FE13283"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40723854" w14:textId="1A996B1B"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78E7CE45"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Fonts w:ascii="Arial Narrow" w:hAnsi="Arial Narrow" w:cs="Open Sans"/>
                <w:sz w:val="20"/>
                <w:szCs w:val="20"/>
              </w:rPr>
              <w:t>Patient must have previously received non-PBS-subsidised treatment with a corticosteroid for this condition prior to 1 May 2022</w:t>
            </w:r>
          </w:p>
        </w:tc>
      </w:tr>
      <w:tr w:rsidR="00491629" w:rsidRPr="001F4B70" w14:paraId="51F73DE7"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2D5BB8C3" w14:textId="77777777"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32CBDD58"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Style w:val="Strong"/>
                <w:rFonts w:ascii="Arial Narrow" w:hAnsi="Arial Narrow" w:cs="Open Sans"/>
                <w:sz w:val="20"/>
                <w:szCs w:val="20"/>
                <w:bdr w:val="none" w:sz="0" w:space="0" w:color="auto" w:frame="1"/>
              </w:rPr>
              <w:t>AND</w:t>
            </w:r>
          </w:p>
        </w:tc>
      </w:tr>
      <w:tr w:rsidR="00491629" w:rsidRPr="001F4B70" w14:paraId="05252913"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150EA4F5" w14:textId="0AAEB1B2"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6DDAFCE7"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Style w:val="Strong"/>
                <w:rFonts w:ascii="Arial Narrow" w:hAnsi="Arial Narrow" w:cs="Open Sans"/>
                <w:sz w:val="20"/>
                <w:szCs w:val="20"/>
                <w:bdr w:val="none" w:sz="0" w:space="0" w:color="auto" w:frame="1"/>
              </w:rPr>
              <w:t>Clinical criteria:</w:t>
            </w:r>
          </w:p>
        </w:tc>
      </w:tr>
      <w:tr w:rsidR="00491629" w:rsidRPr="001F4B70" w14:paraId="64764D41"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7DA57AD1" w14:textId="6AE3A6B2"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5065979D"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Fonts w:ascii="Arial Narrow" w:hAnsi="Arial Narrow" w:cs="Open Sans"/>
                <w:sz w:val="20"/>
                <w:szCs w:val="20"/>
              </w:rPr>
              <w:t>Patient must be receiving non-PBS treatment with a corticosteroid for this condition at the time of application</w:t>
            </w:r>
          </w:p>
        </w:tc>
      </w:tr>
      <w:tr w:rsidR="00491629" w:rsidRPr="001F4B70" w14:paraId="020C1605"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297EB40C" w14:textId="77777777"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7CCDE661"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Style w:val="Strong"/>
                <w:rFonts w:ascii="Arial Narrow" w:hAnsi="Arial Narrow" w:cs="Open Sans"/>
                <w:sz w:val="20"/>
                <w:szCs w:val="20"/>
                <w:bdr w:val="none" w:sz="0" w:space="0" w:color="auto" w:frame="1"/>
              </w:rPr>
              <w:t>AND</w:t>
            </w:r>
          </w:p>
        </w:tc>
      </w:tr>
      <w:tr w:rsidR="00491629" w:rsidRPr="001F4B70" w14:paraId="32331BF5"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24B57E2F" w14:textId="3A7EDADF"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61B685AD"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Style w:val="Strong"/>
                <w:rFonts w:ascii="Arial Narrow" w:hAnsi="Arial Narrow" w:cs="Open Sans"/>
                <w:sz w:val="20"/>
                <w:szCs w:val="20"/>
                <w:bdr w:val="none" w:sz="0" w:space="0" w:color="auto" w:frame="1"/>
              </w:rPr>
              <w:t>Clinical criteria:</w:t>
            </w:r>
          </w:p>
        </w:tc>
      </w:tr>
      <w:tr w:rsidR="00491629" w:rsidRPr="001F4B70" w14:paraId="3DBC0DBF"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6DC4653C" w14:textId="2F9F7F8B"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226CA9D5"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Fonts w:ascii="Arial Narrow" w:hAnsi="Arial Narrow" w:cs="Open Sans"/>
                <w:sz w:val="20"/>
                <w:szCs w:val="20"/>
              </w:rPr>
              <w:t>Patient must have had, prior to commencement of non-PBS-subsidised treatment with a corticosteroid, a history of symptoms of oesophageal dysfunction</w:t>
            </w:r>
          </w:p>
        </w:tc>
      </w:tr>
      <w:tr w:rsidR="00491629" w:rsidRPr="001F4B70" w14:paraId="12B6C1B8"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72682928" w14:textId="77777777"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20FFDC65"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Style w:val="Strong"/>
                <w:rFonts w:ascii="Arial Narrow" w:hAnsi="Arial Narrow" w:cs="Open Sans"/>
                <w:sz w:val="20"/>
                <w:szCs w:val="20"/>
                <w:bdr w:val="none" w:sz="0" w:space="0" w:color="auto" w:frame="1"/>
              </w:rPr>
              <w:t>AND</w:t>
            </w:r>
          </w:p>
        </w:tc>
      </w:tr>
      <w:tr w:rsidR="00491629" w:rsidRPr="001F4B70" w14:paraId="7517BD38"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08327E13" w14:textId="14ECCBDE"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141B444B"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Style w:val="Strong"/>
                <w:rFonts w:ascii="Arial Narrow" w:hAnsi="Arial Narrow" w:cs="Open Sans"/>
                <w:sz w:val="20"/>
                <w:szCs w:val="20"/>
                <w:bdr w:val="none" w:sz="0" w:space="0" w:color="auto" w:frame="1"/>
              </w:rPr>
              <w:t>Clinical criteria:</w:t>
            </w:r>
          </w:p>
        </w:tc>
      </w:tr>
      <w:tr w:rsidR="00491629" w:rsidRPr="001F4B70" w14:paraId="3F4C4D64"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2AC31497" w14:textId="5B55CB5A"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18F9B974"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Fonts w:ascii="Arial Narrow" w:hAnsi="Arial Narrow" w:cs="Open Sans"/>
                <w:sz w:val="20"/>
                <w:szCs w:val="20"/>
              </w:rPr>
              <w:t>Patient must have had, prior to commencement of non-PBS-subsidised treatment with a corticosteroid, eosinophilic infiltration of the oesophagus, demonstrated by oesophageal biopsy specimens obtained by endoscopy confirming the presence of at least 15 eosinophils in at least one high power field (hpf); corresponding to approximately 60 eosinophils per mm</w:t>
            </w:r>
            <w:r w:rsidRPr="003D096B">
              <w:rPr>
                <w:rFonts w:ascii="Arial Narrow" w:hAnsi="Arial Narrow" w:cs="Open Sans"/>
                <w:sz w:val="20"/>
                <w:szCs w:val="20"/>
                <w:vertAlign w:val="superscript"/>
              </w:rPr>
              <w:t>2</w:t>
            </w:r>
            <w:r w:rsidRPr="003D096B">
              <w:rPr>
                <w:rFonts w:ascii="Arial Narrow" w:hAnsi="Arial Narrow" w:cs="Open Sans"/>
                <w:sz w:val="20"/>
                <w:szCs w:val="20"/>
              </w:rPr>
              <w:t xml:space="preserve"> hpf</w:t>
            </w:r>
          </w:p>
        </w:tc>
      </w:tr>
      <w:tr w:rsidR="00491629" w:rsidRPr="001F4B70" w14:paraId="0F37B857"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6D41BC48" w14:textId="77777777"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0DE116E3"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Style w:val="Strong"/>
                <w:rFonts w:ascii="Arial Narrow" w:hAnsi="Arial Narrow" w:cs="Open Sans"/>
                <w:sz w:val="20"/>
                <w:szCs w:val="20"/>
                <w:bdr w:val="none" w:sz="0" w:space="0" w:color="auto" w:frame="1"/>
              </w:rPr>
              <w:t>AND</w:t>
            </w:r>
          </w:p>
        </w:tc>
      </w:tr>
      <w:tr w:rsidR="00491629" w:rsidRPr="001F4B70" w14:paraId="539517CB"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67A7AC15" w14:textId="05673562"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26819099"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Style w:val="Strong"/>
                <w:rFonts w:ascii="Arial Narrow" w:hAnsi="Arial Narrow" w:cs="Open Sans"/>
                <w:sz w:val="20"/>
                <w:szCs w:val="20"/>
                <w:bdr w:val="none" w:sz="0" w:space="0" w:color="auto" w:frame="1"/>
              </w:rPr>
              <w:t>Clinical criteria:</w:t>
            </w:r>
          </w:p>
        </w:tc>
      </w:tr>
      <w:tr w:rsidR="00491629" w:rsidRPr="001F4B70" w14:paraId="60E4A1B9"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19BEBB43" w14:textId="6377A37A"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4522BE20"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Fonts w:ascii="Arial Narrow" w:hAnsi="Arial Narrow" w:cs="Open Sans"/>
                <w:sz w:val="20"/>
                <w:szCs w:val="20"/>
              </w:rPr>
              <w:t>Patient must have documented evidence that they are currently in histologic remission, where remission is defined as a peak eosinophil count of less than 5 eosinophils per high power field (hpf); corresponding to less than 16 eosinophils per mm</w:t>
            </w:r>
            <w:r w:rsidRPr="003D096B">
              <w:rPr>
                <w:rFonts w:ascii="Arial Narrow" w:hAnsi="Arial Narrow" w:cs="Open Sans"/>
                <w:sz w:val="20"/>
                <w:szCs w:val="20"/>
                <w:vertAlign w:val="superscript"/>
              </w:rPr>
              <w:t>2</w:t>
            </w:r>
            <w:r w:rsidRPr="003D096B">
              <w:rPr>
                <w:rFonts w:ascii="Arial Narrow" w:hAnsi="Arial Narrow" w:cs="Open Sans"/>
                <w:sz w:val="20"/>
                <w:szCs w:val="20"/>
              </w:rPr>
              <w:t xml:space="preserve"> hpf on oesophageal biopsy</w:t>
            </w:r>
          </w:p>
        </w:tc>
      </w:tr>
      <w:tr w:rsidR="00491629" w:rsidRPr="001F4B70" w14:paraId="1AEDD291"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3E1D16B7" w14:textId="7FC765F8"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7CFD4285"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1F4B70">
              <w:rPr>
                <w:rStyle w:val="Strong"/>
                <w:rFonts w:ascii="Arial Narrow" w:hAnsi="Arial Narrow" w:cs="Open Sans"/>
                <w:sz w:val="20"/>
                <w:szCs w:val="20"/>
                <w:bdr w:val="none" w:sz="0" w:space="0" w:color="auto" w:frame="1"/>
              </w:rPr>
              <w:t>Treatment criteria:</w:t>
            </w:r>
          </w:p>
        </w:tc>
      </w:tr>
      <w:tr w:rsidR="00491629" w:rsidRPr="001F4B70" w14:paraId="324EB692"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30B3CE08" w14:textId="1F9FD574"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7CF3DC13"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1F4B70">
              <w:rPr>
                <w:rFonts w:ascii="Arial Narrow" w:hAnsi="Arial Narrow" w:cs="Open Sans"/>
                <w:sz w:val="20"/>
                <w:szCs w:val="20"/>
              </w:rPr>
              <w:t>Must be treated by a</w:t>
            </w:r>
            <w:r>
              <w:rPr>
                <w:rFonts w:ascii="Arial Narrow" w:hAnsi="Arial Narrow" w:cs="Open Sans"/>
                <w:i/>
                <w:iCs/>
                <w:sz w:val="20"/>
                <w:szCs w:val="20"/>
              </w:rPr>
              <w:t xml:space="preserve">t least one of: (i) </w:t>
            </w:r>
            <w:r w:rsidRPr="001F4B70">
              <w:rPr>
                <w:rFonts w:ascii="Arial Narrow" w:hAnsi="Arial Narrow" w:cs="Open Sans"/>
                <w:sz w:val="20"/>
                <w:szCs w:val="20"/>
              </w:rPr>
              <w:t>gastroenterologist</w:t>
            </w:r>
            <w:r>
              <w:rPr>
                <w:rFonts w:ascii="Arial Narrow" w:hAnsi="Arial Narrow" w:cs="Open Sans"/>
                <w:i/>
                <w:iCs/>
                <w:sz w:val="20"/>
                <w:szCs w:val="20"/>
              </w:rPr>
              <w:t>, (ii) surgeon experienced in the management of patients with eosinophilic oesophagitis, (iii) physician experienced in the management of patients with eosinophilic oesophagitis</w:t>
            </w:r>
          </w:p>
        </w:tc>
      </w:tr>
      <w:tr w:rsidR="00491629" w:rsidRPr="001F4B70" w14:paraId="1A3A315D"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10BEC7A6" w14:textId="51CC8E71"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01FDDF29" w14:textId="77777777" w:rsidR="00491629" w:rsidRPr="003D096B" w:rsidRDefault="00491629" w:rsidP="00383AEB">
            <w:pPr>
              <w:pStyle w:val="NormalWeb"/>
              <w:spacing w:before="0" w:beforeAutospacing="0" w:after="0" w:afterAutospacing="0"/>
              <w:textAlignment w:val="baseline"/>
              <w:rPr>
                <w:rFonts w:ascii="Arial Narrow" w:hAnsi="Arial Narrow" w:cs="Open Sans"/>
                <w:sz w:val="20"/>
                <w:szCs w:val="20"/>
              </w:rPr>
            </w:pPr>
            <w:r w:rsidRPr="003D096B">
              <w:rPr>
                <w:rStyle w:val="Strong"/>
                <w:rFonts w:ascii="Arial Narrow" w:hAnsi="Arial Narrow" w:cs="Open Sans"/>
                <w:sz w:val="20"/>
                <w:szCs w:val="20"/>
                <w:bdr w:val="none" w:sz="0" w:space="0" w:color="auto" w:frame="1"/>
              </w:rPr>
              <w:t>Prescribing Instructions:</w:t>
            </w:r>
          </w:p>
          <w:p w14:paraId="0366CFAF"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Fonts w:ascii="Arial Narrow" w:hAnsi="Arial Narrow" w:cs="Open Sans"/>
                <w:sz w:val="20"/>
                <w:szCs w:val="20"/>
              </w:rPr>
              <w:t>A Grandfathered patient may qualify for PBS-subsidised treatment under this restriction once only. For continuing PBS-subsidised treatment, a Grandfathered patient must qualify under the continuing treatment criteria.</w:t>
            </w:r>
          </w:p>
        </w:tc>
      </w:tr>
      <w:tr w:rsidR="00491629" w:rsidRPr="001F4B70" w14:paraId="59D20C13"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45847D84" w14:textId="2F8173F2"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06CFF926" w14:textId="77777777" w:rsidR="00491629" w:rsidRPr="003D096B" w:rsidRDefault="00491629" w:rsidP="00383AEB">
            <w:pPr>
              <w:pStyle w:val="NormalWeb"/>
              <w:spacing w:before="0" w:beforeAutospacing="0" w:after="0" w:afterAutospacing="0"/>
              <w:textAlignment w:val="baseline"/>
              <w:rPr>
                <w:rFonts w:ascii="Arial Narrow" w:hAnsi="Arial Narrow" w:cs="Open Sans"/>
                <w:sz w:val="20"/>
                <w:szCs w:val="20"/>
              </w:rPr>
            </w:pPr>
            <w:r w:rsidRPr="003D096B">
              <w:rPr>
                <w:rStyle w:val="Strong"/>
                <w:rFonts w:ascii="Arial Narrow" w:hAnsi="Arial Narrow" w:cs="Open Sans"/>
                <w:sz w:val="20"/>
                <w:szCs w:val="20"/>
                <w:bdr w:val="none" w:sz="0" w:space="0" w:color="auto" w:frame="1"/>
              </w:rPr>
              <w:t>Prescribing Instructions:</w:t>
            </w:r>
          </w:p>
          <w:p w14:paraId="7395EDD5"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Fonts w:ascii="Arial Narrow" w:hAnsi="Arial Narrow" w:cs="Open Sans"/>
                <w:sz w:val="20"/>
                <w:szCs w:val="20"/>
              </w:rPr>
              <w:t>Symptoms of oesophageal dysfunction include at least one of the following: dysphasia, odynophagia, transient or self-cleared food impaction, chest pain, epigastric discomfort, vomiting/regurgitation.</w:t>
            </w:r>
          </w:p>
        </w:tc>
      </w:tr>
      <w:tr w:rsidR="00491629" w:rsidRPr="001F4B70" w14:paraId="010098F7"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6A260CF1" w14:textId="1449DE2A"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50CB63CC" w14:textId="77777777" w:rsidR="00491629" w:rsidRPr="000D768D" w:rsidRDefault="00491629" w:rsidP="00383AEB">
            <w:pPr>
              <w:pStyle w:val="NormalWeb"/>
              <w:spacing w:before="0" w:beforeAutospacing="0" w:after="0" w:afterAutospacing="0"/>
              <w:textAlignment w:val="baseline"/>
              <w:rPr>
                <w:rFonts w:ascii="Arial Narrow" w:hAnsi="Arial Narrow" w:cs="Open Sans"/>
                <w:sz w:val="20"/>
                <w:szCs w:val="20"/>
              </w:rPr>
            </w:pPr>
            <w:r w:rsidRPr="000D768D">
              <w:rPr>
                <w:rStyle w:val="Strong"/>
                <w:rFonts w:ascii="Arial Narrow" w:hAnsi="Arial Narrow" w:cs="Open Sans"/>
                <w:sz w:val="20"/>
                <w:szCs w:val="20"/>
                <w:bdr w:val="none" w:sz="0" w:space="0" w:color="auto" w:frame="1"/>
              </w:rPr>
              <w:t>Prescribing Instructions:</w:t>
            </w:r>
          </w:p>
          <w:p w14:paraId="25C078AE" w14:textId="3F8F83BD" w:rsidR="00491629" w:rsidRPr="000D768D" w:rsidRDefault="00491629" w:rsidP="00383AEB">
            <w:pPr>
              <w:pStyle w:val="NormalWeb"/>
              <w:textAlignment w:val="baseline"/>
              <w:rPr>
                <w:rFonts w:ascii="Arial Narrow" w:hAnsi="Arial Narrow" w:cs="Open Sans"/>
                <w:sz w:val="20"/>
                <w:szCs w:val="20"/>
                <w:bdr w:val="none" w:sz="0" w:space="0" w:color="auto" w:frame="1"/>
              </w:rPr>
            </w:pPr>
            <w:r w:rsidRPr="000D768D">
              <w:rPr>
                <w:rFonts w:ascii="Arial Narrow" w:hAnsi="Arial Narrow" w:cs="Open Sans"/>
                <w:sz w:val="20"/>
                <w:szCs w:val="20"/>
                <w:bdr w:val="none" w:sz="0" w:space="0" w:color="auto" w:frame="1"/>
              </w:rPr>
              <w:t>Histologic assessment should be based on the peak eosinophils count derived</w:t>
            </w:r>
            <w:r w:rsidR="00E3623F">
              <w:rPr>
                <w:rFonts w:ascii="Arial Narrow" w:hAnsi="Arial Narrow" w:cs="Open Sans"/>
                <w:i/>
                <w:iCs/>
                <w:sz w:val="20"/>
                <w:szCs w:val="20"/>
                <w:bdr w:val="none" w:sz="0" w:space="0" w:color="auto" w:frame="1"/>
              </w:rPr>
              <w:t>, where necessary,</w:t>
            </w:r>
            <w:r w:rsidRPr="000D768D">
              <w:rPr>
                <w:rFonts w:ascii="Arial Narrow" w:hAnsi="Arial Narrow" w:cs="Open Sans"/>
                <w:sz w:val="20"/>
                <w:szCs w:val="20"/>
                <w:bdr w:val="none" w:sz="0" w:space="0" w:color="auto" w:frame="1"/>
              </w:rPr>
              <w:t xml:space="preserve"> from the evaluation of at least eight oesophageal biopsies (minimum of four collected from each of the mid and distal segments, with the distal segment biopsies taken at least 5 cm above the gastroesophageal junction).</w:t>
            </w:r>
          </w:p>
          <w:p w14:paraId="63E27071" w14:textId="2CCAA20B" w:rsidR="00491629" w:rsidRPr="003D096B" w:rsidRDefault="00491629" w:rsidP="00383AEB">
            <w:pPr>
              <w:pStyle w:val="NormalWeb"/>
              <w:textAlignment w:val="baseline"/>
              <w:rPr>
                <w:rFonts w:ascii="Arial Narrow" w:hAnsi="Arial Narrow" w:cs="Open Sans"/>
                <w:b/>
                <w:bCs/>
                <w:sz w:val="20"/>
                <w:szCs w:val="20"/>
                <w:bdr w:val="none" w:sz="0" w:space="0" w:color="auto" w:frame="1"/>
              </w:rPr>
            </w:pPr>
            <w:r w:rsidRPr="000D768D">
              <w:rPr>
                <w:rFonts w:ascii="Arial Narrow" w:hAnsi="Arial Narrow" w:cs="Open Sans"/>
                <w:sz w:val="20"/>
                <w:szCs w:val="20"/>
                <w:bdr w:val="none" w:sz="0" w:space="0" w:color="auto" w:frame="1"/>
              </w:rPr>
              <w:t>The histologic assessment should, where possible, be performed by</w:t>
            </w:r>
            <w:r w:rsidR="00E3623F">
              <w:rPr>
                <w:rFonts w:ascii="Arial Narrow" w:hAnsi="Arial Narrow" w:cs="Open Sans"/>
                <w:sz w:val="20"/>
                <w:szCs w:val="20"/>
                <w:bdr w:val="none" w:sz="0" w:space="0" w:color="auto" w:frame="1"/>
              </w:rPr>
              <w:t xml:space="preserve"> </w:t>
            </w:r>
            <w:r w:rsidR="00E3623F">
              <w:rPr>
                <w:rFonts w:ascii="Arial Narrow" w:hAnsi="Arial Narrow" w:cs="Open Sans"/>
                <w:i/>
                <w:iCs/>
                <w:sz w:val="20"/>
                <w:szCs w:val="20"/>
                <w:bdr w:val="none" w:sz="0" w:space="0" w:color="auto" w:frame="1"/>
              </w:rPr>
              <w:t>or in consultation with</w:t>
            </w:r>
            <w:r w:rsidRPr="000D768D">
              <w:rPr>
                <w:rFonts w:ascii="Arial Narrow" w:hAnsi="Arial Narrow" w:cs="Open Sans"/>
                <w:sz w:val="20"/>
                <w:szCs w:val="20"/>
                <w:bdr w:val="none" w:sz="0" w:space="0" w:color="auto" w:frame="1"/>
              </w:rPr>
              <w:t xml:space="preserve"> the same physician</w:t>
            </w:r>
            <w:r w:rsidR="00E3623F">
              <w:rPr>
                <w:rFonts w:ascii="Arial Narrow" w:hAnsi="Arial Narrow" w:cs="Open Sans"/>
                <w:sz w:val="20"/>
                <w:szCs w:val="20"/>
                <w:bdr w:val="none" w:sz="0" w:space="0" w:color="auto" w:frame="1"/>
              </w:rPr>
              <w:t xml:space="preserve"> </w:t>
            </w:r>
            <w:r w:rsidR="00E3623F">
              <w:rPr>
                <w:rFonts w:ascii="Arial Narrow" w:hAnsi="Arial Narrow" w:cs="Open Sans"/>
                <w:i/>
                <w:iCs/>
                <w:sz w:val="20"/>
                <w:szCs w:val="20"/>
                <w:bdr w:val="none" w:sz="0" w:space="0" w:color="auto" w:frame="1"/>
              </w:rPr>
              <w:t>or surgeon</w:t>
            </w:r>
            <w:r w:rsidRPr="000D768D">
              <w:rPr>
                <w:rFonts w:ascii="Arial Narrow" w:hAnsi="Arial Narrow" w:cs="Open Sans"/>
                <w:sz w:val="20"/>
                <w:szCs w:val="20"/>
                <w:bdr w:val="none" w:sz="0" w:space="0" w:color="auto" w:frame="1"/>
              </w:rPr>
              <w:t xml:space="preserve"> who confirmed the diagnosis of eosinophilic oesophagitis in the patient. This assessment, which will be used to determine eligibility for continuing treatment, should have been conducted after the patient has completed 8 weeks of the initial treatment course and no later than 2 weeks prior to the patient completing the initial treatment course, to avoid an interruption to supply. Where a histologic assessment is not undertaken and the results submitted, the patient will not be eligible for ongoing treatment.</w:t>
            </w:r>
          </w:p>
        </w:tc>
      </w:tr>
      <w:tr w:rsidR="00491629" w:rsidRPr="001F4B70" w14:paraId="408CE71C" w14:textId="77777777" w:rsidTr="00383AEB">
        <w:tblPrEx>
          <w:tblCellMar>
            <w:top w:w="15" w:type="dxa"/>
            <w:bottom w:w="15" w:type="dxa"/>
          </w:tblCellMar>
          <w:tblLook w:val="04A0" w:firstRow="1" w:lastRow="0" w:firstColumn="1" w:lastColumn="0" w:noHBand="0" w:noVBand="1"/>
        </w:tblPrEx>
        <w:trPr>
          <w:cantSplit/>
          <w:trHeight w:val="20"/>
        </w:trPr>
        <w:tc>
          <w:tcPr>
            <w:tcW w:w="678" w:type="pct"/>
            <w:gridSpan w:val="2"/>
            <w:tcBorders>
              <w:top w:val="single" w:sz="4" w:space="0" w:color="auto"/>
              <w:left w:val="single" w:sz="4" w:space="0" w:color="auto"/>
              <w:bottom w:val="single" w:sz="4" w:space="0" w:color="auto"/>
              <w:right w:val="single" w:sz="4" w:space="0" w:color="auto"/>
            </w:tcBorders>
          </w:tcPr>
          <w:p w14:paraId="5CBD1A31" w14:textId="70DC9D2A" w:rsidR="00491629" w:rsidRPr="003D096B" w:rsidRDefault="00491629" w:rsidP="00383AEB">
            <w:pPr>
              <w:jc w:val="left"/>
              <w:rPr>
                <w:rFonts w:ascii="Arial Narrow" w:hAnsi="Arial Narrow" w:cs="Open Sans"/>
                <w:sz w:val="20"/>
                <w:szCs w:val="20"/>
              </w:rPr>
            </w:pPr>
          </w:p>
        </w:tc>
        <w:tc>
          <w:tcPr>
            <w:tcW w:w="4322" w:type="pct"/>
            <w:gridSpan w:val="6"/>
            <w:tcBorders>
              <w:top w:val="single" w:sz="4" w:space="0" w:color="auto"/>
              <w:left w:val="single" w:sz="4" w:space="0" w:color="auto"/>
              <w:bottom w:val="single" w:sz="4" w:space="0" w:color="auto"/>
              <w:right w:val="single" w:sz="4" w:space="0" w:color="auto"/>
            </w:tcBorders>
          </w:tcPr>
          <w:p w14:paraId="5DA2A4B0" w14:textId="77777777" w:rsidR="00491629" w:rsidRPr="003D096B" w:rsidRDefault="00491629" w:rsidP="00383AEB">
            <w:pPr>
              <w:pStyle w:val="NormalWeb"/>
              <w:spacing w:before="0" w:beforeAutospacing="0" w:after="0" w:afterAutospacing="0"/>
              <w:textAlignment w:val="baseline"/>
              <w:rPr>
                <w:rFonts w:ascii="Arial Narrow" w:hAnsi="Arial Narrow" w:cs="Open Sans"/>
                <w:sz w:val="20"/>
                <w:szCs w:val="20"/>
              </w:rPr>
            </w:pPr>
            <w:r w:rsidRPr="003D096B">
              <w:rPr>
                <w:rStyle w:val="Strong"/>
                <w:rFonts w:ascii="Arial Narrow" w:hAnsi="Arial Narrow" w:cs="Open Sans"/>
                <w:sz w:val="20"/>
                <w:szCs w:val="20"/>
                <w:bdr w:val="none" w:sz="0" w:space="0" w:color="auto" w:frame="1"/>
              </w:rPr>
              <w:t>Administrative Advice:</w:t>
            </w:r>
          </w:p>
          <w:p w14:paraId="4394DA71" w14:textId="77777777" w:rsidR="00491629" w:rsidRPr="003D096B" w:rsidRDefault="00491629" w:rsidP="00383AEB">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3D096B">
              <w:rPr>
                <w:rFonts w:ascii="Arial Narrow" w:hAnsi="Arial Narrow" w:cs="Open Sans"/>
                <w:sz w:val="20"/>
                <w:szCs w:val="20"/>
              </w:rPr>
              <w:t>This grandfather restriction will cease to operate from 12 months after the date specified in the clinical criteria.</w:t>
            </w:r>
          </w:p>
        </w:tc>
      </w:tr>
    </w:tbl>
    <w:p w14:paraId="37057B9D" w14:textId="45E7D139" w:rsidR="00AA0254" w:rsidRPr="004B01D0" w:rsidRDefault="00AA0254" w:rsidP="00520B92">
      <w:pPr>
        <w:pStyle w:val="ListBullet"/>
        <w:numPr>
          <w:ilvl w:val="0"/>
          <w:numId w:val="0"/>
        </w:numPr>
        <w:rPr>
          <w:b/>
          <w:bCs/>
          <w:i/>
          <w:iCs/>
        </w:rPr>
      </w:pPr>
      <w:bookmarkStart w:id="11" w:name="_Hlk129877538"/>
      <w:r w:rsidRPr="00D7063C">
        <w:rPr>
          <w:b/>
          <w:bCs/>
          <w:i/>
          <w:iCs/>
        </w:rPr>
        <w:t xml:space="preserve">This restriction may be subject to further review. Should there be any changes made to the restriction the </w:t>
      </w:r>
      <w:r>
        <w:rPr>
          <w:b/>
          <w:bCs/>
          <w:i/>
          <w:iCs/>
        </w:rPr>
        <w:t>s</w:t>
      </w:r>
      <w:r w:rsidRPr="00D7063C">
        <w:rPr>
          <w:b/>
          <w:bCs/>
          <w:i/>
          <w:iCs/>
        </w:rPr>
        <w:t>ponsor will be informed.</w:t>
      </w:r>
      <w:bookmarkEnd w:id="11"/>
    </w:p>
    <w:p w14:paraId="34647C23" w14:textId="00A06991" w:rsidR="00696EC0" w:rsidRPr="00696EC0" w:rsidRDefault="00696EC0" w:rsidP="00696EC0">
      <w:pPr>
        <w:pStyle w:val="2-SectionHeading"/>
      </w:pPr>
      <w:r w:rsidRPr="00C07617">
        <w:t>Context for Decision</w:t>
      </w:r>
    </w:p>
    <w:p w14:paraId="0DFB0D68" w14:textId="71589ECB" w:rsidR="00696EC0" w:rsidRPr="007129F2" w:rsidRDefault="00696EC0" w:rsidP="00107503">
      <w:pPr>
        <w:spacing w:after="120"/>
        <w:ind w:left="720"/>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7129F2">
        <w:rPr>
          <w:rFonts w:asciiTheme="minorHAnsi" w:hAnsiTheme="minorHAnsi" w:cs="Arial"/>
          <w:bCs/>
          <w:lang w:val="en-GB"/>
        </w:rPr>
        <w:t>be made</w:t>
      </w:r>
      <w:proofErr w:type="gramEnd"/>
      <w:r w:rsidRPr="007129F2">
        <w:rPr>
          <w:rFonts w:asciiTheme="minorHAnsi" w:hAnsiTheme="minorHAnsi" w:cs="Arial"/>
          <w:bCs/>
          <w:lang w:val="en-GB"/>
        </w:rPr>
        <w:t xml:space="preserve"> available through the PBS. The PBAC welcomes applications containing </w:t>
      </w:r>
      <w:proofErr w:type="gramStart"/>
      <w:r w:rsidRPr="007129F2">
        <w:rPr>
          <w:rFonts w:asciiTheme="minorHAnsi" w:hAnsiTheme="minorHAnsi" w:cs="Arial"/>
          <w:bCs/>
          <w:lang w:val="en-GB"/>
        </w:rPr>
        <w:t>new information</w:t>
      </w:r>
      <w:proofErr w:type="gramEnd"/>
      <w:r w:rsidRPr="007129F2">
        <w:rPr>
          <w:rFonts w:asciiTheme="minorHAnsi" w:hAnsiTheme="minorHAnsi" w:cs="Arial"/>
          <w:bCs/>
          <w:lang w:val="en-GB"/>
        </w:rPr>
        <w:t xml:space="preserve"> at any time.</w:t>
      </w:r>
    </w:p>
    <w:p w14:paraId="733DF537" w14:textId="34A7D070" w:rsidR="00696EC0" w:rsidRPr="00696EC0" w:rsidRDefault="00696EC0" w:rsidP="00696EC0">
      <w:pPr>
        <w:pStyle w:val="2-SectionHeading"/>
      </w:pPr>
      <w:r>
        <w:t>Sponsor’s Comment</w:t>
      </w:r>
    </w:p>
    <w:p w14:paraId="3C377553" w14:textId="4F47B5E1" w:rsidR="005F3049" w:rsidRDefault="005D7009" w:rsidP="00107503">
      <w:pPr>
        <w:pStyle w:val="ListBullet"/>
        <w:numPr>
          <w:ilvl w:val="0"/>
          <w:numId w:val="0"/>
        </w:numPr>
        <w:ind w:left="720"/>
      </w:pPr>
      <w:r w:rsidRPr="005D7009">
        <w:t xml:space="preserve">Dr Falk Pharma Australia acknowledges the outcome of this submission and notes that two of the three requested changes received positive recommendations, and hopes these changes will be implemented in a timely manner. For the remaining item, the Sponsor looks forward to working with the PBAC and DUSC to resolve any ongoing questions ahead of the July PBAC meeting. All three of the requested changes are intended to assure equity of ongoing supply of JORVEZA within the public </w:t>
      </w:r>
      <w:r w:rsidR="00FB620D" w:rsidRPr="005D7009">
        <w:t>health</w:t>
      </w:r>
      <w:r w:rsidRPr="005D7009">
        <w:t xml:space="preserve"> system to appropriate patients with eosinophilic oesophagitis, a chronic inflammatory/fibrostenotic disease.</w:t>
      </w:r>
    </w:p>
    <w:p w14:paraId="0D1949BD" w14:textId="77777777" w:rsidR="005F3049" w:rsidRDefault="005F3049">
      <w:pPr>
        <w:jc w:val="left"/>
      </w:pPr>
      <w:r>
        <w:br w:type="page"/>
      </w:r>
    </w:p>
    <w:p w14:paraId="3807CD0E" w14:textId="77777777" w:rsidR="005F3049" w:rsidRPr="00D85CD0" w:rsidRDefault="005F3049" w:rsidP="005F3049">
      <w:pPr>
        <w:pStyle w:val="1MainTitle"/>
        <w:ind w:left="993" w:hanging="993"/>
        <w:jc w:val="left"/>
      </w:pPr>
      <w:r w:rsidRPr="00D85CD0">
        <w:t>4.04</w:t>
      </w:r>
      <w:r w:rsidRPr="00D85CD0">
        <w:tab/>
        <w:t xml:space="preserve">BUDESONIDE, </w:t>
      </w:r>
      <w:r w:rsidRPr="00D85CD0">
        <w:br/>
        <w:t xml:space="preserve">Tablet 500 micrograms (orally disintegrating), </w:t>
      </w:r>
      <w:r>
        <w:br/>
      </w:r>
      <w:r w:rsidRPr="00D85CD0">
        <w:t>Tablet 1 mg (orally disintegrating),</w:t>
      </w:r>
      <w:r w:rsidRPr="00D85CD0">
        <w:br/>
        <w:t>Jorveza®,</w:t>
      </w:r>
      <w:r w:rsidRPr="00D85CD0">
        <w:br/>
        <w:t>Dr Falk Pharma Australia Pty Ltd</w:t>
      </w:r>
    </w:p>
    <w:p w14:paraId="1E5267A8" w14:textId="77777777" w:rsidR="005F3049" w:rsidRPr="00D85CD0" w:rsidRDefault="005F3049" w:rsidP="005F3049">
      <w:pPr>
        <w:pStyle w:val="2-SectionHeading"/>
        <w:numPr>
          <w:ilvl w:val="0"/>
          <w:numId w:val="2"/>
        </w:numPr>
        <w:rPr>
          <w:rFonts w:cstheme="minorHAnsi"/>
          <w:color w:val="FF0000"/>
        </w:rPr>
      </w:pPr>
      <w:r w:rsidRPr="00D85CD0">
        <w:t xml:space="preserve">Purpose of Submission </w:t>
      </w:r>
    </w:p>
    <w:p w14:paraId="5A5F5C24" w14:textId="77777777" w:rsidR="005F3049" w:rsidRPr="00D85CD0" w:rsidRDefault="005F3049" w:rsidP="005F3049">
      <w:pPr>
        <w:pStyle w:val="3Bodytext"/>
        <w:jc w:val="both"/>
      </w:pPr>
      <w:r w:rsidRPr="00D85CD0">
        <w:t>For the Pharmaceutical Benefits Advisory Committee (PBAC) to consider expert advice from the Gastroenterological Society of Australia (GESA) regarding the appropriateness of the requirement for a histological assessment (endoscopy) to determine treatment response/eligibility for continuing treatment with budesonide orally disintegrating tablets (BOT) 500 micrograms and 1 mg for eosinophilic oesophagitis (EoE).</w:t>
      </w:r>
    </w:p>
    <w:p w14:paraId="175EAF31" w14:textId="77777777" w:rsidR="005F3049" w:rsidRPr="00D85CD0" w:rsidRDefault="005F3049" w:rsidP="005F3049">
      <w:pPr>
        <w:pStyle w:val="3Bodytext"/>
        <w:jc w:val="both"/>
        <w:rPr>
          <w:i/>
        </w:rPr>
      </w:pPr>
      <w:r w:rsidRPr="00D85CD0">
        <w:t>For the PBAC to provide advice on GESA’s request to change the authority type for continuing treatment from Authority Required (telephone/online) to Authority Required (STREAMLINED).</w:t>
      </w:r>
    </w:p>
    <w:p w14:paraId="2673A3AC" w14:textId="77777777" w:rsidR="005F3049" w:rsidRPr="00D85CD0" w:rsidRDefault="005F3049" w:rsidP="005F3049">
      <w:pPr>
        <w:pStyle w:val="3Bodytext"/>
        <w:jc w:val="both"/>
      </w:pPr>
      <w:r w:rsidRPr="00D85CD0">
        <w:t>For the PBAC to note the results of the Drug Utilisation Sub-Committee (DUSC) review on the utilisation of BOT.</w:t>
      </w:r>
    </w:p>
    <w:p w14:paraId="3D5AD227" w14:textId="77777777" w:rsidR="005F3049" w:rsidRPr="00D85CD0" w:rsidRDefault="005F3049" w:rsidP="005F3049">
      <w:pPr>
        <w:pStyle w:val="2-SectionHeading"/>
        <w:numPr>
          <w:ilvl w:val="0"/>
          <w:numId w:val="2"/>
        </w:numPr>
      </w:pPr>
      <w:r w:rsidRPr="00D85CD0">
        <w:t>Background</w:t>
      </w:r>
    </w:p>
    <w:p w14:paraId="603D05BF" w14:textId="77777777" w:rsidR="005F3049" w:rsidRPr="00D85CD0" w:rsidRDefault="005F3049" w:rsidP="005F3049">
      <w:pPr>
        <w:pStyle w:val="3Bodytext"/>
        <w:jc w:val="both"/>
      </w:pPr>
      <w:r w:rsidRPr="00D85CD0">
        <w:t xml:space="preserve">At its March 2023 meeting, the PBAC considered a request from the sponsor of BOT, Dr Falk Pharma Australia, to remove the requirement for a histological assessment (endoscopy) to determine treatment response/eligibility for continuing treatment, and subsequently consolidate the first and subsequent continuing treatment phase listings, for the current PBS listings of BOT 500 micrograms and 1 mg for the treatment of EoE. </w:t>
      </w:r>
    </w:p>
    <w:p w14:paraId="20125997" w14:textId="77777777" w:rsidR="005F3049" w:rsidRPr="00D85CD0" w:rsidRDefault="005F3049" w:rsidP="005F3049">
      <w:pPr>
        <w:pStyle w:val="3Bodytext"/>
        <w:jc w:val="both"/>
      </w:pPr>
      <w:r w:rsidRPr="00D85CD0">
        <w:t xml:space="preserve">The current PBS listings for BOT for EoE state ‘Applications for initial treatment with BOT must be received within 12 weeks of endoscopy/biopsy…. A histologic assessment of the oesophageal biopsy should be planned for approximately 8 weeks after the initiation of the first PBS-subsidised treatment with this drug under this restriction, and no later than 2 weeks prior to the patient completing the PBS-subsidised initial treatment course, to determine the patient’s eligibility for continuing therapy and to avoid an interruption to supply.’ </w:t>
      </w:r>
    </w:p>
    <w:p w14:paraId="7B03AA3A" w14:textId="29201E2D" w:rsidR="005F3049" w:rsidRPr="00D85CD0" w:rsidRDefault="005F3049" w:rsidP="005F3049">
      <w:pPr>
        <w:pStyle w:val="3Bodytext"/>
        <w:jc w:val="both"/>
      </w:pPr>
      <w:r w:rsidRPr="00D85CD0">
        <w:t xml:space="preserve">The submission considered by the PBAC at its March 2023 meeting stated that concerns had been raised by clinicians since the PBS listing of BOT in </w:t>
      </w:r>
      <w:r w:rsidR="00CC5B87" w:rsidRPr="00D85CD0">
        <w:t>May</w:t>
      </w:r>
      <w:r w:rsidR="00CC5B87">
        <w:t> </w:t>
      </w:r>
      <w:r w:rsidRPr="00D85CD0">
        <w:t>2022 regarding the requirement for a follow-up endoscopy. The submission claimed that clinicians had reported that because of the challenges in obtaining a follow-up endoscopy, patients who would have otherwise benefited from treatment with BOT were either not being started on this treatment or started the initial induction of remission treatment but then were forced to cease as they were unable to access a repeat endoscopy to confirm treatment response (see Section 2).</w:t>
      </w:r>
    </w:p>
    <w:p w14:paraId="56A671FF" w14:textId="77777777" w:rsidR="005F3049" w:rsidRPr="00D85CD0" w:rsidRDefault="005F3049" w:rsidP="005F3049">
      <w:pPr>
        <w:pStyle w:val="3Bodytext"/>
        <w:jc w:val="both"/>
      </w:pPr>
      <w:r w:rsidRPr="00D85CD0">
        <w:t>At its March 2023 meeting, the PBAC considered concerns raised by health professionals via the Consumer Comments facility on the PBS website. The PBAC noted the concerns raised, such as difficulty scheduling a repeat endoscopy in the public sector, and noted that there were several comments suggesting a longer timeframe for a follow-endoscopy (e.g. within 6 to 12 months of commencing treatment). The PBAC also noted other comments that raised concerns about the proposal to remove the requirement for a follow-up endoscopy to confirm response to treatment, stating that it is poor clinical practice to allow long-term treatment without confirming effectiveness. A suggestion was also raised that repeat endoscopy may not be appropriate for certain patients (e.g. those with high anaesthetic risk) (paragraph 4.4).</w:t>
      </w:r>
    </w:p>
    <w:p w14:paraId="4A703873" w14:textId="50326875" w:rsidR="005F3049" w:rsidRPr="00D85CD0" w:rsidRDefault="005F3049" w:rsidP="005F3049">
      <w:pPr>
        <w:pStyle w:val="3Bodytext"/>
        <w:jc w:val="both"/>
      </w:pPr>
      <w:r w:rsidRPr="00D85CD0">
        <w:t>The PBAC remained concerned that removing the requirement for a histological assessment to determine treatment response could lead to patients continuing treatment that was ineffective and therefore using a treatment unnecessarily.</w:t>
      </w:r>
      <w:r w:rsidRPr="00D85CD0">
        <w:rPr>
          <w:i/>
        </w:rPr>
        <w:t xml:space="preserve"> </w:t>
      </w:r>
      <w:r w:rsidRPr="00D85CD0">
        <w:t xml:space="preserve">This was also raised by the PBAC at its March 2021 meeting when it considered the initial PBS listing of BOT. At that time, the PBAC considered that a restriction that did not specify histological assessment criteria for continuing treatment ‘was inconsistent with the clinical evidence presented and Therapeutic Goods Administration dose recommendation in that it would allow all patients to continue treatment regardless of whether they achieved remission or not.’ (paragraph 3.1, budesonide, PSD, </w:t>
      </w:r>
      <w:r w:rsidR="00CC5B87" w:rsidRPr="00D85CD0">
        <w:t>March</w:t>
      </w:r>
      <w:r w:rsidR="00CC5B87">
        <w:t> </w:t>
      </w:r>
      <w:r w:rsidRPr="00D85CD0">
        <w:t>2021 PBAC meeting).</w:t>
      </w:r>
    </w:p>
    <w:p w14:paraId="4E32746F" w14:textId="3EAF1C45" w:rsidR="005F3049" w:rsidRPr="00D85CD0" w:rsidRDefault="005F3049" w:rsidP="005F3049">
      <w:pPr>
        <w:pStyle w:val="3Bodytext"/>
        <w:jc w:val="both"/>
      </w:pPr>
      <w:r w:rsidRPr="00D85CD0">
        <w:t>The PBAC deferred making a recommendation</w:t>
      </w:r>
      <w:r>
        <w:t xml:space="preserve"> to the </w:t>
      </w:r>
      <w:r w:rsidRPr="00D85CD0">
        <w:rPr>
          <w:color w:val="000000" w:themeColor="text1"/>
        </w:rPr>
        <w:t>requirement for a histological assessment</w:t>
      </w:r>
      <w:r w:rsidRPr="00D85CD0">
        <w:t xml:space="preserve"> in March 2023 to seek further advice from relevant experts on the appropriateness of this Prescribing Instruction and any potential impacts on patient safety and care should these criteria be removed. The PBAC also referred the matter to DUSC to conduct a utilisation review of BOT. </w:t>
      </w:r>
    </w:p>
    <w:p w14:paraId="00A9AC4E" w14:textId="77777777" w:rsidR="005F3049" w:rsidRPr="00D85CD0" w:rsidRDefault="005F3049" w:rsidP="005F3049">
      <w:pPr>
        <w:pStyle w:val="2-SectionHeading"/>
        <w:numPr>
          <w:ilvl w:val="0"/>
          <w:numId w:val="2"/>
        </w:numPr>
        <w:jc w:val="both"/>
      </w:pPr>
      <w:r w:rsidRPr="00D85CD0">
        <w:t>Advice from GESA</w:t>
      </w:r>
    </w:p>
    <w:p w14:paraId="0843E7FC" w14:textId="77777777" w:rsidR="005F3049" w:rsidRPr="00D85CD0" w:rsidRDefault="005F3049" w:rsidP="005F3049">
      <w:pPr>
        <w:pStyle w:val="3Bodytext"/>
        <w:jc w:val="both"/>
        <w:rPr>
          <w:i/>
        </w:rPr>
      </w:pPr>
      <w:r w:rsidRPr="00D85CD0">
        <w:t>In its response to the PBAC Chair’s request for advice, GESA noted that BOT is well tolerated, has a favourable adverse effect profile, and appropriate use will result in potential cost savings due to reduced procedural interventions.</w:t>
      </w:r>
    </w:p>
    <w:p w14:paraId="30275224" w14:textId="77777777" w:rsidR="005F3049" w:rsidRPr="00D85CD0" w:rsidRDefault="005F3049" w:rsidP="005F3049">
      <w:pPr>
        <w:pStyle w:val="3Bodytext"/>
        <w:jc w:val="both"/>
      </w:pPr>
      <w:r w:rsidRPr="00D85CD0">
        <w:t>GESA stated that the current requirement for a second endoscopy to confirm remission within 8-10 weeks is difficult to schedule not only for patients in the public sector, but also for patients in general due to their own time constraints and for patients who live in rural and remote areas. GESA also noted that COVID infection of both procedural staff and patients can make it difficult to schedule a repeat endoscopy due to cancellations and the management of procedural lists.</w:t>
      </w:r>
    </w:p>
    <w:p w14:paraId="6F86F8C4" w14:textId="77777777" w:rsidR="005F3049" w:rsidRPr="00D85CD0" w:rsidRDefault="005F3049" w:rsidP="005F3049">
      <w:pPr>
        <w:pStyle w:val="3Bodytext"/>
        <w:jc w:val="both"/>
      </w:pPr>
      <w:r w:rsidRPr="00D85CD0">
        <w:t>GESA noted that histological follow-up is still best practice in the majority of situations and is also used to reinforce long term compliance with the medicine. It was also noted that there are a number of new pharmacological agents that have been shown to be efficacious in situations of treatment failure, and histolog</w:t>
      </w:r>
      <w:r>
        <w:t>ical assessment</w:t>
      </w:r>
      <w:r w:rsidRPr="00D85CD0">
        <w:t xml:space="preserve"> will therefore be essential to guide future therapies. </w:t>
      </w:r>
    </w:p>
    <w:p w14:paraId="28027CEA" w14:textId="77777777" w:rsidR="005F3049" w:rsidRPr="006F4170" w:rsidRDefault="005F3049" w:rsidP="005F3049">
      <w:pPr>
        <w:pStyle w:val="3Bodytext"/>
        <w:jc w:val="both"/>
      </w:pPr>
      <w:r w:rsidRPr="006F4170">
        <w:t>GESA suggested that increasing the time for a follow-up endoscopy would increase the flexibility of scheduling this assessment, and it was suggested to allow patients to access 6 months of treatment with the first PBS prescription of BOT, with a requirement for a follow-up endoscopy within 3-6 months of initiating BOT. An alternative time for requiring a follow-up endoscopy could be 4 months if the 3</w:t>
      </w:r>
      <w:r w:rsidRPr="006F4170">
        <w:noBreakHyphen/>
        <w:t xml:space="preserve">6 month timeframe was considered too long. The PBAC noted that the Product Information (PI) for BOT states ‘the usual duration of induction treatment is 6 weeks. For patients who are not appropriately responding during 6 weeks the treatment can be extended for up to 12 weeks.’ Therefore, for PBS listings to be consistent with the dosage recommendations in the PI, the induction phase should last for a maximum of 12 weeks. </w:t>
      </w:r>
    </w:p>
    <w:p w14:paraId="027EE910" w14:textId="77777777" w:rsidR="005F3049" w:rsidRPr="00D85CD0" w:rsidRDefault="005F3049" w:rsidP="005F3049">
      <w:pPr>
        <w:pStyle w:val="3Bodytext"/>
        <w:jc w:val="both"/>
      </w:pPr>
      <w:r w:rsidRPr="00D85CD0">
        <w:t>It was suggested that a specialist follow-up should be required at least annually for the ongoing use of BOT to support compliance with treatment, and due to EoE being a long-term condition where the natural history is not fully understood and treatment guidelines will continue to evolve and change.</w:t>
      </w:r>
    </w:p>
    <w:p w14:paraId="59BFCC4C" w14:textId="77777777" w:rsidR="005F3049" w:rsidRPr="00D85CD0" w:rsidRDefault="005F3049" w:rsidP="005F3049">
      <w:pPr>
        <w:pStyle w:val="3Bodytext"/>
        <w:jc w:val="both"/>
      </w:pPr>
      <w:r w:rsidRPr="00D85CD0">
        <w:t xml:space="preserve">GESA also suggested the following changes to the PBS restrictions for BOT for EoE: </w:t>
      </w:r>
    </w:p>
    <w:p w14:paraId="2E0D7660" w14:textId="77777777" w:rsidR="005F3049" w:rsidRPr="00682EBA" w:rsidRDefault="005F3049" w:rsidP="005F3049">
      <w:pPr>
        <w:pStyle w:val="3Bodytext"/>
        <w:numPr>
          <w:ilvl w:val="0"/>
          <w:numId w:val="50"/>
        </w:numPr>
        <w:ind w:left="1134"/>
        <w:jc w:val="both"/>
      </w:pPr>
      <w:r w:rsidRPr="00D85CD0">
        <w:t xml:space="preserve">extending the prescriber eligibility to include surgical and physician Conjoint Committee for Recognition in Gastrointestinal Endoscopy (CCRTGE) approved endoscopy colleagues to manage rural and remote patients and ensure equitable access. The PBAC noted that at its March 2023 meeting it recommended </w:t>
      </w:r>
      <w:r w:rsidRPr="00682EBA">
        <w:t xml:space="preserve">expanding the list of eligible prescribers in the PBS treatment criteria for BOT to include physicians or surgeons experienced in the diagnosis and management of </w:t>
      </w:r>
      <w:r w:rsidRPr="00D85CD0">
        <w:t>EoE and</w:t>
      </w:r>
      <w:r w:rsidRPr="00682EBA">
        <w:t xml:space="preserve"> noted that this recommendation has not yet been implemented.</w:t>
      </w:r>
    </w:p>
    <w:p w14:paraId="55830788" w14:textId="77777777" w:rsidR="005F3049" w:rsidRPr="00D85CD0" w:rsidRDefault="005F3049" w:rsidP="005F3049">
      <w:pPr>
        <w:pStyle w:val="3Bodytext"/>
        <w:numPr>
          <w:ilvl w:val="0"/>
          <w:numId w:val="50"/>
        </w:numPr>
        <w:ind w:left="1134"/>
        <w:jc w:val="both"/>
      </w:pPr>
      <w:r w:rsidRPr="00D85CD0">
        <w:t xml:space="preserve">Changing the authority level for continuing treatment from Authority Required (telephone/online) to Authority Required (STREAMLINED) to improve efficiency of prescribing. </w:t>
      </w:r>
      <w:r w:rsidRPr="005F62EB">
        <w:t>The PBAC noted that changing the authority level has not been proposed by the sponsor</w:t>
      </w:r>
      <w:r w:rsidRPr="00D85CD0">
        <w:t>.</w:t>
      </w:r>
    </w:p>
    <w:p w14:paraId="1EC4D143" w14:textId="77777777" w:rsidR="005F3049" w:rsidRPr="00D85CD0" w:rsidRDefault="005F3049" w:rsidP="005F3049">
      <w:pPr>
        <w:pStyle w:val="2-SectionHeading"/>
        <w:numPr>
          <w:ilvl w:val="0"/>
          <w:numId w:val="2"/>
        </w:numPr>
        <w:spacing w:before="120"/>
        <w:jc w:val="both"/>
      </w:pPr>
      <w:r w:rsidRPr="00D85CD0">
        <w:t>Requested listing</w:t>
      </w:r>
    </w:p>
    <w:p w14:paraId="7F9CBD8B" w14:textId="77777777" w:rsidR="005F3049" w:rsidRPr="00D85CD0" w:rsidRDefault="005F3049" w:rsidP="005F3049">
      <w:pPr>
        <w:pStyle w:val="3Bodytext"/>
        <w:jc w:val="both"/>
      </w:pPr>
      <w:r w:rsidRPr="00D85CD0">
        <w:t>Suggested additions proposed by the Secretariat are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642"/>
        <w:gridCol w:w="2835"/>
        <w:gridCol w:w="994"/>
        <w:gridCol w:w="849"/>
        <w:gridCol w:w="851"/>
        <w:gridCol w:w="709"/>
        <w:gridCol w:w="1650"/>
      </w:tblGrid>
      <w:tr w:rsidR="005F3049" w:rsidRPr="00D85CD0" w14:paraId="72B0ED78" w14:textId="77777777" w:rsidTr="00AD6C64">
        <w:trPr>
          <w:cantSplit/>
          <w:trHeight w:val="471"/>
        </w:trPr>
        <w:tc>
          <w:tcPr>
            <w:tcW w:w="2198" w:type="pct"/>
            <w:gridSpan w:val="3"/>
          </w:tcPr>
          <w:p w14:paraId="3B208544" w14:textId="77777777" w:rsidR="005F3049" w:rsidRPr="00D85CD0" w:rsidRDefault="005F3049" w:rsidP="00AD6C64">
            <w:pPr>
              <w:keepNext/>
              <w:ind w:left="-108"/>
              <w:rPr>
                <w:rFonts w:ascii="Arial Narrow" w:hAnsi="Arial Narrow" w:cs="Arial"/>
                <w:b/>
                <w:bCs/>
                <w:sz w:val="20"/>
                <w:szCs w:val="20"/>
              </w:rPr>
            </w:pPr>
            <w:r w:rsidRPr="00D85CD0">
              <w:rPr>
                <w:rFonts w:ascii="Arial Narrow" w:hAnsi="Arial Narrow" w:cs="Arial"/>
                <w:b/>
                <w:bCs/>
                <w:sz w:val="20"/>
                <w:szCs w:val="20"/>
              </w:rPr>
              <w:t>MEDICINAL PRODUCT</w:t>
            </w:r>
          </w:p>
          <w:p w14:paraId="69A560A3" w14:textId="77777777" w:rsidR="005F3049" w:rsidRPr="00D85CD0" w:rsidRDefault="005F3049" w:rsidP="00AD6C64">
            <w:pPr>
              <w:keepNext/>
              <w:ind w:left="-108"/>
              <w:rPr>
                <w:rFonts w:ascii="Arial Narrow" w:hAnsi="Arial Narrow" w:cs="Arial"/>
                <w:b/>
                <w:sz w:val="20"/>
                <w:szCs w:val="20"/>
              </w:rPr>
            </w:pPr>
            <w:r w:rsidRPr="00D85CD0">
              <w:rPr>
                <w:rFonts w:ascii="Arial Narrow" w:hAnsi="Arial Narrow" w:cs="Arial"/>
                <w:b/>
                <w:bCs/>
                <w:sz w:val="20"/>
                <w:szCs w:val="20"/>
              </w:rPr>
              <w:t xml:space="preserve"> Medicinal Product Pack</w:t>
            </w:r>
          </w:p>
        </w:tc>
        <w:tc>
          <w:tcPr>
            <w:tcW w:w="551" w:type="pct"/>
          </w:tcPr>
          <w:p w14:paraId="08792C61"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PBS item code</w:t>
            </w:r>
          </w:p>
        </w:tc>
        <w:tc>
          <w:tcPr>
            <w:tcW w:w="471" w:type="pct"/>
          </w:tcPr>
          <w:p w14:paraId="2BA82C94"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Max. qty packs</w:t>
            </w:r>
          </w:p>
        </w:tc>
        <w:tc>
          <w:tcPr>
            <w:tcW w:w="472" w:type="pct"/>
          </w:tcPr>
          <w:p w14:paraId="6DC2EB1A"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Max. qty units</w:t>
            </w:r>
          </w:p>
        </w:tc>
        <w:tc>
          <w:tcPr>
            <w:tcW w:w="393" w:type="pct"/>
          </w:tcPr>
          <w:p w14:paraId="69C22D45"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№.of</w:t>
            </w:r>
          </w:p>
          <w:p w14:paraId="594F8E66"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Rpts</w:t>
            </w:r>
          </w:p>
        </w:tc>
        <w:tc>
          <w:tcPr>
            <w:tcW w:w="915" w:type="pct"/>
          </w:tcPr>
          <w:p w14:paraId="5C16D331" w14:textId="77777777" w:rsidR="005F3049" w:rsidRPr="00682EBA" w:rsidRDefault="005F3049" w:rsidP="00AD6C64">
            <w:pPr>
              <w:keepNext/>
              <w:rPr>
                <w:rFonts w:ascii="Arial Narrow" w:hAnsi="Arial Narrow" w:cs="Arial"/>
                <w:b/>
                <w:sz w:val="20"/>
                <w:szCs w:val="20"/>
              </w:rPr>
            </w:pPr>
            <w:r w:rsidRPr="00D85CD0">
              <w:rPr>
                <w:rFonts w:ascii="Arial Narrow" w:hAnsi="Arial Narrow" w:cs="Arial"/>
                <w:b/>
                <w:sz w:val="20"/>
                <w:szCs w:val="20"/>
              </w:rPr>
              <w:t>Available brands</w:t>
            </w:r>
          </w:p>
        </w:tc>
      </w:tr>
      <w:tr w:rsidR="005F3049" w:rsidRPr="00D85CD0" w14:paraId="0972B73F" w14:textId="77777777" w:rsidTr="00AD6C64">
        <w:trPr>
          <w:cantSplit/>
          <w:trHeight w:val="165"/>
        </w:trPr>
        <w:tc>
          <w:tcPr>
            <w:tcW w:w="5000" w:type="pct"/>
            <w:gridSpan w:val="8"/>
          </w:tcPr>
          <w:p w14:paraId="0892F94D" w14:textId="77777777" w:rsidR="005F3049" w:rsidRPr="00D85CD0" w:rsidRDefault="005F3049" w:rsidP="00AD6C64">
            <w:pPr>
              <w:keepNext/>
              <w:ind w:left="-108"/>
              <w:rPr>
                <w:rFonts w:ascii="Arial Narrow" w:hAnsi="Arial Narrow" w:cs="Arial"/>
                <w:sz w:val="20"/>
                <w:szCs w:val="20"/>
              </w:rPr>
            </w:pPr>
            <w:r w:rsidRPr="00D85CD0">
              <w:rPr>
                <w:rFonts w:ascii="Arial Narrow" w:hAnsi="Arial Narrow" w:cs="Arial"/>
                <w:sz w:val="20"/>
                <w:szCs w:val="20"/>
              </w:rPr>
              <w:t>BUDESONIDE</w:t>
            </w:r>
          </w:p>
        </w:tc>
      </w:tr>
      <w:tr w:rsidR="005F3049" w:rsidRPr="00D85CD0" w14:paraId="5C1ED2C1" w14:textId="77777777" w:rsidTr="00AD6C64">
        <w:trPr>
          <w:cantSplit/>
          <w:trHeight w:val="211"/>
        </w:trPr>
        <w:tc>
          <w:tcPr>
            <w:tcW w:w="2198" w:type="pct"/>
            <w:gridSpan w:val="3"/>
          </w:tcPr>
          <w:p w14:paraId="10ECAF2D" w14:textId="77777777" w:rsidR="005F3049" w:rsidRPr="00D85CD0" w:rsidRDefault="005F3049" w:rsidP="00AD6C64">
            <w:pPr>
              <w:keepNext/>
              <w:ind w:left="-108"/>
              <w:rPr>
                <w:rFonts w:ascii="Arial Narrow" w:hAnsi="Arial Narrow" w:cs="Arial"/>
                <w:sz w:val="20"/>
                <w:szCs w:val="20"/>
              </w:rPr>
            </w:pPr>
            <w:r w:rsidRPr="00D85CD0">
              <w:rPr>
                <w:rFonts w:ascii="Arial Narrow" w:hAnsi="Arial Narrow" w:cs="Arial"/>
                <w:sz w:val="20"/>
                <w:szCs w:val="20"/>
              </w:rPr>
              <w:t>budesonide 1 mg orally disintegrating tablet, 90</w:t>
            </w:r>
          </w:p>
        </w:tc>
        <w:tc>
          <w:tcPr>
            <w:tcW w:w="551" w:type="pct"/>
            <w:vAlign w:val="center"/>
          </w:tcPr>
          <w:p w14:paraId="6309092B" w14:textId="77777777" w:rsidR="005F3049" w:rsidRPr="00D85CD0" w:rsidRDefault="005F3049" w:rsidP="00AD6C64">
            <w:pPr>
              <w:keepNext/>
              <w:jc w:val="center"/>
              <w:rPr>
                <w:rFonts w:ascii="Arial Narrow" w:hAnsi="Arial Narrow" w:cs="Arial"/>
                <w:sz w:val="20"/>
                <w:szCs w:val="20"/>
              </w:rPr>
            </w:pPr>
            <w:r w:rsidRPr="00D85CD0">
              <w:rPr>
                <w:rFonts w:ascii="Arial Narrow" w:hAnsi="Arial Narrow" w:cs="Arial"/>
                <w:sz w:val="20"/>
                <w:szCs w:val="20"/>
              </w:rPr>
              <w:t>12994X</w:t>
            </w:r>
          </w:p>
        </w:tc>
        <w:tc>
          <w:tcPr>
            <w:tcW w:w="471" w:type="pct"/>
            <w:vAlign w:val="center"/>
          </w:tcPr>
          <w:p w14:paraId="6CB19CD2" w14:textId="77777777" w:rsidR="005F3049" w:rsidRPr="00D85CD0" w:rsidRDefault="005F3049" w:rsidP="00AD6C64">
            <w:pPr>
              <w:keepNext/>
              <w:jc w:val="center"/>
              <w:rPr>
                <w:rFonts w:ascii="Arial Narrow" w:hAnsi="Arial Narrow" w:cs="Arial"/>
                <w:sz w:val="20"/>
                <w:szCs w:val="20"/>
              </w:rPr>
            </w:pPr>
            <w:r w:rsidRPr="00D85CD0">
              <w:rPr>
                <w:rFonts w:ascii="Arial Narrow" w:hAnsi="Arial Narrow" w:cs="Arial"/>
                <w:sz w:val="20"/>
                <w:szCs w:val="20"/>
              </w:rPr>
              <w:t>1</w:t>
            </w:r>
          </w:p>
        </w:tc>
        <w:tc>
          <w:tcPr>
            <w:tcW w:w="472" w:type="pct"/>
            <w:vAlign w:val="center"/>
          </w:tcPr>
          <w:p w14:paraId="74DA1B33" w14:textId="77777777" w:rsidR="005F3049" w:rsidRPr="00D85CD0" w:rsidRDefault="005F3049" w:rsidP="00AD6C64">
            <w:pPr>
              <w:keepNext/>
              <w:jc w:val="center"/>
              <w:rPr>
                <w:rFonts w:ascii="Arial Narrow" w:hAnsi="Arial Narrow" w:cs="Arial"/>
                <w:sz w:val="20"/>
                <w:szCs w:val="20"/>
              </w:rPr>
            </w:pPr>
            <w:r w:rsidRPr="00D85CD0">
              <w:rPr>
                <w:rFonts w:ascii="Arial Narrow" w:hAnsi="Arial Narrow" w:cs="Arial"/>
                <w:sz w:val="20"/>
                <w:szCs w:val="20"/>
              </w:rPr>
              <w:t>90</w:t>
            </w:r>
          </w:p>
        </w:tc>
        <w:tc>
          <w:tcPr>
            <w:tcW w:w="393" w:type="pct"/>
            <w:vAlign w:val="center"/>
          </w:tcPr>
          <w:p w14:paraId="6E52578E" w14:textId="77777777" w:rsidR="005F3049" w:rsidRPr="00D85CD0" w:rsidRDefault="005F3049" w:rsidP="00AD6C64">
            <w:pPr>
              <w:keepNext/>
              <w:jc w:val="center"/>
              <w:rPr>
                <w:rFonts w:ascii="Arial Narrow" w:hAnsi="Arial Narrow" w:cs="Arial"/>
                <w:sz w:val="20"/>
                <w:szCs w:val="20"/>
              </w:rPr>
            </w:pPr>
            <w:r w:rsidRPr="00D85CD0">
              <w:rPr>
                <w:rFonts w:ascii="Arial Narrow" w:hAnsi="Arial Narrow" w:cs="Arial"/>
                <w:sz w:val="20"/>
                <w:szCs w:val="20"/>
              </w:rPr>
              <w:t>1</w:t>
            </w:r>
          </w:p>
        </w:tc>
        <w:tc>
          <w:tcPr>
            <w:tcW w:w="915" w:type="pct"/>
            <w:vAlign w:val="center"/>
          </w:tcPr>
          <w:p w14:paraId="67F5CF4E" w14:textId="77777777" w:rsidR="005F3049" w:rsidRPr="00D85CD0" w:rsidRDefault="005F3049" w:rsidP="00AD6C64">
            <w:pPr>
              <w:keepNext/>
              <w:jc w:val="center"/>
              <w:rPr>
                <w:rFonts w:ascii="Arial Narrow" w:hAnsi="Arial Narrow" w:cs="Arial"/>
                <w:sz w:val="20"/>
                <w:szCs w:val="20"/>
              </w:rPr>
            </w:pPr>
            <w:r w:rsidRPr="00D85CD0">
              <w:rPr>
                <w:rFonts w:ascii="Arial Narrow" w:hAnsi="Arial Narrow" w:cs="Arial"/>
                <w:sz w:val="20"/>
                <w:szCs w:val="20"/>
              </w:rPr>
              <w:t>Jorveza</w:t>
            </w:r>
          </w:p>
        </w:tc>
      </w:tr>
      <w:tr w:rsidR="005F3049" w:rsidRPr="00D85CD0" w14:paraId="706B6EB7" w14:textId="77777777" w:rsidTr="00AD6C64">
        <w:trPr>
          <w:cantSplit/>
          <w:trHeight w:val="211"/>
        </w:trPr>
        <w:tc>
          <w:tcPr>
            <w:tcW w:w="5000" w:type="pct"/>
            <w:gridSpan w:val="8"/>
          </w:tcPr>
          <w:p w14:paraId="258813C7" w14:textId="77777777" w:rsidR="005F3049" w:rsidRPr="00D85CD0" w:rsidRDefault="005F3049" w:rsidP="00AD6C64">
            <w:pPr>
              <w:keepNext/>
              <w:jc w:val="center"/>
              <w:rPr>
                <w:rFonts w:ascii="Arial Narrow" w:hAnsi="Arial Narrow" w:cs="Arial"/>
                <w:sz w:val="20"/>
                <w:szCs w:val="20"/>
              </w:rPr>
            </w:pPr>
          </w:p>
        </w:tc>
      </w:tr>
      <w:tr w:rsidR="005F3049" w:rsidRPr="00D85CD0" w14:paraId="1C9C25B6" w14:textId="77777777" w:rsidTr="00AD6C64">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64834FE0" w14:textId="461EAAE0" w:rsidR="005F3049" w:rsidRPr="00D85CD0" w:rsidRDefault="005F3049" w:rsidP="00AD6C64">
            <w:pPr>
              <w:keepLines/>
              <w:rPr>
                <w:rFonts w:ascii="Arial Narrow" w:hAnsi="Arial Narrow" w:cs="Arial"/>
                <w:b/>
                <w:sz w:val="20"/>
                <w:szCs w:val="20"/>
              </w:rPr>
            </w:pPr>
            <w:r w:rsidRPr="00D85CD0">
              <w:rPr>
                <w:rFonts w:ascii="Arial Narrow" w:hAnsi="Arial Narrow"/>
                <w:b/>
                <w:sz w:val="20"/>
                <w:szCs w:val="20"/>
              </w:rPr>
              <w:t xml:space="preserve">Restriction Summary / Treatment of Concept: </w:t>
            </w:r>
          </w:p>
        </w:tc>
      </w:tr>
      <w:tr w:rsidR="005F3049" w:rsidRPr="00D85CD0" w14:paraId="21F91EF4" w14:textId="77777777" w:rsidTr="00A861E6">
        <w:tblPrEx>
          <w:tblCellMar>
            <w:top w:w="15" w:type="dxa"/>
            <w:bottom w:w="15" w:type="dxa"/>
          </w:tblCellMar>
        </w:tblPrEx>
        <w:trPr>
          <w:trHeight w:val="20"/>
        </w:trPr>
        <w:tc>
          <w:tcPr>
            <w:tcW w:w="626" w:type="pct"/>
            <w:gridSpan w:val="2"/>
            <w:vMerge w:val="restart"/>
            <w:tcBorders>
              <w:top w:val="single" w:sz="4" w:space="0" w:color="auto"/>
              <w:left w:val="single" w:sz="4" w:space="0" w:color="auto"/>
              <w:right w:val="single" w:sz="4" w:space="0" w:color="auto"/>
            </w:tcBorders>
          </w:tcPr>
          <w:p w14:paraId="2D5F68B9" w14:textId="0E5512C6" w:rsidR="005F3049" w:rsidRPr="00D85CD0" w:rsidRDefault="005F3049" w:rsidP="00AD6C64">
            <w:pPr>
              <w:rPr>
                <w:rFonts w:ascii="Arial Narrow" w:hAnsi="Arial Narrow" w:cs="Arial"/>
                <w:b/>
                <w:sz w:val="20"/>
                <w:szCs w:val="20"/>
              </w:rPr>
            </w:pPr>
            <w:bookmarkStart w:id="12" w:name="_Hlk138852745"/>
            <w:r w:rsidRPr="00D85CD0">
              <w:rPr>
                <w:rFonts w:ascii="Arial Narrow" w:hAnsi="Arial Narrow" w:cs="Arial"/>
                <w:b/>
                <w:sz w:val="20"/>
                <w:szCs w:val="20"/>
              </w:rPr>
              <w:t xml:space="preserve">Concept ID </w:t>
            </w:r>
          </w:p>
        </w:tc>
        <w:tc>
          <w:tcPr>
            <w:tcW w:w="4374" w:type="pct"/>
            <w:gridSpan w:val="6"/>
            <w:tcBorders>
              <w:top w:val="single" w:sz="4" w:space="0" w:color="auto"/>
              <w:left w:val="single" w:sz="4" w:space="0" w:color="auto"/>
              <w:bottom w:val="single" w:sz="4" w:space="0" w:color="auto"/>
              <w:right w:val="single" w:sz="4" w:space="0" w:color="auto"/>
            </w:tcBorders>
            <w:vAlign w:val="center"/>
          </w:tcPr>
          <w:p w14:paraId="40413E20" w14:textId="77777777" w:rsidR="005F3049" w:rsidRPr="00D85CD0" w:rsidRDefault="005F3049" w:rsidP="00AD6C64">
            <w:pPr>
              <w:keepLines/>
              <w:rPr>
                <w:rFonts w:ascii="Arial Narrow" w:hAnsi="Arial Narrow" w:cs="Arial"/>
                <w:sz w:val="20"/>
                <w:szCs w:val="20"/>
              </w:rPr>
            </w:pPr>
            <w:r w:rsidRPr="00D85CD0">
              <w:rPr>
                <w:rFonts w:ascii="Arial Narrow" w:hAnsi="Arial Narrow" w:cs="Arial"/>
                <w:b/>
                <w:sz w:val="20"/>
                <w:szCs w:val="20"/>
              </w:rPr>
              <w:t xml:space="preserve">Category / Program: </w:t>
            </w:r>
            <w:r w:rsidRPr="00D85CD0">
              <w:rPr>
                <w:rFonts w:ascii="Arial Narrow" w:hAnsi="Arial Narrow" w:cs="Arial"/>
                <w:sz w:val="20"/>
                <w:szCs w:val="20"/>
              </w:rPr>
              <w:t>GENERAL – General Schedule (Code GE)</w:t>
            </w:r>
          </w:p>
        </w:tc>
      </w:tr>
      <w:tr w:rsidR="005F3049" w:rsidRPr="00D85CD0" w14:paraId="6A4CBB36" w14:textId="77777777" w:rsidTr="00A861E6">
        <w:tblPrEx>
          <w:tblCellMar>
            <w:top w:w="15" w:type="dxa"/>
            <w:bottom w:w="15" w:type="dxa"/>
          </w:tblCellMar>
        </w:tblPrEx>
        <w:trPr>
          <w:trHeight w:val="20"/>
        </w:trPr>
        <w:tc>
          <w:tcPr>
            <w:tcW w:w="626" w:type="pct"/>
            <w:gridSpan w:val="2"/>
            <w:vMerge/>
            <w:tcBorders>
              <w:left w:val="single" w:sz="4" w:space="0" w:color="auto"/>
              <w:right w:val="single" w:sz="4" w:space="0" w:color="auto"/>
            </w:tcBorders>
          </w:tcPr>
          <w:p w14:paraId="6D253B7F" w14:textId="77777777" w:rsidR="005F3049" w:rsidRPr="00D85CD0" w:rsidRDefault="005F3049" w:rsidP="00AD6C64">
            <w:pPr>
              <w:rPr>
                <w:rFonts w:ascii="Arial Narrow" w:hAnsi="Arial Narrow" w:cs="Arial"/>
                <w:sz w:val="20"/>
                <w:szCs w:val="20"/>
              </w:rPr>
            </w:pPr>
          </w:p>
        </w:tc>
        <w:tc>
          <w:tcPr>
            <w:tcW w:w="4374" w:type="pct"/>
            <w:gridSpan w:val="6"/>
            <w:tcBorders>
              <w:top w:val="single" w:sz="4" w:space="0" w:color="auto"/>
              <w:left w:val="single" w:sz="4" w:space="0" w:color="auto"/>
              <w:bottom w:val="single" w:sz="4" w:space="0" w:color="auto"/>
              <w:right w:val="single" w:sz="4" w:space="0" w:color="auto"/>
            </w:tcBorders>
            <w:vAlign w:val="center"/>
          </w:tcPr>
          <w:p w14:paraId="48687491" w14:textId="77777777" w:rsidR="005F3049" w:rsidRPr="00D85CD0" w:rsidRDefault="005F3049" w:rsidP="00AD6C64">
            <w:pPr>
              <w:keepLines/>
              <w:rPr>
                <w:rFonts w:ascii="Arial Narrow" w:hAnsi="Arial Narrow" w:cs="Arial"/>
                <w:b/>
                <w:sz w:val="20"/>
                <w:szCs w:val="20"/>
              </w:rPr>
            </w:pPr>
            <w:r w:rsidRPr="00D85CD0">
              <w:rPr>
                <w:rFonts w:ascii="Arial Narrow" w:hAnsi="Arial Narrow" w:cs="Arial"/>
                <w:b/>
                <w:sz w:val="20"/>
                <w:szCs w:val="20"/>
              </w:rPr>
              <w:t xml:space="preserve">Prescriber type: </w:t>
            </w:r>
            <w:r w:rsidRPr="003A22FA">
              <w:rPr>
                <w:rFonts w:ascii="Arial Narrow" w:hAnsi="Arial Narrow" w:cs="Arial"/>
                <w:sz w:val="20"/>
                <w:szCs w:val="20"/>
              </w:rPr>
              <w:fldChar w:fldCharType="begin" w:fldLock="1">
                <w:ffData>
                  <w:name w:val=""/>
                  <w:enabled/>
                  <w:calcOnExit w:val="0"/>
                  <w:checkBox>
                    <w:sizeAuto/>
                    <w:default w:val="1"/>
                  </w:checkBox>
                </w:ffData>
              </w:fldChar>
            </w:r>
            <w:r w:rsidRPr="00D85CD0">
              <w:rPr>
                <w:rFonts w:ascii="Arial Narrow" w:hAnsi="Arial Narrow" w:cs="Arial"/>
                <w:sz w:val="20"/>
                <w:szCs w:val="20"/>
              </w:rPr>
              <w:instrText xml:space="preserve"> FORMCHECKBOX </w:instrText>
            </w:r>
            <w:r w:rsidR="001579BE">
              <w:rPr>
                <w:rFonts w:ascii="Arial Narrow" w:hAnsi="Arial Narrow" w:cs="Arial"/>
                <w:sz w:val="20"/>
                <w:szCs w:val="20"/>
              </w:rPr>
            </w:r>
            <w:r w:rsidR="001579BE">
              <w:rPr>
                <w:rFonts w:ascii="Arial Narrow" w:hAnsi="Arial Narrow" w:cs="Arial"/>
                <w:sz w:val="20"/>
                <w:szCs w:val="20"/>
              </w:rPr>
              <w:fldChar w:fldCharType="separate"/>
            </w:r>
            <w:r w:rsidRPr="003A22FA">
              <w:rPr>
                <w:rFonts w:ascii="Arial Narrow" w:hAnsi="Arial Narrow" w:cs="Arial"/>
                <w:sz w:val="20"/>
                <w:szCs w:val="20"/>
              </w:rPr>
              <w:fldChar w:fldCharType="end"/>
            </w:r>
            <w:r w:rsidRPr="00D85CD0">
              <w:rPr>
                <w:rFonts w:ascii="Arial Narrow" w:hAnsi="Arial Narrow" w:cs="Arial"/>
                <w:sz w:val="20"/>
                <w:szCs w:val="20"/>
              </w:rPr>
              <w:t xml:space="preserve">Medical Practitioners </w:t>
            </w:r>
          </w:p>
        </w:tc>
      </w:tr>
      <w:tr w:rsidR="005F3049" w:rsidRPr="00D85CD0" w14:paraId="155B3D7B" w14:textId="77777777" w:rsidTr="00A861E6">
        <w:tblPrEx>
          <w:tblCellMar>
            <w:top w:w="15" w:type="dxa"/>
            <w:bottom w:w="15" w:type="dxa"/>
          </w:tblCellMar>
        </w:tblPrEx>
        <w:trPr>
          <w:trHeight w:val="20"/>
        </w:trPr>
        <w:tc>
          <w:tcPr>
            <w:tcW w:w="626" w:type="pct"/>
            <w:gridSpan w:val="2"/>
            <w:vMerge/>
            <w:tcBorders>
              <w:left w:val="single" w:sz="4" w:space="0" w:color="auto"/>
              <w:bottom w:val="single" w:sz="4" w:space="0" w:color="auto"/>
              <w:right w:val="single" w:sz="4" w:space="0" w:color="auto"/>
            </w:tcBorders>
          </w:tcPr>
          <w:p w14:paraId="1CB6ECF9" w14:textId="77777777" w:rsidR="005F3049" w:rsidRPr="00D85CD0" w:rsidRDefault="005F3049" w:rsidP="00AD6C64">
            <w:pPr>
              <w:rPr>
                <w:rFonts w:ascii="Arial Narrow" w:hAnsi="Arial Narrow" w:cs="Arial"/>
                <w:sz w:val="20"/>
                <w:szCs w:val="20"/>
              </w:rPr>
            </w:pPr>
          </w:p>
        </w:tc>
        <w:tc>
          <w:tcPr>
            <w:tcW w:w="4374" w:type="pct"/>
            <w:gridSpan w:val="6"/>
            <w:tcBorders>
              <w:top w:val="single" w:sz="4" w:space="0" w:color="auto"/>
              <w:left w:val="single" w:sz="4" w:space="0" w:color="auto"/>
              <w:bottom w:val="single" w:sz="4" w:space="0" w:color="auto"/>
              <w:right w:val="single" w:sz="4" w:space="0" w:color="auto"/>
            </w:tcBorders>
            <w:vAlign w:val="center"/>
          </w:tcPr>
          <w:p w14:paraId="30ADC494" w14:textId="77777777" w:rsidR="005F3049" w:rsidRPr="00D85CD0" w:rsidRDefault="005F3049" w:rsidP="00AD6C64">
            <w:pPr>
              <w:keepLines/>
              <w:jc w:val="left"/>
              <w:rPr>
                <w:rFonts w:ascii="Arial Narrow" w:eastAsia="Calibri" w:hAnsi="Arial Narrow" w:cs="Arial"/>
                <w:sz w:val="20"/>
                <w:szCs w:val="20"/>
              </w:rPr>
            </w:pPr>
            <w:r w:rsidRPr="00D85CD0">
              <w:rPr>
                <w:rFonts w:ascii="Arial Narrow" w:hAnsi="Arial Narrow" w:cs="Arial"/>
                <w:b/>
                <w:sz w:val="20"/>
                <w:szCs w:val="20"/>
              </w:rPr>
              <w:t xml:space="preserve">Restriction type: </w:t>
            </w:r>
            <w:r w:rsidRPr="00D85CD0">
              <w:rPr>
                <w:rFonts w:ascii="Arial Narrow" w:eastAsia="Calibri" w:hAnsi="Arial Narrow" w:cs="Arial"/>
                <w:sz w:val="20"/>
                <w:szCs w:val="20"/>
              </w:rPr>
              <w:br/>
            </w:r>
            <w:r w:rsidRPr="003A22FA">
              <w:rPr>
                <w:rFonts w:ascii="Arial Narrow" w:eastAsia="Calibri" w:hAnsi="Arial Narrow" w:cs="Arial"/>
                <w:sz w:val="20"/>
                <w:szCs w:val="20"/>
              </w:rPr>
              <w:fldChar w:fldCharType="begin" w:fldLock="1">
                <w:ffData>
                  <w:name w:val=""/>
                  <w:enabled/>
                  <w:calcOnExit w:val="0"/>
                  <w:checkBox>
                    <w:sizeAuto/>
                    <w:default w:val="1"/>
                  </w:checkBox>
                </w:ffData>
              </w:fldChar>
            </w:r>
            <w:r w:rsidRPr="00D85CD0">
              <w:rPr>
                <w:rFonts w:ascii="Arial Narrow" w:eastAsia="Calibri" w:hAnsi="Arial Narrow" w:cs="Arial"/>
                <w:sz w:val="20"/>
                <w:szCs w:val="20"/>
              </w:rPr>
              <w:instrText xml:space="preserve"> FORMCHECKBOX </w:instrText>
            </w:r>
            <w:r w:rsidR="001579BE">
              <w:rPr>
                <w:rFonts w:ascii="Arial Narrow" w:eastAsia="Calibri" w:hAnsi="Arial Narrow" w:cs="Arial"/>
                <w:sz w:val="20"/>
                <w:szCs w:val="20"/>
              </w:rPr>
            </w:r>
            <w:r w:rsidR="001579BE">
              <w:rPr>
                <w:rFonts w:ascii="Arial Narrow" w:eastAsia="Calibri" w:hAnsi="Arial Narrow" w:cs="Arial"/>
                <w:sz w:val="20"/>
                <w:szCs w:val="20"/>
              </w:rPr>
              <w:fldChar w:fldCharType="separate"/>
            </w:r>
            <w:r w:rsidRPr="003A22FA">
              <w:rPr>
                <w:rFonts w:ascii="Arial Narrow" w:eastAsia="Calibri" w:hAnsi="Arial Narrow" w:cs="Arial"/>
                <w:sz w:val="20"/>
                <w:szCs w:val="20"/>
              </w:rPr>
              <w:fldChar w:fldCharType="end"/>
            </w:r>
            <w:r w:rsidRPr="00D85CD0">
              <w:rPr>
                <w:rFonts w:ascii="Arial Narrow" w:eastAsia="Calibri" w:hAnsi="Arial Narrow" w:cs="Arial"/>
                <w:sz w:val="20"/>
                <w:szCs w:val="20"/>
              </w:rPr>
              <w:t xml:space="preserve">Authority Required (telephone/online PBS Authorities system) </w:t>
            </w:r>
          </w:p>
        </w:tc>
      </w:tr>
      <w:tr w:rsidR="005F3049" w:rsidRPr="00D85CD0" w14:paraId="12EE802A" w14:textId="77777777" w:rsidTr="00A861E6">
        <w:tblPrEx>
          <w:tblCellMar>
            <w:top w:w="15" w:type="dxa"/>
            <w:bottom w:w="15" w:type="dxa"/>
          </w:tblCellMar>
        </w:tblPrEx>
        <w:trPr>
          <w:trHeight w:val="20"/>
        </w:trPr>
        <w:tc>
          <w:tcPr>
            <w:tcW w:w="270" w:type="pct"/>
            <w:vMerge w:val="restart"/>
            <w:tcBorders>
              <w:left w:val="single" w:sz="4" w:space="0" w:color="auto"/>
              <w:right w:val="single" w:sz="4" w:space="0" w:color="auto"/>
            </w:tcBorders>
            <w:textDirection w:val="btLr"/>
            <w:vAlign w:val="center"/>
          </w:tcPr>
          <w:p w14:paraId="685257BF" w14:textId="378F778F" w:rsidR="005F3049" w:rsidRPr="00D85CD0" w:rsidRDefault="005F3049" w:rsidP="00AD6C64">
            <w:pPr>
              <w:jc w:val="center"/>
              <w:rPr>
                <w:rFonts w:ascii="Arial Narrow" w:hAnsi="Arial Narrow" w:cs="Arial"/>
                <w:sz w:val="20"/>
                <w:szCs w:val="20"/>
              </w:rPr>
            </w:pPr>
          </w:p>
        </w:tc>
        <w:tc>
          <w:tcPr>
            <w:tcW w:w="356" w:type="pct"/>
          </w:tcPr>
          <w:p w14:paraId="39FD1FD7" w14:textId="49901557" w:rsidR="005F3049" w:rsidRPr="00D85CD0" w:rsidRDefault="005F3049" w:rsidP="00AD6C64">
            <w:pPr>
              <w:rPr>
                <w:rFonts w:ascii="Arial Narrow" w:hAnsi="Arial Narrow"/>
                <w:sz w:val="20"/>
                <w:szCs w:val="20"/>
              </w:rPr>
            </w:pPr>
          </w:p>
        </w:tc>
        <w:tc>
          <w:tcPr>
            <w:tcW w:w="4374" w:type="pct"/>
            <w:gridSpan w:val="6"/>
          </w:tcPr>
          <w:p w14:paraId="3EBB52B2"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Style w:val="Strong"/>
                <w:rFonts w:ascii="Arial Narrow" w:hAnsi="Arial Narrow" w:cs="Open Sans"/>
                <w:sz w:val="20"/>
                <w:szCs w:val="20"/>
                <w:bdr w:val="none" w:sz="0" w:space="0" w:color="auto" w:frame="1"/>
              </w:rPr>
              <w:t>Administrative Advice:</w:t>
            </w:r>
          </w:p>
          <w:p w14:paraId="33605D77" w14:textId="77777777" w:rsidR="005F3049" w:rsidRPr="00D85CD0" w:rsidRDefault="005F3049" w:rsidP="00AD6C64">
            <w:pPr>
              <w:rPr>
                <w:rFonts w:ascii="Arial Narrow" w:hAnsi="Arial Narrow"/>
                <w:sz w:val="20"/>
                <w:szCs w:val="20"/>
              </w:rPr>
            </w:pPr>
            <w:r w:rsidRPr="00D85CD0">
              <w:rPr>
                <w:rFonts w:ascii="Arial Narrow" w:hAnsi="Arial Narrow" w:cs="Open Sans"/>
                <w:sz w:val="20"/>
                <w:szCs w:val="20"/>
              </w:rPr>
              <w:t>No increase in the maximum number of repeats may be authorised.</w:t>
            </w:r>
          </w:p>
        </w:tc>
      </w:tr>
      <w:tr w:rsidR="005F3049" w:rsidRPr="00D85CD0" w14:paraId="3DAE8F91" w14:textId="77777777" w:rsidTr="00A861E6">
        <w:tblPrEx>
          <w:tblCellMar>
            <w:top w:w="15" w:type="dxa"/>
            <w:bottom w:w="15" w:type="dxa"/>
          </w:tblCellMar>
        </w:tblPrEx>
        <w:trPr>
          <w:trHeight w:val="20"/>
        </w:trPr>
        <w:tc>
          <w:tcPr>
            <w:tcW w:w="270" w:type="pct"/>
            <w:vMerge/>
            <w:tcBorders>
              <w:left w:val="single" w:sz="4" w:space="0" w:color="auto"/>
              <w:right w:val="single" w:sz="4" w:space="0" w:color="auto"/>
            </w:tcBorders>
          </w:tcPr>
          <w:p w14:paraId="62B78E3E" w14:textId="77777777" w:rsidR="005F3049" w:rsidRPr="00D85CD0" w:rsidRDefault="005F3049" w:rsidP="00AD6C64">
            <w:pPr>
              <w:rPr>
                <w:rFonts w:ascii="Arial Narrow" w:hAnsi="Arial Narrow" w:cs="Arial"/>
                <w:sz w:val="20"/>
                <w:szCs w:val="20"/>
              </w:rPr>
            </w:pPr>
          </w:p>
        </w:tc>
        <w:tc>
          <w:tcPr>
            <w:tcW w:w="356" w:type="pct"/>
          </w:tcPr>
          <w:p w14:paraId="36D8C933" w14:textId="15EA7155" w:rsidR="005F3049" w:rsidRPr="00D85CD0" w:rsidRDefault="005F3049" w:rsidP="00AD6C64">
            <w:pPr>
              <w:rPr>
                <w:rFonts w:ascii="Arial Narrow" w:hAnsi="Arial Narrow"/>
                <w:sz w:val="20"/>
                <w:szCs w:val="20"/>
              </w:rPr>
            </w:pPr>
          </w:p>
        </w:tc>
        <w:tc>
          <w:tcPr>
            <w:tcW w:w="4374" w:type="pct"/>
            <w:gridSpan w:val="6"/>
          </w:tcPr>
          <w:p w14:paraId="35AB79DA"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Style w:val="Strong"/>
                <w:rFonts w:ascii="Arial Narrow" w:hAnsi="Arial Narrow" w:cs="Open Sans"/>
                <w:sz w:val="20"/>
                <w:szCs w:val="20"/>
                <w:bdr w:val="none" w:sz="0" w:space="0" w:color="auto" w:frame="1"/>
              </w:rPr>
              <w:t>Administrative Advice:</w:t>
            </w:r>
          </w:p>
          <w:p w14:paraId="0E6E6F3F"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No increase in the maximum quantity or number of units may be authorised.</w:t>
            </w:r>
          </w:p>
        </w:tc>
      </w:tr>
      <w:tr w:rsidR="005F3049" w:rsidRPr="00D85CD0" w14:paraId="2EC52CE2" w14:textId="77777777" w:rsidTr="00A861E6">
        <w:tblPrEx>
          <w:tblCellMar>
            <w:top w:w="15" w:type="dxa"/>
            <w:bottom w:w="15" w:type="dxa"/>
          </w:tblCellMar>
        </w:tblPrEx>
        <w:trPr>
          <w:trHeight w:val="20"/>
        </w:trPr>
        <w:tc>
          <w:tcPr>
            <w:tcW w:w="270" w:type="pct"/>
            <w:vMerge/>
            <w:tcBorders>
              <w:left w:val="single" w:sz="4" w:space="0" w:color="auto"/>
              <w:right w:val="single" w:sz="4" w:space="0" w:color="auto"/>
            </w:tcBorders>
          </w:tcPr>
          <w:p w14:paraId="6CC672AF" w14:textId="77777777" w:rsidR="005F3049" w:rsidRPr="00D85CD0" w:rsidRDefault="005F3049" w:rsidP="00AD6C64">
            <w:pPr>
              <w:rPr>
                <w:rFonts w:ascii="Arial Narrow" w:hAnsi="Arial Narrow" w:cs="Arial"/>
                <w:sz w:val="20"/>
                <w:szCs w:val="20"/>
              </w:rPr>
            </w:pPr>
          </w:p>
        </w:tc>
        <w:tc>
          <w:tcPr>
            <w:tcW w:w="356" w:type="pct"/>
          </w:tcPr>
          <w:p w14:paraId="142A8895" w14:textId="5E0A8F30" w:rsidR="005F3049" w:rsidRPr="00D85CD0" w:rsidRDefault="005F3049" w:rsidP="00AD6C64">
            <w:pPr>
              <w:rPr>
                <w:rFonts w:ascii="Arial Narrow" w:hAnsi="Arial Narrow"/>
                <w:sz w:val="20"/>
                <w:szCs w:val="20"/>
              </w:rPr>
            </w:pPr>
          </w:p>
        </w:tc>
        <w:tc>
          <w:tcPr>
            <w:tcW w:w="4374" w:type="pct"/>
            <w:gridSpan w:val="6"/>
          </w:tcPr>
          <w:p w14:paraId="3EC669E9"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Style w:val="Strong"/>
                <w:rFonts w:ascii="Arial Narrow" w:hAnsi="Arial Narrow" w:cs="Open Sans"/>
                <w:sz w:val="20"/>
                <w:szCs w:val="20"/>
                <w:bdr w:val="none" w:sz="0" w:space="0" w:color="auto" w:frame="1"/>
              </w:rPr>
              <w:t>Administrative Advice:</w:t>
            </w:r>
          </w:p>
          <w:p w14:paraId="5CD9E8CF"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Applications for authorisation under this restriction may be made in real time using the Online PBS Authorities system (see www.servicesaustralia.gov.au/HPOS) or by telephone by contacting Services Australia on 1800 888 333.</w:t>
            </w:r>
          </w:p>
        </w:tc>
      </w:tr>
      <w:tr w:rsidR="005F3049" w:rsidRPr="00D85CD0" w14:paraId="1480D40B" w14:textId="77777777" w:rsidTr="00A861E6">
        <w:tblPrEx>
          <w:tblCellMar>
            <w:top w:w="15" w:type="dxa"/>
            <w:bottom w:w="15" w:type="dxa"/>
          </w:tblCellMar>
        </w:tblPrEx>
        <w:trPr>
          <w:trHeight w:val="20"/>
        </w:trPr>
        <w:tc>
          <w:tcPr>
            <w:tcW w:w="270" w:type="pct"/>
            <w:vMerge/>
            <w:tcBorders>
              <w:left w:val="single" w:sz="4" w:space="0" w:color="auto"/>
              <w:bottom w:val="single" w:sz="4" w:space="0" w:color="auto"/>
              <w:right w:val="single" w:sz="4" w:space="0" w:color="auto"/>
            </w:tcBorders>
          </w:tcPr>
          <w:p w14:paraId="5D57B237" w14:textId="77777777" w:rsidR="005F3049" w:rsidRPr="00D85CD0" w:rsidRDefault="005F3049" w:rsidP="00AD6C64">
            <w:pPr>
              <w:rPr>
                <w:rFonts w:ascii="Arial Narrow" w:hAnsi="Arial Narrow" w:cs="Arial"/>
                <w:sz w:val="20"/>
                <w:szCs w:val="20"/>
              </w:rPr>
            </w:pPr>
          </w:p>
        </w:tc>
        <w:tc>
          <w:tcPr>
            <w:tcW w:w="356" w:type="pct"/>
          </w:tcPr>
          <w:p w14:paraId="085CD933" w14:textId="5623FEF3" w:rsidR="005F3049" w:rsidRPr="00D85CD0" w:rsidRDefault="005F3049" w:rsidP="00AD6C64">
            <w:pPr>
              <w:rPr>
                <w:rFonts w:ascii="Arial Narrow" w:hAnsi="Arial Narrow"/>
                <w:sz w:val="20"/>
                <w:szCs w:val="20"/>
              </w:rPr>
            </w:pPr>
          </w:p>
        </w:tc>
        <w:tc>
          <w:tcPr>
            <w:tcW w:w="4374" w:type="pct"/>
            <w:gridSpan w:val="6"/>
          </w:tcPr>
          <w:p w14:paraId="6D053E9C"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Style w:val="Strong"/>
                <w:rFonts w:ascii="Arial Narrow" w:hAnsi="Arial Narrow" w:cs="Open Sans"/>
                <w:sz w:val="20"/>
                <w:szCs w:val="20"/>
                <w:bdr w:val="none" w:sz="0" w:space="0" w:color="auto" w:frame="1"/>
              </w:rPr>
              <w:t>Administrative Advice:</w:t>
            </w:r>
          </w:p>
          <w:p w14:paraId="7D3FD2A4"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Special Pricing Arrangements apply.</w:t>
            </w:r>
          </w:p>
        </w:tc>
      </w:tr>
      <w:bookmarkEnd w:id="12"/>
      <w:tr w:rsidR="005F3049" w:rsidRPr="00D85CD0" w14:paraId="57538009" w14:textId="77777777" w:rsidTr="00A861E6">
        <w:tblPrEx>
          <w:tblCellMar>
            <w:top w:w="15" w:type="dxa"/>
            <w:bottom w:w="15" w:type="dxa"/>
          </w:tblCellMar>
        </w:tblPrEx>
        <w:trPr>
          <w:cantSplit/>
          <w:trHeight w:val="20"/>
        </w:trPr>
        <w:tc>
          <w:tcPr>
            <w:tcW w:w="626" w:type="pct"/>
            <w:gridSpan w:val="2"/>
            <w:vAlign w:val="center"/>
          </w:tcPr>
          <w:p w14:paraId="2D536438"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p>
        </w:tc>
        <w:tc>
          <w:tcPr>
            <w:tcW w:w="4374" w:type="pct"/>
            <w:gridSpan w:val="6"/>
            <w:vAlign w:val="center"/>
          </w:tcPr>
          <w:p w14:paraId="733870FD" w14:textId="77777777" w:rsidR="005F3049" w:rsidRPr="00D85CD0" w:rsidRDefault="005F3049" w:rsidP="00AD6C64">
            <w:pPr>
              <w:keepLines/>
              <w:rPr>
                <w:rFonts w:ascii="Arial Narrow" w:hAnsi="Arial Narrow"/>
                <w:b/>
                <w:bCs/>
                <w:sz w:val="20"/>
                <w:szCs w:val="20"/>
              </w:rPr>
            </w:pPr>
          </w:p>
        </w:tc>
      </w:tr>
      <w:tr w:rsidR="005F3049" w:rsidRPr="00D85CD0" w14:paraId="2FA6497F" w14:textId="77777777" w:rsidTr="00A861E6">
        <w:tblPrEx>
          <w:tblCellMar>
            <w:top w:w="15" w:type="dxa"/>
            <w:bottom w:w="15" w:type="dxa"/>
          </w:tblCellMar>
        </w:tblPrEx>
        <w:trPr>
          <w:cantSplit/>
          <w:trHeight w:val="20"/>
        </w:trPr>
        <w:tc>
          <w:tcPr>
            <w:tcW w:w="626" w:type="pct"/>
            <w:gridSpan w:val="2"/>
            <w:vAlign w:val="center"/>
          </w:tcPr>
          <w:p w14:paraId="3963C94A" w14:textId="3F0D09FC" w:rsidR="005F3049" w:rsidRPr="00D85CD0" w:rsidRDefault="005F3049" w:rsidP="00AD6C64">
            <w:pPr>
              <w:keepLines/>
              <w:rPr>
                <w:rFonts w:ascii="Arial Narrow" w:hAnsi="Arial Narrow"/>
                <w:sz w:val="20"/>
                <w:szCs w:val="20"/>
              </w:rPr>
            </w:pPr>
          </w:p>
        </w:tc>
        <w:tc>
          <w:tcPr>
            <w:tcW w:w="4374" w:type="pct"/>
            <w:gridSpan w:val="6"/>
            <w:vAlign w:val="center"/>
            <w:hideMark/>
          </w:tcPr>
          <w:p w14:paraId="442DE490" w14:textId="77777777" w:rsidR="005F3049" w:rsidRPr="00D85CD0" w:rsidRDefault="005F3049" w:rsidP="00AD6C64">
            <w:pPr>
              <w:keepLines/>
              <w:rPr>
                <w:rFonts w:ascii="Arial Narrow" w:hAnsi="Arial Narrow"/>
                <w:sz w:val="20"/>
                <w:szCs w:val="20"/>
              </w:rPr>
            </w:pPr>
            <w:r w:rsidRPr="00D85CD0">
              <w:rPr>
                <w:rFonts w:ascii="Arial Narrow" w:hAnsi="Arial Narrow"/>
                <w:b/>
                <w:bCs/>
                <w:sz w:val="20"/>
                <w:szCs w:val="20"/>
              </w:rPr>
              <w:t>Indication:</w:t>
            </w:r>
            <w:r w:rsidRPr="00D85CD0">
              <w:rPr>
                <w:rFonts w:ascii="Arial Narrow" w:hAnsi="Arial Narrow"/>
                <w:sz w:val="20"/>
                <w:szCs w:val="20"/>
              </w:rPr>
              <w:t xml:space="preserve"> Eosinophilic oesophagitis</w:t>
            </w:r>
          </w:p>
        </w:tc>
      </w:tr>
      <w:tr w:rsidR="005F3049" w:rsidRPr="00D85CD0" w14:paraId="4576B23C" w14:textId="77777777" w:rsidTr="00A861E6">
        <w:tblPrEx>
          <w:tblCellMar>
            <w:top w:w="15" w:type="dxa"/>
            <w:bottom w:w="15" w:type="dxa"/>
          </w:tblCellMar>
        </w:tblPrEx>
        <w:trPr>
          <w:cantSplit/>
          <w:trHeight w:val="20"/>
        </w:trPr>
        <w:tc>
          <w:tcPr>
            <w:tcW w:w="626" w:type="pct"/>
            <w:gridSpan w:val="2"/>
            <w:vAlign w:val="center"/>
          </w:tcPr>
          <w:p w14:paraId="195E572B" w14:textId="77777777" w:rsidR="005F3049" w:rsidRPr="00D85CD0" w:rsidRDefault="005F3049" w:rsidP="00AD6C64">
            <w:pPr>
              <w:rPr>
                <w:rFonts w:ascii="Arial Narrow" w:hAnsi="Arial Narrow"/>
                <w:sz w:val="20"/>
                <w:szCs w:val="20"/>
              </w:rPr>
            </w:pPr>
          </w:p>
        </w:tc>
        <w:tc>
          <w:tcPr>
            <w:tcW w:w="4374" w:type="pct"/>
            <w:gridSpan w:val="6"/>
            <w:vAlign w:val="center"/>
            <w:hideMark/>
          </w:tcPr>
          <w:p w14:paraId="5342D1C7" w14:textId="77777777" w:rsidR="005F3049" w:rsidRPr="00D85CD0" w:rsidRDefault="005F3049" w:rsidP="00AD6C64">
            <w:pPr>
              <w:rPr>
                <w:rFonts w:ascii="Arial Narrow" w:hAnsi="Arial Narrow"/>
                <w:sz w:val="20"/>
                <w:szCs w:val="20"/>
              </w:rPr>
            </w:pPr>
            <w:r w:rsidRPr="00D85CD0">
              <w:rPr>
                <w:rFonts w:ascii="Arial Narrow" w:hAnsi="Arial Narrow"/>
                <w:b/>
                <w:bCs/>
                <w:sz w:val="20"/>
                <w:szCs w:val="20"/>
              </w:rPr>
              <w:t>Treatment Phase:</w:t>
            </w:r>
            <w:r w:rsidRPr="00D85CD0">
              <w:rPr>
                <w:rFonts w:ascii="Arial Narrow" w:hAnsi="Arial Narrow"/>
                <w:sz w:val="20"/>
                <w:szCs w:val="20"/>
              </w:rPr>
              <w:t xml:space="preserve"> Initial treatment - Induction of remission</w:t>
            </w:r>
          </w:p>
        </w:tc>
      </w:tr>
      <w:tr w:rsidR="005F3049" w:rsidRPr="00D85CD0" w14:paraId="7903BD30" w14:textId="77777777" w:rsidTr="00A861E6">
        <w:tblPrEx>
          <w:tblCellMar>
            <w:top w:w="15" w:type="dxa"/>
            <w:bottom w:w="15" w:type="dxa"/>
          </w:tblCellMar>
        </w:tblPrEx>
        <w:trPr>
          <w:cantSplit/>
          <w:trHeight w:val="20"/>
        </w:trPr>
        <w:tc>
          <w:tcPr>
            <w:tcW w:w="626" w:type="pct"/>
            <w:gridSpan w:val="2"/>
            <w:vAlign w:val="center"/>
          </w:tcPr>
          <w:p w14:paraId="75A073B2" w14:textId="77777777" w:rsidR="005F3049" w:rsidRPr="00D85CD0" w:rsidRDefault="005F3049" w:rsidP="00AD6C64">
            <w:pPr>
              <w:rPr>
                <w:rFonts w:ascii="Arial Narrow" w:hAnsi="Arial Narrow"/>
                <w:sz w:val="20"/>
                <w:szCs w:val="20"/>
              </w:rPr>
            </w:pPr>
          </w:p>
        </w:tc>
        <w:tc>
          <w:tcPr>
            <w:tcW w:w="4374" w:type="pct"/>
            <w:gridSpan w:val="6"/>
            <w:vAlign w:val="center"/>
          </w:tcPr>
          <w:p w14:paraId="278373F1" w14:textId="77777777" w:rsidR="005F3049" w:rsidRPr="00D85CD0" w:rsidRDefault="005F3049" w:rsidP="00AD6C64">
            <w:pPr>
              <w:rPr>
                <w:rFonts w:ascii="Arial Narrow" w:hAnsi="Arial Narrow"/>
                <w:b/>
                <w:bCs/>
                <w:sz w:val="20"/>
                <w:szCs w:val="20"/>
              </w:rPr>
            </w:pPr>
          </w:p>
        </w:tc>
      </w:tr>
      <w:tr w:rsidR="005F3049" w:rsidRPr="00D85CD0" w14:paraId="07AAD00E" w14:textId="77777777" w:rsidTr="00A861E6">
        <w:tblPrEx>
          <w:tblCellMar>
            <w:top w:w="15" w:type="dxa"/>
            <w:bottom w:w="15" w:type="dxa"/>
          </w:tblCellMar>
        </w:tblPrEx>
        <w:trPr>
          <w:cantSplit/>
          <w:trHeight w:val="20"/>
        </w:trPr>
        <w:tc>
          <w:tcPr>
            <w:tcW w:w="626" w:type="pct"/>
            <w:gridSpan w:val="2"/>
          </w:tcPr>
          <w:p w14:paraId="1F7DD612" w14:textId="7244DAE4" w:rsidR="005F3049" w:rsidRPr="00D85CD0" w:rsidRDefault="005F3049" w:rsidP="00AD6C64">
            <w:pPr>
              <w:rPr>
                <w:rFonts w:ascii="Arial Narrow" w:hAnsi="Arial Narrow"/>
                <w:sz w:val="20"/>
                <w:szCs w:val="20"/>
              </w:rPr>
            </w:pPr>
          </w:p>
        </w:tc>
        <w:tc>
          <w:tcPr>
            <w:tcW w:w="4374" w:type="pct"/>
            <w:gridSpan w:val="6"/>
          </w:tcPr>
          <w:p w14:paraId="398A3F4A" w14:textId="77777777" w:rsidR="005F3049" w:rsidRPr="00D85CD0" w:rsidRDefault="005F3049" w:rsidP="00AD6C64">
            <w:pPr>
              <w:rPr>
                <w:rFonts w:ascii="Arial Narrow" w:hAnsi="Arial Narrow"/>
                <w:sz w:val="20"/>
                <w:szCs w:val="20"/>
              </w:rPr>
            </w:pPr>
            <w:r w:rsidRPr="00D85CD0">
              <w:rPr>
                <w:rStyle w:val="Strong"/>
                <w:rFonts w:ascii="Arial Narrow" w:hAnsi="Arial Narrow" w:cs="Open Sans"/>
                <w:sz w:val="20"/>
                <w:szCs w:val="20"/>
                <w:bdr w:val="none" w:sz="0" w:space="0" w:color="auto" w:frame="1"/>
              </w:rPr>
              <w:t>Clinical criteria:</w:t>
            </w:r>
          </w:p>
        </w:tc>
      </w:tr>
      <w:tr w:rsidR="005F3049" w:rsidRPr="00D85CD0" w14:paraId="7DCB8C46" w14:textId="77777777" w:rsidTr="00A861E6">
        <w:tblPrEx>
          <w:tblCellMar>
            <w:top w:w="15" w:type="dxa"/>
            <w:bottom w:w="15" w:type="dxa"/>
          </w:tblCellMar>
        </w:tblPrEx>
        <w:trPr>
          <w:cantSplit/>
          <w:trHeight w:val="20"/>
        </w:trPr>
        <w:tc>
          <w:tcPr>
            <w:tcW w:w="626" w:type="pct"/>
            <w:gridSpan w:val="2"/>
          </w:tcPr>
          <w:p w14:paraId="3EFC5837" w14:textId="568E4E91" w:rsidR="005F3049" w:rsidRPr="00D85CD0" w:rsidRDefault="005F3049" w:rsidP="00AD6C64">
            <w:pPr>
              <w:rPr>
                <w:rFonts w:ascii="Arial Narrow" w:hAnsi="Arial Narrow"/>
                <w:sz w:val="20"/>
                <w:szCs w:val="20"/>
              </w:rPr>
            </w:pPr>
          </w:p>
        </w:tc>
        <w:tc>
          <w:tcPr>
            <w:tcW w:w="4374" w:type="pct"/>
            <w:gridSpan w:val="6"/>
          </w:tcPr>
          <w:p w14:paraId="71D1197C" w14:textId="77777777" w:rsidR="005F3049" w:rsidRPr="00D85CD0" w:rsidRDefault="005F3049" w:rsidP="00AD6C64">
            <w:pPr>
              <w:rPr>
                <w:rFonts w:ascii="Arial Narrow" w:hAnsi="Arial Narrow"/>
                <w:sz w:val="20"/>
                <w:szCs w:val="20"/>
              </w:rPr>
            </w:pPr>
            <w:r w:rsidRPr="00D85CD0">
              <w:rPr>
                <w:rFonts w:ascii="Arial Narrow" w:hAnsi="Arial Narrow" w:cs="Open Sans"/>
                <w:sz w:val="20"/>
                <w:szCs w:val="20"/>
              </w:rPr>
              <w:t>Patient must have a history of symptoms of oesophageal dysfunction</w:t>
            </w:r>
          </w:p>
        </w:tc>
      </w:tr>
      <w:tr w:rsidR="005F3049" w:rsidRPr="00D85CD0" w14:paraId="01F58782" w14:textId="77777777" w:rsidTr="00A861E6">
        <w:tblPrEx>
          <w:tblCellMar>
            <w:top w:w="15" w:type="dxa"/>
            <w:bottom w:w="15" w:type="dxa"/>
          </w:tblCellMar>
        </w:tblPrEx>
        <w:trPr>
          <w:cantSplit/>
          <w:trHeight w:val="20"/>
        </w:trPr>
        <w:tc>
          <w:tcPr>
            <w:tcW w:w="626" w:type="pct"/>
            <w:gridSpan w:val="2"/>
          </w:tcPr>
          <w:p w14:paraId="04D15EBB" w14:textId="77777777" w:rsidR="005F3049" w:rsidRPr="00D85CD0" w:rsidRDefault="005F3049" w:rsidP="00AD6C64">
            <w:pPr>
              <w:rPr>
                <w:rFonts w:ascii="Arial Narrow" w:hAnsi="Arial Narrow"/>
                <w:sz w:val="20"/>
                <w:szCs w:val="20"/>
              </w:rPr>
            </w:pPr>
          </w:p>
        </w:tc>
        <w:tc>
          <w:tcPr>
            <w:tcW w:w="4374" w:type="pct"/>
            <w:gridSpan w:val="6"/>
          </w:tcPr>
          <w:p w14:paraId="6F2BE4CD" w14:textId="77777777" w:rsidR="005F3049" w:rsidRPr="00D85CD0" w:rsidRDefault="005F3049" w:rsidP="00AD6C64">
            <w:pPr>
              <w:rPr>
                <w:rFonts w:ascii="Arial Narrow" w:hAnsi="Arial Narrow"/>
                <w:sz w:val="20"/>
                <w:szCs w:val="20"/>
              </w:rPr>
            </w:pPr>
            <w:r w:rsidRPr="00D85CD0">
              <w:rPr>
                <w:rStyle w:val="Strong"/>
                <w:rFonts w:ascii="Arial Narrow" w:hAnsi="Arial Narrow" w:cs="Open Sans"/>
                <w:sz w:val="20"/>
                <w:szCs w:val="20"/>
                <w:bdr w:val="none" w:sz="0" w:space="0" w:color="auto" w:frame="1"/>
              </w:rPr>
              <w:t>AND</w:t>
            </w:r>
          </w:p>
        </w:tc>
      </w:tr>
      <w:tr w:rsidR="005F3049" w:rsidRPr="00D85CD0" w14:paraId="3D726FC6" w14:textId="77777777" w:rsidTr="00A861E6">
        <w:tblPrEx>
          <w:tblCellMar>
            <w:top w:w="15" w:type="dxa"/>
            <w:bottom w:w="15" w:type="dxa"/>
          </w:tblCellMar>
        </w:tblPrEx>
        <w:trPr>
          <w:cantSplit/>
          <w:trHeight w:val="20"/>
        </w:trPr>
        <w:tc>
          <w:tcPr>
            <w:tcW w:w="626" w:type="pct"/>
            <w:gridSpan w:val="2"/>
          </w:tcPr>
          <w:p w14:paraId="435C4398" w14:textId="2C6906B0" w:rsidR="005F3049" w:rsidRPr="00D85CD0" w:rsidRDefault="005F3049" w:rsidP="00AD6C64">
            <w:pPr>
              <w:rPr>
                <w:rFonts w:ascii="Arial Narrow" w:hAnsi="Arial Narrow"/>
                <w:sz w:val="20"/>
                <w:szCs w:val="20"/>
              </w:rPr>
            </w:pPr>
          </w:p>
        </w:tc>
        <w:tc>
          <w:tcPr>
            <w:tcW w:w="4374" w:type="pct"/>
            <w:gridSpan w:val="6"/>
          </w:tcPr>
          <w:p w14:paraId="4599EEFE" w14:textId="77777777" w:rsidR="005F3049" w:rsidRPr="00D85CD0" w:rsidRDefault="005F3049" w:rsidP="00AD6C64">
            <w:pPr>
              <w:rPr>
                <w:rFonts w:ascii="Arial Narrow" w:hAnsi="Arial Narrow"/>
                <w:sz w:val="20"/>
                <w:szCs w:val="20"/>
              </w:rPr>
            </w:pPr>
            <w:r w:rsidRPr="00D85CD0">
              <w:rPr>
                <w:rStyle w:val="Strong"/>
                <w:rFonts w:ascii="Arial Narrow" w:hAnsi="Arial Narrow" w:cs="Open Sans"/>
                <w:sz w:val="20"/>
                <w:szCs w:val="20"/>
                <w:bdr w:val="none" w:sz="0" w:space="0" w:color="auto" w:frame="1"/>
              </w:rPr>
              <w:t>Clinical criteria:</w:t>
            </w:r>
          </w:p>
        </w:tc>
      </w:tr>
      <w:tr w:rsidR="005F3049" w:rsidRPr="00D85CD0" w14:paraId="29B43E8C" w14:textId="77777777" w:rsidTr="00A861E6">
        <w:tblPrEx>
          <w:tblCellMar>
            <w:top w:w="15" w:type="dxa"/>
            <w:bottom w:w="15" w:type="dxa"/>
          </w:tblCellMar>
        </w:tblPrEx>
        <w:trPr>
          <w:cantSplit/>
          <w:trHeight w:val="20"/>
        </w:trPr>
        <w:tc>
          <w:tcPr>
            <w:tcW w:w="626" w:type="pct"/>
            <w:gridSpan w:val="2"/>
          </w:tcPr>
          <w:p w14:paraId="6A36CF2D" w14:textId="54326AFF" w:rsidR="005F3049" w:rsidRPr="00D85CD0" w:rsidRDefault="005F3049" w:rsidP="00AD6C64">
            <w:pPr>
              <w:rPr>
                <w:rFonts w:ascii="Arial Narrow" w:hAnsi="Arial Narrow"/>
                <w:sz w:val="20"/>
                <w:szCs w:val="20"/>
              </w:rPr>
            </w:pPr>
          </w:p>
        </w:tc>
        <w:tc>
          <w:tcPr>
            <w:tcW w:w="4374" w:type="pct"/>
            <w:gridSpan w:val="6"/>
          </w:tcPr>
          <w:p w14:paraId="53B6DFCB" w14:textId="77777777" w:rsidR="005F3049" w:rsidRPr="00D85CD0" w:rsidRDefault="005F3049" w:rsidP="00AD6C64">
            <w:pPr>
              <w:rPr>
                <w:rFonts w:ascii="Arial Narrow" w:hAnsi="Arial Narrow"/>
                <w:sz w:val="20"/>
                <w:szCs w:val="20"/>
              </w:rPr>
            </w:pPr>
            <w:r w:rsidRPr="00D85CD0">
              <w:rPr>
                <w:rFonts w:ascii="Arial Narrow" w:hAnsi="Arial Narrow" w:cs="Open Sans"/>
                <w:sz w:val="20"/>
                <w:szCs w:val="20"/>
              </w:rPr>
              <w:t>Patient must have eosinophilic infiltration of the oesophagus, demonstrated by oesophageal biopsy specimens obtained by endoscopy confirming the presence of at least 15 eosinophils in at least one high power field (hpf); corresponding to approximately 60 eosinophils per mm</w:t>
            </w:r>
            <w:r w:rsidRPr="00D85CD0">
              <w:rPr>
                <w:rFonts w:ascii="Arial Narrow" w:hAnsi="Arial Narrow" w:cs="Open Sans"/>
                <w:sz w:val="20"/>
                <w:szCs w:val="20"/>
                <w:vertAlign w:val="superscript"/>
              </w:rPr>
              <w:t>2</w:t>
            </w:r>
            <w:r w:rsidRPr="00D85CD0">
              <w:rPr>
                <w:rFonts w:ascii="Arial Narrow" w:hAnsi="Arial Narrow" w:cs="Open Sans"/>
                <w:sz w:val="20"/>
                <w:szCs w:val="20"/>
              </w:rPr>
              <w:t xml:space="preserve"> hpf</w:t>
            </w:r>
          </w:p>
        </w:tc>
      </w:tr>
      <w:tr w:rsidR="005F3049" w:rsidRPr="00D85CD0" w14:paraId="2117DB5D" w14:textId="77777777" w:rsidTr="00A861E6">
        <w:tblPrEx>
          <w:tblCellMar>
            <w:top w:w="15" w:type="dxa"/>
            <w:bottom w:w="15" w:type="dxa"/>
          </w:tblCellMar>
        </w:tblPrEx>
        <w:trPr>
          <w:cantSplit/>
          <w:trHeight w:val="20"/>
        </w:trPr>
        <w:tc>
          <w:tcPr>
            <w:tcW w:w="626" w:type="pct"/>
            <w:gridSpan w:val="2"/>
          </w:tcPr>
          <w:p w14:paraId="02D0457F" w14:textId="77777777" w:rsidR="005F3049" w:rsidRPr="00D85CD0" w:rsidRDefault="005F3049" w:rsidP="00AD6C64">
            <w:pPr>
              <w:rPr>
                <w:rFonts w:ascii="Arial Narrow" w:hAnsi="Arial Narrow"/>
                <w:sz w:val="20"/>
                <w:szCs w:val="20"/>
              </w:rPr>
            </w:pPr>
          </w:p>
        </w:tc>
        <w:tc>
          <w:tcPr>
            <w:tcW w:w="4374" w:type="pct"/>
            <w:gridSpan w:val="6"/>
          </w:tcPr>
          <w:p w14:paraId="0B06DB4D" w14:textId="77777777" w:rsidR="005F3049" w:rsidRPr="00D85CD0" w:rsidRDefault="005F3049" w:rsidP="00AD6C64">
            <w:pPr>
              <w:rPr>
                <w:rFonts w:ascii="Arial Narrow" w:hAnsi="Arial Narrow"/>
                <w:sz w:val="20"/>
                <w:szCs w:val="20"/>
              </w:rPr>
            </w:pPr>
            <w:r w:rsidRPr="00D85CD0">
              <w:rPr>
                <w:rStyle w:val="Strong"/>
                <w:rFonts w:ascii="Arial Narrow" w:hAnsi="Arial Narrow" w:cs="Open Sans"/>
                <w:sz w:val="20"/>
                <w:szCs w:val="20"/>
                <w:bdr w:val="none" w:sz="0" w:space="0" w:color="auto" w:frame="1"/>
              </w:rPr>
              <w:t>AND</w:t>
            </w:r>
          </w:p>
        </w:tc>
      </w:tr>
      <w:tr w:rsidR="005F3049" w:rsidRPr="00D85CD0" w14:paraId="3B21F561" w14:textId="77777777" w:rsidTr="00A861E6">
        <w:tblPrEx>
          <w:tblCellMar>
            <w:top w:w="15" w:type="dxa"/>
            <w:bottom w:w="15" w:type="dxa"/>
          </w:tblCellMar>
        </w:tblPrEx>
        <w:trPr>
          <w:cantSplit/>
          <w:trHeight w:val="20"/>
        </w:trPr>
        <w:tc>
          <w:tcPr>
            <w:tcW w:w="626" w:type="pct"/>
            <w:gridSpan w:val="2"/>
          </w:tcPr>
          <w:p w14:paraId="2B4746B5" w14:textId="2D3FA968" w:rsidR="005F3049" w:rsidRPr="00D85CD0" w:rsidRDefault="005F3049" w:rsidP="00AD6C64">
            <w:pPr>
              <w:rPr>
                <w:rFonts w:ascii="Arial Narrow" w:hAnsi="Arial Narrow"/>
                <w:sz w:val="20"/>
                <w:szCs w:val="20"/>
              </w:rPr>
            </w:pPr>
          </w:p>
        </w:tc>
        <w:tc>
          <w:tcPr>
            <w:tcW w:w="4374" w:type="pct"/>
            <w:gridSpan w:val="6"/>
          </w:tcPr>
          <w:p w14:paraId="687066BB" w14:textId="77777777" w:rsidR="005F3049" w:rsidRPr="00D85CD0" w:rsidRDefault="005F3049" w:rsidP="00AD6C64">
            <w:pPr>
              <w:rPr>
                <w:rFonts w:ascii="Arial Narrow" w:hAnsi="Arial Narrow"/>
                <w:sz w:val="20"/>
                <w:szCs w:val="20"/>
              </w:rPr>
            </w:pPr>
            <w:r w:rsidRPr="00D85CD0">
              <w:rPr>
                <w:rStyle w:val="Strong"/>
                <w:rFonts w:ascii="Arial Narrow" w:hAnsi="Arial Narrow" w:cs="Open Sans"/>
                <w:sz w:val="20"/>
                <w:szCs w:val="20"/>
                <w:bdr w:val="none" w:sz="0" w:space="0" w:color="auto" w:frame="1"/>
              </w:rPr>
              <w:t>Clinical criteria:</w:t>
            </w:r>
          </w:p>
        </w:tc>
      </w:tr>
      <w:tr w:rsidR="005F3049" w:rsidRPr="00D85CD0" w14:paraId="07B091FF" w14:textId="77777777" w:rsidTr="00A861E6">
        <w:tblPrEx>
          <w:tblCellMar>
            <w:top w:w="15" w:type="dxa"/>
            <w:bottom w:w="15" w:type="dxa"/>
          </w:tblCellMar>
        </w:tblPrEx>
        <w:trPr>
          <w:cantSplit/>
          <w:trHeight w:val="20"/>
        </w:trPr>
        <w:tc>
          <w:tcPr>
            <w:tcW w:w="626" w:type="pct"/>
            <w:gridSpan w:val="2"/>
          </w:tcPr>
          <w:p w14:paraId="20CF5984" w14:textId="7E52BC6A" w:rsidR="005F3049" w:rsidRPr="00D85CD0" w:rsidRDefault="005F3049" w:rsidP="00AD6C64">
            <w:pPr>
              <w:rPr>
                <w:rFonts w:ascii="Arial Narrow" w:hAnsi="Arial Narrow"/>
                <w:sz w:val="20"/>
                <w:szCs w:val="20"/>
              </w:rPr>
            </w:pPr>
          </w:p>
        </w:tc>
        <w:tc>
          <w:tcPr>
            <w:tcW w:w="4374" w:type="pct"/>
            <w:gridSpan w:val="6"/>
          </w:tcPr>
          <w:p w14:paraId="4DA9D72C" w14:textId="77777777" w:rsidR="005F3049" w:rsidRPr="00D85CD0" w:rsidRDefault="005F3049" w:rsidP="00AD6C64">
            <w:pPr>
              <w:rPr>
                <w:rFonts w:ascii="Arial Narrow" w:hAnsi="Arial Narrow"/>
                <w:sz w:val="20"/>
                <w:szCs w:val="20"/>
              </w:rPr>
            </w:pPr>
            <w:r w:rsidRPr="00D85CD0">
              <w:rPr>
                <w:rFonts w:ascii="Arial Narrow" w:hAnsi="Arial Narrow" w:cs="Open Sans"/>
                <w:sz w:val="20"/>
                <w:szCs w:val="20"/>
              </w:rPr>
              <w:t>Patient must not receive more than 90 days of treatment under this restriction</w:t>
            </w:r>
          </w:p>
        </w:tc>
      </w:tr>
      <w:tr w:rsidR="005F3049" w:rsidRPr="00D85CD0" w14:paraId="441F71B6" w14:textId="77777777" w:rsidTr="00A861E6">
        <w:tblPrEx>
          <w:tblCellMar>
            <w:top w:w="15" w:type="dxa"/>
            <w:bottom w:w="15" w:type="dxa"/>
          </w:tblCellMar>
        </w:tblPrEx>
        <w:trPr>
          <w:cantSplit/>
          <w:trHeight w:val="20"/>
        </w:trPr>
        <w:tc>
          <w:tcPr>
            <w:tcW w:w="626" w:type="pct"/>
            <w:gridSpan w:val="2"/>
          </w:tcPr>
          <w:p w14:paraId="1BDDA367" w14:textId="77777777" w:rsidR="005F3049" w:rsidRPr="00D85CD0" w:rsidRDefault="005F3049" w:rsidP="00AD6C64">
            <w:pPr>
              <w:rPr>
                <w:rFonts w:ascii="Arial Narrow" w:hAnsi="Arial Narrow" w:cs="Open Sans"/>
                <w:sz w:val="20"/>
                <w:szCs w:val="20"/>
              </w:rPr>
            </w:pPr>
          </w:p>
        </w:tc>
        <w:tc>
          <w:tcPr>
            <w:tcW w:w="4374" w:type="pct"/>
            <w:gridSpan w:val="6"/>
          </w:tcPr>
          <w:p w14:paraId="20D27000" w14:textId="77777777" w:rsidR="005F3049" w:rsidRPr="00D85CD0" w:rsidRDefault="005F3049" w:rsidP="00AD6C64">
            <w:pPr>
              <w:rPr>
                <w:rFonts w:ascii="Arial Narrow" w:hAnsi="Arial Narrow" w:cs="Open Sans"/>
                <w:sz w:val="20"/>
                <w:szCs w:val="20"/>
              </w:rPr>
            </w:pPr>
          </w:p>
        </w:tc>
      </w:tr>
      <w:tr w:rsidR="005F3049" w:rsidRPr="00D85CD0" w14:paraId="58B30382" w14:textId="77777777" w:rsidTr="00A861E6">
        <w:tblPrEx>
          <w:tblCellMar>
            <w:top w:w="15" w:type="dxa"/>
            <w:bottom w:w="15" w:type="dxa"/>
          </w:tblCellMar>
        </w:tblPrEx>
        <w:trPr>
          <w:cantSplit/>
          <w:trHeight w:val="20"/>
        </w:trPr>
        <w:tc>
          <w:tcPr>
            <w:tcW w:w="626" w:type="pct"/>
            <w:gridSpan w:val="2"/>
          </w:tcPr>
          <w:p w14:paraId="055A386D" w14:textId="47133335" w:rsidR="005F3049" w:rsidRPr="00D85CD0" w:rsidRDefault="005F3049" w:rsidP="00AD6C64">
            <w:pPr>
              <w:keepNext/>
              <w:rPr>
                <w:rFonts w:ascii="Arial Narrow" w:hAnsi="Arial Narrow" w:cs="Open Sans"/>
                <w:sz w:val="20"/>
                <w:szCs w:val="20"/>
              </w:rPr>
            </w:pPr>
          </w:p>
        </w:tc>
        <w:tc>
          <w:tcPr>
            <w:tcW w:w="4374" w:type="pct"/>
            <w:gridSpan w:val="6"/>
          </w:tcPr>
          <w:p w14:paraId="713350E3" w14:textId="77777777" w:rsidR="005F3049" w:rsidRPr="00D85CD0" w:rsidRDefault="005F3049" w:rsidP="00AD6C64">
            <w:pPr>
              <w:keepNext/>
              <w:rPr>
                <w:rFonts w:ascii="Arial Narrow" w:hAnsi="Arial Narrow"/>
                <w:sz w:val="20"/>
                <w:szCs w:val="20"/>
              </w:rPr>
            </w:pPr>
            <w:r w:rsidRPr="00D85CD0">
              <w:rPr>
                <w:rStyle w:val="Strong"/>
                <w:rFonts w:ascii="Arial Narrow" w:hAnsi="Arial Narrow" w:cs="Open Sans"/>
                <w:sz w:val="20"/>
                <w:szCs w:val="20"/>
                <w:bdr w:val="none" w:sz="0" w:space="0" w:color="auto" w:frame="1"/>
              </w:rPr>
              <w:t>Treatment criteria:</w:t>
            </w:r>
          </w:p>
        </w:tc>
      </w:tr>
      <w:tr w:rsidR="005F3049" w:rsidRPr="00D85CD0" w14:paraId="2370F436" w14:textId="77777777" w:rsidTr="00A861E6">
        <w:tblPrEx>
          <w:tblCellMar>
            <w:top w:w="15" w:type="dxa"/>
            <w:bottom w:w="15" w:type="dxa"/>
          </w:tblCellMar>
        </w:tblPrEx>
        <w:trPr>
          <w:cantSplit/>
          <w:trHeight w:val="20"/>
        </w:trPr>
        <w:tc>
          <w:tcPr>
            <w:tcW w:w="626" w:type="pct"/>
            <w:gridSpan w:val="2"/>
          </w:tcPr>
          <w:p w14:paraId="4E500CEA" w14:textId="77777777" w:rsidR="005F3049" w:rsidRPr="00D85CD0" w:rsidRDefault="005F3049" w:rsidP="00AD6C64">
            <w:pPr>
              <w:rPr>
                <w:rFonts w:ascii="Arial Narrow" w:hAnsi="Arial Narrow" w:cs="Open Sans"/>
                <w:strike/>
                <w:sz w:val="20"/>
                <w:szCs w:val="20"/>
              </w:rPr>
            </w:pPr>
          </w:p>
        </w:tc>
        <w:tc>
          <w:tcPr>
            <w:tcW w:w="4374" w:type="pct"/>
            <w:gridSpan w:val="6"/>
          </w:tcPr>
          <w:p w14:paraId="700C5049" w14:textId="77777777" w:rsidR="005F3049" w:rsidRPr="00D85CD0" w:rsidRDefault="005F3049" w:rsidP="00AD6C64">
            <w:pPr>
              <w:autoSpaceDE w:val="0"/>
              <w:autoSpaceDN w:val="0"/>
              <w:adjustRightInd w:val="0"/>
              <w:rPr>
                <w:rFonts w:ascii="Arial Narrow" w:hAnsi="Arial Narrow" w:cs="Arial Narrow"/>
                <w:i/>
                <w:iCs/>
                <w:sz w:val="20"/>
                <w:szCs w:val="20"/>
              </w:rPr>
            </w:pPr>
            <w:r w:rsidRPr="00D85CD0">
              <w:rPr>
                <w:rFonts w:ascii="Arial Narrow" w:hAnsi="Arial Narrow" w:cs="Open Sans"/>
                <w:sz w:val="20"/>
                <w:szCs w:val="20"/>
              </w:rPr>
              <w:t>Must be treated by at least one of: (i) gastroenterologist, (ii) surgeon experienced in the management of patients with eosinophilic oesophagitis, (iii) physician experienced in the management of patients with eosinophilic oesophagitis.</w:t>
            </w:r>
          </w:p>
        </w:tc>
      </w:tr>
      <w:tr w:rsidR="005F3049" w:rsidRPr="00D85CD0" w14:paraId="6DA57559" w14:textId="77777777" w:rsidTr="00A861E6">
        <w:tblPrEx>
          <w:tblCellMar>
            <w:top w:w="15" w:type="dxa"/>
            <w:bottom w:w="15" w:type="dxa"/>
          </w:tblCellMar>
        </w:tblPrEx>
        <w:trPr>
          <w:cantSplit/>
          <w:trHeight w:val="20"/>
        </w:trPr>
        <w:tc>
          <w:tcPr>
            <w:tcW w:w="626" w:type="pct"/>
            <w:gridSpan w:val="2"/>
          </w:tcPr>
          <w:p w14:paraId="3F55807A" w14:textId="77777777" w:rsidR="005F3049" w:rsidRPr="00D85CD0" w:rsidRDefault="005F3049" w:rsidP="00AD6C64">
            <w:pPr>
              <w:rPr>
                <w:rFonts w:ascii="Arial Narrow" w:hAnsi="Arial Narrow" w:cs="Open Sans"/>
                <w:sz w:val="20"/>
                <w:szCs w:val="20"/>
              </w:rPr>
            </w:pPr>
          </w:p>
        </w:tc>
        <w:tc>
          <w:tcPr>
            <w:tcW w:w="4374" w:type="pct"/>
            <w:gridSpan w:val="6"/>
          </w:tcPr>
          <w:p w14:paraId="4E2E9F63" w14:textId="77777777" w:rsidR="005F3049" w:rsidRPr="00D85CD0" w:rsidRDefault="005F3049" w:rsidP="00AD6C64">
            <w:pPr>
              <w:autoSpaceDE w:val="0"/>
              <w:autoSpaceDN w:val="0"/>
              <w:adjustRightInd w:val="0"/>
              <w:rPr>
                <w:rFonts w:ascii="Arial Narrow" w:hAnsi="Arial Narrow" w:cs="Open Sans"/>
                <w:sz w:val="20"/>
                <w:szCs w:val="20"/>
              </w:rPr>
            </w:pPr>
          </w:p>
        </w:tc>
      </w:tr>
      <w:tr w:rsidR="005F3049" w:rsidRPr="00D85CD0" w14:paraId="27B7654C" w14:textId="77777777" w:rsidTr="00A861E6">
        <w:tblPrEx>
          <w:tblCellMar>
            <w:top w:w="15" w:type="dxa"/>
            <w:bottom w:w="15" w:type="dxa"/>
          </w:tblCellMar>
        </w:tblPrEx>
        <w:trPr>
          <w:cantSplit/>
          <w:trHeight w:val="20"/>
        </w:trPr>
        <w:tc>
          <w:tcPr>
            <w:tcW w:w="626" w:type="pct"/>
            <w:gridSpan w:val="2"/>
          </w:tcPr>
          <w:p w14:paraId="7F93D61B" w14:textId="46A0461B" w:rsidR="005F3049" w:rsidRPr="00D85CD0" w:rsidRDefault="005F3049" w:rsidP="00AD6C64">
            <w:pPr>
              <w:rPr>
                <w:rFonts w:ascii="Arial Narrow" w:hAnsi="Arial Narrow"/>
                <w:sz w:val="20"/>
                <w:szCs w:val="20"/>
              </w:rPr>
            </w:pPr>
          </w:p>
        </w:tc>
        <w:tc>
          <w:tcPr>
            <w:tcW w:w="4374" w:type="pct"/>
            <w:gridSpan w:val="6"/>
          </w:tcPr>
          <w:p w14:paraId="6589D6E6"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Style w:val="Strong"/>
                <w:rFonts w:ascii="Arial Narrow" w:hAnsi="Arial Narrow" w:cs="Open Sans"/>
                <w:sz w:val="20"/>
                <w:szCs w:val="20"/>
                <w:bdr w:val="none" w:sz="0" w:space="0" w:color="auto" w:frame="1"/>
              </w:rPr>
              <w:t>Prescribing Instructions:</w:t>
            </w:r>
          </w:p>
          <w:p w14:paraId="74061097" w14:textId="77777777" w:rsidR="005F3049" w:rsidRPr="00D85CD0" w:rsidRDefault="005F3049" w:rsidP="00AD6C64">
            <w:pPr>
              <w:autoSpaceDE w:val="0"/>
              <w:autoSpaceDN w:val="0"/>
              <w:adjustRightInd w:val="0"/>
              <w:rPr>
                <w:rFonts w:ascii="Arial Narrow" w:hAnsi="Arial Narrow" w:cs="Arial Narrow"/>
                <w:i/>
                <w:iCs/>
                <w:sz w:val="20"/>
                <w:szCs w:val="20"/>
              </w:rPr>
            </w:pPr>
            <w:r w:rsidRPr="00D85CD0">
              <w:rPr>
                <w:rFonts w:ascii="Arial Narrow" w:hAnsi="Arial Narrow" w:cs="Open Sans"/>
                <w:sz w:val="20"/>
                <w:szCs w:val="20"/>
              </w:rPr>
              <w:t>Applications for treatment of this condition must be received within 12 weeks of biopsy.</w:t>
            </w:r>
          </w:p>
        </w:tc>
      </w:tr>
      <w:tr w:rsidR="005F3049" w:rsidRPr="00D85CD0" w14:paraId="62E9307E" w14:textId="77777777" w:rsidTr="00A861E6">
        <w:tblPrEx>
          <w:tblCellMar>
            <w:top w:w="15" w:type="dxa"/>
            <w:bottom w:w="15" w:type="dxa"/>
          </w:tblCellMar>
        </w:tblPrEx>
        <w:trPr>
          <w:cantSplit/>
          <w:trHeight w:val="20"/>
        </w:trPr>
        <w:tc>
          <w:tcPr>
            <w:tcW w:w="626" w:type="pct"/>
            <w:gridSpan w:val="2"/>
          </w:tcPr>
          <w:p w14:paraId="41B5D293" w14:textId="0DAE4916" w:rsidR="005F3049" w:rsidRPr="00D85CD0" w:rsidRDefault="005F3049" w:rsidP="00AD6C64">
            <w:pPr>
              <w:rPr>
                <w:rFonts w:ascii="Arial Narrow" w:hAnsi="Arial Narrow"/>
                <w:sz w:val="20"/>
                <w:szCs w:val="20"/>
              </w:rPr>
            </w:pPr>
          </w:p>
        </w:tc>
        <w:tc>
          <w:tcPr>
            <w:tcW w:w="4374" w:type="pct"/>
            <w:gridSpan w:val="6"/>
          </w:tcPr>
          <w:p w14:paraId="775C338E"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Style w:val="Strong"/>
                <w:rFonts w:ascii="Arial Narrow" w:hAnsi="Arial Narrow" w:cs="Open Sans"/>
                <w:sz w:val="20"/>
                <w:szCs w:val="20"/>
                <w:bdr w:val="none" w:sz="0" w:space="0" w:color="auto" w:frame="1"/>
              </w:rPr>
              <w:t>Prescribing Instructions:</w:t>
            </w:r>
          </w:p>
          <w:p w14:paraId="2732CCD8"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Symptoms of oesophageal dysfunction include at least one of the following: dysphasia, odynophagia, transient or self-cleared food impaction, chest pain, epigastric discomfort, vomiting/regurgitation.</w:t>
            </w:r>
          </w:p>
        </w:tc>
      </w:tr>
      <w:tr w:rsidR="005F3049" w:rsidRPr="00D85CD0" w14:paraId="770A18DC" w14:textId="77777777" w:rsidTr="00A861E6">
        <w:tblPrEx>
          <w:tblCellMar>
            <w:top w:w="15" w:type="dxa"/>
            <w:bottom w:w="15" w:type="dxa"/>
          </w:tblCellMar>
        </w:tblPrEx>
        <w:trPr>
          <w:cantSplit/>
          <w:trHeight w:val="20"/>
        </w:trPr>
        <w:tc>
          <w:tcPr>
            <w:tcW w:w="626" w:type="pct"/>
            <w:gridSpan w:val="2"/>
          </w:tcPr>
          <w:p w14:paraId="4CBD5A2A" w14:textId="77777777" w:rsidR="005F3049" w:rsidRPr="00D85CD0" w:rsidRDefault="005F3049" w:rsidP="00AD6C64">
            <w:pPr>
              <w:rPr>
                <w:rFonts w:ascii="Arial Narrow" w:hAnsi="Arial Narrow"/>
                <w:sz w:val="20"/>
                <w:szCs w:val="20"/>
              </w:rPr>
            </w:pPr>
          </w:p>
        </w:tc>
        <w:tc>
          <w:tcPr>
            <w:tcW w:w="4374" w:type="pct"/>
            <w:gridSpan w:val="6"/>
          </w:tcPr>
          <w:p w14:paraId="1738D839"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Style w:val="Strong"/>
                <w:rFonts w:ascii="Arial Narrow" w:hAnsi="Arial Narrow" w:cs="Open Sans"/>
                <w:sz w:val="20"/>
                <w:szCs w:val="20"/>
                <w:bdr w:val="none" w:sz="0" w:space="0" w:color="auto" w:frame="1"/>
              </w:rPr>
              <w:t>Prescribing Instructions:</w:t>
            </w:r>
          </w:p>
          <w:p w14:paraId="7ACBC9D0"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Diagnostic sensitivity increases with the number of biopsies and can be optimised, where necessary, by taking at least eight biopsies (minimum of four collected from each of the mid and distal segments, with the distal segment biopsies taken at least 5 cm above the gastroesophageal junction).</w:t>
            </w:r>
          </w:p>
        </w:tc>
      </w:tr>
      <w:tr w:rsidR="005F3049" w:rsidRPr="00D85CD0" w14:paraId="6F9F05E4" w14:textId="77777777" w:rsidTr="00A861E6">
        <w:tblPrEx>
          <w:tblCellMar>
            <w:top w:w="15" w:type="dxa"/>
            <w:bottom w:w="15" w:type="dxa"/>
          </w:tblCellMar>
        </w:tblPrEx>
        <w:trPr>
          <w:cantSplit/>
          <w:trHeight w:val="20"/>
        </w:trPr>
        <w:tc>
          <w:tcPr>
            <w:tcW w:w="626" w:type="pct"/>
            <w:gridSpan w:val="2"/>
          </w:tcPr>
          <w:p w14:paraId="5968AA21" w14:textId="72368B35" w:rsidR="005F3049" w:rsidRPr="00D85CD0" w:rsidRDefault="005F3049" w:rsidP="00AD6C64">
            <w:pPr>
              <w:rPr>
                <w:rFonts w:ascii="Arial Narrow" w:hAnsi="Arial Narrow"/>
                <w:strike/>
                <w:sz w:val="20"/>
                <w:szCs w:val="20"/>
              </w:rPr>
            </w:pPr>
          </w:p>
        </w:tc>
        <w:tc>
          <w:tcPr>
            <w:tcW w:w="4374" w:type="pct"/>
            <w:gridSpan w:val="6"/>
          </w:tcPr>
          <w:p w14:paraId="1F5397B8" w14:textId="77777777" w:rsidR="005F3049" w:rsidRPr="00D85CD0" w:rsidRDefault="005F3049" w:rsidP="00AD6C64">
            <w:pPr>
              <w:pStyle w:val="NormalWeb"/>
              <w:spacing w:before="0" w:beforeAutospacing="0" w:after="0" w:afterAutospacing="0"/>
              <w:textAlignment w:val="baseline"/>
              <w:rPr>
                <w:rFonts w:ascii="Arial Narrow" w:hAnsi="Arial Narrow" w:cs="Open Sans"/>
                <w:strike/>
                <w:sz w:val="20"/>
                <w:szCs w:val="20"/>
              </w:rPr>
            </w:pPr>
            <w:r w:rsidRPr="00D85CD0">
              <w:rPr>
                <w:rStyle w:val="Strong"/>
                <w:rFonts w:ascii="Arial Narrow" w:hAnsi="Arial Narrow" w:cs="Open Sans"/>
                <w:strike/>
                <w:sz w:val="20"/>
                <w:szCs w:val="20"/>
                <w:bdr w:val="none" w:sz="0" w:space="0" w:color="auto" w:frame="1"/>
              </w:rPr>
              <w:t>Prescribing Instructions:</w:t>
            </w:r>
          </w:p>
          <w:p w14:paraId="64F03E9D" w14:textId="77777777" w:rsidR="005F3049" w:rsidRPr="00D85CD0" w:rsidRDefault="005F3049" w:rsidP="00AD6C64">
            <w:pPr>
              <w:rPr>
                <w:rFonts w:ascii="Arial Narrow" w:hAnsi="Arial Narrow"/>
                <w:strike/>
                <w:sz w:val="20"/>
                <w:szCs w:val="20"/>
              </w:rPr>
            </w:pPr>
            <w:r w:rsidRPr="00D85CD0">
              <w:rPr>
                <w:rFonts w:ascii="Arial Narrow" w:hAnsi="Arial Narrow" w:cs="Open Sans"/>
                <w:strike/>
                <w:sz w:val="20"/>
                <w:szCs w:val="20"/>
              </w:rPr>
              <w:t>A histologic assessment of the oesophageal biopsy should be planned for approximately 8 weeks after the initiation of the first PBS-subsidised treatment with this drug under this restriction, and no later than 2 weeks prior to the patient completing the PBS-subsidised initial treatment course, to determine the patient's eligibility for continuing therapy and to avoid an interruption to supply.</w:t>
            </w:r>
          </w:p>
        </w:tc>
      </w:tr>
      <w:tr w:rsidR="005F3049" w:rsidRPr="00D85CD0" w14:paraId="46A465A5" w14:textId="77777777" w:rsidTr="00A861E6">
        <w:tblPrEx>
          <w:tblCellMar>
            <w:top w:w="15" w:type="dxa"/>
            <w:bottom w:w="15" w:type="dxa"/>
          </w:tblCellMar>
        </w:tblPrEx>
        <w:trPr>
          <w:cantSplit/>
          <w:trHeight w:val="20"/>
        </w:trPr>
        <w:tc>
          <w:tcPr>
            <w:tcW w:w="626" w:type="pct"/>
            <w:gridSpan w:val="2"/>
          </w:tcPr>
          <w:p w14:paraId="42B1FB82" w14:textId="318775A1" w:rsidR="005F3049" w:rsidRPr="00D85CD0" w:rsidRDefault="005F3049" w:rsidP="00AD6C64">
            <w:pPr>
              <w:rPr>
                <w:rFonts w:ascii="Arial Narrow" w:hAnsi="Arial Narrow" w:cs="Open Sans"/>
                <w:sz w:val="20"/>
                <w:szCs w:val="20"/>
              </w:rPr>
            </w:pPr>
          </w:p>
        </w:tc>
        <w:tc>
          <w:tcPr>
            <w:tcW w:w="4374" w:type="pct"/>
            <w:gridSpan w:val="6"/>
          </w:tcPr>
          <w:p w14:paraId="410A717C"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Style w:val="Strong"/>
                <w:rFonts w:ascii="Arial Narrow" w:hAnsi="Arial Narrow" w:cs="Open Sans"/>
                <w:sz w:val="20"/>
                <w:szCs w:val="20"/>
                <w:bdr w:val="none" w:sz="0" w:space="0" w:color="auto" w:frame="1"/>
              </w:rPr>
              <w:t>Prescribing Instructions:</w:t>
            </w:r>
          </w:p>
          <w:p w14:paraId="48B071EC" w14:textId="77777777" w:rsidR="005F3049" w:rsidRPr="00EB5C9D" w:rsidRDefault="005F3049" w:rsidP="00AD6C64">
            <w:pPr>
              <w:pStyle w:val="NormalWeb"/>
              <w:spacing w:before="0" w:beforeAutospacing="0" w:after="0" w:afterAutospacing="0"/>
              <w:textAlignment w:val="baseline"/>
              <w:rPr>
                <w:rStyle w:val="Strong"/>
                <w:rFonts w:ascii="Arial Narrow" w:hAnsi="Arial Narrow" w:cs="Open Sans"/>
                <w:b w:val="0"/>
                <w:bCs w:val="0"/>
                <w:i/>
                <w:iCs/>
                <w:sz w:val="20"/>
                <w:szCs w:val="20"/>
                <w:bdr w:val="none" w:sz="0" w:space="0" w:color="auto" w:frame="1"/>
              </w:rPr>
            </w:pPr>
            <w:r w:rsidRPr="00682EBA">
              <w:rPr>
                <w:rStyle w:val="Strong"/>
                <w:rFonts w:ascii="Arial Narrow" w:hAnsi="Arial Narrow" w:cs="Open Sans"/>
                <w:b w:val="0"/>
                <w:bCs w:val="0"/>
                <w:i/>
                <w:iCs/>
                <w:sz w:val="20"/>
                <w:szCs w:val="20"/>
                <w:bdr w:val="none" w:sz="0" w:space="0" w:color="auto" w:frame="1"/>
              </w:rPr>
              <w:t>After prescribing the initial induction treatment with budesonide, a histologic assessment must be conducted between 12-24 weeks of treatment to determine the patient's eligibility for continuing therapy.</w:t>
            </w:r>
          </w:p>
          <w:p w14:paraId="340F3657" w14:textId="77777777" w:rsidR="005F3049" w:rsidRPr="00D85CD0" w:rsidRDefault="005F3049" w:rsidP="00AD6C64">
            <w:pPr>
              <w:pStyle w:val="NormalWeb"/>
              <w:spacing w:before="0" w:beforeAutospacing="0" w:after="0" w:afterAutospacing="0"/>
              <w:textAlignment w:val="baseline"/>
              <w:rPr>
                <w:rStyle w:val="Strong"/>
                <w:rFonts w:ascii="Arial Narrow" w:hAnsi="Arial Narrow" w:cs="Open Sans"/>
                <w:sz w:val="20"/>
                <w:szCs w:val="20"/>
                <w:bdr w:val="none" w:sz="0" w:space="0" w:color="auto" w:frame="1"/>
              </w:rPr>
            </w:pPr>
            <w:r w:rsidRPr="00682EBA">
              <w:rPr>
                <w:rStyle w:val="Strong"/>
                <w:rFonts w:ascii="Arial Narrow" w:hAnsi="Arial Narrow" w:cs="Open Sans"/>
                <w:b w:val="0"/>
                <w:bCs w:val="0"/>
                <w:i/>
                <w:iCs/>
                <w:sz w:val="20"/>
                <w:szCs w:val="20"/>
                <w:bdr w:val="none" w:sz="0" w:space="0" w:color="auto" w:frame="1"/>
              </w:rPr>
              <w:t>The histologic assessment should be conducted no later than 2 weeks prior to completing the PBS subsidised first continuing maintenance treatment course to avoid an interruption of supply for continuing therapy.</w:t>
            </w:r>
          </w:p>
        </w:tc>
      </w:tr>
    </w:tbl>
    <w:p w14:paraId="2BDC5411" w14:textId="77777777" w:rsidR="005F3049" w:rsidRPr="00D85CD0" w:rsidRDefault="005F3049" w:rsidP="005F3049">
      <w:pPr>
        <w:pStyle w:val="3Bodytext"/>
        <w:numPr>
          <w:ilvl w:val="0"/>
          <w:numId w:val="0"/>
        </w:num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492"/>
        <w:gridCol w:w="3307"/>
        <w:gridCol w:w="893"/>
        <w:gridCol w:w="1039"/>
        <w:gridCol w:w="857"/>
        <w:gridCol w:w="853"/>
        <w:gridCol w:w="939"/>
      </w:tblGrid>
      <w:tr w:rsidR="005F3049" w:rsidRPr="00D85CD0" w14:paraId="6A6F4677" w14:textId="77777777" w:rsidTr="00AD6C64">
        <w:trPr>
          <w:cantSplit/>
          <w:trHeight w:val="471"/>
        </w:trPr>
        <w:tc>
          <w:tcPr>
            <w:tcW w:w="2460" w:type="pct"/>
            <w:gridSpan w:val="3"/>
          </w:tcPr>
          <w:p w14:paraId="3E91E3F2" w14:textId="77777777" w:rsidR="005F3049" w:rsidRPr="00D85CD0" w:rsidRDefault="005F3049" w:rsidP="00AD6C64">
            <w:pPr>
              <w:keepNext/>
              <w:ind w:left="-108"/>
              <w:rPr>
                <w:rFonts w:ascii="Arial Narrow" w:hAnsi="Arial Narrow" w:cs="Arial"/>
                <w:b/>
                <w:bCs/>
                <w:sz w:val="20"/>
                <w:szCs w:val="20"/>
              </w:rPr>
            </w:pPr>
            <w:r w:rsidRPr="00D85CD0">
              <w:rPr>
                <w:rFonts w:ascii="Arial Narrow" w:hAnsi="Arial Narrow" w:cs="Arial"/>
                <w:b/>
                <w:bCs/>
                <w:sz w:val="20"/>
                <w:szCs w:val="20"/>
              </w:rPr>
              <w:t>MEDICINAL PRODUCT</w:t>
            </w:r>
          </w:p>
          <w:p w14:paraId="7DE29799" w14:textId="77777777" w:rsidR="005F3049" w:rsidRPr="00D85CD0" w:rsidRDefault="005F3049" w:rsidP="00AD6C64">
            <w:pPr>
              <w:keepNext/>
              <w:ind w:left="-108"/>
              <w:rPr>
                <w:rFonts w:ascii="Arial Narrow" w:hAnsi="Arial Narrow" w:cs="Arial"/>
                <w:b/>
                <w:sz w:val="20"/>
                <w:szCs w:val="20"/>
              </w:rPr>
            </w:pPr>
            <w:r w:rsidRPr="00D85CD0">
              <w:rPr>
                <w:rFonts w:ascii="Arial Narrow" w:hAnsi="Arial Narrow" w:cs="Arial"/>
                <w:b/>
                <w:bCs/>
                <w:sz w:val="20"/>
                <w:szCs w:val="20"/>
              </w:rPr>
              <w:t xml:space="preserve"> Medicinal Product Pack</w:t>
            </w:r>
          </w:p>
        </w:tc>
        <w:tc>
          <w:tcPr>
            <w:tcW w:w="495" w:type="pct"/>
          </w:tcPr>
          <w:p w14:paraId="78DEBCDE"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PBS item code</w:t>
            </w:r>
          </w:p>
        </w:tc>
        <w:tc>
          <w:tcPr>
            <w:tcW w:w="576" w:type="pct"/>
          </w:tcPr>
          <w:p w14:paraId="14008D42"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Max. qty packs</w:t>
            </w:r>
          </w:p>
        </w:tc>
        <w:tc>
          <w:tcPr>
            <w:tcW w:w="475" w:type="pct"/>
          </w:tcPr>
          <w:p w14:paraId="7437D326"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Max. qty units</w:t>
            </w:r>
          </w:p>
        </w:tc>
        <w:tc>
          <w:tcPr>
            <w:tcW w:w="473" w:type="pct"/>
          </w:tcPr>
          <w:p w14:paraId="1CAC3F29"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№.of</w:t>
            </w:r>
          </w:p>
          <w:p w14:paraId="16FFC02B"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Rpts</w:t>
            </w:r>
          </w:p>
        </w:tc>
        <w:tc>
          <w:tcPr>
            <w:tcW w:w="521" w:type="pct"/>
          </w:tcPr>
          <w:p w14:paraId="6C7BF4E8" w14:textId="77777777" w:rsidR="005F3049" w:rsidRPr="00682EBA" w:rsidRDefault="005F3049" w:rsidP="00AD6C64">
            <w:pPr>
              <w:keepNext/>
              <w:rPr>
                <w:rFonts w:ascii="Arial Narrow" w:hAnsi="Arial Narrow" w:cs="Arial"/>
                <w:b/>
                <w:sz w:val="20"/>
                <w:szCs w:val="20"/>
              </w:rPr>
            </w:pPr>
            <w:r w:rsidRPr="00D85CD0">
              <w:rPr>
                <w:rFonts w:ascii="Arial Narrow" w:hAnsi="Arial Narrow" w:cs="Arial"/>
                <w:b/>
                <w:sz w:val="20"/>
                <w:szCs w:val="20"/>
              </w:rPr>
              <w:t>Available brands</w:t>
            </w:r>
          </w:p>
        </w:tc>
      </w:tr>
      <w:tr w:rsidR="005F3049" w:rsidRPr="00D85CD0" w14:paraId="771837BD" w14:textId="77777777" w:rsidTr="00AD6C64">
        <w:trPr>
          <w:cantSplit/>
          <w:trHeight w:val="103"/>
        </w:trPr>
        <w:tc>
          <w:tcPr>
            <w:tcW w:w="5000" w:type="pct"/>
            <w:gridSpan w:val="8"/>
            <w:tcBorders>
              <w:bottom w:val="single" w:sz="4" w:space="0" w:color="auto"/>
            </w:tcBorders>
            <w:vAlign w:val="center"/>
          </w:tcPr>
          <w:p w14:paraId="49EF2982" w14:textId="77777777" w:rsidR="005F3049" w:rsidRPr="00D85CD0" w:rsidRDefault="005F3049" w:rsidP="00AD6C64">
            <w:pPr>
              <w:keepNext/>
              <w:rPr>
                <w:rFonts w:ascii="Arial Narrow" w:hAnsi="Arial Narrow" w:cs="Arial"/>
                <w:sz w:val="20"/>
                <w:szCs w:val="20"/>
              </w:rPr>
            </w:pPr>
            <w:r w:rsidRPr="00D85CD0">
              <w:rPr>
                <w:rFonts w:ascii="Arial Narrow" w:hAnsi="Arial Narrow" w:cs="Arial"/>
                <w:sz w:val="20"/>
                <w:szCs w:val="20"/>
              </w:rPr>
              <w:t>BUDESONIDE</w:t>
            </w:r>
          </w:p>
        </w:tc>
      </w:tr>
      <w:tr w:rsidR="005F3049" w:rsidRPr="00D85CD0" w14:paraId="12795976" w14:textId="77777777" w:rsidTr="00AD6C64">
        <w:trPr>
          <w:cantSplit/>
          <w:trHeight w:val="291"/>
        </w:trPr>
        <w:tc>
          <w:tcPr>
            <w:tcW w:w="2460" w:type="pct"/>
            <w:gridSpan w:val="3"/>
            <w:tcBorders>
              <w:bottom w:val="single" w:sz="4" w:space="0" w:color="auto"/>
            </w:tcBorders>
            <w:vAlign w:val="center"/>
          </w:tcPr>
          <w:p w14:paraId="771F53DB" w14:textId="77777777" w:rsidR="005F3049" w:rsidRPr="00D85CD0" w:rsidRDefault="005F3049" w:rsidP="00AD6C64">
            <w:pPr>
              <w:keepNext/>
              <w:ind w:left="-108"/>
              <w:rPr>
                <w:rFonts w:ascii="Arial Narrow" w:hAnsi="Arial Narrow" w:cs="Arial"/>
                <w:sz w:val="20"/>
                <w:szCs w:val="20"/>
              </w:rPr>
            </w:pPr>
            <w:r w:rsidRPr="00D85CD0">
              <w:rPr>
                <w:rFonts w:ascii="Arial Narrow" w:hAnsi="Arial Narrow" w:cs="Arial"/>
                <w:sz w:val="20"/>
                <w:szCs w:val="20"/>
              </w:rPr>
              <w:t>budesonide 500 microgram orally disintegrating tablet, 60</w:t>
            </w:r>
          </w:p>
        </w:tc>
        <w:tc>
          <w:tcPr>
            <w:tcW w:w="495" w:type="pct"/>
            <w:vAlign w:val="center"/>
          </w:tcPr>
          <w:p w14:paraId="07E0DEB1" w14:textId="77777777" w:rsidR="005F3049" w:rsidRPr="00D85CD0" w:rsidRDefault="005F3049" w:rsidP="00AD6C64">
            <w:pPr>
              <w:keepNext/>
              <w:rPr>
                <w:rFonts w:ascii="Arial Narrow" w:hAnsi="Arial Narrow" w:cs="Arial"/>
                <w:sz w:val="20"/>
                <w:szCs w:val="20"/>
              </w:rPr>
            </w:pPr>
            <w:r w:rsidRPr="00D85CD0">
              <w:rPr>
                <w:rFonts w:ascii="Arial Narrow" w:hAnsi="Arial Narrow" w:cs="Arial"/>
                <w:sz w:val="20"/>
                <w:szCs w:val="20"/>
              </w:rPr>
              <w:t xml:space="preserve">  New</w:t>
            </w:r>
          </w:p>
        </w:tc>
        <w:tc>
          <w:tcPr>
            <w:tcW w:w="576" w:type="pct"/>
            <w:vAlign w:val="center"/>
          </w:tcPr>
          <w:p w14:paraId="58CBCF97" w14:textId="77777777" w:rsidR="005F3049" w:rsidRPr="00D85CD0" w:rsidRDefault="005F3049" w:rsidP="00AD6C64">
            <w:pPr>
              <w:keepNext/>
              <w:jc w:val="center"/>
              <w:rPr>
                <w:rFonts w:ascii="Arial Narrow" w:hAnsi="Arial Narrow" w:cs="Arial"/>
                <w:sz w:val="20"/>
                <w:szCs w:val="20"/>
              </w:rPr>
            </w:pPr>
            <w:r w:rsidRPr="00D85CD0">
              <w:rPr>
                <w:rFonts w:ascii="Arial Narrow" w:hAnsi="Arial Narrow" w:cs="Arial"/>
                <w:sz w:val="20"/>
                <w:szCs w:val="20"/>
              </w:rPr>
              <w:t>1</w:t>
            </w:r>
          </w:p>
        </w:tc>
        <w:tc>
          <w:tcPr>
            <w:tcW w:w="475" w:type="pct"/>
            <w:vAlign w:val="center"/>
          </w:tcPr>
          <w:p w14:paraId="1DE7C2E7" w14:textId="77777777" w:rsidR="005F3049" w:rsidRPr="00D85CD0" w:rsidRDefault="005F3049" w:rsidP="00AD6C64">
            <w:pPr>
              <w:keepNext/>
              <w:ind w:left="-108"/>
              <w:jc w:val="center"/>
              <w:rPr>
                <w:rFonts w:ascii="Arial Narrow" w:hAnsi="Arial Narrow" w:cs="Arial"/>
                <w:sz w:val="20"/>
                <w:szCs w:val="20"/>
              </w:rPr>
            </w:pPr>
            <w:r w:rsidRPr="00D85CD0">
              <w:rPr>
                <w:rFonts w:ascii="Arial Narrow" w:hAnsi="Arial Narrow" w:cs="Arial"/>
                <w:sz w:val="20"/>
                <w:szCs w:val="20"/>
              </w:rPr>
              <w:t>60</w:t>
            </w:r>
          </w:p>
        </w:tc>
        <w:tc>
          <w:tcPr>
            <w:tcW w:w="473" w:type="pct"/>
            <w:vAlign w:val="center"/>
          </w:tcPr>
          <w:p w14:paraId="5F2CD2BC" w14:textId="77777777" w:rsidR="005F3049" w:rsidRPr="00D85CD0" w:rsidRDefault="005F3049" w:rsidP="00AD6C64">
            <w:pPr>
              <w:keepNext/>
              <w:jc w:val="center"/>
              <w:rPr>
                <w:rFonts w:ascii="Arial Narrow" w:hAnsi="Arial Narrow" w:cs="Arial"/>
                <w:sz w:val="20"/>
                <w:szCs w:val="20"/>
              </w:rPr>
            </w:pPr>
            <w:r w:rsidRPr="00D85CD0">
              <w:rPr>
                <w:rFonts w:ascii="Arial Narrow" w:hAnsi="Arial Narrow" w:cs="Arial"/>
                <w:strike/>
                <w:sz w:val="20"/>
                <w:szCs w:val="20"/>
              </w:rPr>
              <w:t>5</w:t>
            </w:r>
            <w:r w:rsidRPr="00D85CD0">
              <w:rPr>
                <w:rFonts w:ascii="Arial Narrow" w:hAnsi="Arial Narrow" w:cs="Arial"/>
                <w:sz w:val="20"/>
                <w:szCs w:val="20"/>
              </w:rPr>
              <w:t xml:space="preserve"> 2</w:t>
            </w:r>
          </w:p>
        </w:tc>
        <w:tc>
          <w:tcPr>
            <w:tcW w:w="521" w:type="pct"/>
            <w:vAlign w:val="center"/>
          </w:tcPr>
          <w:p w14:paraId="559D66B0" w14:textId="77777777" w:rsidR="005F3049" w:rsidRPr="00D85CD0" w:rsidRDefault="005F3049" w:rsidP="00AD6C64">
            <w:pPr>
              <w:keepNext/>
              <w:jc w:val="center"/>
              <w:rPr>
                <w:rFonts w:ascii="Arial Narrow" w:hAnsi="Arial Narrow" w:cs="Arial"/>
                <w:sz w:val="20"/>
                <w:szCs w:val="20"/>
              </w:rPr>
            </w:pPr>
            <w:r w:rsidRPr="00D85CD0">
              <w:rPr>
                <w:rFonts w:ascii="Arial Narrow" w:hAnsi="Arial Narrow" w:cs="Arial"/>
                <w:sz w:val="20"/>
                <w:szCs w:val="20"/>
              </w:rPr>
              <w:t>Jorveza</w:t>
            </w:r>
          </w:p>
        </w:tc>
      </w:tr>
      <w:tr w:rsidR="005F3049" w:rsidRPr="00D85CD0" w14:paraId="2E434D79" w14:textId="77777777" w:rsidTr="00AD6C64">
        <w:trPr>
          <w:cantSplit/>
          <w:trHeight w:val="241"/>
        </w:trPr>
        <w:tc>
          <w:tcPr>
            <w:tcW w:w="2460" w:type="pct"/>
            <w:gridSpan w:val="3"/>
            <w:tcBorders>
              <w:bottom w:val="nil"/>
            </w:tcBorders>
          </w:tcPr>
          <w:p w14:paraId="5469D071" w14:textId="77777777" w:rsidR="005F3049" w:rsidRPr="00D85CD0" w:rsidRDefault="005F3049" w:rsidP="00AD6C64">
            <w:pPr>
              <w:keepNext/>
              <w:ind w:left="-108"/>
              <w:rPr>
                <w:rFonts w:ascii="Arial Narrow" w:hAnsi="Arial Narrow" w:cs="Arial"/>
                <w:sz w:val="20"/>
                <w:szCs w:val="20"/>
              </w:rPr>
            </w:pPr>
            <w:r w:rsidRPr="00D85CD0">
              <w:rPr>
                <w:rFonts w:ascii="Arial Narrow" w:hAnsi="Arial Narrow" w:cs="Arial"/>
                <w:sz w:val="20"/>
                <w:szCs w:val="20"/>
              </w:rPr>
              <w:t>budesonide 1 mg orally disintegrating tablet, 60</w:t>
            </w:r>
          </w:p>
        </w:tc>
        <w:tc>
          <w:tcPr>
            <w:tcW w:w="495" w:type="pct"/>
            <w:vAlign w:val="center"/>
          </w:tcPr>
          <w:p w14:paraId="7A6E7150" w14:textId="77777777" w:rsidR="005F3049" w:rsidRPr="00D85CD0" w:rsidRDefault="005F3049" w:rsidP="00AD6C64">
            <w:pPr>
              <w:keepNext/>
              <w:ind w:left="-108"/>
              <w:jc w:val="center"/>
              <w:rPr>
                <w:rFonts w:ascii="Arial Narrow" w:hAnsi="Arial Narrow" w:cs="Arial"/>
                <w:sz w:val="20"/>
                <w:szCs w:val="20"/>
              </w:rPr>
            </w:pPr>
            <w:r w:rsidRPr="00D85CD0">
              <w:rPr>
                <w:rFonts w:ascii="Arial Narrow" w:hAnsi="Arial Narrow" w:cs="Arial"/>
                <w:sz w:val="20"/>
                <w:szCs w:val="20"/>
              </w:rPr>
              <w:t>New</w:t>
            </w:r>
          </w:p>
        </w:tc>
        <w:tc>
          <w:tcPr>
            <w:tcW w:w="576" w:type="pct"/>
            <w:vAlign w:val="center"/>
          </w:tcPr>
          <w:p w14:paraId="79FE0A56" w14:textId="77777777" w:rsidR="005F3049" w:rsidRPr="00D85CD0" w:rsidRDefault="005F3049" w:rsidP="00AD6C64">
            <w:pPr>
              <w:keepNext/>
              <w:jc w:val="center"/>
              <w:rPr>
                <w:rFonts w:ascii="Arial Narrow" w:hAnsi="Arial Narrow" w:cs="Arial"/>
                <w:sz w:val="20"/>
                <w:szCs w:val="20"/>
              </w:rPr>
            </w:pPr>
            <w:r w:rsidRPr="00D85CD0">
              <w:rPr>
                <w:rFonts w:ascii="Arial Narrow" w:hAnsi="Arial Narrow" w:cs="Arial"/>
                <w:sz w:val="20"/>
                <w:szCs w:val="20"/>
              </w:rPr>
              <w:t>1</w:t>
            </w:r>
          </w:p>
        </w:tc>
        <w:tc>
          <w:tcPr>
            <w:tcW w:w="475" w:type="pct"/>
            <w:vAlign w:val="center"/>
          </w:tcPr>
          <w:p w14:paraId="21DF843F" w14:textId="77777777" w:rsidR="005F3049" w:rsidRPr="00D85CD0" w:rsidRDefault="005F3049" w:rsidP="00AD6C64">
            <w:pPr>
              <w:keepNext/>
              <w:ind w:left="-108"/>
              <w:jc w:val="center"/>
              <w:rPr>
                <w:rFonts w:ascii="Arial Narrow" w:hAnsi="Arial Narrow" w:cs="Arial"/>
                <w:sz w:val="20"/>
                <w:szCs w:val="20"/>
              </w:rPr>
            </w:pPr>
            <w:r w:rsidRPr="00D85CD0">
              <w:rPr>
                <w:rFonts w:ascii="Arial Narrow" w:hAnsi="Arial Narrow" w:cs="Arial"/>
                <w:sz w:val="20"/>
                <w:szCs w:val="20"/>
              </w:rPr>
              <w:t>60</w:t>
            </w:r>
          </w:p>
        </w:tc>
        <w:tc>
          <w:tcPr>
            <w:tcW w:w="473" w:type="pct"/>
            <w:vAlign w:val="center"/>
          </w:tcPr>
          <w:p w14:paraId="16E13A3C" w14:textId="77777777" w:rsidR="005F3049" w:rsidRPr="00D85CD0" w:rsidRDefault="005F3049" w:rsidP="00AD6C64">
            <w:pPr>
              <w:keepNext/>
              <w:ind w:left="-108"/>
              <w:jc w:val="center"/>
              <w:rPr>
                <w:rFonts w:ascii="Arial Narrow" w:hAnsi="Arial Narrow" w:cs="Arial"/>
                <w:sz w:val="20"/>
                <w:szCs w:val="20"/>
              </w:rPr>
            </w:pPr>
            <w:r w:rsidRPr="00D85CD0">
              <w:rPr>
                <w:rFonts w:ascii="Arial Narrow" w:hAnsi="Arial Narrow" w:cs="Arial"/>
                <w:strike/>
                <w:sz w:val="20"/>
                <w:szCs w:val="20"/>
              </w:rPr>
              <w:t>5</w:t>
            </w:r>
            <w:r w:rsidRPr="00D85CD0">
              <w:rPr>
                <w:rFonts w:cs="Arial"/>
                <w:strike/>
              </w:rPr>
              <w:t xml:space="preserve"> </w:t>
            </w:r>
            <w:r w:rsidRPr="00D85CD0">
              <w:rPr>
                <w:rFonts w:ascii="Arial Narrow" w:hAnsi="Arial Narrow" w:cs="Arial"/>
                <w:sz w:val="20"/>
                <w:szCs w:val="20"/>
              </w:rPr>
              <w:t>2</w:t>
            </w:r>
          </w:p>
        </w:tc>
        <w:tc>
          <w:tcPr>
            <w:tcW w:w="521" w:type="pct"/>
            <w:vAlign w:val="center"/>
          </w:tcPr>
          <w:p w14:paraId="5983BF00" w14:textId="77777777" w:rsidR="005F3049" w:rsidRPr="00D85CD0" w:rsidRDefault="005F3049" w:rsidP="00AD6C64">
            <w:pPr>
              <w:keepNext/>
              <w:jc w:val="center"/>
              <w:rPr>
                <w:rFonts w:ascii="Arial Narrow" w:hAnsi="Arial Narrow" w:cs="Arial"/>
                <w:sz w:val="20"/>
                <w:szCs w:val="20"/>
              </w:rPr>
            </w:pPr>
            <w:r w:rsidRPr="00D85CD0">
              <w:rPr>
                <w:rFonts w:ascii="Arial Narrow" w:hAnsi="Arial Narrow" w:cs="Arial"/>
                <w:sz w:val="20"/>
                <w:szCs w:val="20"/>
              </w:rPr>
              <w:t>Jorveza</w:t>
            </w:r>
          </w:p>
        </w:tc>
      </w:tr>
      <w:tr w:rsidR="005F3049" w:rsidRPr="00D85CD0" w14:paraId="0502E06A" w14:textId="77777777" w:rsidTr="00AD6C64">
        <w:trPr>
          <w:cantSplit/>
          <w:trHeight w:val="241"/>
        </w:trPr>
        <w:tc>
          <w:tcPr>
            <w:tcW w:w="5000" w:type="pct"/>
            <w:gridSpan w:val="8"/>
            <w:tcBorders>
              <w:bottom w:val="nil"/>
            </w:tcBorders>
          </w:tcPr>
          <w:p w14:paraId="66FFF911" w14:textId="77777777" w:rsidR="005F3049" w:rsidRPr="00D85CD0" w:rsidRDefault="005F3049" w:rsidP="00AD6C64">
            <w:pPr>
              <w:keepNext/>
              <w:jc w:val="center"/>
              <w:rPr>
                <w:rFonts w:ascii="Arial Narrow" w:hAnsi="Arial Narrow" w:cs="Arial"/>
                <w:sz w:val="20"/>
                <w:szCs w:val="20"/>
              </w:rPr>
            </w:pPr>
          </w:p>
        </w:tc>
      </w:tr>
      <w:tr w:rsidR="005F3049" w:rsidRPr="00D85CD0" w14:paraId="608E3F24" w14:textId="77777777" w:rsidTr="00AD6C64">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5A67F0D0" w14:textId="663A4C05" w:rsidR="005F3049" w:rsidRPr="00D85CD0" w:rsidRDefault="005F3049" w:rsidP="00AD6C64">
            <w:pPr>
              <w:keepLines/>
              <w:rPr>
                <w:rFonts w:ascii="Arial Narrow" w:hAnsi="Arial Narrow" w:cs="Arial"/>
                <w:b/>
                <w:sz w:val="20"/>
                <w:szCs w:val="20"/>
              </w:rPr>
            </w:pPr>
            <w:r w:rsidRPr="00D85CD0">
              <w:rPr>
                <w:rFonts w:ascii="Arial Narrow" w:hAnsi="Arial Narrow"/>
                <w:b/>
                <w:sz w:val="20"/>
                <w:szCs w:val="20"/>
              </w:rPr>
              <w:t xml:space="preserve">Remove Restriction Summary / Treatment of Concept: </w:t>
            </w:r>
          </w:p>
        </w:tc>
      </w:tr>
      <w:tr w:rsidR="005F3049" w:rsidRPr="00D85CD0" w14:paraId="575278F8" w14:textId="77777777" w:rsidTr="00A861E6">
        <w:tblPrEx>
          <w:tblCellMar>
            <w:top w:w="15" w:type="dxa"/>
            <w:bottom w:w="15" w:type="dxa"/>
          </w:tblCellMar>
        </w:tblPrEx>
        <w:trPr>
          <w:trHeight w:val="20"/>
        </w:trPr>
        <w:tc>
          <w:tcPr>
            <w:tcW w:w="626" w:type="pct"/>
            <w:gridSpan w:val="2"/>
            <w:vMerge w:val="restart"/>
            <w:tcBorders>
              <w:top w:val="single" w:sz="4" w:space="0" w:color="auto"/>
              <w:left w:val="single" w:sz="4" w:space="0" w:color="auto"/>
              <w:right w:val="single" w:sz="4" w:space="0" w:color="auto"/>
            </w:tcBorders>
          </w:tcPr>
          <w:p w14:paraId="4C193147" w14:textId="34B86141" w:rsidR="005F3049" w:rsidRPr="00D85CD0" w:rsidRDefault="005F3049" w:rsidP="00AD6C64">
            <w:pPr>
              <w:rPr>
                <w:rFonts w:ascii="Arial Narrow" w:hAnsi="Arial Narrow" w:cs="Arial"/>
                <w:b/>
                <w:sz w:val="20"/>
                <w:szCs w:val="20"/>
              </w:rPr>
            </w:pPr>
            <w:r w:rsidRPr="00D85CD0">
              <w:rPr>
                <w:rFonts w:ascii="Arial Narrow" w:hAnsi="Arial Narrow" w:cs="Arial"/>
                <w:b/>
                <w:sz w:val="20"/>
                <w:szCs w:val="20"/>
              </w:rPr>
              <w:t xml:space="preserve">Concept ID </w:t>
            </w:r>
          </w:p>
        </w:tc>
        <w:tc>
          <w:tcPr>
            <w:tcW w:w="4374" w:type="pct"/>
            <w:gridSpan w:val="6"/>
            <w:tcBorders>
              <w:top w:val="single" w:sz="4" w:space="0" w:color="auto"/>
              <w:left w:val="single" w:sz="4" w:space="0" w:color="auto"/>
              <w:bottom w:val="single" w:sz="4" w:space="0" w:color="auto"/>
              <w:right w:val="single" w:sz="4" w:space="0" w:color="auto"/>
            </w:tcBorders>
            <w:vAlign w:val="center"/>
          </w:tcPr>
          <w:p w14:paraId="7D844B87" w14:textId="77777777" w:rsidR="005F3049" w:rsidRPr="00D85CD0" w:rsidRDefault="005F3049" w:rsidP="00AD6C64">
            <w:pPr>
              <w:keepLines/>
              <w:rPr>
                <w:rFonts w:ascii="Arial Narrow" w:hAnsi="Arial Narrow" w:cs="Arial"/>
                <w:sz w:val="20"/>
                <w:szCs w:val="20"/>
              </w:rPr>
            </w:pPr>
            <w:r w:rsidRPr="00D85CD0">
              <w:rPr>
                <w:rFonts w:ascii="Arial Narrow" w:hAnsi="Arial Narrow" w:cs="Arial"/>
                <w:b/>
                <w:sz w:val="20"/>
                <w:szCs w:val="20"/>
              </w:rPr>
              <w:t xml:space="preserve">Category / Program: </w:t>
            </w:r>
            <w:r w:rsidRPr="00D85CD0">
              <w:rPr>
                <w:rFonts w:ascii="Arial Narrow" w:hAnsi="Arial Narrow" w:cs="Arial"/>
                <w:sz w:val="20"/>
                <w:szCs w:val="20"/>
              </w:rPr>
              <w:t>GENERAL – General Schedule (Code GE)</w:t>
            </w:r>
          </w:p>
        </w:tc>
      </w:tr>
      <w:tr w:rsidR="005F3049" w:rsidRPr="00D85CD0" w14:paraId="54B3572A" w14:textId="77777777" w:rsidTr="00A861E6">
        <w:tblPrEx>
          <w:tblCellMar>
            <w:top w:w="15" w:type="dxa"/>
            <w:bottom w:w="15" w:type="dxa"/>
          </w:tblCellMar>
        </w:tblPrEx>
        <w:trPr>
          <w:trHeight w:val="20"/>
        </w:trPr>
        <w:tc>
          <w:tcPr>
            <w:tcW w:w="626" w:type="pct"/>
            <w:gridSpan w:val="2"/>
            <w:vMerge/>
            <w:tcBorders>
              <w:left w:val="single" w:sz="4" w:space="0" w:color="auto"/>
              <w:right w:val="single" w:sz="4" w:space="0" w:color="auto"/>
            </w:tcBorders>
          </w:tcPr>
          <w:p w14:paraId="11F7B6E9" w14:textId="77777777" w:rsidR="005F3049" w:rsidRPr="00D85CD0" w:rsidRDefault="005F3049" w:rsidP="00AD6C64">
            <w:pPr>
              <w:rPr>
                <w:rFonts w:ascii="Arial Narrow" w:hAnsi="Arial Narrow" w:cs="Arial"/>
                <w:sz w:val="20"/>
                <w:szCs w:val="20"/>
              </w:rPr>
            </w:pPr>
          </w:p>
        </w:tc>
        <w:tc>
          <w:tcPr>
            <w:tcW w:w="4374" w:type="pct"/>
            <w:gridSpan w:val="6"/>
            <w:tcBorders>
              <w:top w:val="single" w:sz="4" w:space="0" w:color="auto"/>
              <w:left w:val="single" w:sz="4" w:space="0" w:color="auto"/>
              <w:bottom w:val="single" w:sz="4" w:space="0" w:color="auto"/>
              <w:right w:val="single" w:sz="4" w:space="0" w:color="auto"/>
            </w:tcBorders>
            <w:vAlign w:val="center"/>
          </w:tcPr>
          <w:p w14:paraId="6730C2F0" w14:textId="77777777" w:rsidR="005F3049" w:rsidRPr="00D85CD0" w:rsidRDefault="005F3049" w:rsidP="00AD6C64">
            <w:pPr>
              <w:keepLines/>
              <w:rPr>
                <w:rFonts w:ascii="Arial Narrow" w:hAnsi="Arial Narrow" w:cs="Arial"/>
                <w:b/>
                <w:sz w:val="20"/>
                <w:szCs w:val="20"/>
              </w:rPr>
            </w:pPr>
            <w:r w:rsidRPr="00D85CD0">
              <w:rPr>
                <w:rFonts w:ascii="Arial Narrow" w:hAnsi="Arial Narrow" w:cs="Arial"/>
                <w:b/>
                <w:sz w:val="20"/>
                <w:szCs w:val="20"/>
              </w:rPr>
              <w:t xml:space="preserve">Prescriber type: </w:t>
            </w:r>
            <w:r w:rsidRPr="003A22FA">
              <w:rPr>
                <w:rFonts w:ascii="Arial Narrow" w:hAnsi="Arial Narrow" w:cs="Arial"/>
                <w:sz w:val="20"/>
                <w:szCs w:val="20"/>
              </w:rPr>
              <w:fldChar w:fldCharType="begin" w:fldLock="1">
                <w:ffData>
                  <w:name w:val=""/>
                  <w:enabled/>
                  <w:calcOnExit w:val="0"/>
                  <w:checkBox>
                    <w:sizeAuto/>
                    <w:default w:val="1"/>
                  </w:checkBox>
                </w:ffData>
              </w:fldChar>
            </w:r>
            <w:r w:rsidRPr="00D85CD0">
              <w:rPr>
                <w:rFonts w:ascii="Arial Narrow" w:hAnsi="Arial Narrow" w:cs="Arial"/>
                <w:sz w:val="20"/>
                <w:szCs w:val="20"/>
              </w:rPr>
              <w:instrText xml:space="preserve"> FORMCHECKBOX </w:instrText>
            </w:r>
            <w:r w:rsidR="001579BE">
              <w:rPr>
                <w:rFonts w:ascii="Arial Narrow" w:hAnsi="Arial Narrow" w:cs="Arial"/>
                <w:sz w:val="20"/>
                <w:szCs w:val="20"/>
              </w:rPr>
            </w:r>
            <w:r w:rsidR="001579BE">
              <w:rPr>
                <w:rFonts w:ascii="Arial Narrow" w:hAnsi="Arial Narrow" w:cs="Arial"/>
                <w:sz w:val="20"/>
                <w:szCs w:val="20"/>
              </w:rPr>
              <w:fldChar w:fldCharType="separate"/>
            </w:r>
            <w:r w:rsidRPr="003A22FA">
              <w:rPr>
                <w:rFonts w:ascii="Arial Narrow" w:hAnsi="Arial Narrow" w:cs="Arial"/>
                <w:sz w:val="20"/>
                <w:szCs w:val="20"/>
              </w:rPr>
              <w:fldChar w:fldCharType="end"/>
            </w:r>
            <w:r w:rsidRPr="00D85CD0">
              <w:rPr>
                <w:rFonts w:ascii="Arial Narrow" w:hAnsi="Arial Narrow" w:cs="Arial"/>
                <w:sz w:val="20"/>
                <w:szCs w:val="20"/>
              </w:rPr>
              <w:t xml:space="preserve">Medical Practitioners </w:t>
            </w:r>
          </w:p>
        </w:tc>
      </w:tr>
      <w:tr w:rsidR="005F3049" w:rsidRPr="00D85CD0" w14:paraId="515AEBA9" w14:textId="77777777" w:rsidTr="00A861E6">
        <w:tblPrEx>
          <w:tblCellMar>
            <w:top w:w="15" w:type="dxa"/>
            <w:bottom w:w="15" w:type="dxa"/>
          </w:tblCellMar>
        </w:tblPrEx>
        <w:trPr>
          <w:trHeight w:val="20"/>
        </w:trPr>
        <w:tc>
          <w:tcPr>
            <w:tcW w:w="626" w:type="pct"/>
            <w:gridSpan w:val="2"/>
            <w:vMerge/>
            <w:tcBorders>
              <w:left w:val="single" w:sz="4" w:space="0" w:color="auto"/>
              <w:bottom w:val="single" w:sz="4" w:space="0" w:color="auto"/>
              <w:right w:val="single" w:sz="4" w:space="0" w:color="auto"/>
            </w:tcBorders>
          </w:tcPr>
          <w:p w14:paraId="7F23C843" w14:textId="77777777" w:rsidR="005F3049" w:rsidRPr="00D85CD0" w:rsidRDefault="005F3049" w:rsidP="00AD6C64">
            <w:pPr>
              <w:rPr>
                <w:rFonts w:ascii="Arial Narrow" w:hAnsi="Arial Narrow" w:cs="Arial"/>
                <w:sz w:val="20"/>
                <w:szCs w:val="20"/>
              </w:rPr>
            </w:pPr>
          </w:p>
        </w:tc>
        <w:tc>
          <w:tcPr>
            <w:tcW w:w="4374" w:type="pct"/>
            <w:gridSpan w:val="6"/>
            <w:tcBorders>
              <w:top w:val="single" w:sz="4" w:space="0" w:color="auto"/>
              <w:left w:val="single" w:sz="4" w:space="0" w:color="auto"/>
              <w:bottom w:val="single" w:sz="4" w:space="0" w:color="auto"/>
              <w:right w:val="single" w:sz="4" w:space="0" w:color="auto"/>
            </w:tcBorders>
            <w:vAlign w:val="center"/>
          </w:tcPr>
          <w:p w14:paraId="1AC6A2A9" w14:textId="77777777" w:rsidR="005F3049" w:rsidRPr="00D85CD0" w:rsidRDefault="005F3049" w:rsidP="00AD6C64">
            <w:pPr>
              <w:keepLines/>
              <w:jc w:val="left"/>
              <w:rPr>
                <w:rFonts w:ascii="Arial Narrow" w:eastAsia="Calibri" w:hAnsi="Arial Narrow" w:cs="Arial"/>
                <w:sz w:val="20"/>
                <w:szCs w:val="20"/>
              </w:rPr>
            </w:pPr>
            <w:r w:rsidRPr="00D85CD0">
              <w:rPr>
                <w:rFonts w:ascii="Arial Narrow" w:hAnsi="Arial Narrow" w:cs="Arial"/>
                <w:b/>
                <w:sz w:val="20"/>
                <w:szCs w:val="20"/>
              </w:rPr>
              <w:t xml:space="preserve">Restriction type: </w:t>
            </w:r>
            <w:r w:rsidRPr="00D85CD0">
              <w:rPr>
                <w:rFonts w:ascii="Arial Narrow" w:eastAsia="Calibri" w:hAnsi="Arial Narrow" w:cs="Arial"/>
                <w:sz w:val="20"/>
                <w:szCs w:val="20"/>
              </w:rPr>
              <w:br/>
            </w:r>
            <w:r w:rsidRPr="003A22FA">
              <w:rPr>
                <w:rFonts w:ascii="Arial Narrow" w:eastAsia="Calibri" w:hAnsi="Arial Narrow" w:cs="Arial"/>
                <w:sz w:val="20"/>
                <w:szCs w:val="20"/>
              </w:rPr>
              <w:fldChar w:fldCharType="begin" w:fldLock="1">
                <w:ffData>
                  <w:name w:val=""/>
                  <w:enabled/>
                  <w:calcOnExit w:val="0"/>
                  <w:checkBox>
                    <w:sizeAuto/>
                    <w:default w:val="1"/>
                  </w:checkBox>
                </w:ffData>
              </w:fldChar>
            </w:r>
            <w:r w:rsidRPr="00D85CD0">
              <w:rPr>
                <w:rFonts w:ascii="Arial Narrow" w:eastAsia="Calibri" w:hAnsi="Arial Narrow" w:cs="Arial"/>
                <w:sz w:val="20"/>
                <w:szCs w:val="20"/>
              </w:rPr>
              <w:instrText xml:space="preserve"> FORMCHECKBOX </w:instrText>
            </w:r>
            <w:r w:rsidR="001579BE">
              <w:rPr>
                <w:rFonts w:ascii="Arial Narrow" w:eastAsia="Calibri" w:hAnsi="Arial Narrow" w:cs="Arial"/>
                <w:sz w:val="20"/>
                <w:szCs w:val="20"/>
              </w:rPr>
            </w:r>
            <w:r w:rsidR="001579BE">
              <w:rPr>
                <w:rFonts w:ascii="Arial Narrow" w:eastAsia="Calibri" w:hAnsi="Arial Narrow" w:cs="Arial"/>
                <w:sz w:val="20"/>
                <w:szCs w:val="20"/>
              </w:rPr>
              <w:fldChar w:fldCharType="separate"/>
            </w:r>
            <w:r w:rsidRPr="003A22FA">
              <w:rPr>
                <w:rFonts w:ascii="Arial Narrow" w:eastAsia="Calibri" w:hAnsi="Arial Narrow" w:cs="Arial"/>
                <w:sz w:val="20"/>
                <w:szCs w:val="20"/>
              </w:rPr>
              <w:fldChar w:fldCharType="end"/>
            </w:r>
            <w:r w:rsidRPr="00D85CD0">
              <w:rPr>
                <w:rFonts w:ascii="Arial Narrow" w:eastAsia="Calibri" w:hAnsi="Arial Narrow" w:cs="Arial"/>
                <w:sz w:val="20"/>
                <w:szCs w:val="20"/>
              </w:rPr>
              <w:t xml:space="preserve">Authority Required (telephone/online PBS Authorities system) </w:t>
            </w:r>
          </w:p>
        </w:tc>
      </w:tr>
      <w:tr w:rsidR="005F3049" w:rsidRPr="00D85CD0" w14:paraId="1BB989FC" w14:textId="77777777" w:rsidTr="00A861E6">
        <w:tblPrEx>
          <w:tblCellMar>
            <w:top w:w="15" w:type="dxa"/>
            <w:bottom w:w="15" w:type="dxa"/>
          </w:tblCellMar>
        </w:tblPrEx>
        <w:trPr>
          <w:trHeight w:val="20"/>
        </w:trPr>
        <w:tc>
          <w:tcPr>
            <w:tcW w:w="353" w:type="pct"/>
            <w:vMerge w:val="restart"/>
            <w:tcBorders>
              <w:left w:val="single" w:sz="4" w:space="0" w:color="auto"/>
              <w:right w:val="single" w:sz="4" w:space="0" w:color="auto"/>
            </w:tcBorders>
            <w:textDirection w:val="btLr"/>
            <w:vAlign w:val="center"/>
          </w:tcPr>
          <w:p w14:paraId="280F8A10" w14:textId="2DAE73E1" w:rsidR="005F3049" w:rsidRPr="00D85CD0" w:rsidRDefault="005F3049" w:rsidP="00AD6C64">
            <w:pPr>
              <w:jc w:val="center"/>
              <w:rPr>
                <w:rFonts w:ascii="Arial Narrow" w:hAnsi="Arial Narrow" w:cs="Arial"/>
                <w:sz w:val="20"/>
                <w:szCs w:val="20"/>
              </w:rPr>
            </w:pPr>
          </w:p>
        </w:tc>
        <w:tc>
          <w:tcPr>
            <w:tcW w:w="273" w:type="pct"/>
          </w:tcPr>
          <w:p w14:paraId="77304F37" w14:textId="2077C432" w:rsidR="005F3049" w:rsidRPr="00D85CD0" w:rsidRDefault="005F3049" w:rsidP="00AD6C64">
            <w:pPr>
              <w:rPr>
                <w:rFonts w:ascii="Arial Narrow" w:hAnsi="Arial Narrow"/>
                <w:sz w:val="20"/>
                <w:szCs w:val="20"/>
              </w:rPr>
            </w:pPr>
          </w:p>
        </w:tc>
        <w:tc>
          <w:tcPr>
            <w:tcW w:w="4374" w:type="pct"/>
            <w:gridSpan w:val="6"/>
          </w:tcPr>
          <w:p w14:paraId="135BF528"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Style w:val="Strong"/>
                <w:rFonts w:ascii="Arial Narrow" w:hAnsi="Arial Narrow" w:cs="Open Sans"/>
                <w:sz w:val="20"/>
                <w:szCs w:val="20"/>
                <w:bdr w:val="none" w:sz="0" w:space="0" w:color="auto" w:frame="1"/>
              </w:rPr>
              <w:t>Administrative Advice:</w:t>
            </w:r>
          </w:p>
          <w:p w14:paraId="49D8C2E4" w14:textId="77777777" w:rsidR="005F3049" w:rsidRPr="00D85CD0" w:rsidRDefault="005F3049" w:rsidP="00AD6C64">
            <w:pPr>
              <w:rPr>
                <w:rFonts w:ascii="Arial Narrow" w:hAnsi="Arial Narrow"/>
                <w:sz w:val="20"/>
                <w:szCs w:val="20"/>
              </w:rPr>
            </w:pPr>
            <w:r w:rsidRPr="00D85CD0">
              <w:rPr>
                <w:rFonts w:ascii="Arial Narrow" w:hAnsi="Arial Narrow" w:cs="Open Sans"/>
                <w:sz w:val="20"/>
                <w:szCs w:val="20"/>
              </w:rPr>
              <w:t>No increase in the maximum number of repeats may be authorised.</w:t>
            </w:r>
          </w:p>
        </w:tc>
      </w:tr>
      <w:tr w:rsidR="005F3049" w:rsidRPr="00D85CD0" w14:paraId="78AA240E" w14:textId="77777777" w:rsidTr="00A861E6">
        <w:tblPrEx>
          <w:tblCellMar>
            <w:top w:w="15" w:type="dxa"/>
            <w:bottom w:w="15" w:type="dxa"/>
          </w:tblCellMar>
        </w:tblPrEx>
        <w:trPr>
          <w:trHeight w:val="20"/>
        </w:trPr>
        <w:tc>
          <w:tcPr>
            <w:tcW w:w="353" w:type="pct"/>
            <w:vMerge/>
            <w:tcBorders>
              <w:left w:val="single" w:sz="4" w:space="0" w:color="auto"/>
              <w:right w:val="single" w:sz="4" w:space="0" w:color="auto"/>
            </w:tcBorders>
          </w:tcPr>
          <w:p w14:paraId="37EF4444" w14:textId="77777777" w:rsidR="005F3049" w:rsidRPr="00D85CD0" w:rsidRDefault="005F3049" w:rsidP="00AD6C64">
            <w:pPr>
              <w:rPr>
                <w:rFonts w:ascii="Arial Narrow" w:hAnsi="Arial Narrow" w:cs="Arial"/>
                <w:sz w:val="20"/>
                <w:szCs w:val="20"/>
              </w:rPr>
            </w:pPr>
          </w:p>
        </w:tc>
        <w:tc>
          <w:tcPr>
            <w:tcW w:w="273" w:type="pct"/>
          </w:tcPr>
          <w:p w14:paraId="711AB59F" w14:textId="18A03DAE" w:rsidR="005F3049" w:rsidRPr="00D85CD0" w:rsidRDefault="005F3049" w:rsidP="00AD6C64">
            <w:pPr>
              <w:rPr>
                <w:rFonts w:ascii="Arial Narrow" w:hAnsi="Arial Narrow"/>
                <w:sz w:val="20"/>
                <w:szCs w:val="20"/>
              </w:rPr>
            </w:pPr>
          </w:p>
        </w:tc>
        <w:tc>
          <w:tcPr>
            <w:tcW w:w="4374" w:type="pct"/>
            <w:gridSpan w:val="6"/>
          </w:tcPr>
          <w:p w14:paraId="28B69B8F"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Style w:val="Strong"/>
                <w:rFonts w:ascii="Arial Narrow" w:hAnsi="Arial Narrow" w:cs="Open Sans"/>
                <w:sz w:val="20"/>
                <w:szCs w:val="20"/>
                <w:bdr w:val="none" w:sz="0" w:space="0" w:color="auto" w:frame="1"/>
              </w:rPr>
              <w:t>Administrative Advice:</w:t>
            </w:r>
          </w:p>
          <w:p w14:paraId="007A8E1A"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No increase in the maximum quantity or number of units may be authorised.</w:t>
            </w:r>
          </w:p>
        </w:tc>
      </w:tr>
      <w:tr w:rsidR="005F3049" w:rsidRPr="00D85CD0" w14:paraId="5B0F5F7C" w14:textId="77777777" w:rsidTr="00A861E6">
        <w:tblPrEx>
          <w:tblCellMar>
            <w:top w:w="15" w:type="dxa"/>
            <w:bottom w:w="15" w:type="dxa"/>
          </w:tblCellMar>
        </w:tblPrEx>
        <w:trPr>
          <w:trHeight w:val="20"/>
        </w:trPr>
        <w:tc>
          <w:tcPr>
            <w:tcW w:w="353" w:type="pct"/>
            <w:vMerge/>
            <w:tcBorders>
              <w:left w:val="single" w:sz="4" w:space="0" w:color="auto"/>
              <w:right w:val="single" w:sz="4" w:space="0" w:color="auto"/>
            </w:tcBorders>
          </w:tcPr>
          <w:p w14:paraId="32361829" w14:textId="77777777" w:rsidR="005F3049" w:rsidRPr="00D85CD0" w:rsidRDefault="005F3049" w:rsidP="00AD6C64">
            <w:pPr>
              <w:rPr>
                <w:rFonts w:ascii="Arial Narrow" w:hAnsi="Arial Narrow" w:cs="Arial"/>
                <w:sz w:val="20"/>
                <w:szCs w:val="20"/>
              </w:rPr>
            </w:pPr>
          </w:p>
        </w:tc>
        <w:tc>
          <w:tcPr>
            <w:tcW w:w="273" w:type="pct"/>
          </w:tcPr>
          <w:p w14:paraId="6049B1A3" w14:textId="566B05DD" w:rsidR="005F3049" w:rsidRPr="00D85CD0" w:rsidRDefault="005F3049" w:rsidP="00AD6C64">
            <w:pPr>
              <w:rPr>
                <w:rFonts w:ascii="Arial Narrow" w:hAnsi="Arial Narrow"/>
                <w:sz w:val="20"/>
                <w:szCs w:val="20"/>
              </w:rPr>
            </w:pPr>
          </w:p>
        </w:tc>
        <w:tc>
          <w:tcPr>
            <w:tcW w:w="4374" w:type="pct"/>
            <w:gridSpan w:val="6"/>
          </w:tcPr>
          <w:p w14:paraId="0630A4C4"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Style w:val="Strong"/>
                <w:rFonts w:ascii="Arial Narrow" w:hAnsi="Arial Narrow" w:cs="Open Sans"/>
                <w:sz w:val="20"/>
                <w:szCs w:val="20"/>
                <w:bdr w:val="none" w:sz="0" w:space="0" w:color="auto" w:frame="1"/>
              </w:rPr>
              <w:t>Administrative Advice:</w:t>
            </w:r>
          </w:p>
          <w:p w14:paraId="132DB1EC"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Applications for authorisation under this restriction may be made in real time using the Online PBS Authorities system (see www.servicesaustralia.gov.au/HPOS) or by telephone by contacting Services Australia on 1800 888 333.</w:t>
            </w:r>
          </w:p>
        </w:tc>
      </w:tr>
      <w:tr w:rsidR="005F3049" w:rsidRPr="00D85CD0" w14:paraId="5DD11A30" w14:textId="77777777" w:rsidTr="00A861E6">
        <w:tblPrEx>
          <w:tblCellMar>
            <w:top w:w="15" w:type="dxa"/>
            <w:bottom w:w="15" w:type="dxa"/>
          </w:tblCellMar>
        </w:tblPrEx>
        <w:trPr>
          <w:trHeight w:val="20"/>
        </w:trPr>
        <w:tc>
          <w:tcPr>
            <w:tcW w:w="353" w:type="pct"/>
            <w:vMerge/>
            <w:tcBorders>
              <w:left w:val="single" w:sz="4" w:space="0" w:color="auto"/>
              <w:bottom w:val="single" w:sz="4" w:space="0" w:color="auto"/>
              <w:right w:val="single" w:sz="4" w:space="0" w:color="auto"/>
            </w:tcBorders>
          </w:tcPr>
          <w:p w14:paraId="77CEED16" w14:textId="77777777" w:rsidR="005F3049" w:rsidRPr="00D85CD0" w:rsidRDefault="005F3049" w:rsidP="00AD6C64">
            <w:pPr>
              <w:rPr>
                <w:rFonts w:ascii="Arial Narrow" w:hAnsi="Arial Narrow" w:cs="Arial"/>
                <w:sz w:val="20"/>
                <w:szCs w:val="20"/>
              </w:rPr>
            </w:pPr>
          </w:p>
        </w:tc>
        <w:tc>
          <w:tcPr>
            <w:tcW w:w="273" w:type="pct"/>
          </w:tcPr>
          <w:p w14:paraId="586A6B6A" w14:textId="62CCDE54" w:rsidR="005F3049" w:rsidRPr="00D85CD0" w:rsidRDefault="005F3049" w:rsidP="00AD6C64">
            <w:pPr>
              <w:rPr>
                <w:rFonts w:ascii="Arial Narrow" w:hAnsi="Arial Narrow"/>
                <w:sz w:val="20"/>
                <w:szCs w:val="20"/>
              </w:rPr>
            </w:pPr>
          </w:p>
        </w:tc>
        <w:tc>
          <w:tcPr>
            <w:tcW w:w="4374" w:type="pct"/>
            <w:gridSpan w:val="6"/>
          </w:tcPr>
          <w:p w14:paraId="05A79641"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Style w:val="Strong"/>
                <w:rFonts w:ascii="Arial Narrow" w:hAnsi="Arial Narrow" w:cs="Open Sans"/>
                <w:sz w:val="20"/>
                <w:szCs w:val="20"/>
                <w:bdr w:val="none" w:sz="0" w:space="0" w:color="auto" w:frame="1"/>
              </w:rPr>
              <w:t>Administrative Advice:</w:t>
            </w:r>
          </w:p>
          <w:p w14:paraId="093BFFCD"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Special Pricing Arrangements apply.</w:t>
            </w:r>
          </w:p>
        </w:tc>
      </w:tr>
      <w:tr w:rsidR="005F3049" w:rsidRPr="00D85CD0" w14:paraId="23F05CC3" w14:textId="77777777" w:rsidTr="00A861E6">
        <w:tblPrEx>
          <w:tblCellMar>
            <w:top w:w="15" w:type="dxa"/>
            <w:bottom w:w="15" w:type="dxa"/>
          </w:tblCellMar>
        </w:tblPrEx>
        <w:trPr>
          <w:cantSplit/>
          <w:trHeight w:val="20"/>
        </w:trPr>
        <w:tc>
          <w:tcPr>
            <w:tcW w:w="626" w:type="pct"/>
            <w:gridSpan w:val="2"/>
            <w:vAlign w:val="center"/>
          </w:tcPr>
          <w:p w14:paraId="39E67E8D"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p>
        </w:tc>
        <w:tc>
          <w:tcPr>
            <w:tcW w:w="4374" w:type="pct"/>
            <w:gridSpan w:val="6"/>
            <w:vAlign w:val="center"/>
          </w:tcPr>
          <w:p w14:paraId="5A91BC44" w14:textId="77777777" w:rsidR="005F3049" w:rsidRPr="00D85CD0" w:rsidRDefault="005F3049" w:rsidP="00AD6C64">
            <w:pPr>
              <w:keepLines/>
              <w:rPr>
                <w:rFonts w:ascii="Arial Narrow" w:hAnsi="Arial Narrow"/>
                <w:b/>
                <w:bCs/>
                <w:sz w:val="20"/>
                <w:szCs w:val="20"/>
              </w:rPr>
            </w:pPr>
          </w:p>
        </w:tc>
      </w:tr>
      <w:tr w:rsidR="005F3049" w:rsidRPr="00D85CD0" w14:paraId="37CA8525" w14:textId="77777777" w:rsidTr="00A861E6">
        <w:tblPrEx>
          <w:tblCellMar>
            <w:top w:w="15" w:type="dxa"/>
            <w:bottom w:w="15" w:type="dxa"/>
          </w:tblCellMar>
        </w:tblPrEx>
        <w:trPr>
          <w:cantSplit/>
          <w:trHeight w:val="20"/>
        </w:trPr>
        <w:tc>
          <w:tcPr>
            <w:tcW w:w="626" w:type="pct"/>
            <w:gridSpan w:val="2"/>
            <w:vAlign w:val="center"/>
          </w:tcPr>
          <w:p w14:paraId="5723796F" w14:textId="687A1DB2" w:rsidR="005F3049" w:rsidRPr="00D85CD0" w:rsidRDefault="005F3049" w:rsidP="00AD6C64">
            <w:pPr>
              <w:keepLines/>
              <w:rPr>
                <w:rFonts w:ascii="Arial Narrow" w:hAnsi="Arial Narrow"/>
                <w:sz w:val="20"/>
                <w:szCs w:val="20"/>
              </w:rPr>
            </w:pPr>
          </w:p>
        </w:tc>
        <w:tc>
          <w:tcPr>
            <w:tcW w:w="4374" w:type="pct"/>
            <w:gridSpan w:val="6"/>
            <w:vAlign w:val="center"/>
            <w:hideMark/>
          </w:tcPr>
          <w:p w14:paraId="06F673F0" w14:textId="77777777" w:rsidR="005F3049" w:rsidRPr="00D85CD0" w:rsidRDefault="005F3049" w:rsidP="00AD6C64">
            <w:pPr>
              <w:keepLines/>
              <w:rPr>
                <w:rFonts w:ascii="Arial Narrow" w:hAnsi="Arial Narrow"/>
                <w:sz w:val="20"/>
                <w:szCs w:val="20"/>
              </w:rPr>
            </w:pPr>
            <w:r w:rsidRPr="00D85CD0">
              <w:rPr>
                <w:rFonts w:ascii="Arial Narrow" w:hAnsi="Arial Narrow"/>
                <w:b/>
                <w:bCs/>
                <w:sz w:val="20"/>
                <w:szCs w:val="20"/>
              </w:rPr>
              <w:t>Indication:</w:t>
            </w:r>
            <w:r w:rsidRPr="00D85CD0">
              <w:rPr>
                <w:rFonts w:ascii="Arial Narrow" w:hAnsi="Arial Narrow"/>
                <w:sz w:val="20"/>
                <w:szCs w:val="20"/>
              </w:rPr>
              <w:t xml:space="preserve"> Eosinophilic oesophagitis</w:t>
            </w:r>
          </w:p>
        </w:tc>
      </w:tr>
      <w:tr w:rsidR="005F3049" w:rsidRPr="00D85CD0" w14:paraId="168DB8B8" w14:textId="77777777" w:rsidTr="00A861E6">
        <w:tblPrEx>
          <w:tblCellMar>
            <w:top w:w="15" w:type="dxa"/>
            <w:bottom w:w="15" w:type="dxa"/>
          </w:tblCellMar>
        </w:tblPrEx>
        <w:trPr>
          <w:cantSplit/>
          <w:trHeight w:val="20"/>
        </w:trPr>
        <w:tc>
          <w:tcPr>
            <w:tcW w:w="626" w:type="pct"/>
            <w:gridSpan w:val="2"/>
            <w:vAlign w:val="center"/>
          </w:tcPr>
          <w:p w14:paraId="6F62B6CD" w14:textId="77777777" w:rsidR="005F3049" w:rsidRPr="00D85CD0" w:rsidRDefault="005F3049" w:rsidP="00AD6C64">
            <w:pPr>
              <w:rPr>
                <w:rFonts w:ascii="Arial Narrow" w:hAnsi="Arial Narrow"/>
                <w:sz w:val="20"/>
                <w:szCs w:val="20"/>
              </w:rPr>
            </w:pPr>
          </w:p>
        </w:tc>
        <w:tc>
          <w:tcPr>
            <w:tcW w:w="4374" w:type="pct"/>
            <w:gridSpan w:val="6"/>
            <w:vAlign w:val="center"/>
            <w:hideMark/>
          </w:tcPr>
          <w:p w14:paraId="390BD8EC" w14:textId="77777777" w:rsidR="005F3049" w:rsidRPr="00D85CD0" w:rsidRDefault="005F3049" w:rsidP="00AD6C64">
            <w:pPr>
              <w:rPr>
                <w:rFonts w:ascii="Arial Narrow" w:hAnsi="Arial Narrow"/>
                <w:sz w:val="20"/>
                <w:szCs w:val="20"/>
              </w:rPr>
            </w:pPr>
            <w:r w:rsidRPr="00D85CD0">
              <w:rPr>
                <w:rFonts w:ascii="Arial Narrow" w:hAnsi="Arial Narrow"/>
                <w:b/>
                <w:bCs/>
                <w:sz w:val="20"/>
                <w:szCs w:val="20"/>
              </w:rPr>
              <w:t>Treatment Phase:</w:t>
            </w:r>
            <w:r w:rsidRPr="00D85CD0">
              <w:rPr>
                <w:rFonts w:ascii="Arial Narrow" w:hAnsi="Arial Narrow"/>
                <w:sz w:val="20"/>
                <w:szCs w:val="20"/>
              </w:rPr>
              <w:t xml:space="preserve"> First continuing treatment – Confirmation of remission</w:t>
            </w:r>
          </w:p>
        </w:tc>
      </w:tr>
      <w:tr w:rsidR="005F3049" w:rsidRPr="00D85CD0" w14:paraId="24A3BA36" w14:textId="77777777" w:rsidTr="00A861E6">
        <w:tblPrEx>
          <w:tblCellMar>
            <w:top w:w="15" w:type="dxa"/>
            <w:bottom w:w="15" w:type="dxa"/>
          </w:tblCellMar>
        </w:tblPrEx>
        <w:trPr>
          <w:cantSplit/>
          <w:trHeight w:val="20"/>
        </w:trPr>
        <w:tc>
          <w:tcPr>
            <w:tcW w:w="626" w:type="pct"/>
            <w:gridSpan w:val="2"/>
            <w:vAlign w:val="center"/>
          </w:tcPr>
          <w:p w14:paraId="55F41C4C" w14:textId="77777777" w:rsidR="005F3049" w:rsidRPr="00D85CD0" w:rsidRDefault="005F3049" w:rsidP="00AD6C64">
            <w:pPr>
              <w:rPr>
                <w:rFonts w:ascii="Arial Narrow" w:hAnsi="Arial Narrow"/>
                <w:sz w:val="20"/>
                <w:szCs w:val="20"/>
              </w:rPr>
            </w:pPr>
          </w:p>
        </w:tc>
        <w:tc>
          <w:tcPr>
            <w:tcW w:w="4374" w:type="pct"/>
            <w:gridSpan w:val="6"/>
            <w:vAlign w:val="center"/>
          </w:tcPr>
          <w:p w14:paraId="10EE64F5" w14:textId="77777777" w:rsidR="005F3049" w:rsidRPr="00D85CD0" w:rsidRDefault="005F3049" w:rsidP="00AD6C64">
            <w:pPr>
              <w:rPr>
                <w:rFonts w:ascii="Arial Narrow" w:hAnsi="Arial Narrow"/>
                <w:b/>
                <w:bCs/>
                <w:sz w:val="20"/>
                <w:szCs w:val="20"/>
              </w:rPr>
            </w:pPr>
          </w:p>
        </w:tc>
      </w:tr>
      <w:tr w:rsidR="005F3049" w:rsidRPr="00D85CD0" w14:paraId="01933073" w14:textId="77777777" w:rsidTr="00A861E6">
        <w:tblPrEx>
          <w:tblCellMar>
            <w:top w:w="15" w:type="dxa"/>
            <w:bottom w:w="15" w:type="dxa"/>
          </w:tblCellMar>
        </w:tblPrEx>
        <w:trPr>
          <w:cantSplit/>
          <w:trHeight w:val="20"/>
        </w:trPr>
        <w:tc>
          <w:tcPr>
            <w:tcW w:w="626" w:type="pct"/>
            <w:gridSpan w:val="2"/>
          </w:tcPr>
          <w:p w14:paraId="382B6DBA" w14:textId="2FD2260F" w:rsidR="005F3049" w:rsidRPr="00D85CD0" w:rsidRDefault="005F3049" w:rsidP="00AD6C64">
            <w:pPr>
              <w:rPr>
                <w:rFonts w:ascii="Arial Narrow" w:hAnsi="Arial Narrow"/>
                <w:sz w:val="20"/>
                <w:szCs w:val="20"/>
              </w:rPr>
            </w:pPr>
          </w:p>
        </w:tc>
        <w:tc>
          <w:tcPr>
            <w:tcW w:w="4374" w:type="pct"/>
            <w:gridSpan w:val="6"/>
          </w:tcPr>
          <w:p w14:paraId="751D56AD" w14:textId="77777777" w:rsidR="005F3049" w:rsidRPr="00D85CD0" w:rsidRDefault="005F3049" w:rsidP="00AD6C64">
            <w:pPr>
              <w:rPr>
                <w:rFonts w:ascii="Arial Narrow" w:hAnsi="Arial Narrow"/>
                <w:b/>
                <w:bCs/>
                <w:sz w:val="20"/>
                <w:szCs w:val="20"/>
              </w:rPr>
            </w:pPr>
            <w:r w:rsidRPr="00D85CD0">
              <w:rPr>
                <w:rStyle w:val="Strong"/>
                <w:rFonts w:ascii="Arial Narrow" w:hAnsi="Arial Narrow" w:cs="Open Sans"/>
                <w:sz w:val="20"/>
                <w:szCs w:val="20"/>
                <w:bdr w:val="none" w:sz="0" w:space="0" w:color="auto" w:frame="1"/>
              </w:rPr>
              <w:t>Clinical criteria:</w:t>
            </w:r>
          </w:p>
        </w:tc>
      </w:tr>
      <w:tr w:rsidR="005F3049" w:rsidRPr="00D85CD0" w14:paraId="4B233ED8" w14:textId="77777777" w:rsidTr="00A861E6">
        <w:tblPrEx>
          <w:tblCellMar>
            <w:top w:w="15" w:type="dxa"/>
            <w:bottom w:w="15" w:type="dxa"/>
          </w:tblCellMar>
        </w:tblPrEx>
        <w:trPr>
          <w:cantSplit/>
          <w:trHeight w:val="20"/>
        </w:trPr>
        <w:tc>
          <w:tcPr>
            <w:tcW w:w="626" w:type="pct"/>
            <w:gridSpan w:val="2"/>
          </w:tcPr>
          <w:p w14:paraId="06B65A29" w14:textId="2C0AD29C" w:rsidR="005F3049" w:rsidRPr="00D85CD0" w:rsidRDefault="005F3049" w:rsidP="00AD6C64">
            <w:pPr>
              <w:rPr>
                <w:rFonts w:ascii="Arial Narrow" w:hAnsi="Arial Narrow"/>
                <w:sz w:val="20"/>
                <w:szCs w:val="20"/>
              </w:rPr>
            </w:pPr>
          </w:p>
        </w:tc>
        <w:tc>
          <w:tcPr>
            <w:tcW w:w="4374" w:type="pct"/>
            <w:gridSpan w:val="6"/>
          </w:tcPr>
          <w:p w14:paraId="1CAD9B15"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 xml:space="preserve">Patient must have previously received PBS-subsidised initial treatment with this drug for this condition; </w:t>
            </w:r>
          </w:p>
        </w:tc>
      </w:tr>
      <w:tr w:rsidR="005F3049" w:rsidRPr="00D85CD0" w14:paraId="406AC1BB" w14:textId="77777777" w:rsidTr="00A861E6">
        <w:tblPrEx>
          <w:tblCellMar>
            <w:top w:w="15" w:type="dxa"/>
            <w:bottom w:w="15" w:type="dxa"/>
          </w:tblCellMar>
        </w:tblPrEx>
        <w:trPr>
          <w:cantSplit/>
          <w:trHeight w:val="20"/>
        </w:trPr>
        <w:tc>
          <w:tcPr>
            <w:tcW w:w="626" w:type="pct"/>
            <w:gridSpan w:val="2"/>
          </w:tcPr>
          <w:p w14:paraId="222ECE3B" w14:textId="77777777" w:rsidR="005F3049" w:rsidRPr="00D85CD0" w:rsidRDefault="005F3049" w:rsidP="00AD6C64">
            <w:pPr>
              <w:rPr>
                <w:rFonts w:ascii="Arial Narrow" w:hAnsi="Arial Narrow"/>
                <w:sz w:val="20"/>
                <w:szCs w:val="20"/>
              </w:rPr>
            </w:pPr>
          </w:p>
        </w:tc>
        <w:tc>
          <w:tcPr>
            <w:tcW w:w="4374" w:type="pct"/>
            <w:gridSpan w:val="6"/>
          </w:tcPr>
          <w:p w14:paraId="78AA82D9" w14:textId="77777777" w:rsidR="005F3049" w:rsidRPr="00D85CD0" w:rsidRDefault="005F3049" w:rsidP="00AD6C64">
            <w:pPr>
              <w:rPr>
                <w:rFonts w:ascii="Arial Narrow" w:hAnsi="Arial Narrow"/>
                <w:b/>
                <w:bCs/>
                <w:sz w:val="20"/>
                <w:szCs w:val="20"/>
              </w:rPr>
            </w:pPr>
            <w:r w:rsidRPr="00D85CD0">
              <w:rPr>
                <w:rStyle w:val="Strong"/>
                <w:rFonts w:ascii="Arial Narrow" w:hAnsi="Arial Narrow" w:cs="Open Sans"/>
                <w:sz w:val="20"/>
                <w:szCs w:val="20"/>
                <w:bdr w:val="none" w:sz="0" w:space="0" w:color="auto" w:frame="1"/>
              </w:rPr>
              <w:t>AND</w:t>
            </w:r>
          </w:p>
        </w:tc>
      </w:tr>
      <w:tr w:rsidR="005F3049" w:rsidRPr="00D85CD0" w14:paraId="42EEAFF7" w14:textId="77777777" w:rsidTr="00A861E6">
        <w:tblPrEx>
          <w:tblCellMar>
            <w:top w:w="15" w:type="dxa"/>
            <w:bottom w:w="15" w:type="dxa"/>
          </w:tblCellMar>
        </w:tblPrEx>
        <w:trPr>
          <w:cantSplit/>
          <w:trHeight w:val="20"/>
        </w:trPr>
        <w:tc>
          <w:tcPr>
            <w:tcW w:w="626" w:type="pct"/>
            <w:gridSpan w:val="2"/>
          </w:tcPr>
          <w:p w14:paraId="5A97095C" w14:textId="363E7740" w:rsidR="005F3049" w:rsidRPr="00D85CD0" w:rsidRDefault="005F3049" w:rsidP="00AD6C64">
            <w:pPr>
              <w:rPr>
                <w:rFonts w:ascii="Arial Narrow" w:hAnsi="Arial Narrow"/>
                <w:i/>
                <w:iCs/>
                <w:sz w:val="20"/>
                <w:szCs w:val="20"/>
              </w:rPr>
            </w:pPr>
          </w:p>
        </w:tc>
        <w:tc>
          <w:tcPr>
            <w:tcW w:w="4374" w:type="pct"/>
            <w:gridSpan w:val="6"/>
          </w:tcPr>
          <w:p w14:paraId="6F4EF3DF" w14:textId="77777777" w:rsidR="005F3049" w:rsidRPr="00D85CD0" w:rsidRDefault="005F3049" w:rsidP="00AD6C64">
            <w:pPr>
              <w:rPr>
                <w:rStyle w:val="Strong"/>
                <w:rFonts w:ascii="Arial Narrow" w:hAnsi="Arial Narrow" w:cs="Open Sans"/>
                <w:i/>
                <w:iCs/>
                <w:sz w:val="20"/>
                <w:szCs w:val="20"/>
                <w:bdr w:val="none" w:sz="0" w:space="0" w:color="auto" w:frame="1"/>
              </w:rPr>
            </w:pPr>
            <w:r w:rsidRPr="00D85CD0">
              <w:rPr>
                <w:rStyle w:val="Strong"/>
                <w:rFonts w:ascii="Arial Narrow" w:hAnsi="Arial Narrow" w:cs="Open Sans"/>
                <w:i/>
                <w:iCs/>
                <w:sz w:val="20"/>
                <w:szCs w:val="20"/>
                <w:bdr w:val="none" w:sz="0" w:space="0" w:color="auto" w:frame="1"/>
              </w:rPr>
              <w:t>Clinical criteria:</w:t>
            </w:r>
          </w:p>
        </w:tc>
      </w:tr>
      <w:tr w:rsidR="005F3049" w:rsidRPr="00D85CD0" w14:paraId="22BBB27C" w14:textId="77777777" w:rsidTr="00A861E6">
        <w:tblPrEx>
          <w:tblCellMar>
            <w:top w:w="15" w:type="dxa"/>
            <w:bottom w:w="15" w:type="dxa"/>
          </w:tblCellMar>
        </w:tblPrEx>
        <w:trPr>
          <w:cantSplit/>
          <w:trHeight w:val="20"/>
        </w:trPr>
        <w:tc>
          <w:tcPr>
            <w:tcW w:w="626" w:type="pct"/>
            <w:gridSpan w:val="2"/>
          </w:tcPr>
          <w:p w14:paraId="59E17D9B" w14:textId="15719E28" w:rsidR="005F3049" w:rsidRPr="00D85CD0" w:rsidRDefault="005F3049" w:rsidP="00AD6C64">
            <w:pPr>
              <w:rPr>
                <w:rFonts w:ascii="Arial Narrow" w:hAnsi="Arial Narrow" w:cs="Open Sans"/>
                <w:i/>
                <w:iCs/>
                <w:sz w:val="20"/>
                <w:szCs w:val="20"/>
              </w:rPr>
            </w:pPr>
          </w:p>
        </w:tc>
        <w:tc>
          <w:tcPr>
            <w:tcW w:w="4374" w:type="pct"/>
            <w:gridSpan w:val="6"/>
          </w:tcPr>
          <w:p w14:paraId="3A9C8C35" w14:textId="77777777" w:rsidR="005F3049" w:rsidRPr="00D85CD0" w:rsidRDefault="005F3049" w:rsidP="00AD6C64">
            <w:pPr>
              <w:rPr>
                <w:rFonts w:ascii="Arial Narrow" w:hAnsi="Arial Narrow" w:cs="Open Sans"/>
                <w:i/>
                <w:iCs/>
                <w:sz w:val="20"/>
                <w:szCs w:val="20"/>
              </w:rPr>
            </w:pPr>
            <w:r w:rsidRPr="00D85CD0">
              <w:rPr>
                <w:rFonts w:ascii="Arial Narrow" w:hAnsi="Arial Narrow" w:cs="Open Sans"/>
                <w:i/>
                <w:iCs/>
                <w:sz w:val="20"/>
                <w:szCs w:val="20"/>
              </w:rPr>
              <w:t>Patient must have demonstrated an adequate response to treatment with this drug for this condition.</w:t>
            </w:r>
          </w:p>
        </w:tc>
      </w:tr>
      <w:tr w:rsidR="005F3049" w:rsidRPr="00D85CD0" w14:paraId="6C79DDE3" w14:textId="77777777" w:rsidTr="00A861E6">
        <w:tblPrEx>
          <w:tblCellMar>
            <w:top w:w="15" w:type="dxa"/>
            <w:bottom w:w="15" w:type="dxa"/>
          </w:tblCellMar>
        </w:tblPrEx>
        <w:trPr>
          <w:cantSplit/>
          <w:trHeight w:val="20"/>
        </w:trPr>
        <w:tc>
          <w:tcPr>
            <w:tcW w:w="626" w:type="pct"/>
            <w:gridSpan w:val="2"/>
          </w:tcPr>
          <w:p w14:paraId="15BB01BC" w14:textId="42CD1815" w:rsidR="005F3049" w:rsidRPr="00D85CD0" w:rsidRDefault="005F3049" w:rsidP="00AD6C64">
            <w:pPr>
              <w:rPr>
                <w:rFonts w:ascii="Arial Narrow" w:hAnsi="Arial Narrow"/>
                <w:strike/>
                <w:sz w:val="20"/>
                <w:szCs w:val="20"/>
              </w:rPr>
            </w:pPr>
          </w:p>
        </w:tc>
        <w:tc>
          <w:tcPr>
            <w:tcW w:w="4374" w:type="pct"/>
            <w:gridSpan w:val="6"/>
          </w:tcPr>
          <w:p w14:paraId="423E5619" w14:textId="77777777" w:rsidR="005F3049" w:rsidRPr="00D85CD0" w:rsidRDefault="005F3049" w:rsidP="00AD6C64">
            <w:pPr>
              <w:rPr>
                <w:rFonts w:ascii="Arial Narrow" w:hAnsi="Arial Narrow"/>
                <w:b/>
                <w:bCs/>
                <w:strike/>
                <w:sz w:val="20"/>
                <w:szCs w:val="20"/>
              </w:rPr>
            </w:pPr>
            <w:r w:rsidRPr="00D85CD0">
              <w:rPr>
                <w:rStyle w:val="Strong"/>
                <w:rFonts w:ascii="Arial Narrow" w:hAnsi="Arial Narrow" w:cs="Open Sans"/>
                <w:strike/>
                <w:sz w:val="20"/>
                <w:szCs w:val="20"/>
                <w:bdr w:val="none" w:sz="0" w:space="0" w:color="auto" w:frame="1"/>
              </w:rPr>
              <w:t>Clinical criteria:</w:t>
            </w:r>
          </w:p>
        </w:tc>
      </w:tr>
      <w:tr w:rsidR="005F3049" w:rsidRPr="00D85CD0" w14:paraId="0BB6D0F1" w14:textId="77777777" w:rsidTr="00A861E6">
        <w:tblPrEx>
          <w:tblCellMar>
            <w:top w:w="15" w:type="dxa"/>
            <w:bottom w:w="15" w:type="dxa"/>
          </w:tblCellMar>
        </w:tblPrEx>
        <w:trPr>
          <w:cantSplit/>
          <w:trHeight w:val="20"/>
        </w:trPr>
        <w:tc>
          <w:tcPr>
            <w:tcW w:w="626" w:type="pct"/>
            <w:gridSpan w:val="2"/>
          </w:tcPr>
          <w:p w14:paraId="1A424162" w14:textId="77777777" w:rsidR="005F3049" w:rsidRPr="00D85CD0" w:rsidRDefault="005F3049" w:rsidP="00AD6C64">
            <w:pPr>
              <w:rPr>
                <w:rFonts w:ascii="Arial Narrow" w:hAnsi="Arial Narrow"/>
                <w:strike/>
                <w:sz w:val="20"/>
                <w:szCs w:val="20"/>
              </w:rPr>
            </w:pPr>
          </w:p>
        </w:tc>
        <w:tc>
          <w:tcPr>
            <w:tcW w:w="4374" w:type="pct"/>
            <w:gridSpan w:val="6"/>
          </w:tcPr>
          <w:p w14:paraId="7AD30013" w14:textId="77777777" w:rsidR="005F3049" w:rsidRPr="00D85CD0" w:rsidRDefault="005F3049" w:rsidP="00AD6C64">
            <w:pPr>
              <w:rPr>
                <w:rFonts w:ascii="Arial Narrow" w:hAnsi="Arial Narrow"/>
                <w:b/>
                <w:bCs/>
                <w:strike/>
                <w:sz w:val="20"/>
                <w:szCs w:val="20"/>
              </w:rPr>
            </w:pPr>
            <w:r w:rsidRPr="00D85CD0">
              <w:rPr>
                <w:rFonts w:ascii="Arial Narrow" w:hAnsi="Arial Narrow" w:cs="Open Sans"/>
                <w:strike/>
                <w:sz w:val="20"/>
                <w:szCs w:val="20"/>
              </w:rPr>
              <w:t>Patient must have documented evidence of having achieved histologic remission while receiving initial PBS-subsidised treatment with this drug for this condition, defined as a peak eosinophil count of less than 5 eosinophils per high power field (hpf), corresponding to less than 16 eosinophils per mm</w:t>
            </w:r>
            <w:r w:rsidRPr="00D85CD0">
              <w:rPr>
                <w:rFonts w:ascii="Arial Narrow" w:hAnsi="Arial Narrow" w:cs="Open Sans"/>
                <w:strike/>
                <w:sz w:val="20"/>
                <w:szCs w:val="20"/>
                <w:vertAlign w:val="superscript"/>
              </w:rPr>
              <w:t>2</w:t>
            </w:r>
            <w:r w:rsidRPr="00D85CD0">
              <w:rPr>
                <w:rFonts w:ascii="Arial Narrow" w:hAnsi="Arial Narrow" w:cs="Open Sans"/>
                <w:strike/>
                <w:sz w:val="20"/>
                <w:szCs w:val="20"/>
              </w:rPr>
              <w:t xml:space="preserve"> hpf on oesophageal biopsy</w:t>
            </w:r>
          </w:p>
        </w:tc>
      </w:tr>
      <w:tr w:rsidR="005F3049" w:rsidRPr="00D85CD0" w14:paraId="14AC3EF6" w14:textId="77777777" w:rsidTr="00A861E6">
        <w:tblPrEx>
          <w:tblCellMar>
            <w:top w:w="15" w:type="dxa"/>
            <w:bottom w:w="15" w:type="dxa"/>
          </w:tblCellMar>
        </w:tblPrEx>
        <w:trPr>
          <w:cantSplit/>
          <w:trHeight w:val="20"/>
        </w:trPr>
        <w:tc>
          <w:tcPr>
            <w:tcW w:w="626" w:type="pct"/>
            <w:gridSpan w:val="2"/>
          </w:tcPr>
          <w:p w14:paraId="7F7A60B9" w14:textId="77777777" w:rsidR="005F3049" w:rsidRPr="00D85CD0" w:rsidRDefault="005F3049" w:rsidP="00AD6C64">
            <w:pPr>
              <w:rPr>
                <w:rFonts w:ascii="Arial Narrow" w:hAnsi="Arial Narrow"/>
                <w:sz w:val="20"/>
                <w:szCs w:val="20"/>
              </w:rPr>
            </w:pPr>
          </w:p>
        </w:tc>
        <w:tc>
          <w:tcPr>
            <w:tcW w:w="4374" w:type="pct"/>
            <w:gridSpan w:val="6"/>
          </w:tcPr>
          <w:p w14:paraId="14DD9BBC" w14:textId="77777777" w:rsidR="005F3049" w:rsidRPr="00D85CD0" w:rsidRDefault="005F3049" w:rsidP="00AD6C64">
            <w:pPr>
              <w:rPr>
                <w:rFonts w:ascii="Arial Narrow" w:hAnsi="Arial Narrow"/>
                <w:b/>
                <w:bCs/>
                <w:sz w:val="20"/>
                <w:szCs w:val="20"/>
              </w:rPr>
            </w:pPr>
            <w:r w:rsidRPr="00D85CD0">
              <w:rPr>
                <w:rStyle w:val="Strong"/>
                <w:rFonts w:ascii="Arial Narrow" w:hAnsi="Arial Narrow" w:cs="Open Sans"/>
                <w:sz w:val="20"/>
                <w:szCs w:val="20"/>
                <w:bdr w:val="none" w:sz="0" w:space="0" w:color="auto" w:frame="1"/>
              </w:rPr>
              <w:t>AND</w:t>
            </w:r>
          </w:p>
        </w:tc>
      </w:tr>
      <w:tr w:rsidR="005F3049" w:rsidRPr="00D85CD0" w14:paraId="5FAA8143" w14:textId="77777777" w:rsidTr="00A861E6">
        <w:tblPrEx>
          <w:tblCellMar>
            <w:top w:w="15" w:type="dxa"/>
            <w:bottom w:w="15" w:type="dxa"/>
          </w:tblCellMar>
        </w:tblPrEx>
        <w:trPr>
          <w:cantSplit/>
          <w:trHeight w:val="20"/>
        </w:trPr>
        <w:tc>
          <w:tcPr>
            <w:tcW w:w="626" w:type="pct"/>
            <w:gridSpan w:val="2"/>
          </w:tcPr>
          <w:p w14:paraId="2EF817AB" w14:textId="5121B645" w:rsidR="005F3049" w:rsidRPr="00534AB2" w:rsidRDefault="005F3049" w:rsidP="00AD6C64">
            <w:pPr>
              <w:rPr>
                <w:rFonts w:ascii="Arial Narrow" w:hAnsi="Arial Narrow"/>
                <w:strike/>
                <w:sz w:val="20"/>
                <w:szCs w:val="20"/>
              </w:rPr>
            </w:pPr>
          </w:p>
        </w:tc>
        <w:tc>
          <w:tcPr>
            <w:tcW w:w="4374" w:type="pct"/>
            <w:gridSpan w:val="6"/>
          </w:tcPr>
          <w:p w14:paraId="7EB0CCB7" w14:textId="77777777" w:rsidR="005F3049" w:rsidRPr="00D85CD0" w:rsidRDefault="005F3049" w:rsidP="00AD6C64">
            <w:pPr>
              <w:rPr>
                <w:rFonts w:ascii="Arial Narrow" w:hAnsi="Arial Narrow"/>
                <w:b/>
                <w:bCs/>
                <w:sz w:val="20"/>
                <w:szCs w:val="20"/>
              </w:rPr>
            </w:pPr>
            <w:r w:rsidRPr="00D85CD0">
              <w:rPr>
                <w:rStyle w:val="Strong"/>
                <w:rFonts w:ascii="Arial Narrow" w:hAnsi="Arial Narrow" w:cs="Open Sans"/>
                <w:sz w:val="20"/>
                <w:szCs w:val="20"/>
                <w:bdr w:val="none" w:sz="0" w:space="0" w:color="auto" w:frame="1"/>
              </w:rPr>
              <w:t>Clinical criteria:</w:t>
            </w:r>
          </w:p>
        </w:tc>
      </w:tr>
      <w:tr w:rsidR="005F3049" w:rsidRPr="00D85CD0" w14:paraId="05049AF3" w14:textId="77777777" w:rsidTr="00A861E6">
        <w:tblPrEx>
          <w:tblCellMar>
            <w:top w:w="15" w:type="dxa"/>
            <w:bottom w:w="15" w:type="dxa"/>
          </w:tblCellMar>
        </w:tblPrEx>
        <w:trPr>
          <w:cantSplit/>
          <w:trHeight w:val="20"/>
        </w:trPr>
        <w:tc>
          <w:tcPr>
            <w:tcW w:w="626" w:type="pct"/>
            <w:gridSpan w:val="2"/>
          </w:tcPr>
          <w:p w14:paraId="2B2DE00D" w14:textId="155A4A56" w:rsidR="005F3049" w:rsidRPr="00534AB2" w:rsidRDefault="005F3049" w:rsidP="00AD6C64">
            <w:pPr>
              <w:rPr>
                <w:rFonts w:ascii="Arial Narrow" w:hAnsi="Arial Narrow"/>
                <w:strike/>
                <w:sz w:val="20"/>
                <w:szCs w:val="20"/>
              </w:rPr>
            </w:pPr>
          </w:p>
        </w:tc>
        <w:tc>
          <w:tcPr>
            <w:tcW w:w="4374" w:type="pct"/>
            <w:gridSpan w:val="6"/>
          </w:tcPr>
          <w:p w14:paraId="19F91E1A"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 xml:space="preserve">Patient must not receive more than </w:t>
            </w:r>
            <w:r w:rsidRPr="00D85CD0">
              <w:rPr>
                <w:rFonts w:ascii="Arial Narrow" w:hAnsi="Arial Narrow" w:cs="Open Sans"/>
                <w:strike/>
                <w:sz w:val="20"/>
                <w:szCs w:val="20"/>
              </w:rPr>
              <w:t>26 weeks</w:t>
            </w:r>
            <w:r w:rsidRPr="00D85CD0">
              <w:rPr>
                <w:rFonts w:ascii="Arial Narrow" w:hAnsi="Arial Narrow" w:cs="Open Sans"/>
                <w:sz w:val="20"/>
                <w:szCs w:val="20"/>
              </w:rPr>
              <w:t xml:space="preserve"> </w:t>
            </w:r>
            <w:r w:rsidRPr="00D85CD0">
              <w:rPr>
                <w:rFonts w:ascii="Arial Narrow" w:hAnsi="Arial Narrow" w:cs="Open Sans"/>
                <w:i/>
                <w:iCs/>
                <w:sz w:val="20"/>
                <w:szCs w:val="20"/>
              </w:rPr>
              <w:t>12 weeks</w:t>
            </w:r>
            <w:r w:rsidRPr="00D85CD0">
              <w:rPr>
                <w:rFonts w:ascii="Arial Narrow" w:hAnsi="Arial Narrow" w:cs="Open Sans"/>
                <w:sz w:val="20"/>
                <w:szCs w:val="20"/>
              </w:rPr>
              <w:t xml:space="preserve"> of treatment under this restriction</w:t>
            </w:r>
          </w:p>
        </w:tc>
      </w:tr>
      <w:tr w:rsidR="005F3049" w:rsidRPr="00D85CD0" w14:paraId="2A8B8560" w14:textId="77777777" w:rsidTr="00A861E6">
        <w:tblPrEx>
          <w:tblCellMar>
            <w:top w:w="15" w:type="dxa"/>
            <w:bottom w:w="15" w:type="dxa"/>
          </w:tblCellMar>
        </w:tblPrEx>
        <w:trPr>
          <w:cantSplit/>
          <w:trHeight w:val="20"/>
        </w:trPr>
        <w:tc>
          <w:tcPr>
            <w:tcW w:w="626" w:type="pct"/>
            <w:gridSpan w:val="2"/>
          </w:tcPr>
          <w:p w14:paraId="01032348" w14:textId="43E293D8" w:rsidR="005F3049" w:rsidRPr="00D85CD0" w:rsidRDefault="005F3049" w:rsidP="00AD6C64">
            <w:pPr>
              <w:rPr>
                <w:rFonts w:ascii="Arial Narrow" w:hAnsi="Arial Narrow"/>
                <w:strike/>
                <w:sz w:val="20"/>
                <w:szCs w:val="20"/>
              </w:rPr>
            </w:pPr>
          </w:p>
        </w:tc>
        <w:tc>
          <w:tcPr>
            <w:tcW w:w="4374" w:type="pct"/>
            <w:gridSpan w:val="6"/>
          </w:tcPr>
          <w:p w14:paraId="706D420B" w14:textId="77777777" w:rsidR="005F3049" w:rsidRPr="00D85CD0" w:rsidRDefault="005F3049" w:rsidP="00AD6C64">
            <w:pPr>
              <w:rPr>
                <w:rFonts w:ascii="Arial Narrow" w:hAnsi="Arial Narrow"/>
                <w:b/>
                <w:bCs/>
                <w:sz w:val="20"/>
                <w:szCs w:val="20"/>
              </w:rPr>
            </w:pPr>
            <w:r w:rsidRPr="00D85CD0">
              <w:rPr>
                <w:rStyle w:val="Strong"/>
                <w:rFonts w:ascii="Arial Narrow" w:hAnsi="Arial Narrow" w:cs="Open Sans"/>
                <w:sz w:val="20"/>
                <w:szCs w:val="20"/>
                <w:bdr w:val="none" w:sz="0" w:space="0" w:color="auto" w:frame="1"/>
              </w:rPr>
              <w:t>Treatment criteria:</w:t>
            </w:r>
          </w:p>
        </w:tc>
      </w:tr>
      <w:tr w:rsidR="005F3049" w:rsidRPr="00D85CD0" w14:paraId="5602290F" w14:textId="77777777" w:rsidTr="00A861E6">
        <w:tblPrEx>
          <w:tblCellMar>
            <w:top w:w="15" w:type="dxa"/>
            <w:bottom w:w="15" w:type="dxa"/>
          </w:tblCellMar>
        </w:tblPrEx>
        <w:trPr>
          <w:cantSplit/>
          <w:trHeight w:val="20"/>
        </w:trPr>
        <w:tc>
          <w:tcPr>
            <w:tcW w:w="626" w:type="pct"/>
            <w:gridSpan w:val="2"/>
          </w:tcPr>
          <w:p w14:paraId="4588901D" w14:textId="664E8DB3" w:rsidR="005F3049" w:rsidRPr="00D85CD0" w:rsidRDefault="005F3049" w:rsidP="00AD6C64">
            <w:pPr>
              <w:rPr>
                <w:rFonts w:ascii="Arial Narrow" w:hAnsi="Arial Narrow"/>
                <w:sz w:val="20"/>
                <w:szCs w:val="20"/>
              </w:rPr>
            </w:pPr>
          </w:p>
        </w:tc>
        <w:tc>
          <w:tcPr>
            <w:tcW w:w="4374" w:type="pct"/>
            <w:gridSpan w:val="6"/>
          </w:tcPr>
          <w:p w14:paraId="230D7304" w14:textId="77777777" w:rsidR="005F3049" w:rsidRPr="00D85CD0" w:rsidRDefault="005F3049" w:rsidP="00AD6C64">
            <w:pPr>
              <w:rPr>
                <w:rFonts w:ascii="Arial Narrow" w:hAnsi="Arial Narrow"/>
                <w:b/>
                <w:bCs/>
                <w:i/>
                <w:iCs/>
                <w:sz w:val="20"/>
                <w:szCs w:val="20"/>
              </w:rPr>
            </w:pPr>
            <w:r w:rsidRPr="00D85CD0">
              <w:rPr>
                <w:rFonts w:ascii="Arial Narrow" w:hAnsi="Arial Narrow" w:cs="Open Sans"/>
                <w:sz w:val="20"/>
                <w:szCs w:val="20"/>
              </w:rPr>
              <w:t>Must be treated by at least one of: (i) gastroenterologist, (ii) surgeon experienced in the management of patients with eosinophilic oesophagitis, (iii) physician experienced in the management of patients with eosinophilic oesophagitis, (iv) medical practitioner in consultation with one of these prescribers</w:t>
            </w:r>
          </w:p>
        </w:tc>
      </w:tr>
      <w:tr w:rsidR="005F3049" w:rsidRPr="00D85CD0" w14:paraId="5B03E86D" w14:textId="77777777" w:rsidTr="00A861E6">
        <w:tblPrEx>
          <w:tblCellMar>
            <w:top w:w="15" w:type="dxa"/>
            <w:bottom w:w="15" w:type="dxa"/>
          </w:tblCellMar>
        </w:tblPrEx>
        <w:trPr>
          <w:cantSplit/>
          <w:trHeight w:val="20"/>
        </w:trPr>
        <w:tc>
          <w:tcPr>
            <w:tcW w:w="626" w:type="pct"/>
            <w:gridSpan w:val="2"/>
          </w:tcPr>
          <w:p w14:paraId="2BEDFEAA" w14:textId="77777777" w:rsidR="005F3049" w:rsidRPr="00D85CD0" w:rsidRDefault="005F3049" w:rsidP="00AD6C64">
            <w:pPr>
              <w:rPr>
                <w:rFonts w:ascii="Arial Narrow" w:hAnsi="Arial Narrow" w:cs="Open Sans"/>
                <w:sz w:val="20"/>
                <w:szCs w:val="20"/>
              </w:rPr>
            </w:pPr>
          </w:p>
        </w:tc>
        <w:tc>
          <w:tcPr>
            <w:tcW w:w="4374" w:type="pct"/>
            <w:gridSpan w:val="6"/>
          </w:tcPr>
          <w:p w14:paraId="644F8DE8" w14:textId="77777777" w:rsidR="005F3049" w:rsidRPr="00D85CD0" w:rsidRDefault="005F3049" w:rsidP="00AD6C64">
            <w:pPr>
              <w:rPr>
                <w:rFonts w:ascii="Arial Narrow" w:hAnsi="Arial Narrow" w:cs="Open Sans"/>
                <w:sz w:val="20"/>
                <w:szCs w:val="20"/>
              </w:rPr>
            </w:pPr>
          </w:p>
        </w:tc>
      </w:tr>
      <w:tr w:rsidR="005F3049" w:rsidRPr="00D85CD0" w14:paraId="34D09DF4" w14:textId="77777777" w:rsidTr="00A861E6">
        <w:tblPrEx>
          <w:tblCellMar>
            <w:top w:w="15" w:type="dxa"/>
            <w:bottom w:w="15" w:type="dxa"/>
          </w:tblCellMar>
        </w:tblPrEx>
        <w:trPr>
          <w:cantSplit/>
          <w:trHeight w:val="20"/>
        </w:trPr>
        <w:tc>
          <w:tcPr>
            <w:tcW w:w="626" w:type="pct"/>
            <w:gridSpan w:val="2"/>
          </w:tcPr>
          <w:p w14:paraId="3FF8940F" w14:textId="6E9EE9C3" w:rsidR="005F3049" w:rsidRPr="00D85CD0" w:rsidRDefault="005F3049" w:rsidP="00AD6C64">
            <w:pPr>
              <w:rPr>
                <w:rFonts w:ascii="Arial Narrow" w:hAnsi="Arial Narrow"/>
                <w:sz w:val="20"/>
                <w:szCs w:val="20"/>
              </w:rPr>
            </w:pPr>
          </w:p>
        </w:tc>
        <w:tc>
          <w:tcPr>
            <w:tcW w:w="4374" w:type="pct"/>
            <w:gridSpan w:val="6"/>
          </w:tcPr>
          <w:p w14:paraId="3E54E3F5"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Style w:val="Strong"/>
                <w:rFonts w:ascii="Arial Narrow" w:hAnsi="Arial Narrow" w:cs="Open Sans"/>
                <w:sz w:val="20"/>
                <w:szCs w:val="20"/>
                <w:bdr w:val="none" w:sz="0" w:space="0" w:color="auto" w:frame="1"/>
              </w:rPr>
              <w:t>Prescribing Instructions:</w:t>
            </w:r>
          </w:p>
          <w:p w14:paraId="59BA060B"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Fonts w:ascii="Arial Narrow" w:hAnsi="Arial Narrow" w:cs="Open Sans"/>
                <w:sz w:val="20"/>
                <w:szCs w:val="20"/>
              </w:rPr>
              <w:t>Histologic assessment should be based on the peak eosinophils count derived, where necessary, from the evaluation of at least eight oesophageal biopsies (minimum of four collected from each of the mid and distal segments, with the distal segment biopsies taken at least 5 cm above the gastroesophageal junction).</w:t>
            </w:r>
          </w:p>
          <w:p w14:paraId="5086BE3E" w14:textId="77777777" w:rsidR="005F3049" w:rsidRPr="00D85CD0" w:rsidRDefault="005F3049" w:rsidP="00AD6C64">
            <w:pPr>
              <w:rPr>
                <w:rFonts w:ascii="Arial Narrow" w:hAnsi="Arial Narrow" w:cs="Open Sans"/>
                <w:sz w:val="20"/>
                <w:szCs w:val="20"/>
              </w:rPr>
            </w:pPr>
            <w:r w:rsidRPr="00D85CD0">
              <w:rPr>
                <w:rFonts w:ascii="Arial Narrow" w:hAnsi="Arial Narrow" w:cs="Open Sans"/>
                <w:sz w:val="20"/>
                <w:szCs w:val="20"/>
              </w:rPr>
              <w:t xml:space="preserve">The histologic assessment should, where possible, be performed by </w:t>
            </w:r>
            <w:r w:rsidRPr="00D85CD0">
              <w:rPr>
                <w:rFonts w:ascii="Arial Narrow" w:hAnsi="Arial Narrow" w:cs="Open Sans"/>
                <w:i/>
                <w:iCs/>
                <w:sz w:val="20"/>
                <w:szCs w:val="20"/>
              </w:rPr>
              <w:t>or in consultation with</w:t>
            </w:r>
            <w:r w:rsidRPr="00D85CD0">
              <w:rPr>
                <w:rFonts w:ascii="Arial Narrow" w:hAnsi="Arial Narrow" w:cs="Open Sans"/>
                <w:sz w:val="20"/>
                <w:szCs w:val="20"/>
              </w:rPr>
              <w:t xml:space="preserve"> the same physician </w:t>
            </w:r>
            <w:r w:rsidRPr="00D85CD0">
              <w:rPr>
                <w:rFonts w:ascii="Arial Narrow" w:hAnsi="Arial Narrow" w:cs="Open Sans"/>
                <w:i/>
                <w:iCs/>
                <w:sz w:val="20"/>
                <w:szCs w:val="20"/>
              </w:rPr>
              <w:t>or surgeon</w:t>
            </w:r>
            <w:r w:rsidRPr="00D85CD0">
              <w:rPr>
                <w:rFonts w:ascii="Arial Narrow" w:hAnsi="Arial Narrow" w:cs="Open Sans"/>
                <w:sz w:val="20"/>
                <w:szCs w:val="20"/>
              </w:rPr>
              <w:t xml:space="preserve"> who confirmed the diagnosis of eosinophilic oesophagitis in the patient. This assessment, which will be used to determine eligibility for continuing treatment, should be conducted </w:t>
            </w:r>
            <w:r w:rsidRPr="00D85CD0">
              <w:rPr>
                <w:rFonts w:ascii="Arial Narrow" w:hAnsi="Arial Narrow" w:cs="Open Sans"/>
                <w:strike/>
                <w:sz w:val="20"/>
                <w:szCs w:val="20"/>
              </w:rPr>
              <w:t>and submitted after the patient has completed 8 weeks of the initial treatment course and</w:t>
            </w:r>
            <w:r w:rsidRPr="00D85CD0">
              <w:rPr>
                <w:rFonts w:ascii="Arial Narrow" w:hAnsi="Arial Narrow" w:cs="Open Sans"/>
                <w:sz w:val="20"/>
                <w:szCs w:val="20"/>
              </w:rPr>
              <w:t xml:space="preserve"> </w:t>
            </w:r>
            <w:r w:rsidRPr="00682EBA">
              <w:rPr>
                <w:rFonts w:ascii="Arial Narrow" w:hAnsi="Arial Narrow" w:cs="Open Sans"/>
                <w:i/>
                <w:iCs/>
                <w:sz w:val="20"/>
                <w:szCs w:val="20"/>
              </w:rPr>
              <w:t>between 12-24 weeks of initiating therapy</w:t>
            </w:r>
            <w:r w:rsidRPr="00D85CD0">
              <w:rPr>
                <w:rFonts w:ascii="Arial Narrow" w:hAnsi="Arial Narrow" w:cs="Open Sans"/>
                <w:sz w:val="20"/>
                <w:szCs w:val="20"/>
              </w:rPr>
              <w:t xml:space="preserve"> </w:t>
            </w:r>
            <w:r w:rsidRPr="00D85CD0">
              <w:rPr>
                <w:rFonts w:ascii="Arial Narrow" w:hAnsi="Arial Narrow" w:cs="Open Sans"/>
                <w:strike/>
                <w:sz w:val="20"/>
                <w:szCs w:val="20"/>
              </w:rPr>
              <w:t>and no later than 2 weeks prior to the patient completing the PBS-subsidised initial treatment course, to avoid an interruption to supply</w:t>
            </w:r>
            <w:r w:rsidRPr="00D85CD0">
              <w:rPr>
                <w:rFonts w:ascii="Arial Narrow" w:hAnsi="Arial Narrow" w:cs="Open Sans"/>
                <w:sz w:val="20"/>
                <w:szCs w:val="20"/>
              </w:rPr>
              <w:t xml:space="preserve">. </w:t>
            </w:r>
            <w:r w:rsidRPr="00682EBA">
              <w:rPr>
                <w:rStyle w:val="Strong"/>
                <w:rFonts w:ascii="Arial Narrow" w:hAnsi="Arial Narrow" w:cs="Open Sans"/>
                <w:b w:val="0"/>
                <w:bCs w:val="0"/>
                <w:i/>
                <w:iCs/>
                <w:sz w:val="20"/>
                <w:szCs w:val="20"/>
                <w:bdr w:val="none" w:sz="0" w:space="0" w:color="auto" w:frame="1"/>
              </w:rPr>
              <w:t>The histologic assessment should be conducted no later than 2 weeks prior to the patient completing the PBS subsidised first continuing maintenance treatment course to avoid an interruption of supply for continuing therapy.</w:t>
            </w:r>
            <w:r w:rsidRPr="00D85CD0">
              <w:rPr>
                <w:rFonts w:ascii="Arial Narrow" w:hAnsi="Arial Narrow" w:cs="Open Sans"/>
                <w:sz w:val="20"/>
                <w:szCs w:val="20"/>
              </w:rPr>
              <w:t xml:space="preserve"> Where a histologic assessment is not undertaken </w:t>
            </w:r>
            <w:r w:rsidRPr="00D85CD0">
              <w:rPr>
                <w:rFonts w:ascii="Arial Narrow" w:hAnsi="Arial Narrow" w:cs="Open Sans"/>
                <w:strike/>
                <w:sz w:val="20"/>
                <w:szCs w:val="20"/>
              </w:rPr>
              <w:t>and the results submitted,</w:t>
            </w:r>
            <w:r w:rsidRPr="005F62EB">
              <w:rPr>
                <w:rFonts w:ascii="Arial Narrow" w:hAnsi="Arial Narrow" w:cs="Open Sans"/>
                <w:sz w:val="20"/>
                <w:szCs w:val="20"/>
              </w:rPr>
              <w:t xml:space="preserve"> the patient will </w:t>
            </w:r>
            <w:r w:rsidRPr="00D85CD0">
              <w:rPr>
                <w:rFonts w:ascii="Arial Narrow" w:hAnsi="Arial Narrow" w:cs="Open Sans"/>
                <w:strike/>
                <w:sz w:val="20"/>
                <w:szCs w:val="20"/>
              </w:rPr>
              <w:t>be</w:t>
            </w:r>
            <w:r w:rsidRPr="00D85CD0">
              <w:rPr>
                <w:rFonts w:ascii="Arial Narrow" w:hAnsi="Arial Narrow" w:cs="Open Sans"/>
                <w:sz w:val="20"/>
                <w:szCs w:val="20"/>
              </w:rPr>
              <w:t xml:space="preserve"> not be eligible for ongoing treatment.</w:t>
            </w:r>
          </w:p>
          <w:p w14:paraId="5C3D4017" w14:textId="77777777" w:rsidR="005F3049" w:rsidRPr="00D85CD0" w:rsidRDefault="005F3049" w:rsidP="00AD6C64">
            <w:pPr>
              <w:rPr>
                <w:rFonts w:ascii="Arial Narrow" w:hAnsi="Arial Narrow"/>
                <w:i/>
                <w:iCs/>
                <w:sz w:val="20"/>
                <w:szCs w:val="20"/>
              </w:rPr>
            </w:pPr>
            <w:r w:rsidRPr="00D85CD0">
              <w:rPr>
                <w:rFonts w:ascii="Arial Narrow" w:hAnsi="Arial Narrow"/>
                <w:i/>
                <w:iCs/>
                <w:sz w:val="20"/>
                <w:szCs w:val="20"/>
              </w:rPr>
              <w:t xml:space="preserve">The result of the histological assessment must be documented in the patient’s medical records. </w:t>
            </w:r>
          </w:p>
        </w:tc>
      </w:tr>
    </w:tbl>
    <w:p w14:paraId="42486D30" w14:textId="77777777" w:rsidR="005F3049" w:rsidRPr="00D85CD0" w:rsidRDefault="005F3049" w:rsidP="005F30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37"/>
        <w:gridCol w:w="492"/>
        <w:gridCol w:w="2694"/>
        <w:gridCol w:w="1275"/>
        <w:gridCol w:w="851"/>
        <w:gridCol w:w="849"/>
        <w:gridCol w:w="718"/>
        <w:gridCol w:w="1500"/>
      </w:tblGrid>
      <w:tr w:rsidR="005F3049" w:rsidRPr="00D85CD0" w14:paraId="3FDAB83B" w14:textId="77777777" w:rsidTr="00AD6C64">
        <w:trPr>
          <w:cantSplit/>
          <w:trHeight w:val="20"/>
        </w:trPr>
        <w:tc>
          <w:tcPr>
            <w:tcW w:w="2120" w:type="pct"/>
            <w:gridSpan w:val="3"/>
            <w:tcBorders>
              <w:top w:val="single" w:sz="4" w:space="0" w:color="auto"/>
              <w:left w:val="single" w:sz="4" w:space="0" w:color="auto"/>
              <w:bottom w:val="single" w:sz="4" w:space="0" w:color="auto"/>
              <w:right w:val="single" w:sz="4" w:space="0" w:color="auto"/>
            </w:tcBorders>
          </w:tcPr>
          <w:p w14:paraId="6F919237" w14:textId="77777777" w:rsidR="005F3049" w:rsidRPr="00D85CD0" w:rsidRDefault="005F3049" w:rsidP="00AD6C64">
            <w:pPr>
              <w:keepNext/>
              <w:ind w:left="-108"/>
              <w:rPr>
                <w:rFonts w:ascii="Arial Narrow" w:hAnsi="Arial Narrow" w:cs="Arial"/>
                <w:b/>
                <w:bCs/>
                <w:sz w:val="20"/>
                <w:szCs w:val="20"/>
              </w:rPr>
            </w:pPr>
            <w:r w:rsidRPr="00D85CD0">
              <w:rPr>
                <w:rFonts w:ascii="Arial Narrow" w:hAnsi="Arial Narrow" w:cs="Arial"/>
                <w:b/>
                <w:bCs/>
                <w:sz w:val="20"/>
                <w:szCs w:val="20"/>
              </w:rPr>
              <w:t>MEDICINAL PRODUCT</w:t>
            </w:r>
          </w:p>
          <w:p w14:paraId="3EA348A2" w14:textId="77777777" w:rsidR="005F3049" w:rsidRPr="00D85CD0" w:rsidRDefault="005F3049" w:rsidP="00AD6C64">
            <w:pPr>
              <w:pStyle w:val="NormalWeb"/>
              <w:spacing w:before="0" w:beforeAutospacing="0" w:after="0" w:afterAutospacing="0"/>
              <w:textAlignment w:val="baseline"/>
              <w:rPr>
                <w:rFonts w:ascii="Arial Narrow" w:hAnsi="Arial Narrow"/>
                <w:b/>
                <w:sz w:val="20"/>
                <w:szCs w:val="20"/>
              </w:rPr>
            </w:pPr>
            <w:r w:rsidRPr="00D85CD0">
              <w:rPr>
                <w:rFonts w:ascii="Arial Narrow" w:hAnsi="Arial Narrow" w:cs="Arial"/>
                <w:b/>
                <w:bCs/>
                <w:sz w:val="20"/>
                <w:szCs w:val="20"/>
              </w:rPr>
              <w:t xml:space="preserve"> Medicinal Product Pack</w:t>
            </w:r>
          </w:p>
        </w:tc>
        <w:tc>
          <w:tcPr>
            <w:tcW w:w="707" w:type="pct"/>
            <w:tcBorders>
              <w:top w:val="single" w:sz="4" w:space="0" w:color="auto"/>
              <w:left w:val="single" w:sz="4" w:space="0" w:color="auto"/>
              <w:bottom w:val="single" w:sz="4" w:space="0" w:color="auto"/>
              <w:right w:val="single" w:sz="4" w:space="0" w:color="auto"/>
            </w:tcBorders>
          </w:tcPr>
          <w:p w14:paraId="1926440C" w14:textId="77777777" w:rsidR="005F3049" w:rsidRPr="00D85CD0" w:rsidRDefault="005F3049" w:rsidP="00AD6C64">
            <w:pPr>
              <w:pStyle w:val="NormalWeb"/>
              <w:spacing w:before="0" w:beforeAutospacing="0" w:after="0" w:afterAutospacing="0"/>
              <w:textAlignment w:val="baseline"/>
              <w:rPr>
                <w:rFonts w:ascii="Arial Narrow" w:hAnsi="Arial Narrow"/>
                <w:b/>
                <w:sz w:val="20"/>
                <w:szCs w:val="20"/>
              </w:rPr>
            </w:pPr>
            <w:r w:rsidRPr="00D85CD0">
              <w:rPr>
                <w:rFonts w:ascii="Arial Narrow" w:hAnsi="Arial Narrow" w:cs="Arial"/>
                <w:b/>
                <w:sz w:val="20"/>
                <w:szCs w:val="20"/>
              </w:rPr>
              <w:t>PBS item code</w:t>
            </w:r>
          </w:p>
        </w:tc>
        <w:tc>
          <w:tcPr>
            <w:tcW w:w="472" w:type="pct"/>
            <w:tcBorders>
              <w:top w:val="single" w:sz="4" w:space="0" w:color="auto"/>
              <w:left w:val="single" w:sz="4" w:space="0" w:color="auto"/>
              <w:bottom w:val="single" w:sz="4" w:space="0" w:color="auto"/>
              <w:right w:val="single" w:sz="4" w:space="0" w:color="auto"/>
            </w:tcBorders>
          </w:tcPr>
          <w:p w14:paraId="6C0D47FD" w14:textId="77777777" w:rsidR="005F3049" w:rsidRPr="00D85CD0" w:rsidRDefault="005F3049" w:rsidP="00AD6C64">
            <w:pPr>
              <w:pStyle w:val="NormalWeb"/>
              <w:spacing w:before="0" w:beforeAutospacing="0" w:after="0" w:afterAutospacing="0"/>
              <w:textAlignment w:val="baseline"/>
              <w:rPr>
                <w:rFonts w:ascii="Arial Narrow" w:hAnsi="Arial Narrow"/>
                <w:b/>
                <w:sz w:val="20"/>
                <w:szCs w:val="20"/>
              </w:rPr>
            </w:pPr>
            <w:r w:rsidRPr="00D85CD0">
              <w:rPr>
                <w:rFonts w:ascii="Arial Narrow" w:hAnsi="Arial Narrow" w:cs="Arial"/>
                <w:b/>
                <w:sz w:val="20"/>
                <w:szCs w:val="20"/>
              </w:rPr>
              <w:t>Max. qty packs</w:t>
            </w:r>
          </w:p>
        </w:tc>
        <w:tc>
          <w:tcPr>
            <w:tcW w:w="471" w:type="pct"/>
            <w:tcBorders>
              <w:top w:val="single" w:sz="4" w:space="0" w:color="auto"/>
              <w:left w:val="single" w:sz="4" w:space="0" w:color="auto"/>
              <w:bottom w:val="single" w:sz="4" w:space="0" w:color="auto"/>
              <w:right w:val="single" w:sz="4" w:space="0" w:color="auto"/>
            </w:tcBorders>
          </w:tcPr>
          <w:p w14:paraId="548FA7A0" w14:textId="77777777" w:rsidR="005F3049" w:rsidRPr="00D85CD0" w:rsidRDefault="005F3049" w:rsidP="00AD6C64">
            <w:pPr>
              <w:pStyle w:val="NormalWeb"/>
              <w:spacing w:before="0" w:beforeAutospacing="0" w:after="0" w:afterAutospacing="0"/>
              <w:textAlignment w:val="baseline"/>
              <w:rPr>
                <w:rFonts w:ascii="Arial Narrow" w:hAnsi="Arial Narrow"/>
                <w:b/>
                <w:sz w:val="20"/>
                <w:szCs w:val="20"/>
              </w:rPr>
            </w:pPr>
            <w:r w:rsidRPr="00D85CD0">
              <w:rPr>
                <w:rFonts w:ascii="Arial Narrow" w:hAnsi="Arial Narrow" w:cs="Arial"/>
                <w:b/>
                <w:sz w:val="20"/>
                <w:szCs w:val="20"/>
              </w:rPr>
              <w:t>Max. qty units</w:t>
            </w:r>
          </w:p>
        </w:tc>
        <w:tc>
          <w:tcPr>
            <w:tcW w:w="398" w:type="pct"/>
            <w:tcBorders>
              <w:top w:val="single" w:sz="4" w:space="0" w:color="auto"/>
              <w:left w:val="single" w:sz="4" w:space="0" w:color="auto"/>
              <w:bottom w:val="single" w:sz="4" w:space="0" w:color="auto"/>
              <w:right w:val="single" w:sz="4" w:space="0" w:color="auto"/>
            </w:tcBorders>
          </w:tcPr>
          <w:p w14:paraId="261E8290"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№.of</w:t>
            </w:r>
          </w:p>
          <w:p w14:paraId="7B839531" w14:textId="77777777" w:rsidR="005F3049" w:rsidRPr="00D85CD0" w:rsidRDefault="005F3049" w:rsidP="00AD6C64">
            <w:pPr>
              <w:pStyle w:val="NormalWeb"/>
              <w:spacing w:before="0" w:beforeAutospacing="0" w:after="0" w:afterAutospacing="0"/>
              <w:textAlignment w:val="baseline"/>
              <w:rPr>
                <w:rFonts w:ascii="Arial Narrow" w:hAnsi="Arial Narrow"/>
                <w:b/>
                <w:sz w:val="20"/>
                <w:szCs w:val="20"/>
              </w:rPr>
            </w:pPr>
            <w:r w:rsidRPr="00D85CD0">
              <w:rPr>
                <w:rFonts w:ascii="Arial Narrow" w:hAnsi="Arial Narrow" w:cs="Arial"/>
                <w:b/>
                <w:sz w:val="20"/>
                <w:szCs w:val="20"/>
              </w:rPr>
              <w:t>Rpts</w:t>
            </w:r>
          </w:p>
        </w:tc>
        <w:tc>
          <w:tcPr>
            <w:tcW w:w="832" w:type="pct"/>
            <w:tcBorders>
              <w:top w:val="single" w:sz="4" w:space="0" w:color="auto"/>
              <w:left w:val="single" w:sz="4" w:space="0" w:color="auto"/>
              <w:bottom w:val="single" w:sz="4" w:space="0" w:color="auto"/>
              <w:right w:val="single" w:sz="4" w:space="0" w:color="auto"/>
            </w:tcBorders>
          </w:tcPr>
          <w:p w14:paraId="01FF7290" w14:textId="77777777" w:rsidR="005F3049" w:rsidRPr="00D85CD0" w:rsidRDefault="005F3049" w:rsidP="00AD6C64">
            <w:pPr>
              <w:pStyle w:val="NormalWeb"/>
              <w:spacing w:before="0" w:beforeAutospacing="0" w:after="0" w:afterAutospacing="0"/>
              <w:textAlignment w:val="baseline"/>
              <w:rPr>
                <w:rFonts w:ascii="Arial Narrow" w:hAnsi="Arial Narrow"/>
                <w:b/>
                <w:sz w:val="20"/>
                <w:szCs w:val="20"/>
              </w:rPr>
            </w:pPr>
            <w:r w:rsidRPr="00D85CD0">
              <w:rPr>
                <w:rFonts w:ascii="Arial Narrow" w:hAnsi="Arial Narrow" w:cs="Arial"/>
                <w:b/>
                <w:sz w:val="20"/>
                <w:szCs w:val="20"/>
              </w:rPr>
              <w:t>Available brands</w:t>
            </w:r>
          </w:p>
        </w:tc>
      </w:tr>
      <w:tr w:rsidR="005F3049" w:rsidRPr="00D85CD0" w14:paraId="1129F014" w14:textId="77777777" w:rsidTr="00AD6C64">
        <w:trPr>
          <w:cantSplit/>
          <w:trHeight w:val="2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44DA98EF" w14:textId="77777777" w:rsidR="005F3049" w:rsidRPr="00D85CD0" w:rsidRDefault="005F3049" w:rsidP="00AD6C64">
            <w:pPr>
              <w:pStyle w:val="NormalWeb"/>
              <w:spacing w:before="0" w:beforeAutospacing="0" w:after="0" w:afterAutospacing="0"/>
              <w:textAlignment w:val="baseline"/>
              <w:rPr>
                <w:rFonts w:ascii="Arial Narrow" w:hAnsi="Arial Narrow"/>
                <w:b/>
                <w:sz w:val="20"/>
                <w:szCs w:val="20"/>
              </w:rPr>
            </w:pPr>
            <w:r w:rsidRPr="00D85CD0">
              <w:rPr>
                <w:rFonts w:ascii="Arial Narrow" w:hAnsi="Arial Narrow" w:cs="Arial"/>
                <w:sz w:val="20"/>
                <w:szCs w:val="20"/>
              </w:rPr>
              <w:t>BUDESONIDE</w:t>
            </w:r>
          </w:p>
        </w:tc>
      </w:tr>
      <w:tr w:rsidR="005F3049" w:rsidRPr="00D85CD0" w14:paraId="16D4F85F" w14:textId="77777777" w:rsidTr="00AD6C64">
        <w:trPr>
          <w:cantSplit/>
          <w:trHeight w:val="20"/>
        </w:trPr>
        <w:tc>
          <w:tcPr>
            <w:tcW w:w="2120" w:type="pct"/>
            <w:gridSpan w:val="3"/>
            <w:tcBorders>
              <w:top w:val="single" w:sz="4" w:space="0" w:color="auto"/>
              <w:left w:val="single" w:sz="4" w:space="0" w:color="auto"/>
              <w:bottom w:val="single" w:sz="4" w:space="0" w:color="auto"/>
              <w:right w:val="single" w:sz="4" w:space="0" w:color="auto"/>
            </w:tcBorders>
            <w:vAlign w:val="center"/>
          </w:tcPr>
          <w:p w14:paraId="10EBEE49" w14:textId="77777777" w:rsidR="005F3049" w:rsidRPr="00D85CD0" w:rsidRDefault="005F3049" w:rsidP="00AD6C64">
            <w:pPr>
              <w:pStyle w:val="NormalWeb"/>
              <w:spacing w:before="0" w:beforeAutospacing="0" w:after="0" w:afterAutospacing="0"/>
              <w:textAlignment w:val="baseline"/>
              <w:rPr>
                <w:rFonts w:ascii="Arial Narrow" w:hAnsi="Arial Narrow"/>
                <w:b/>
                <w:sz w:val="20"/>
                <w:szCs w:val="20"/>
              </w:rPr>
            </w:pPr>
            <w:r w:rsidRPr="00D85CD0">
              <w:rPr>
                <w:rFonts w:ascii="Arial Narrow" w:hAnsi="Arial Narrow" w:cs="Arial"/>
                <w:sz w:val="20"/>
                <w:szCs w:val="20"/>
              </w:rPr>
              <w:t>budesonide 500 microgram orally disintegrating tablet, 60</w:t>
            </w:r>
          </w:p>
        </w:tc>
        <w:tc>
          <w:tcPr>
            <w:tcW w:w="707" w:type="pct"/>
            <w:tcBorders>
              <w:top w:val="single" w:sz="4" w:space="0" w:color="auto"/>
              <w:left w:val="single" w:sz="4" w:space="0" w:color="auto"/>
              <w:bottom w:val="single" w:sz="4" w:space="0" w:color="auto"/>
              <w:right w:val="single" w:sz="4" w:space="0" w:color="auto"/>
            </w:tcBorders>
            <w:vAlign w:val="center"/>
          </w:tcPr>
          <w:p w14:paraId="462110C7" w14:textId="77777777" w:rsidR="005F3049" w:rsidRPr="00D85CD0" w:rsidRDefault="005F3049" w:rsidP="00AD6C64">
            <w:pPr>
              <w:pStyle w:val="NormalWeb"/>
              <w:spacing w:before="0" w:beforeAutospacing="0" w:after="0" w:afterAutospacing="0"/>
              <w:textAlignment w:val="baseline"/>
              <w:rPr>
                <w:rFonts w:ascii="Arial Narrow" w:hAnsi="Arial Narrow"/>
                <w:b/>
                <w:sz w:val="20"/>
                <w:szCs w:val="20"/>
              </w:rPr>
            </w:pPr>
            <w:r w:rsidRPr="00D85CD0">
              <w:rPr>
                <w:rFonts w:ascii="Arial Narrow" w:hAnsi="Arial Narrow" w:cs="Arial"/>
                <w:sz w:val="20"/>
                <w:szCs w:val="20"/>
              </w:rPr>
              <w:t>12987M</w:t>
            </w:r>
          </w:p>
        </w:tc>
        <w:tc>
          <w:tcPr>
            <w:tcW w:w="472" w:type="pct"/>
            <w:tcBorders>
              <w:top w:val="single" w:sz="4" w:space="0" w:color="auto"/>
              <w:left w:val="single" w:sz="4" w:space="0" w:color="auto"/>
              <w:bottom w:val="single" w:sz="4" w:space="0" w:color="auto"/>
              <w:right w:val="single" w:sz="4" w:space="0" w:color="auto"/>
            </w:tcBorders>
            <w:vAlign w:val="center"/>
          </w:tcPr>
          <w:p w14:paraId="7D8D8D36" w14:textId="77777777" w:rsidR="005F3049" w:rsidRPr="00D85CD0" w:rsidRDefault="005F3049" w:rsidP="00AD6C64">
            <w:pPr>
              <w:pStyle w:val="NormalWeb"/>
              <w:spacing w:before="0" w:beforeAutospacing="0" w:after="0" w:afterAutospacing="0"/>
              <w:textAlignment w:val="baseline"/>
              <w:rPr>
                <w:rFonts w:ascii="Arial Narrow" w:hAnsi="Arial Narrow"/>
                <w:b/>
                <w:sz w:val="20"/>
                <w:szCs w:val="20"/>
              </w:rPr>
            </w:pPr>
            <w:r w:rsidRPr="00D85CD0">
              <w:rPr>
                <w:rFonts w:ascii="Arial Narrow" w:hAnsi="Arial Narrow" w:cs="Arial"/>
                <w:sz w:val="20"/>
                <w:szCs w:val="20"/>
              </w:rPr>
              <w:t>1</w:t>
            </w:r>
          </w:p>
        </w:tc>
        <w:tc>
          <w:tcPr>
            <w:tcW w:w="471" w:type="pct"/>
            <w:tcBorders>
              <w:top w:val="single" w:sz="4" w:space="0" w:color="auto"/>
              <w:left w:val="single" w:sz="4" w:space="0" w:color="auto"/>
              <w:bottom w:val="single" w:sz="4" w:space="0" w:color="auto"/>
              <w:right w:val="single" w:sz="4" w:space="0" w:color="auto"/>
            </w:tcBorders>
            <w:vAlign w:val="center"/>
          </w:tcPr>
          <w:p w14:paraId="3A6F588A" w14:textId="77777777" w:rsidR="005F3049" w:rsidRPr="00D85CD0" w:rsidRDefault="005F3049" w:rsidP="00AD6C64">
            <w:pPr>
              <w:pStyle w:val="NormalWeb"/>
              <w:spacing w:before="0" w:beforeAutospacing="0" w:after="0" w:afterAutospacing="0"/>
              <w:textAlignment w:val="baseline"/>
              <w:rPr>
                <w:rFonts w:ascii="Arial Narrow" w:hAnsi="Arial Narrow"/>
                <w:b/>
                <w:sz w:val="20"/>
                <w:szCs w:val="20"/>
              </w:rPr>
            </w:pPr>
            <w:r w:rsidRPr="00D85CD0">
              <w:rPr>
                <w:rFonts w:ascii="Arial Narrow" w:hAnsi="Arial Narrow" w:cs="Arial"/>
                <w:sz w:val="20"/>
                <w:szCs w:val="20"/>
              </w:rPr>
              <w:t>60</w:t>
            </w:r>
          </w:p>
        </w:tc>
        <w:tc>
          <w:tcPr>
            <w:tcW w:w="398" w:type="pct"/>
            <w:tcBorders>
              <w:top w:val="single" w:sz="4" w:space="0" w:color="auto"/>
              <w:left w:val="single" w:sz="4" w:space="0" w:color="auto"/>
              <w:bottom w:val="single" w:sz="4" w:space="0" w:color="auto"/>
              <w:right w:val="single" w:sz="4" w:space="0" w:color="auto"/>
            </w:tcBorders>
            <w:vAlign w:val="center"/>
          </w:tcPr>
          <w:p w14:paraId="5CA46CCA" w14:textId="77777777" w:rsidR="005F3049" w:rsidRPr="00D85CD0" w:rsidRDefault="005F3049" w:rsidP="00AD6C64">
            <w:pPr>
              <w:pStyle w:val="NormalWeb"/>
              <w:spacing w:before="0" w:beforeAutospacing="0" w:after="0" w:afterAutospacing="0"/>
              <w:textAlignment w:val="baseline"/>
              <w:rPr>
                <w:rFonts w:ascii="Arial Narrow" w:hAnsi="Arial Narrow"/>
                <w:b/>
                <w:sz w:val="20"/>
                <w:szCs w:val="20"/>
              </w:rPr>
            </w:pPr>
            <w:r w:rsidRPr="00D85CD0">
              <w:rPr>
                <w:rFonts w:ascii="Arial Narrow" w:hAnsi="Arial Narrow" w:cs="Arial"/>
                <w:sz w:val="20"/>
                <w:szCs w:val="20"/>
              </w:rPr>
              <w:t>5</w:t>
            </w:r>
          </w:p>
        </w:tc>
        <w:tc>
          <w:tcPr>
            <w:tcW w:w="832" w:type="pct"/>
            <w:tcBorders>
              <w:top w:val="single" w:sz="4" w:space="0" w:color="auto"/>
              <w:left w:val="single" w:sz="4" w:space="0" w:color="auto"/>
              <w:bottom w:val="single" w:sz="4" w:space="0" w:color="auto"/>
              <w:right w:val="single" w:sz="4" w:space="0" w:color="auto"/>
            </w:tcBorders>
            <w:vAlign w:val="center"/>
          </w:tcPr>
          <w:p w14:paraId="2AEE663D" w14:textId="77777777" w:rsidR="005F3049" w:rsidRPr="00D85CD0" w:rsidRDefault="005F3049" w:rsidP="00AD6C64">
            <w:pPr>
              <w:pStyle w:val="NormalWeb"/>
              <w:spacing w:before="0" w:beforeAutospacing="0" w:after="0" w:afterAutospacing="0"/>
              <w:textAlignment w:val="baseline"/>
              <w:rPr>
                <w:rFonts w:ascii="Arial Narrow" w:hAnsi="Arial Narrow"/>
                <w:b/>
                <w:sz w:val="20"/>
                <w:szCs w:val="20"/>
              </w:rPr>
            </w:pPr>
            <w:r w:rsidRPr="00D85CD0">
              <w:rPr>
                <w:rFonts w:ascii="Arial Narrow" w:hAnsi="Arial Narrow" w:cs="Arial"/>
                <w:sz w:val="20"/>
                <w:szCs w:val="20"/>
              </w:rPr>
              <w:t>Jorveza</w:t>
            </w:r>
          </w:p>
        </w:tc>
      </w:tr>
      <w:tr w:rsidR="005F3049" w:rsidRPr="00D85CD0" w14:paraId="1A975DCE" w14:textId="77777777" w:rsidTr="00AD6C64">
        <w:trPr>
          <w:cantSplit/>
          <w:trHeight w:val="20"/>
        </w:trPr>
        <w:tc>
          <w:tcPr>
            <w:tcW w:w="2120" w:type="pct"/>
            <w:gridSpan w:val="3"/>
            <w:tcBorders>
              <w:top w:val="single" w:sz="4" w:space="0" w:color="auto"/>
              <w:left w:val="single" w:sz="4" w:space="0" w:color="auto"/>
              <w:bottom w:val="single" w:sz="4" w:space="0" w:color="auto"/>
              <w:right w:val="single" w:sz="4" w:space="0" w:color="auto"/>
            </w:tcBorders>
          </w:tcPr>
          <w:p w14:paraId="03490F8F" w14:textId="77777777" w:rsidR="005F3049" w:rsidRPr="00D85CD0" w:rsidRDefault="005F3049" w:rsidP="00AD6C64">
            <w:pPr>
              <w:pStyle w:val="NormalWeb"/>
              <w:spacing w:before="0" w:beforeAutospacing="0" w:after="0" w:afterAutospacing="0"/>
              <w:textAlignment w:val="baseline"/>
              <w:rPr>
                <w:rFonts w:ascii="Arial Narrow" w:hAnsi="Arial Narrow"/>
                <w:b/>
                <w:sz w:val="20"/>
                <w:szCs w:val="20"/>
              </w:rPr>
            </w:pPr>
            <w:r w:rsidRPr="00D85CD0">
              <w:rPr>
                <w:rFonts w:ascii="Arial Narrow" w:hAnsi="Arial Narrow" w:cs="Arial"/>
                <w:sz w:val="20"/>
                <w:szCs w:val="20"/>
              </w:rPr>
              <w:t>budesonide 1 mg orally disintegrating tablet, 60</w:t>
            </w:r>
          </w:p>
        </w:tc>
        <w:tc>
          <w:tcPr>
            <w:tcW w:w="707" w:type="pct"/>
            <w:tcBorders>
              <w:top w:val="single" w:sz="4" w:space="0" w:color="auto"/>
              <w:left w:val="single" w:sz="4" w:space="0" w:color="auto"/>
              <w:bottom w:val="single" w:sz="4" w:space="0" w:color="auto"/>
              <w:right w:val="single" w:sz="4" w:space="0" w:color="auto"/>
            </w:tcBorders>
            <w:vAlign w:val="center"/>
          </w:tcPr>
          <w:p w14:paraId="24E69986" w14:textId="77777777" w:rsidR="005F3049" w:rsidRPr="00D85CD0" w:rsidRDefault="005F3049" w:rsidP="00AD6C64">
            <w:pPr>
              <w:pStyle w:val="NormalWeb"/>
              <w:spacing w:before="0" w:beforeAutospacing="0" w:after="0" w:afterAutospacing="0"/>
              <w:textAlignment w:val="baseline"/>
              <w:rPr>
                <w:rFonts w:ascii="Arial Narrow" w:hAnsi="Arial Narrow"/>
                <w:b/>
                <w:sz w:val="20"/>
                <w:szCs w:val="20"/>
              </w:rPr>
            </w:pPr>
            <w:r w:rsidRPr="00D85CD0">
              <w:rPr>
                <w:rFonts w:ascii="Arial Narrow" w:hAnsi="Arial Narrow" w:cs="Arial"/>
                <w:sz w:val="20"/>
                <w:szCs w:val="20"/>
              </w:rPr>
              <w:t>12982G</w:t>
            </w:r>
          </w:p>
        </w:tc>
        <w:tc>
          <w:tcPr>
            <w:tcW w:w="472" w:type="pct"/>
            <w:tcBorders>
              <w:top w:val="single" w:sz="4" w:space="0" w:color="auto"/>
              <w:left w:val="single" w:sz="4" w:space="0" w:color="auto"/>
              <w:bottom w:val="single" w:sz="4" w:space="0" w:color="auto"/>
              <w:right w:val="single" w:sz="4" w:space="0" w:color="auto"/>
            </w:tcBorders>
            <w:vAlign w:val="center"/>
          </w:tcPr>
          <w:p w14:paraId="3D9C627A" w14:textId="77777777" w:rsidR="005F3049" w:rsidRPr="00D85CD0" w:rsidRDefault="005F3049" w:rsidP="00AD6C64">
            <w:pPr>
              <w:pStyle w:val="NormalWeb"/>
              <w:spacing w:before="0" w:beforeAutospacing="0" w:after="0" w:afterAutospacing="0"/>
              <w:textAlignment w:val="baseline"/>
              <w:rPr>
                <w:rFonts w:ascii="Arial Narrow" w:hAnsi="Arial Narrow"/>
                <w:b/>
                <w:sz w:val="20"/>
                <w:szCs w:val="20"/>
              </w:rPr>
            </w:pPr>
            <w:r w:rsidRPr="00D85CD0">
              <w:rPr>
                <w:rFonts w:ascii="Arial Narrow" w:hAnsi="Arial Narrow" w:cs="Arial"/>
                <w:sz w:val="20"/>
                <w:szCs w:val="20"/>
              </w:rPr>
              <w:t>1</w:t>
            </w:r>
          </w:p>
        </w:tc>
        <w:tc>
          <w:tcPr>
            <w:tcW w:w="471" w:type="pct"/>
            <w:tcBorders>
              <w:top w:val="single" w:sz="4" w:space="0" w:color="auto"/>
              <w:left w:val="single" w:sz="4" w:space="0" w:color="auto"/>
              <w:bottom w:val="single" w:sz="4" w:space="0" w:color="auto"/>
              <w:right w:val="single" w:sz="4" w:space="0" w:color="auto"/>
            </w:tcBorders>
            <w:vAlign w:val="center"/>
          </w:tcPr>
          <w:p w14:paraId="337AC706" w14:textId="77777777" w:rsidR="005F3049" w:rsidRPr="00D85CD0" w:rsidRDefault="005F3049" w:rsidP="00AD6C64">
            <w:pPr>
              <w:pStyle w:val="NormalWeb"/>
              <w:spacing w:before="0" w:beforeAutospacing="0" w:after="0" w:afterAutospacing="0"/>
              <w:textAlignment w:val="baseline"/>
              <w:rPr>
                <w:rFonts w:ascii="Arial Narrow" w:hAnsi="Arial Narrow"/>
                <w:b/>
                <w:sz w:val="20"/>
                <w:szCs w:val="20"/>
              </w:rPr>
            </w:pPr>
            <w:r w:rsidRPr="00D85CD0">
              <w:rPr>
                <w:rFonts w:ascii="Arial Narrow" w:hAnsi="Arial Narrow" w:cs="Arial"/>
                <w:sz w:val="20"/>
                <w:szCs w:val="20"/>
              </w:rPr>
              <w:t>60</w:t>
            </w:r>
          </w:p>
        </w:tc>
        <w:tc>
          <w:tcPr>
            <w:tcW w:w="398" w:type="pct"/>
            <w:tcBorders>
              <w:top w:val="single" w:sz="4" w:space="0" w:color="auto"/>
              <w:left w:val="single" w:sz="4" w:space="0" w:color="auto"/>
              <w:bottom w:val="single" w:sz="4" w:space="0" w:color="auto"/>
              <w:right w:val="single" w:sz="4" w:space="0" w:color="auto"/>
            </w:tcBorders>
            <w:vAlign w:val="center"/>
          </w:tcPr>
          <w:p w14:paraId="08320FD1" w14:textId="77777777" w:rsidR="005F3049" w:rsidRPr="00D85CD0" w:rsidRDefault="005F3049" w:rsidP="00AD6C64">
            <w:pPr>
              <w:pStyle w:val="NormalWeb"/>
              <w:spacing w:before="0" w:beforeAutospacing="0" w:after="0" w:afterAutospacing="0"/>
              <w:textAlignment w:val="baseline"/>
              <w:rPr>
                <w:rFonts w:ascii="Arial Narrow" w:hAnsi="Arial Narrow"/>
                <w:b/>
                <w:sz w:val="20"/>
                <w:szCs w:val="20"/>
              </w:rPr>
            </w:pPr>
            <w:r w:rsidRPr="00D85CD0">
              <w:rPr>
                <w:rFonts w:ascii="Arial Narrow" w:hAnsi="Arial Narrow" w:cs="Arial"/>
                <w:sz w:val="20"/>
                <w:szCs w:val="20"/>
              </w:rPr>
              <w:t>5</w:t>
            </w:r>
          </w:p>
        </w:tc>
        <w:tc>
          <w:tcPr>
            <w:tcW w:w="832" w:type="pct"/>
            <w:tcBorders>
              <w:top w:val="single" w:sz="4" w:space="0" w:color="auto"/>
              <w:left w:val="single" w:sz="4" w:space="0" w:color="auto"/>
              <w:bottom w:val="single" w:sz="4" w:space="0" w:color="auto"/>
              <w:right w:val="single" w:sz="4" w:space="0" w:color="auto"/>
            </w:tcBorders>
            <w:vAlign w:val="center"/>
          </w:tcPr>
          <w:p w14:paraId="03958837" w14:textId="77777777" w:rsidR="005F3049" w:rsidRPr="00D85CD0" w:rsidRDefault="005F3049" w:rsidP="00AD6C64">
            <w:pPr>
              <w:pStyle w:val="NormalWeb"/>
              <w:spacing w:before="0" w:beforeAutospacing="0" w:after="0" w:afterAutospacing="0"/>
              <w:textAlignment w:val="baseline"/>
              <w:rPr>
                <w:rFonts w:ascii="Arial Narrow" w:hAnsi="Arial Narrow"/>
                <w:b/>
                <w:sz w:val="20"/>
                <w:szCs w:val="20"/>
              </w:rPr>
            </w:pPr>
            <w:r w:rsidRPr="00D85CD0">
              <w:rPr>
                <w:rFonts w:ascii="Arial Narrow" w:hAnsi="Arial Narrow" w:cs="Arial"/>
                <w:sz w:val="20"/>
                <w:szCs w:val="20"/>
              </w:rPr>
              <w:t>Jorveza</w:t>
            </w:r>
          </w:p>
        </w:tc>
      </w:tr>
      <w:tr w:rsidR="005F3049" w:rsidRPr="00D85CD0" w14:paraId="76F42864" w14:textId="77777777" w:rsidTr="00AD6C64">
        <w:trPr>
          <w:cantSplit/>
          <w:trHeight w:val="20"/>
        </w:trPr>
        <w:tc>
          <w:tcPr>
            <w:tcW w:w="5000" w:type="pct"/>
            <w:gridSpan w:val="8"/>
            <w:tcBorders>
              <w:top w:val="single" w:sz="4" w:space="0" w:color="auto"/>
              <w:left w:val="single" w:sz="4" w:space="0" w:color="auto"/>
              <w:bottom w:val="single" w:sz="4" w:space="0" w:color="auto"/>
              <w:right w:val="single" w:sz="4" w:space="0" w:color="auto"/>
            </w:tcBorders>
          </w:tcPr>
          <w:p w14:paraId="3BF667AD" w14:textId="77777777" w:rsidR="005F3049" w:rsidRPr="00D85CD0" w:rsidRDefault="005F3049" w:rsidP="00AD6C64">
            <w:pPr>
              <w:pStyle w:val="NormalWeb"/>
              <w:spacing w:before="0" w:beforeAutospacing="0" w:after="0" w:afterAutospacing="0"/>
              <w:textAlignment w:val="baseline"/>
              <w:rPr>
                <w:rFonts w:ascii="Arial Narrow" w:hAnsi="Arial Narrow"/>
                <w:b/>
                <w:sz w:val="20"/>
                <w:szCs w:val="20"/>
              </w:rPr>
            </w:pPr>
          </w:p>
        </w:tc>
      </w:tr>
      <w:tr w:rsidR="005F3049" w:rsidRPr="00D85CD0" w14:paraId="0AE29AA4" w14:textId="77777777" w:rsidTr="00A861E6">
        <w:trPr>
          <w:trHeight w:val="20"/>
        </w:trPr>
        <w:tc>
          <w:tcPr>
            <w:tcW w:w="626" w:type="pct"/>
            <w:gridSpan w:val="2"/>
            <w:vMerge w:val="restart"/>
            <w:tcBorders>
              <w:top w:val="single" w:sz="4" w:space="0" w:color="auto"/>
              <w:left w:val="single" w:sz="4" w:space="0" w:color="auto"/>
              <w:right w:val="single" w:sz="4" w:space="0" w:color="auto"/>
            </w:tcBorders>
          </w:tcPr>
          <w:p w14:paraId="0FBE8EA6" w14:textId="658345B0" w:rsidR="005F3049" w:rsidRPr="00D85CD0" w:rsidRDefault="005F3049" w:rsidP="00AD6C64">
            <w:pPr>
              <w:rPr>
                <w:rFonts w:ascii="Arial Narrow" w:hAnsi="Arial Narrow" w:cs="Arial"/>
                <w:b/>
                <w:sz w:val="20"/>
                <w:szCs w:val="20"/>
              </w:rPr>
            </w:pPr>
            <w:r w:rsidRPr="00D85CD0">
              <w:rPr>
                <w:rFonts w:ascii="Arial Narrow" w:hAnsi="Arial Narrow" w:cs="Arial"/>
                <w:b/>
                <w:sz w:val="20"/>
                <w:szCs w:val="20"/>
              </w:rPr>
              <w:t>Concept ID</w:t>
            </w:r>
          </w:p>
        </w:tc>
        <w:tc>
          <w:tcPr>
            <w:tcW w:w="4374" w:type="pct"/>
            <w:gridSpan w:val="6"/>
            <w:tcBorders>
              <w:top w:val="single" w:sz="4" w:space="0" w:color="auto"/>
              <w:left w:val="single" w:sz="4" w:space="0" w:color="auto"/>
              <w:bottom w:val="single" w:sz="4" w:space="0" w:color="auto"/>
              <w:right w:val="single" w:sz="4" w:space="0" w:color="auto"/>
            </w:tcBorders>
            <w:vAlign w:val="center"/>
          </w:tcPr>
          <w:p w14:paraId="1C7335C5" w14:textId="77777777" w:rsidR="005F3049" w:rsidRPr="00D85CD0" w:rsidRDefault="005F3049" w:rsidP="00AD6C64">
            <w:pPr>
              <w:keepLines/>
              <w:rPr>
                <w:rFonts w:ascii="Arial Narrow" w:hAnsi="Arial Narrow" w:cs="Arial"/>
                <w:sz w:val="20"/>
                <w:szCs w:val="20"/>
              </w:rPr>
            </w:pPr>
            <w:r w:rsidRPr="00D85CD0">
              <w:rPr>
                <w:rFonts w:ascii="Arial Narrow" w:hAnsi="Arial Narrow" w:cs="Arial"/>
                <w:b/>
                <w:sz w:val="20"/>
                <w:szCs w:val="20"/>
              </w:rPr>
              <w:t xml:space="preserve">Category / Program: </w:t>
            </w:r>
            <w:r w:rsidRPr="00D85CD0">
              <w:rPr>
                <w:rFonts w:ascii="Arial Narrow" w:hAnsi="Arial Narrow" w:cs="Arial"/>
                <w:sz w:val="20"/>
                <w:szCs w:val="20"/>
              </w:rPr>
              <w:t>GENERAL – General Schedule (Code GE)</w:t>
            </w:r>
          </w:p>
        </w:tc>
      </w:tr>
      <w:tr w:rsidR="005F3049" w:rsidRPr="00D85CD0" w14:paraId="31AF7E05" w14:textId="77777777" w:rsidTr="00A861E6">
        <w:trPr>
          <w:trHeight w:val="20"/>
        </w:trPr>
        <w:tc>
          <w:tcPr>
            <w:tcW w:w="626" w:type="pct"/>
            <w:gridSpan w:val="2"/>
            <w:vMerge/>
            <w:tcBorders>
              <w:left w:val="single" w:sz="4" w:space="0" w:color="auto"/>
              <w:right w:val="single" w:sz="4" w:space="0" w:color="auto"/>
            </w:tcBorders>
          </w:tcPr>
          <w:p w14:paraId="3253316A" w14:textId="77777777" w:rsidR="005F3049" w:rsidRPr="00D85CD0" w:rsidRDefault="005F3049" w:rsidP="00AD6C64">
            <w:pPr>
              <w:rPr>
                <w:rFonts w:ascii="Arial Narrow" w:hAnsi="Arial Narrow" w:cs="Arial"/>
                <w:sz w:val="20"/>
                <w:szCs w:val="20"/>
              </w:rPr>
            </w:pPr>
          </w:p>
        </w:tc>
        <w:tc>
          <w:tcPr>
            <w:tcW w:w="4374" w:type="pct"/>
            <w:gridSpan w:val="6"/>
            <w:tcBorders>
              <w:top w:val="single" w:sz="4" w:space="0" w:color="auto"/>
              <w:left w:val="single" w:sz="4" w:space="0" w:color="auto"/>
              <w:bottom w:val="single" w:sz="4" w:space="0" w:color="auto"/>
              <w:right w:val="single" w:sz="4" w:space="0" w:color="auto"/>
            </w:tcBorders>
            <w:vAlign w:val="center"/>
          </w:tcPr>
          <w:p w14:paraId="3C9B6CF3" w14:textId="77777777" w:rsidR="005F3049" w:rsidRPr="00D85CD0" w:rsidRDefault="005F3049" w:rsidP="00AD6C64">
            <w:pPr>
              <w:keepLines/>
              <w:rPr>
                <w:rFonts w:ascii="Arial Narrow" w:hAnsi="Arial Narrow" w:cs="Arial"/>
                <w:b/>
                <w:sz w:val="20"/>
                <w:szCs w:val="20"/>
              </w:rPr>
            </w:pPr>
            <w:r w:rsidRPr="00D85CD0">
              <w:rPr>
                <w:rFonts w:ascii="Arial Narrow" w:hAnsi="Arial Narrow" w:cs="Arial"/>
                <w:b/>
                <w:sz w:val="20"/>
                <w:szCs w:val="20"/>
              </w:rPr>
              <w:t xml:space="preserve">Prescriber type: </w:t>
            </w:r>
            <w:r w:rsidRPr="003A22FA">
              <w:rPr>
                <w:rFonts w:ascii="Arial Narrow" w:hAnsi="Arial Narrow" w:cs="Arial"/>
                <w:sz w:val="20"/>
                <w:szCs w:val="20"/>
              </w:rPr>
              <w:fldChar w:fldCharType="begin" w:fldLock="1">
                <w:ffData>
                  <w:name w:val=""/>
                  <w:enabled/>
                  <w:calcOnExit w:val="0"/>
                  <w:checkBox>
                    <w:sizeAuto/>
                    <w:default w:val="1"/>
                  </w:checkBox>
                </w:ffData>
              </w:fldChar>
            </w:r>
            <w:r w:rsidRPr="00D85CD0">
              <w:rPr>
                <w:rFonts w:ascii="Arial Narrow" w:hAnsi="Arial Narrow" w:cs="Arial"/>
                <w:sz w:val="20"/>
                <w:szCs w:val="20"/>
              </w:rPr>
              <w:instrText xml:space="preserve"> FORMCHECKBOX </w:instrText>
            </w:r>
            <w:r w:rsidR="001579BE">
              <w:rPr>
                <w:rFonts w:ascii="Arial Narrow" w:hAnsi="Arial Narrow" w:cs="Arial"/>
                <w:sz w:val="20"/>
                <w:szCs w:val="20"/>
              </w:rPr>
            </w:r>
            <w:r w:rsidR="001579BE">
              <w:rPr>
                <w:rFonts w:ascii="Arial Narrow" w:hAnsi="Arial Narrow" w:cs="Arial"/>
                <w:sz w:val="20"/>
                <w:szCs w:val="20"/>
              </w:rPr>
              <w:fldChar w:fldCharType="separate"/>
            </w:r>
            <w:r w:rsidRPr="003A22FA">
              <w:rPr>
                <w:rFonts w:ascii="Arial Narrow" w:hAnsi="Arial Narrow" w:cs="Arial"/>
                <w:sz w:val="20"/>
                <w:szCs w:val="20"/>
              </w:rPr>
              <w:fldChar w:fldCharType="end"/>
            </w:r>
            <w:r w:rsidRPr="00D85CD0">
              <w:rPr>
                <w:rFonts w:ascii="Arial Narrow" w:hAnsi="Arial Narrow" w:cs="Arial"/>
                <w:sz w:val="20"/>
                <w:szCs w:val="20"/>
              </w:rPr>
              <w:t xml:space="preserve">Medical Practitioners </w:t>
            </w:r>
          </w:p>
        </w:tc>
      </w:tr>
      <w:tr w:rsidR="005F3049" w:rsidRPr="00D85CD0" w14:paraId="0F136683" w14:textId="77777777" w:rsidTr="00A861E6">
        <w:trPr>
          <w:trHeight w:val="20"/>
        </w:trPr>
        <w:tc>
          <w:tcPr>
            <w:tcW w:w="626" w:type="pct"/>
            <w:gridSpan w:val="2"/>
            <w:vMerge/>
            <w:tcBorders>
              <w:left w:val="single" w:sz="4" w:space="0" w:color="auto"/>
              <w:bottom w:val="single" w:sz="4" w:space="0" w:color="auto"/>
              <w:right w:val="single" w:sz="4" w:space="0" w:color="auto"/>
            </w:tcBorders>
          </w:tcPr>
          <w:p w14:paraId="34825431" w14:textId="77777777" w:rsidR="005F3049" w:rsidRPr="00D85CD0" w:rsidRDefault="005F3049" w:rsidP="00AD6C64">
            <w:pPr>
              <w:rPr>
                <w:rFonts w:ascii="Arial Narrow" w:hAnsi="Arial Narrow" w:cs="Arial"/>
                <w:sz w:val="20"/>
                <w:szCs w:val="20"/>
              </w:rPr>
            </w:pPr>
          </w:p>
        </w:tc>
        <w:tc>
          <w:tcPr>
            <w:tcW w:w="4374" w:type="pct"/>
            <w:gridSpan w:val="6"/>
            <w:tcBorders>
              <w:top w:val="single" w:sz="4" w:space="0" w:color="auto"/>
              <w:left w:val="single" w:sz="4" w:space="0" w:color="auto"/>
              <w:bottom w:val="single" w:sz="4" w:space="0" w:color="auto"/>
              <w:right w:val="single" w:sz="4" w:space="0" w:color="auto"/>
            </w:tcBorders>
            <w:vAlign w:val="center"/>
          </w:tcPr>
          <w:p w14:paraId="06E4B57E" w14:textId="77777777" w:rsidR="005F3049" w:rsidRPr="00D85CD0" w:rsidRDefault="005F3049" w:rsidP="00AD6C64">
            <w:pPr>
              <w:keepLines/>
              <w:jc w:val="left"/>
              <w:rPr>
                <w:rFonts w:ascii="Arial Narrow" w:eastAsia="Calibri" w:hAnsi="Arial Narrow" w:cs="Arial"/>
                <w:sz w:val="20"/>
                <w:szCs w:val="20"/>
              </w:rPr>
            </w:pPr>
            <w:r w:rsidRPr="00D85CD0">
              <w:rPr>
                <w:rFonts w:ascii="Arial Narrow" w:hAnsi="Arial Narrow" w:cs="Arial"/>
                <w:b/>
                <w:sz w:val="20"/>
                <w:szCs w:val="20"/>
              </w:rPr>
              <w:t xml:space="preserve">Restriction type: </w:t>
            </w:r>
            <w:r w:rsidRPr="00D85CD0">
              <w:rPr>
                <w:rFonts w:ascii="Arial Narrow" w:eastAsia="Calibri" w:hAnsi="Arial Narrow" w:cs="Arial"/>
                <w:sz w:val="20"/>
                <w:szCs w:val="20"/>
              </w:rPr>
              <w:br/>
            </w:r>
            <w:r w:rsidRPr="003A22FA">
              <w:rPr>
                <w:rFonts w:ascii="Arial Narrow" w:eastAsia="Calibri" w:hAnsi="Arial Narrow" w:cs="Arial"/>
                <w:sz w:val="20"/>
                <w:szCs w:val="20"/>
              </w:rPr>
              <w:fldChar w:fldCharType="begin" w:fldLock="1">
                <w:ffData>
                  <w:name w:val=""/>
                  <w:enabled/>
                  <w:calcOnExit w:val="0"/>
                  <w:checkBox>
                    <w:sizeAuto/>
                    <w:default w:val="1"/>
                  </w:checkBox>
                </w:ffData>
              </w:fldChar>
            </w:r>
            <w:r w:rsidRPr="00D85CD0">
              <w:rPr>
                <w:rFonts w:ascii="Arial Narrow" w:eastAsia="Calibri" w:hAnsi="Arial Narrow" w:cs="Arial"/>
                <w:sz w:val="20"/>
                <w:szCs w:val="20"/>
              </w:rPr>
              <w:instrText xml:space="preserve"> FORMCHECKBOX </w:instrText>
            </w:r>
            <w:r w:rsidR="001579BE">
              <w:rPr>
                <w:rFonts w:ascii="Arial Narrow" w:eastAsia="Calibri" w:hAnsi="Arial Narrow" w:cs="Arial"/>
                <w:sz w:val="20"/>
                <w:szCs w:val="20"/>
              </w:rPr>
            </w:r>
            <w:r w:rsidR="001579BE">
              <w:rPr>
                <w:rFonts w:ascii="Arial Narrow" w:eastAsia="Calibri" w:hAnsi="Arial Narrow" w:cs="Arial"/>
                <w:sz w:val="20"/>
                <w:szCs w:val="20"/>
              </w:rPr>
              <w:fldChar w:fldCharType="separate"/>
            </w:r>
            <w:r w:rsidRPr="003A22FA">
              <w:rPr>
                <w:rFonts w:ascii="Arial Narrow" w:eastAsia="Calibri" w:hAnsi="Arial Narrow" w:cs="Arial"/>
                <w:sz w:val="20"/>
                <w:szCs w:val="20"/>
              </w:rPr>
              <w:fldChar w:fldCharType="end"/>
            </w:r>
            <w:r w:rsidRPr="00D85CD0">
              <w:rPr>
                <w:rFonts w:ascii="Arial Narrow" w:eastAsia="Calibri" w:hAnsi="Arial Narrow" w:cs="Arial"/>
                <w:sz w:val="20"/>
                <w:szCs w:val="20"/>
              </w:rPr>
              <w:t xml:space="preserve">Authority Required (telephone/online PBS Authorities system) </w:t>
            </w:r>
          </w:p>
        </w:tc>
      </w:tr>
      <w:tr w:rsidR="005F3049" w:rsidRPr="00D85CD0" w14:paraId="205558BC" w14:textId="77777777" w:rsidTr="00A861E6">
        <w:tblPrEx>
          <w:tblLook w:val="0000" w:firstRow="0" w:lastRow="0" w:firstColumn="0" w:lastColumn="0" w:noHBand="0" w:noVBand="0"/>
        </w:tblPrEx>
        <w:trPr>
          <w:trHeight w:val="20"/>
        </w:trPr>
        <w:tc>
          <w:tcPr>
            <w:tcW w:w="353" w:type="pct"/>
            <w:vMerge w:val="restart"/>
            <w:tcBorders>
              <w:left w:val="single" w:sz="4" w:space="0" w:color="auto"/>
              <w:right w:val="single" w:sz="4" w:space="0" w:color="auto"/>
            </w:tcBorders>
            <w:textDirection w:val="btLr"/>
            <w:vAlign w:val="center"/>
          </w:tcPr>
          <w:p w14:paraId="76506ADB" w14:textId="2C5D3339" w:rsidR="005F3049" w:rsidRPr="00D85CD0" w:rsidRDefault="005F3049" w:rsidP="00AD6C64">
            <w:pPr>
              <w:jc w:val="center"/>
              <w:rPr>
                <w:rFonts w:ascii="Arial Narrow" w:hAnsi="Arial Narrow" w:cs="Arial"/>
                <w:sz w:val="20"/>
                <w:szCs w:val="20"/>
              </w:rPr>
            </w:pPr>
          </w:p>
        </w:tc>
        <w:tc>
          <w:tcPr>
            <w:tcW w:w="273" w:type="pct"/>
          </w:tcPr>
          <w:p w14:paraId="06204767" w14:textId="3D3B70A5" w:rsidR="005F3049" w:rsidRPr="00D85CD0" w:rsidRDefault="005F3049" w:rsidP="00AD6C64">
            <w:pPr>
              <w:rPr>
                <w:rFonts w:ascii="Arial Narrow" w:hAnsi="Arial Narrow"/>
                <w:sz w:val="20"/>
                <w:szCs w:val="20"/>
              </w:rPr>
            </w:pPr>
          </w:p>
        </w:tc>
        <w:tc>
          <w:tcPr>
            <w:tcW w:w="4374" w:type="pct"/>
            <w:gridSpan w:val="6"/>
          </w:tcPr>
          <w:p w14:paraId="1F5FE701"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Style w:val="Strong"/>
                <w:rFonts w:ascii="Arial Narrow" w:hAnsi="Arial Narrow" w:cs="Open Sans"/>
                <w:sz w:val="20"/>
                <w:szCs w:val="20"/>
                <w:bdr w:val="none" w:sz="0" w:space="0" w:color="auto" w:frame="1"/>
              </w:rPr>
              <w:t>Administrative Advice:</w:t>
            </w:r>
          </w:p>
          <w:p w14:paraId="3D2DC7C3" w14:textId="77777777" w:rsidR="005F3049" w:rsidRPr="00D85CD0" w:rsidRDefault="005F3049" w:rsidP="00AD6C64">
            <w:pPr>
              <w:rPr>
                <w:rFonts w:ascii="Arial Narrow" w:hAnsi="Arial Narrow"/>
                <w:sz w:val="20"/>
                <w:szCs w:val="20"/>
              </w:rPr>
            </w:pPr>
            <w:r w:rsidRPr="00D85CD0">
              <w:rPr>
                <w:rFonts w:ascii="Arial Narrow" w:hAnsi="Arial Narrow" w:cs="Open Sans"/>
                <w:sz w:val="20"/>
                <w:szCs w:val="20"/>
              </w:rPr>
              <w:t>No increase in the maximum number of repeats may be authorised.</w:t>
            </w:r>
          </w:p>
        </w:tc>
      </w:tr>
      <w:tr w:rsidR="005F3049" w:rsidRPr="00D85CD0" w14:paraId="2D163744" w14:textId="77777777" w:rsidTr="00A861E6">
        <w:tblPrEx>
          <w:tblLook w:val="0000" w:firstRow="0" w:lastRow="0" w:firstColumn="0" w:lastColumn="0" w:noHBand="0" w:noVBand="0"/>
        </w:tblPrEx>
        <w:trPr>
          <w:trHeight w:val="20"/>
        </w:trPr>
        <w:tc>
          <w:tcPr>
            <w:tcW w:w="353" w:type="pct"/>
            <w:vMerge/>
            <w:tcBorders>
              <w:left w:val="single" w:sz="4" w:space="0" w:color="auto"/>
              <w:right w:val="single" w:sz="4" w:space="0" w:color="auto"/>
            </w:tcBorders>
          </w:tcPr>
          <w:p w14:paraId="0539F66C" w14:textId="77777777" w:rsidR="005F3049" w:rsidRPr="00D85CD0" w:rsidRDefault="005F3049" w:rsidP="00AD6C64">
            <w:pPr>
              <w:rPr>
                <w:rFonts w:ascii="Arial Narrow" w:hAnsi="Arial Narrow" w:cs="Arial"/>
                <w:sz w:val="20"/>
                <w:szCs w:val="20"/>
              </w:rPr>
            </w:pPr>
          </w:p>
        </w:tc>
        <w:tc>
          <w:tcPr>
            <w:tcW w:w="273" w:type="pct"/>
          </w:tcPr>
          <w:p w14:paraId="1BAF43B6" w14:textId="0E82DDEA" w:rsidR="005F3049" w:rsidRPr="00D85CD0" w:rsidRDefault="005F3049" w:rsidP="00AD6C64">
            <w:pPr>
              <w:rPr>
                <w:rFonts w:ascii="Arial Narrow" w:hAnsi="Arial Narrow"/>
                <w:sz w:val="20"/>
                <w:szCs w:val="20"/>
              </w:rPr>
            </w:pPr>
          </w:p>
        </w:tc>
        <w:tc>
          <w:tcPr>
            <w:tcW w:w="4374" w:type="pct"/>
            <w:gridSpan w:val="6"/>
          </w:tcPr>
          <w:p w14:paraId="2DC5529E"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Style w:val="Strong"/>
                <w:rFonts w:ascii="Arial Narrow" w:hAnsi="Arial Narrow" w:cs="Open Sans"/>
                <w:sz w:val="20"/>
                <w:szCs w:val="20"/>
                <w:bdr w:val="none" w:sz="0" w:space="0" w:color="auto" w:frame="1"/>
              </w:rPr>
              <w:t>Administrative Advice:</w:t>
            </w:r>
          </w:p>
          <w:p w14:paraId="05FF4567"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No increase in the maximum quantity or number of units may be authorised.</w:t>
            </w:r>
          </w:p>
        </w:tc>
      </w:tr>
      <w:tr w:rsidR="005F3049" w:rsidRPr="00D85CD0" w14:paraId="0DA5EECD" w14:textId="77777777" w:rsidTr="00A861E6">
        <w:tblPrEx>
          <w:tblLook w:val="0000" w:firstRow="0" w:lastRow="0" w:firstColumn="0" w:lastColumn="0" w:noHBand="0" w:noVBand="0"/>
        </w:tblPrEx>
        <w:trPr>
          <w:trHeight w:val="20"/>
        </w:trPr>
        <w:tc>
          <w:tcPr>
            <w:tcW w:w="353" w:type="pct"/>
            <w:vMerge/>
            <w:tcBorders>
              <w:left w:val="single" w:sz="4" w:space="0" w:color="auto"/>
              <w:right w:val="single" w:sz="4" w:space="0" w:color="auto"/>
            </w:tcBorders>
          </w:tcPr>
          <w:p w14:paraId="4853040B" w14:textId="77777777" w:rsidR="005F3049" w:rsidRPr="00D85CD0" w:rsidRDefault="005F3049" w:rsidP="00AD6C64">
            <w:pPr>
              <w:rPr>
                <w:rFonts w:ascii="Arial Narrow" w:hAnsi="Arial Narrow" w:cs="Arial"/>
                <w:sz w:val="20"/>
                <w:szCs w:val="20"/>
              </w:rPr>
            </w:pPr>
          </w:p>
        </w:tc>
        <w:tc>
          <w:tcPr>
            <w:tcW w:w="273" w:type="pct"/>
          </w:tcPr>
          <w:p w14:paraId="33CEF9C1" w14:textId="4D880311" w:rsidR="005F3049" w:rsidRPr="00D85CD0" w:rsidRDefault="005F3049" w:rsidP="00AD6C64">
            <w:pPr>
              <w:rPr>
                <w:rFonts w:ascii="Arial Narrow" w:hAnsi="Arial Narrow"/>
                <w:sz w:val="20"/>
                <w:szCs w:val="20"/>
              </w:rPr>
            </w:pPr>
          </w:p>
        </w:tc>
        <w:tc>
          <w:tcPr>
            <w:tcW w:w="4374" w:type="pct"/>
            <w:gridSpan w:val="6"/>
          </w:tcPr>
          <w:p w14:paraId="26504033"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Style w:val="Strong"/>
                <w:rFonts w:ascii="Arial Narrow" w:hAnsi="Arial Narrow" w:cs="Open Sans"/>
                <w:sz w:val="20"/>
                <w:szCs w:val="20"/>
                <w:bdr w:val="none" w:sz="0" w:space="0" w:color="auto" w:frame="1"/>
              </w:rPr>
              <w:t>Administrative Advice:</w:t>
            </w:r>
          </w:p>
          <w:p w14:paraId="6FBBAB42"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Applications for authorisation under this restriction may be made in real time using the Online PBS Authorities system (see www.servicesaustralia.gov.au/HPOS) or by telephone by contacting Services Australia on 1800 888 333.</w:t>
            </w:r>
          </w:p>
        </w:tc>
      </w:tr>
      <w:tr w:rsidR="005F3049" w:rsidRPr="00D85CD0" w14:paraId="5BA06F68" w14:textId="77777777" w:rsidTr="00A861E6">
        <w:tblPrEx>
          <w:tblLook w:val="0000" w:firstRow="0" w:lastRow="0" w:firstColumn="0" w:lastColumn="0" w:noHBand="0" w:noVBand="0"/>
        </w:tblPrEx>
        <w:trPr>
          <w:trHeight w:val="20"/>
        </w:trPr>
        <w:tc>
          <w:tcPr>
            <w:tcW w:w="353" w:type="pct"/>
            <w:vMerge/>
            <w:tcBorders>
              <w:left w:val="single" w:sz="4" w:space="0" w:color="auto"/>
              <w:bottom w:val="single" w:sz="4" w:space="0" w:color="auto"/>
              <w:right w:val="single" w:sz="4" w:space="0" w:color="auto"/>
            </w:tcBorders>
          </w:tcPr>
          <w:p w14:paraId="31C6F0A3" w14:textId="77777777" w:rsidR="005F3049" w:rsidRPr="00D85CD0" w:rsidRDefault="005F3049" w:rsidP="00AD6C64">
            <w:pPr>
              <w:rPr>
                <w:rFonts w:ascii="Arial Narrow" w:hAnsi="Arial Narrow" w:cs="Arial"/>
                <w:sz w:val="20"/>
                <w:szCs w:val="20"/>
              </w:rPr>
            </w:pPr>
          </w:p>
        </w:tc>
        <w:tc>
          <w:tcPr>
            <w:tcW w:w="273" w:type="pct"/>
          </w:tcPr>
          <w:p w14:paraId="380A5F9A" w14:textId="75EA91B1" w:rsidR="005F3049" w:rsidRPr="00D85CD0" w:rsidRDefault="005F3049" w:rsidP="00AD6C64">
            <w:pPr>
              <w:rPr>
                <w:rFonts w:ascii="Arial Narrow" w:hAnsi="Arial Narrow"/>
                <w:sz w:val="20"/>
                <w:szCs w:val="20"/>
              </w:rPr>
            </w:pPr>
          </w:p>
        </w:tc>
        <w:tc>
          <w:tcPr>
            <w:tcW w:w="4374" w:type="pct"/>
            <w:gridSpan w:val="6"/>
          </w:tcPr>
          <w:p w14:paraId="01026E3E"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Style w:val="Strong"/>
                <w:rFonts w:ascii="Arial Narrow" w:hAnsi="Arial Narrow" w:cs="Open Sans"/>
                <w:sz w:val="20"/>
                <w:szCs w:val="20"/>
                <w:bdr w:val="none" w:sz="0" w:space="0" w:color="auto" w:frame="1"/>
              </w:rPr>
              <w:t>Administrative Advice:</w:t>
            </w:r>
          </w:p>
          <w:p w14:paraId="554BE516"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Special Pricing Arrangements apply.</w:t>
            </w:r>
          </w:p>
        </w:tc>
      </w:tr>
      <w:tr w:rsidR="005F3049" w:rsidRPr="00D85CD0" w14:paraId="64AE7376" w14:textId="77777777" w:rsidTr="00AD6C64">
        <w:trPr>
          <w:cantSplit/>
          <w:trHeight w:val="20"/>
        </w:trPr>
        <w:tc>
          <w:tcPr>
            <w:tcW w:w="5000" w:type="pct"/>
            <w:gridSpan w:val="8"/>
            <w:tcBorders>
              <w:top w:val="single" w:sz="4" w:space="0" w:color="auto"/>
              <w:left w:val="single" w:sz="4" w:space="0" w:color="auto"/>
              <w:bottom w:val="single" w:sz="4" w:space="0" w:color="auto"/>
              <w:right w:val="single" w:sz="4" w:space="0" w:color="auto"/>
            </w:tcBorders>
          </w:tcPr>
          <w:p w14:paraId="34DEDC19" w14:textId="67AB3A61" w:rsidR="005F3049" w:rsidRPr="00D85CD0" w:rsidRDefault="005F3049" w:rsidP="00AD6C64">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D85CD0">
              <w:rPr>
                <w:rFonts w:ascii="Arial Narrow" w:hAnsi="Arial Narrow"/>
                <w:b/>
                <w:sz w:val="20"/>
                <w:szCs w:val="20"/>
              </w:rPr>
              <w:t xml:space="preserve">Restriction Summary / Treatment of Concept: </w:t>
            </w:r>
          </w:p>
        </w:tc>
      </w:tr>
      <w:tr w:rsidR="005F3049" w:rsidRPr="00D85CD0" w14:paraId="437D34F7"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1390618B" w14:textId="42E4306E"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24FAC5A6" w14:textId="77777777" w:rsidR="005F3049" w:rsidRPr="00D85CD0" w:rsidRDefault="005F3049" w:rsidP="00AD6C64">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D85CD0">
              <w:rPr>
                <w:rFonts w:ascii="Arial Narrow" w:hAnsi="Arial Narrow" w:cs="Open Sans"/>
                <w:b/>
                <w:bCs/>
                <w:sz w:val="20"/>
                <w:szCs w:val="20"/>
                <w:bdr w:val="none" w:sz="0" w:space="0" w:color="auto" w:frame="1"/>
              </w:rPr>
              <w:t xml:space="preserve">Indication: </w:t>
            </w:r>
            <w:r w:rsidRPr="00D85CD0">
              <w:rPr>
                <w:rFonts w:ascii="Arial Narrow" w:hAnsi="Arial Narrow" w:cs="Open Sans"/>
                <w:sz w:val="20"/>
                <w:szCs w:val="20"/>
                <w:bdr w:val="none" w:sz="0" w:space="0" w:color="auto" w:frame="1"/>
              </w:rPr>
              <w:t>Eosinophilic oesophagitis</w:t>
            </w:r>
          </w:p>
        </w:tc>
      </w:tr>
      <w:tr w:rsidR="005F3049" w:rsidRPr="00D85CD0" w14:paraId="6596DF4D"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3565C265" w14:textId="77777777"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1BDF6E4A" w14:textId="77777777" w:rsidR="005F3049" w:rsidRPr="00D85CD0" w:rsidRDefault="005F3049" w:rsidP="00AD6C64">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D85CD0">
              <w:rPr>
                <w:rFonts w:ascii="Arial Narrow" w:hAnsi="Arial Narrow" w:cs="Open Sans"/>
                <w:b/>
                <w:bCs/>
                <w:sz w:val="20"/>
                <w:szCs w:val="20"/>
                <w:bdr w:val="none" w:sz="0" w:space="0" w:color="auto" w:frame="1"/>
              </w:rPr>
              <w:t xml:space="preserve">Treatment Phase: </w:t>
            </w:r>
            <w:r w:rsidRPr="00D85CD0">
              <w:rPr>
                <w:rFonts w:ascii="Arial Narrow" w:hAnsi="Arial Narrow" w:cs="Open Sans"/>
                <w:sz w:val="20"/>
                <w:szCs w:val="20"/>
                <w:bdr w:val="none" w:sz="0" w:space="0" w:color="auto" w:frame="1"/>
              </w:rPr>
              <w:t>Subsequent continuing treatment - Maintenance of remission</w:t>
            </w:r>
          </w:p>
        </w:tc>
      </w:tr>
      <w:tr w:rsidR="005F3049" w:rsidRPr="00D85CD0" w14:paraId="46584124"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680185AE" w14:textId="4722D2FD"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1D7255F4" w14:textId="77777777" w:rsidR="005F3049" w:rsidRPr="00D85CD0" w:rsidRDefault="005F3049" w:rsidP="00AD6C64">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D85CD0">
              <w:rPr>
                <w:rStyle w:val="Strong"/>
                <w:rFonts w:ascii="Arial Narrow" w:hAnsi="Arial Narrow" w:cs="Open Sans"/>
                <w:sz w:val="20"/>
                <w:szCs w:val="20"/>
                <w:bdr w:val="none" w:sz="0" w:space="0" w:color="auto" w:frame="1"/>
              </w:rPr>
              <w:t>Clinical criteria:</w:t>
            </w:r>
          </w:p>
        </w:tc>
      </w:tr>
      <w:tr w:rsidR="005F3049" w:rsidRPr="00D85CD0" w14:paraId="641C9105"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42C7D134" w14:textId="1E050463"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06B18A8A" w14:textId="77777777" w:rsidR="005F3049" w:rsidRPr="00D85CD0" w:rsidRDefault="005F3049" w:rsidP="00AD6C64">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D85CD0">
              <w:rPr>
                <w:rFonts w:ascii="Arial Narrow" w:hAnsi="Arial Narrow" w:cs="Open Sans"/>
                <w:sz w:val="20"/>
                <w:szCs w:val="20"/>
              </w:rPr>
              <w:t xml:space="preserve">Patient must have previously received PBS-subsidised treatment with this drug for this condition under the First continuing treatment restriction; </w:t>
            </w:r>
          </w:p>
        </w:tc>
      </w:tr>
      <w:tr w:rsidR="005F3049" w:rsidRPr="00D85CD0" w14:paraId="297DC1F2"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36F45232" w14:textId="77777777"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560218C9"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Style w:val="Strong"/>
                <w:rFonts w:ascii="Arial Narrow" w:hAnsi="Arial Narrow" w:cs="Open Sans"/>
                <w:sz w:val="20"/>
                <w:szCs w:val="20"/>
                <w:bdr w:val="none" w:sz="0" w:space="0" w:color="auto" w:frame="1"/>
              </w:rPr>
              <w:t>AND</w:t>
            </w:r>
          </w:p>
        </w:tc>
      </w:tr>
      <w:tr w:rsidR="005F3049" w:rsidRPr="00D85CD0" w14:paraId="5D18FE20"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58861C1B" w14:textId="41860096"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2BF124AE"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Style w:val="Strong"/>
                <w:rFonts w:ascii="Arial Narrow" w:hAnsi="Arial Narrow" w:cs="Open Sans"/>
                <w:sz w:val="20"/>
                <w:szCs w:val="20"/>
                <w:bdr w:val="none" w:sz="0" w:space="0" w:color="auto" w:frame="1"/>
              </w:rPr>
              <w:t>Clinical criteria:</w:t>
            </w:r>
          </w:p>
        </w:tc>
      </w:tr>
      <w:tr w:rsidR="005F3049" w:rsidRPr="00D85CD0" w14:paraId="299330F3"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22DA0671" w14:textId="4CD1644A"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2135D759" w14:textId="77777777" w:rsidR="005F3049" w:rsidRPr="00D85CD0" w:rsidRDefault="005F3049" w:rsidP="00AD6C64">
            <w:pPr>
              <w:pStyle w:val="NormalWeb"/>
              <w:spacing w:before="0" w:beforeAutospacing="0" w:after="0" w:afterAutospacing="0"/>
              <w:textAlignment w:val="baseline"/>
              <w:rPr>
                <w:rFonts w:ascii="Arial Narrow" w:hAnsi="Arial Narrow" w:cs="Open Sans"/>
                <w:i/>
                <w:iCs/>
                <w:sz w:val="20"/>
                <w:szCs w:val="20"/>
              </w:rPr>
            </w:pPr>
            <w:r w:rsidRPr="00D85CD0">
              <w:rPr>
                <w:rFonts w:ascii="Arial Narrow" w:hAnsi="Arial Narrow" w:cs="Open Sans"/>
                <w:i/>
                <w:iCs/>
                <w:sz w:val="20"/>
                <w:szCs w:val="20"/>
              </w:rPr>
              <w:t>Patient must have documented evidence of having achieved histologic remission while receiving initial and first continuing PBS-subsidised treatment with this drug for this condition, defined as a peak eosinophil count of less than 5 eosinophils per high power field (hpf), corresponding to less than 16 eosinophils per mm</w:t>
            </w:r>
            <w:r w:rsidRPr="00D85CD0">
              <w:rPr>
                <w:rFonts w:ascii="Arial Narrow" w:hAnsi="Arial Narrow" w:cs="Open Sans"/>
                <w:i/>
                <w:iCs/>
                <w:sz w:val="20"/>
                <w:szCs w:val="20"/>
                <w:vertAlign w:val="superscript"/>
              </w:rPr>
              <w:t>2</w:t>
            </w:r>
            <w:r w:rsidRPr="00D85CD0">
              <w:rPr>
                <w:rFonts w:ascii="Arial Narrow" w:hAnsi="Arial Narrow" w:cs="Open Sans"/>
                <w:i/>
                <w:iCs/>
                <w:sz w:val="20"/>
                <w:szCs w:val="20"/>
              </w:rPr>
              <w:t xml:space="preserve"> hpf on oesophageal biopsy</w:t>
            </w:r>
          </w:p>
        </w:tc>
      </w:tr>
      <w:tr w:rsidR="005F3049" w:rsidRPr="00D85CD0" w14:paraId="3BB66C7E"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0EC995EC" w14:textId="77777777"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668948B0" w14:textId="77777777" w:rsidR="005F3049" w:rsidRPr="00D85CD0" w:rsidRDefault="005F3049" w:rsidP="00AD6C64">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D85CD0">
              <w:rPr>
                <w:rStyle w:val="Strong"/>
                <w:rFonts w:ascii="Arial Narrow" w:hAnsi="Arial Narrow" w:cs="Open Sans"/>
                <w:sz w:val="20"/>
                <w:szCs w:val="20"/>
                <w:bdr w:val="none" w:sz="0" w:space="0" w:color="auto" w:frame="1"/>
              </w:rPr>
              <w:t>AND</w:t>
            </w:r>
          </w:p>
        </w:tc>
      </w:tr>
      <w:tr w:rsidR="005F3049" w:rsidRPr="00D85CD0" w14:paraId="3FC6697C"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606CEE78" w14:textId="18015702" w:rsidR="005F3049" w:rsidRPr="00D85CD0" w:rsidRDefault="005F3049" w:rsidP="00AD6C64">
            <w:pPr>
              <w:rPr>
                <w:rFonts w:ascii="Arial Narrow" w:hAnsi="Arial Narrow" w:cs="Open Sans"/>
                <w:strike/>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4E05637C" w14:textId="77777777" w:rsidR="005F3049" w:rsidRPr="00D85CD0" w:rsidRDefault="005F3049" w:rsidP="00AD6C64">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D85CD0">
              <w:rPr>
                <w:rStyle w:val="Strong"/>
                <w:rFonts w:ascii="Arial Narrow" w:hAnsi="Arial Narrow" w:cs="Open Sans"/>
                <w:sz w:val="20"/>
                <w:szCs w:val="20"/>
                <w:bdr w:val="none" w:sz="0" w:space="0" w:color="auto" w:frame="1"/>
              </w:rPr>
              <w:t>Clinical criteria:</w:t>
            </w:r>
          </w:p>
        </w:tc>
      </w:tr>
      <w:tr w:rsidR="005F3049" w:rsidRPr="00D85CD0" w14:paraId="510E9AC4"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39C980EE" w14:textId="06739F54" w:rsidR="005F3049" w:rsidRPr="00D85CD0" w:rsidRDefault="005F3049" w:rsidP="00AD6C64">
            <w:pPr>
              <w:rPr>
                <w:rFonts w:ascii="Arial Narrow" w:hAnsi="Arial Narrow" w:cs="Open Sans"/>
                <w:strike/>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0263FDDC" w14:textId="77777777" w:rsidR="005F3049" w:rsidRPr="00D85CD0" w:rsidRDefault="005F3049" w:rsidP="00AD6C64">
            <w:pPr>
              <w:pStyle w:val="NormalWeb"/>
              <w:spacing w:before="0" w:beforeAutospacing="0" w:after="0" w:afterAutospacing="0"/>
              <w:textAlignment w:val="baseline"/>
              <w:rPr>
                <w:rFonts w:ascii="Arial Narrow" w:hAnsi="Arial Narrow" w:cs="Open Sans"/>
                <w:b/>
                <w:bCs/>
                <w:strike/>
                <w:sz w:val="20"/>
                <w:szCs w:val="20"/>
                <w:bdr w:val="none" w:sz="0" w:space="0" w:color="auto" w:frame="1"/>
              </w:rPr>
            </w:pPr>
            <w:r w:rsidRPr="00D85CD0">
              <w:rPr>
                <w:rFonts w:ascii="Arial Narrow" w:hAnsi="Arial Narrow" w:cs="Open Sans"/>
                <w:strike/>
                <w:sz w:val="20"/>
                <w:szCs w:val="20"/>
              </w:rPr>
              <w:t>The condition must not have progressed while being treated with this drug</w:t>
            </w:r>
          </w:p>
        </w:tc>
      </w:tr>
      <w:tr w:rsidR="005F3049" w:rsidRPr="00D85CD0" w14:paraId="0340EB21"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385433BD" w14:textId="1CB40474"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11519EAC"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Fonts w:ascii="Arial Narrow" w:hAnsi="Arial Narrow" w:cs="Open Sans"/>
                <w:sz w:val="20"/>
                <w:szCs w:val="20"/>
              </w:rPr>
              <w:t>Patient must have demonstrated or sustained an adequate response to treatment with this drug.</w:t>
            </w:r>
          </w:p>
        </w:tc>
      </w:tr>
      <w:tr w:rsidR="005F3049" w:rsidRPr="00D85CD0" w14:paraId="04544B22"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5EA2A4BB" w14:textId="411B8CB0"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209690B2" w14:textId="77777777" w:rsidR="005F3049" w:rsidRPr="00D85CD0" w:rsidRDefault="005F3049" w:rsidP="00AD6C64">
            <w:pPr>
              <w:pStyle w:val="NormalWeb"/>
              <w:spacing w:before="0" w:beforeAutospacing="0" w:after="0" w:afterAutospacing="0"/>
              <w:textAlignment w:val="baseline"/>
              <w:rPr>
                <w:rStyle w:val="Strong"/>
                <w:rFonts w:ascii="Arial Narrow" w:hAnsi="Arial Narrow" w:cs="Open Sans"/>
                <w:sz w:val="20"/>
                <w:szCs w:val="20"/>
                <w:bdr w:val="none" w:sz="0" w:space="0" w:color="auto" w:frame="1"/>
              </w:rPr>
            </w:pPr>
            <w:r w:rsidRPr="00D85CD0">
              <w:rPr>
                <w:rStyle w:val="Strong"/>
                <w:rFonts w:ascii="Arial Narrow" w:hAnsi="Arial Narrow" w:cs="Open Sans"/>
                <w:sz w:val="20"/>
                <w:szCs w:val="20"/>
                <w:bdr w:val="none" w:sz="0" w:space="0" w:color="auto" w:frame="1"/>
              </w:rPr>
              <w:t>Treatment criteria:</w:t>
            </w:r>
          </w:p>
          <w:p w14:paraId="4B39D2AE" w14:textId="77777777" w:rsidR="005F3049" w:rsidRPr="00D85CD0" w:rsidRDefault="005F3049" w:rsidP="00AD6C64">
            <w:pPr>
              <w:pStyle w:val="NormalWeb"/>
              <w:spacing w:before="0" w:beforeAutospacing="0" w:after="0" w:afterAutospacing="0"/>
              <w:textAlignment w:val="baseline"/>
              <w:rPr>
                <w:rFonts w:ascii="Arial Narrow" w:hAnsi="Arial Narrow" w:cs="Open Sans"/>
                <w:b/>
                <w:bCs/>
                <w:sz w:val="20"/>
                <w:szCs w:val="20"/>
                <w:bdr w:val="none" w:sz="0" w:space="0" w:color="auto" w:frame="1"/>
              </w:rPr>
            </w:pPr>
          </w:p>
        </w:tc>
      </w:tr>
      <w:tr w:rsidR="005F3049" w:rsidRPr="00D85CD0" w14:paraId="1BBCF234"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2E0239C8" w14:textId="77777777"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266F6D33" w14:textId="77777777" w:rsidR="005F3049" w:rsidRPr="00D85CD0" w:rsidRDefault="005F3049" w:rsidP="00AD6C64">
            <w:pPr>
              <w:pStyle w:val="NormalWeb"/>
              <w:spacing w:before="0" w:beforeAutospacing="0" w:after="0" w:afterAutospacing="0"/>
              <w:textAlignment w:val="baseline"/>
              <w:rPr>
                <w:rFonts w:ascii="Arial Narrow" w:hAnsi="Arial Narrow" w:cs="Open Sans"/>
                <w:b/>
                <w:bCs/>
                <w:sz w:val="20"/>
                <w:szCs w:val="20"/>
                <w:bdr w:val="none" w:sz="0" w:space="0" w:color="auto" w:frame="1"/>
              </w:rPr>
            </w:pPr>
            <w:r w:rsidRPr="00D85CD0">
              <w:rPr>
                <w:rFonts w:ascii="Arial Narrow" w:hAnsi="Arial Narrow" w:cs="Open Sans"/>
                <w:sz w:val="20"/>
                <w:szCs w:val="20"/>
              </w:rPr>
              <w:t>Must be treated by at least one of: (i) gastroenterologist, (ii) surgeon experienced in the management of patients with eosinophilic oesophagitis, (iii) physician experienced in the management of patients with eosinophilic oesophagitis, (iv) medical practitioner in consultation with one of these prescribers.</w:t>
            </w:r>
          </w:p>
        </w:tc>
      </w:tr>
      <w:tr w:rsidR="005F3049" w:rsidRPr="00D85CD0" w14:paraId="17E863F8"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3AA482F7" w14:textId="58F11EC4" w:rsidR="005F3049" w:rsidRPr="00D85CD0" w:rsidRDefault="005F3049" w:rsidP="00AD6C64">
            <w:pPr>
              <w:rPr>
                <w:rFonts w:ascii="Arial Narrow" w:hAnsi="Arial Narrow" w:cs="Open Sans"/>
                <w:sz w:val="20"/>
                <w:szCs w:val="20"/>
                <w:highlight w:val="yellow"/>
              </w:rPr>
            </w:pPr>
          </w:p>
        </w:tc>
        <w:tc>
          <w:tcPr>
            <w:tcW w:w="4374" w:type="pct"/>
            <w:gridSpan w:val="6"/>
            <w:tcBorders>
              <w:top w:val="single" w:sz="4" w:space="0" w:color="auto"/>
              <w:left w:val="single" w:sz="4" w:space="0" w:color="auto"/>
              <w:bottom w:val="single" w:sz="4" w:space="0" w:color="auto"/>
              <w:right w:val="single" w:sz="4" w:space="0" w:color="auto"/>
            </w:tcBorders>
          </w:tcPr>
          <w:p w14:paraId="544121E9"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Style w:val="Strong"/>
                <w:rFonts w:ascii="Arial Narrow" w:hAnsi="Arial Narrow" w:cs="Open Sans"/>
                <w:sz w:val="20"/>
                <w:szCs w:val="20"/>
                <w:bdr w:val="none" w:sz="0" w:space="0" w:color="auto" w:frame="1"/>
              </w:rPr>
              <w:t>Prescribing Instructions:</w:t>
            </w:r>
          </w:p>
          <w:p w14:paraId="61BEBBDD"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Fonts w:ascii="Arial Narrow" w:hAnsi="Arial Narrow" w:cs="Open Sans"/>
                <w:sz w:val="20"/>
                <w:szCs w:val="20"/>
              </w:rPr>
              <w:t>Histologic assessment should be based on the peak eosinophils count derived, where necessary, from the evaluation of at least eight oesophageal biopsies (minimum of four collected from each of the mid and distal segments, with the distal segment biopsies taken at least 5 cm above the gastroesophageal junction).</w:t>
            </w:r>
          </w:p>
          <w:p w14:paraId="6D39ED6A" w14:textId="77777777" w:rsidR="005F3049" w:rsidRPr="00D85CD0" w:rsidRDefault="005F3049" w:rsidP="00AD6C64">
            <w:pPr>
              <w:rPr>
                <w:rFonts w:ascii="Arial Narrow" w:hAnsi="Arial Narrow" w:cs="Open Sans"/>
                <w:sz w:val="20"/>
                <w:szCs w:val="20"/>
              </w:rPr>
            </w:pPr>
            <w:r w:rsidRPr="00D85CD0">
              <w:rPr>
                <w:rFonts w:ascii="Arial Narrow" w:hAnsi="Arial Narrow" w:cs="Open Sans"/>
                <w:sz w:val="20"/>
                <w:szCs w:val="20"/>
              </w:rPr>
              <w:t xml:space="preserve">The histologic assessment should, where possible, be performed by </w:t>
            </w:r>
            <w:r w:rsidRPr="00D85CD0">
              <w:rPr>
                <w:rFonts w:ascii="Arial Narrow" w:hAnsi="Arial Narrow" w:cs="Open Sans"/>
                <w:i/>
                <w:iCs/>
                <w:sz w:val="20"/>
                <w:szCs w:val="20"/>
              </w:rPr>
              <w:t>or in consultation with</w:t>
            </w:r>
            <w:r w:rsidRPr="00D85CD0">
              <w:rPr>
                <w:rFonts w:ascii="Arial Narrow" w:hAnsi="Arial Narrow" w:cs="Open Sans"/>
                <w:sz w:val="20"/>
                <w:szCs w:val="20"/>
              </w:rPr>
              <w:t xml:space="preserve"> the same physician </w:t>
            </w:r>
            <w:r w:rsidRPr="00D85CD0">
              <w:rPr>
                <w:rFonts w:ascii="Arial Narrow" w:hAnsi="Arial Narrow" w:cs="Open Sans"/>
                <w:i/>
                <w:iCs/>
                <w:sz w:val="20"/>
                <w:szCs w:val="20"/>
              </w:rPr>
              <w:t>or surgeon</w:t>
            </w:r>
            <w:r w:rsidRPr="00D85CD0">
              <w:rPr>
                <w:rFonts w:ascii="Arial Narrow" w:hAnsi="Arial Narrow" w:cs="Open Sans"/>
                <w:sz w:val="20"/>
                <w:szCs w:val="20"/>
              </w:rPr>
              <w:t xml:space="preserve"> who confirmed the diagnosis of eosinophilic oesophagitis in the patient. This assessment, which will be used to determine eligibility for continuing treatment, should be conducted </w:t>
            </w:r>
            <w:r w:rsidRPr="00D85CD0">
              <w:rPr>
                <w:rFonts w:ascii="Arial Narrow" w:hAnsi="Arial Narrow" w:cs="Open Sans"/>
                <w:strike/>
                <w:sz w:val="20"/>
                <w:szCs w:val="20"/>
              </w:rPr>
              <w:t xml:space="preserve">and submitted after the patient has completed 8 weeks of the initial treatment course </w:t>
            </w:r>
            <w:r w:rsidRPr="00534AB2">
              <w:rPr>
                <w:rFonts w:ascii="Arial Narrow" w:hAnsi="Arial Narrow" w:cs="Open Sans"/>
                <w:i/>
                <w:iCs/>
                <w:strike/>
                <w:sz w:val="20"/>
                <w:szCs w:val="20"/>
              </w:rPr>
              <w:t>and</w:t>
            </w:r>
            <w:r w:rsidRPr="00534AB2">
              <w:rPr>
                <w:rFonts w:ascii="Arial Narrow" w:hAnsi="Arial Narrow" w:cs="Open Sans"/>
                <w:i/>
                <w:iCs/>
                <w:sz w:val="20"/>
                <w:szCs w:val="20"/>
              </w:rPr>
              <w:t xml:space="preserve"> between 12-24 weeks of initiating therapy</w:t>
            </w:r>
            <w:r w:rsidRPr="00D85CD0">
              <w:rPr>
                <w:rFonts w:ascii="Arial Narrow" w:hAnsi="Arial Narrow" w:cs="Open Sans"/>
                <w:sz w:val="20"/>
                <w:szCs w:val="20"/>
              </w:rPr>
              <w:t xml:space="preserve"> </w:t>
            </w:r>
            <w:r w:rsidRPr="00D85CD0">
              <w:rPr>
                <w:rFonts w:ascii="Arial Narrow" w:hAnsi="Arial Narrow" w:cs="Open Sans"/>
                <w:strike/>
                <w:sz w:val="20"/>
                <w:szCs w:val="20"/>
              </w:rPr>
              <w:t>and no later than 2 weeks prior to the patient completing the PBS-subsidised initial treatment course, to avoid an interruption to supply</w:t>
            </w:r>
            <w:r w:rsidRPr="00D85CD0">
              <w:rPr>
                <w:rFonts w:ascii="Arial Narrow" w:hAnsi="Arial Narrow" w:cs="Open Sans"/>
                <w:sz w:val="20"/>
                <w:szCs w:val="20"/>
              </w:rPr>
              <w:t xml:space="preserve">. </w:t>
            </w:r>
            <w:r w:rsidRPr="00682EBA">
              <w:rPr>
                <w:rStyle w:val="Strong"/>
                <w:rFonts w:ascii="Arial Narrow" w:hAnsi="Arial Narrow" w:cs="Open Sans"/>
                <w:b w:val="0"/>
                <w:bCs w:val="0"/>
                <w:i/>
                <w:iCs/>
                <w:sz w:val="20"/>
                <w:szCs w:val="20"/>
                <w:bdr w:val="none" w:sz="0" w:space="0" w:color="auto" w:frame="1"/>
              </w:rPr>
              <w:t>The histologic assessment should be conducted no later than 2 weeks prior  to the patient</w:t>
            </w:r>
            <w:r w:rsidRPr="00682EBA">
              <w:rPr>
                <w:rStyle w:val="Strong"/>
                <w:rFonts w:ascii="Arial Narrow" w:hAnsi="Arial Narrow" w:cs="Open Sans"/>
                <w:b w:val="0"/>
                <w:bCs w:val="0"/>
                <w:i/>
                <w:iCs/>
                <w:bdr w:val="none" w:sz="0" w:space="0" w:color="auto" w:frame="1"/>
              </w:rPr>
              <w:t xml:space="preserve"> </w:t>
            </w:r>
            <w:r w:rsidRPr="00682EBA">
              <w:rPr>
                <w:rStyle w:val="Strong"/>
                <w:rFonts w:ascii="Arial Narrow" w:hAnsi="Arial Narrow" w:cs="Open Sans"/>
                <w:b w:val="0"/>
                <w:bCs w:val="0"/>
                <w:i/>
                <w:iCs/>
                <w:sz w:val="20"/>
                <w:szCs w:val="20"/>
                <w:bdr w:val="none" w:sz="0" w:space="0" w:color="auto" w:frame="1"/>
              </w:rPr>
              <w:t>completing the PBS subsidised first continuing maintenance treatment course to avoid an interruption of supply for continuing therapy</w:t>
            </w:r>
            <w:r w:rsidRPr="00D85CD0">
              <w:rPr>
                <w:rStyle w:val="Strong"/>
                <w:rFonts w:ascii="Arial Narrow" w:hAnsi="Arial Narrow" w:cs="Open Sans"/>
                <w:i/>
                <w:iCs/>
                <w:sz w:val="20"/>
                <w:szCs w:val="20"/>
                <w:bdr w:val="none" w:sz="0" w:space="0" w:color="auto" w:frame="1"/>
              </w:rPr>
              <w:t>.</w:t>
            </w:r>
            <w:r w:rsidRPr="00D85CD0">
              <w:rPr>
                <w:rFonts w:ascii="Arial Narrow" w:hAnsi="Arial Narrow" w:cs="Open Sans"/>
                <w:sz w:val="20"/>
                <w:szCs w:val="20"/>
              </w:rPr>
              <w:t xml:space="preserve"> Where a histologic assessment is not undertaken </w:t>
            </w:r>
            <w:r w:rsidRPr="00D85CD0">
              <w:rPr>
                <w:rFonts w:ascii="Arial Narrow" w:hAnsi="Arial Narrow" w:cs="Open Sans"/>
                <w:strike/>
                <w:sz w:val="20"/>
                <w:szCs w:val="20"/>
              </w:rPr>
              <w:t>and the results submitted,</w:t>
            </w:r>
            <w:r w:rsidRPr="005F62EB">
              <w:rPr>
                <w:rFonts w:ascii="Arial Narrow" w:hAnsi="Arial Narrow" w:cs="Open Sans"/>
                <w:sz w:val="20"/>
                <w:szCs w:val="20"/>
              </w:rPr>
              <w:t xml:space="preserve"> the patient will </w:t>
            </w:r>
            <w:r w:rsidRPr="00D85CD0">
              <w:rPr>
                <w:rFonts w:ascii="Arial Narrow" w:hAnsi="Arial Narrow" w:cs="Open Sans"/>
                <w:strike/>
                <w:sz w:val="20"/>
                <w:szCs w:val="20"/>
              </w:rPr>
              <w:t>be</w:t>
            </w:r>
            <w:r w:rsidRPr="00D85CD0">
              <w:rPr>
                <w:rFonts w:ascii="Arial Narrow" w:hAnsi="Arial Narrow" w:cs="Open Sans"/>
                <w:sz w:val="20"/>
                <w:szCs w:val="20"/>
              </w:rPr>
              <w:t xml:space="preserve"> not be eligible for ongoing treatment.</w:t>
            </w:r>
          </w:p>
          <w:p w14:paraId="6255FD6F" w14:textId="77777777" w:rsidR="005F3049" w:rsidRPr="00D85CD0" w:rsidRDefault="005F3049" w:rsidP="00AD6C64">
            <w:pPr>
              <w:pStyle w:val="NormalWeb"/>
              <w:spacing w:before="0" w:beforeAutospacing="0" w:after="0" w:afterAutospacing="0"/>
              <w:textAlignment w:val="baseline"/>
              <w:rPr>
                <w:rFonts w:ascii="Arial Narrow" w:hAnsi="Arial Narrow" w:cs="Open Sans"/>
                <w:sz w:val="20"/>
                <w:szCs w:val="20"/>
              </w:rPr>
            </w:pPr>
            <w:r w:rsidRPr="00D85CD0">
              <w:rPr>
                <w:rFonts w:ascii="Arial Narrow" w:hAnsi="Arial Narrow"/>
                <w:i/>
                <w:iCs/>
                <w:sz w:val="20"/>
                <w:szCs w:val="20"/>
              </w:rPr>
              <w:t xml:space="preserve">The result of the histological assessment must be documented in the patient’s medical records. </w:t>
            </w:r>
          </w:p>
        </w:tc>
      </w:tr>
    </w:tbl>
    <w:p w14:paraId="494FD000" w14:textId="77777777" w:rsidR="005F3049" w:rsidRPr="00D85CD0" w:rsidRDefault="005F3049" w:rsidP="005F3049">
      <w:pPr>
        <w:pStyle w:val="2-SectionHeading"/>
        <w:numPr>
          <w:ilvl w:val="0"/>
          <w:numId w:val="2"/>
        </w:numPr>
        <w:spacing w:before="120"/>
      </w:pPr>
      <w:r w:rsidRPr="00D85CD0">
        <w:t>DUSC review</w:t>
      </w:r>
    </w:p>
    <w:p w14:paraId="15EB5E9A" w14:textId="77777777" w:rsidR="005F3049" w:rsidRPr="00D85CD0" w:rsidRDefault="005F3049" w:rsidP="005F3049">
      <w:pPr>
        <w:pStyle w:val="3Bodytext"/>
        <w:jc w:val="both"/>
      </w:pPr>
      <w:r w:rsidRPr="00D85CD0">
        <w:t xml:space="preserve">PBS prescription data for BOT for EoE (PBS item codes 12982G, 12987M &amp; 12994X) were extracted from the PBS data maintained by the Department of Health and Aged Care and processed by Services Australia. Data were extracted for dates of supply from the date of listing for EoE (1 May 2022) up to and including the end of March 2023. </w:t>
      </w:r>
      <w:bookmarkStart w:id="13" w:name="_Hlk141196298"/>
      <w:r>
        <w:t>It was noted that the Grandfather treatment phase listing ceased on 1 May 2023.</w:t>
      </w:r>
      <w:bookmarkEnd w:id="13"/>
    </w:p>
    <w:p w14:paraId="0199022E" w14:textId="77777777" w:rsidR="005F3049" w:rsidRPr="00D85CD0" w:rsidRDefault="005F3049" w:rsidP="005F3049">
      <w:pPr>
        <w:pStyle w:val="3Bodytext"/>
        <w:jc w:val="both"/>
      </w:pPr>
      <w:r w:rsidRPr="00D85CD0">
        <w:t>While the PBAC had requested a review after 12 months of listing to be available for its consideration in July 2023, only 11 months of complete prescription supply data were available at the time of data extraction. Thus, to compare actual to predicted utilisation for Year 1 post listing, the actual utilisation was projected to 12 months.</w:t>
      </w:r>
    </w:p>
    <w:p w14:paraId="65F55615" w14:textId="77777777" w:rsidR="005F3049" w:rsidRPr="00D85CD0" w:rsidRDefault="005F3049" w:rsidP="005F3049">
      <w:pPr>
        <w:pStyle w:val="3Bodytext"/>
        <w:jc w:val="both"/>
      </w:pPr>
      <w:r w:rsidRPr="00D85CD0">
        <w:t xml:space="preserve">DUSC considered this utilisation analysis at its June 2023 meeting. </w:t>
      </w:r>
    </w:p>
    <w:p w14:paraId="26F56D4C" w14:textId="77777777" w:rsidR="005F3049" w:rsidRPr="00D85CD0" w:rsidRDefault="005F3049" w:rsidP="005F3049">
      <w:pPr>
        <w:rPr>
          <w:rFonts w:asciiTheme="minorHAnsi" w:hAnsiTheme="minorHAnsi" w:cstheme="minorHAnsi"/>
          <w:u w:val="single"/>
        </w:rPr>
      </w:pPr>
      <w:r w:rsidRPr="00D85CD0">
        <w:rPr>
          <w:rFonts w:asciiTheme="minorHAnsi" w:hAnsiTheme="minorHAnsi" w:cstheme="minorHAnsi"/>
          <w:u w:val="single"/>
        </w:rPr>
        <w:t>Predicted versus Actual</w:t>
      </w:r>
    </w:p>
    <w:p w14:paraId="306EC059" w14:textId="77777777" w:rsidR="005F3049" w:rsidRPr="00D85CD0" w:rsidRDefault="005F3049" w:rsidP="005F3049">
      <w:pPr>
        <w:pStyle w:val="3Bodytext"/>
        <w:jc w:val="both"/>
      </w:pPr>
      <w:r w:rsidRPr="00D85CD0">
        <w:t xml:space="preserve">The predicted values used in this comparison are from Table 5 in the submission to the PBAC for its March 2023 meeting </w:t>
      </w:r>
      <w:r>
        <w:t>which were</w:t>
      </w:r>
      <w:r w:rsidRPr="00D85CD0">
        <w:t xml:space="preserve"> based on the latest </w:t>
      </w:r>
      <w:r>
        <w:t xml:space="preserve">utilisation and cost </w:t>
      </w:r>
      <w:r w:rsidRPr="00D85CD0">
        <w:t xml:space="preserve">model spreadsheet from post-PBAC discussions following the November 2021 submission and vary slightly to those in the final deed. These estimates are shown in Table 3 </w:t>
      </w:r>
      <w:r w:rsidRPr="005F62EB">
        <w:t>below. They are not the updated estimates from the submission</w:t>
      </w:r>
      <w:r w:rsidRPr="00D85CD0">
        <w:t xml:space="preserve"> (i.e. Table 6) as these are estimates of future utilisation if the proposed changes are approved by the PBAC.</w:t>
      </w:r>
    </w:p>
    <w:p w14:paraId="23D5D19A" w14:textId="77777777" w:rsidR="005F3049" w:rsidRPr="00D85CD0" w:rsidRDefault="005F3049" w:rsidP="005F3049">
      <w:pPr>
        <w:pStyle w:val="Caption"/>
        <w:keepNext/>
        <w:spacing w:after="0"/>
        <w:rPr>
          <w:rFonts w:ascii="Arial Narrow" w:hAnsi="Arial Narrow"/>
          <w:b/>
          <w:bCs/>
          <w:i w:val="0"/>
          <w:iCs w:val="0"/>
          <w:sz w:val="20"/>
          <w:szCs w:val="20"/>
        </w:rPr>
      </w:pPr>
      <w:bookmarkStart w:id="14" w:name="_Ref113919853"/>
      <w:bookmarkStart w:id="15" w:name="_Toc118198958"/>
      <w:r w:rsidRPr="00D85CD0">
        <w:rPr>
          <w:rFonts w:ascii="Arial Narrow" w:hAnsi="Arial Narrow"/>
          <w:b/>
          <w:bCs/>
          <w:i w:val="0"/>
          <w:iCs w:val="0"/>
          <w:sz w:val="20"/>
          <w:szCs w:val="20"/>
        </w:rPr>
        <w:t xml:space="preserve">Table </w:t>
      </w:r>
      <w:bookmarkEnd w:id="14"/>
      <w:r w:rsidRPr="00D85CD0">
        <w:rPr>
          <w:rFonts w:ascii="Arial Narrow" w:hAnsi="Arial Narrow"/>
          <w:b/>
          <w:bCs/>
          <w:i w:val="0"/>
          <w:iCs w:val="0"/>
          <w:sz w:val="20"/>
          <w:szCs w:val="20"/>
        </w:rPr>
        <w:t>3: Estimated use and financial implications – previous submission/post-PBAC</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40"/>
        <w:gridCol w:w="981"/>
        <w:gridCol w:w="981"/>
        <w:gridCol w:w="981"/>
        <w:gridCol w:w="981"/>
        <w:gridCol w:w="981"/>
        <w:gridCol w:w="988"/>
        <w:gridCol w:w="983"/>
      </w:tblGrid>
      <w:tr w:rsidR="005F3049" w:rsidRPr="00D85CD0" w14:paraId="5365AF90" w14:textId="77777777" w:rsidTr="00AD6C64">
        <w:trPr>
          <w:tblHeader/>
        </w:trPr>
        <w:tc>
          <w:tcPr>
            <w:tcW w:w="1187" w:type="pct"/>
            <w:shd w:val="clear" w:color="auto" w:fill="auto"/>
            <w:vAlign w:val="center"/>
          </w:tcPr>
          <w:p w14:paraId="5CD6CE6B" w14:textId="77777777" w:rsidR="005F3049" w:rsidRPr="00D85CD0" w:rsidRDefault="005F3049" w:rsidP="00AD6C64">
            <w:pPr>
              <w:pStyle w:val="TableText0"/>
              <w:keepLines/>
              <w:rPr>
                <w:szCs w:val="20"/>
              </w:rPr>
            </w:pPr>
          </w:p>
        </w:tc>
        <w:tc>
          <w:tcPr>
            <w:tcW w:w="544" w:type="pct"/>
            <w:shd w:val="clear" w:color="auto" w:fill="auto"/>
            <w:vAlign w:val="center"/>
          </w:tcPr>
          <w:p w14:paraId="37B9D808" w14:textId="77777777" w:rsidR="005F3049" w:rsidRPr="00D85CD0" w:rsidRDefault="005F3049" w:rsidP="00AD6C64">
            <w:pPr>
              <w:pStyle w:val="TableText0"/>
              <w:keepLines/>
              <w:jc w:val="center"/>
              <w:rPr>
                <w:b/>
                <w:bCs w:val="0"/>
                <w:szCs w:val="20"/>
              </w:rPr>
            </w:pPr>
            <w:r w:rsidRPr="00D85CD0">
              <w:rPr>
                <w:b/>
                <w:szCs w:val="20"/>
              </w:rPr>
              <w:t>Year 1</w:t>
            </w:r>
          </w:p>
        </w:tc>
        <w:tc>
          <w:tcPr>
            <w:tcW w:w="544" w:type="pct"/>
            <w:shd w:val="clear" w:color="auto" w:fill="auto"/>
            <w:vAlign w:val="center"/>
          </w:tcPr>
          <w:p w14:paraId="6FA179BA" w14:textId="77777777" w:rsidR="005F3049" w:rsidRPr="00D85CD0" w:rsidRDefault="005F3049" w:rsidP="00AD6C64">
            <w:pPr>
              <w:pStyle w:val="TableText0"/>
              <w:keepLines/>
              <w:jc w:val="center"/>
              <w:rPr>
                <w:b/>
                <w:bCs w:val="0"/>
                <w:szCs w:val="20"/>
              </w:rPr>
            </w:pPr>
            <w:r w:rsidRPr="00D85CD0">
              <w:rPr>
                <w:b/>
                <w:szCs w:val="20"/>
              </w:rPr>
              <w:t>Year 2</w:t>
            </w:r>
          </w:p>
        </w:tc>
        <w:tc>
          <w:tcPr>
            <w:tcW w:w="544" w:type="pct"/>
            <w:shd w:val="clear" w:color="auto" w:fill="auto"/>
            <w:vAlign w:val="center"/>
          </w:tcPr>
          <w:p w14:paraId="20C7D812" w14:textId="77777777" w:rsidR="005F3049" w:rsidRPr="00D85CD0" w:rsidRDefault="005F3049" w:rsidP="00AD6C64">
            <w:pPr>
              <w:pStyle w:val="TableText0"/>
              <w:keepLines/>
              <w:jc w:val="center"/>
              <w:rPr>
                <w:b/>
                <w:bCs w:val="0"/>
                <w:szCs w:val="20"/>
              </w:rPr>
            </w:pPr>
            <w:r w:rsidRPr="00D85CD0">
              <w:rPr>
                <w:b/>
                <w:szCs w:val="20"/>
              </w:rPr>
              <w:t>Year 3</w:t>
            </w:r>
          </w:p>
        </w:tc>
        <w:tc>
          <w:tcPr>
            <w:tcW w:w="544" w:type="pct"/>
            <w:shd w:val="clear" w:color="auto" w:fill="auto"/>
            <w:vAlign w:val="center"/>
          </w:tcPr>
          <w:p w14:paraId="2DB8FBFD" w14:textId="77777777" w:rsidR="005F3049" w:rsidRPr="00D85CD0" w:rsidRDefault="005F3049" w:rsidP="00AD6C64">
            <w:pPr>
              <w:pStyle w:val="TableText0"/>
              <w:keepLines/>
              <w:jc w:val="center"/>
              <w:rPr>
                <w:b/>
                <w:bCs w:val="0"/>
                <w:szCs w:val="20"/>
              </w:rPr>
            </w:pPr>
            <w:r w:rsidRPr="00D85CD0">
              <w:rPr>
                <w:b/>
                <w:szCs w:val="20"/>
              </w:rPr>
              <w:t>Year 4</w:t>
            </w:r>
          </w:p>
        </w:tc>
        <w:tc>
          <w:tcPr>
            <w:tcW w:w="544" w:type="pct"/>
            <w:shd w:val="clear" w:color="auto" w:fill="auto"/>
            <w:vAlign w:val="center"/>
          </w:tcPr>
          <w:p w14:paraId="2CA7DD65" w14:textId="77777777" w:rsidR="005F3049" w:rsidRPr="00D85CD0" w:rsidRDefault="005F3049" w:rsidP="00AD6C64">
            <w:pPr>
              <w:pStyle w:val="TableText0"/>
              <w:keepLines/>
              <w:jc w:val="center"/>
              <w:rPr>
                <w:b/>
                <w:bCs w:val="0"/>
                <w:szCs w:val="20"/>
              </w:rPr>
            </w:pPr>
            <w:r w:rsidRPr="00D85CD0">
              <w:rPr>
                <w:b/>
                <w:szCs w:val="20"/>
              </w:rPr>
              <w:t>Year 5</w:t>
            </w:r>
          </w:p>
        </w:tc>
        <w:tc>
          <w:tcPr>
            <w:tcW w:w="548" w:type="pct"/>
          </w:tcPr>
          <w:p w14:paraId="3EE54648" w14:textId="77777777" w:rsidR="005F3049" w:rsidRPr="00D85CD0" w:rsidRDefault="005F3049" w:rsidP="00AD6C64">
            <w:pPr>
              <w:pStyle w:val="TableText0"/>
              <w:keepLines/>
              <w:jc w:val="center"/>
              <w:rPr>
                <w:b/>
                <w:bCs w:val="0"/>
                <w:szCs w:val="20"/>
              </w:rPr>
            </w:pPr>
            <w:r w:rsidRPr="00D85CD0">
              <w:rPr>
                <w:b/>
                <w:szCs w:val="20"/>
              </w:rPr>
              <w:t>Year 6</w:t>
            </w:r>
          </w:p>
        </w:tc>
        <w:tc>
          <w:tcPr>
            <w:tcW w:w="545" w:type="pct"/>
          </w:tcPr>
          <w:p w14:paraId="7CC602C8" w14:textId="77777777" w:rsidR="005F3049" w:rsidRPr="00D85CD0" w:rsidRDefault="005F3049" w:rsidP="00AD6C64">
            <w:pPr>
              <w:pStyle w:val="TableText0"/>
              <w:keepLines/>
              <w:jc w:val="center"/>
              <w:rPr>
                <w:b/>
                <w:bCs w:val="0"/>
                <w:szCs w:val="20"/>
              </w:rPr>
            </w:pPr>
            <w:r w:rsidRPr="00D85CD0">
              <w:rPr>
                <w:b/>
                <w:szCs w:val="20"/>
              </w:rPr>
              <w:t>Total</w:t>
            </w:r>
          </w:p>
        </w:tc>
      </w:tr>
      <w:tr w:rsidR="005F3049" w:rsidRPr="00D85CD0" w14:paraId="2FC7144B" w14:textId="77777777" w:rsidTr="00AD6C64">
        <w:tc>
          <w:tcPr>
            <w:tcW w:w="5000" w:type="pct"/>
            <w:gridSpan w:val="8"/>
            <w:shd w:val="clear" w:color="auto" w:fill="auto"/>
            <w:vAlign w:val="center"/>
          </w:tcPr>
          <w:p w14:paraId="7F0CF95B" w14:textId="77777777" w:rsidR="005F3049" w:rsidRPr="00D85CD0" w:rsidRDefault="005F3049" w:rsidP="00AD6C64">
            <w:pPr>
              <w:pStyle w:val="TableText0"/>
              <w:keepLines/>
              <w:rPr>
                <w:b/>
                <w:bCs w:val="0"/>
                <w:szCs w:val="20"/>
              </w:rPr>
            </w:pPr>
            <w:r w:rsidRPr="00D85CD0">
              <w:rPr>
                <w:b/>
                <w:szCs w:val="20"/>
              </w:rPr>
              <w:t>Estimated extent of use (number of patients treated)</w:t>
            </w:r>
          </w:p>
        </w:tc>
      </w:tr>
      <w:tr w:rsidR="005F3049" w:rsidRPr="00D85CD0" w14:paraId="25166BCB" w14:textId="77777777" w:rsidTr="00AD6C64">
        <w:tc>
          <w:tcPr>
            <w:tcW w:w="1187" w:type="pct"/>
            <w:shd w:val="clear" w:color="auto" w:fill="auto"/>
            <w:vAlign w:val="center"/>
          </w:tcPr>
          <w:p w14:paraId="03623B05" w14:textId="77777777" w:rsidR="005F3049" w:rsidRPr="00D85CD0" w:rsidRDefault="005F3049" w:rsidP="00AD6C64">
            <w:pPr>
              <w:pStyle w:val="TableText0"/>
              <w:keepLines/>
              <w:rPr>
                <w:szCs w:val="20"/>
              </w:rPr>
            </w:pPr>
            <w:r w:rsidRPr="00D85CD0">
              <w:rPr>
                <w:szCs w:val="20"/>
              </w:rPr>
              <w:t>Initiators</w:t>
            </w:r>
          </w:p>
        </w:tc>
        <w:tc>
          <w:tcPr>
            <w:tcW w:w="544" w:type="pct"/>
            <w:shd w:val="clear" w:color="auto" w:fill="auto"/>
            <w:vAlign w:val="center"/>
          </w:tcPr>
          <w:p w14:paraId="6A7EE403" w14:textId="64FB7147" w:rsidR="005F3049" w:rsidRPr="00A861E6" w:rsidRDefault="00A861E6" w:rsidP="00AD6C64">
            <w:pPr>
              <w:pStyle w:val="TableText0"/>
              <w:keepLines/>
              <w:jc w:val="center"/>
              <w:rPr>
                <w:szCs w:val="20"/>
                <w:vertAlign w:val="superscript"/>
              </w:rPr>
            </w:pPr>
            <w:r w:rsidRPr="00A861E6">
              <w:rPr>
                <w:rFonts w:hint="eastAsia"/>
                <w:color w:val="000000"/>
                <w:w w:val="29"/>
                <w:szCs w:val="20"/>
                <w:shd w:val="solid" w:color="000000" w:fill="000000"/>
                <w:fitText w:val="131" w:id="-1167898368"/>
                <w14:textFill>
                  <w14:solidFill>
                    <w14:srgbClr w14:val="000000">
                      <w14:alpha w14:val="100000"/>
                    </w14:srgbClr>
                  </w14:solidFill>
                </w14:textFill>
              </w:rPr>
              <w:t xml:space="preserve">　</w:t>
            </w:r>
            <w:r w:rsidRPr="00A861E6">
              <w:rPr>
                <w:color w:val="000000"/>
                <w:w w:val="29"/>
                <w:szCs w:val="20"/>
                <w:shd w:val="solid" w:color="000000" w:fill="000000"/>
                <w:fitText w:val="131" w:id="-1167898368"/>
                <w14:textFill>
                  <w14:solidFill>
                    <w14:srgbClr w14:val="000000">
                      <w14:alpha w14:val="100000"/>
                    </w14:srgbClr>
                  </w14:solidFill>
                </w14:textFill>
              </w:rPr>
              <w:t>|</w:t>
            </w:r>
            <w:r w:rsidRPr="00A861E6">
              <w:rPr>
                <w:rFonts w:hint="eastAsia"/>
                <w:color w:val="000000"/>
                <w:w w:val="29"/>
                <w:szCs w:val="20"/>
                <w:shd w:val="solid" w:color="000000" w:fill="000000"/>
                <w:fitText w:val="131" w:id="-1167898368"/>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4" w:type="pct"/>
            <w:shd w:val="clear" w:color="auto" w:fill="auto"/>
            <w:vAlign w:val="center"/>
          </w:tcPr>
          <w:p w14:paraId="20FE45F2" w14:textId="350D42B3"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367"/>
                <w14:textFill>
                  <w14:solidFill>
                    <w14:srgbClr w14:val="000000">
                      <w14:alpha w14:val="100000"/>
                    </w14:srgbClr>
                  </w14:solidFill>
                </w14:textFill>
              </w:rPr>
              <w:t xml:space="preserve">　</w:t>
            </w:r>
            <w:r w:rsidRPr="00A861E6">
              <w:rPr>
                <w:color w:val="000000"/>
                <w:w w:val="29"/>
                <w:szCs w:val="20"/>
                <w:shd w:val="solid" w:color="000000" w:fill="000000"/>
                <w:fitText w:val="131" w:id="-1167898367"/>
                <w14:textFill>
                  <w14:solidFill>
                    <w14:srgbClr w14:val="000000">
                      <w14:alpha w14:val="100000"/>
                    </w14:srgbClr>
                  </w14:solidFill>
                </w14:textFill>
              </w:rPr>
              <w:t>|</w:t>
            </w:r>
            <w:r w:rsidRPr="00A861E6">
              <w:rPr>
                <w:rFonts w:hint="eastAsia"/>
                <w:color w:val="000000"/>
                <w:w w:val="29"/>
                <w:szCs w:val="20"/>
                <w:shd w:val="solid" w:color="000000" w:fill="000000"/>
                <w:fitText w:val="131" w:id="-1167898367"/>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4" w:type="pct"/>
            <w:shd w:val="clear" w:color="auto" w:fill="auto"/>
            <w:vAlign w:val="center"/>
          </w:tcPr>
          <w:p w14:paraId="55CE1C3F" w14:textId="250D485E"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366"/>
                <w14:textFill>
                  <w14:solidFill>
                    <w14:srgbClr w14:val="000000">
                      <w14:alpha w14:val="100000"/>
                    </w14:srgbClr>
                  </w14:solidFill>
                </w14:textFill>
              </w:rPr>
              <w:t xml:space="preserve">　</w:t>
            </w:r>
            <w:r w:rsidRPr="00A861E6">
              <w:rPr>
                <w:color w:val="000000"/>
                <w:w w:val="29"/>
                <w:szCs w:val="20"/>
                <w:shd w:val="solid" w:color="000000" w:fill="000000"/>
                <w:fitText w:val="131" w:id="-1167898366"/>
                <w14:textFill>
                  <w14:solidFill>
                    <w14:srgbClr w14:val="000000">
                      <w14:alpha w14:val="100000"/>
                    </w14:srgbClr>
                  </w14:solidFill>
                </w14:textFill>
              </w:rPr>
              <w:t>|</w:t>
            </w:r>
            <w:r w:rsidRPr="00A861E6">
              <w:rPr>
                <w:rFonts w:hint="eastAsia"/>
                <w:color w:val="000000"/>
                <w:w w:val="29"/>
                <w:szCs w:val="20"/>
                <w:shd w:val="solid" w:color="000000" w:fill="000000"/>
                <w:fitText w:val="131" w:id="-1167898366"/>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4" w:type="pct"/>
            <w:shd w:val="clear" w:color="auto" w:fill="auto"/>
            <w:vAlign w:val="center"/>
          </w:tcPr>
          <w:p w14:paraId="5F1E73BA" w14:textId="49613200"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365"/>
                <w14:textFill>
                  <w14:solidFill>
                    <w14:srgbClr w14:val="000000">
                      <w14:alpha w14:val="100000"/>
                    </w14:srgbClr>
                  </w14:solidFill>
                </w14:textFill>
              </w:rPr>
              <w:t xml:space="preserve">　</w:t>
            </w:r>
            <w:r w:rsidRPr="00A861E6">
              <w:rPr>
                <w:color w:val="000000"/>
                <w:w w:val="29"/>
                <w:szCs w:val="20"/>
                <w:shd w:val="solid" w:color="000000" w:fill="000000"/>
                <w:fitText w:val="131" w:id="-1167898365"/>
                <w14:textFill>
                  <w14:solidFill>
                    <w14:srgbClr w14:val="000000">
                      <w14:alpha w14:val="100000"/>
                    </w14:srgbClr>
                  </w14:solidFill>
                </w14:textFill>
              </w:rPr>
              <w:t>|</w:t>
            </w:r>
            <w:r w:rsidRPr="00A861E6">
              <w:rPr>
                <w:rFonts w:hint="eastAsia"/>
                <w:color w:val="000000"/>
                <w:w w:val="29"/>
                <w:szCs w:val="20"/>
                <w:shd w:val="solid" w:color="000000" w:fill="000000"/>
                <w:fitText w:val="131" w:id="-1167898365"/>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4" w:type="pct"/>
            <w:shd w:val="clear" w:color="auto" w:fill="auto"/>
            <w:vAlign w:val="center"/>
          </w:tcPr>
          <w:p w14:paraId="2E4A946B" w14:textId="369A9AD1"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364"/>
                <w14:textFill>
                  <w14:solidFill>
                    <w14:srgbClr w14:val="000000">
                      <w14:alpha w14:val="100000"/>
                    </w14:srgbClr>
                  </w14:solidFill>
                </w14:textFill>
              </w:rPr>
              <w:t xml:space="preserve">　</w:t>
            </w:r>
            <w:r w:rsidRPr="00A861E6">
              <w:rPr>
                <w:color w:val="000000"/>
                <w:w w:val="29"/>
                <w:szCs w:val="20"/>
                <w:shd w:val="solid" w:color="000000" w:fill="000000"/>
                <w:fitText w:val="131" w:id="-1167898364"/>
                <w14:textFill>
                  <w14:solidFill>
                    <w14:srgbClr w14:val="000000">
                      <w14:alpha w14:val="100000"/>
                    </w14:srgbClr>
                  </w14:solidFill>
                </w14:textFill>
              </w:rPr>
              <w:t>|</w:t>
            </w:r>
            <w:r w:rsidRPr="00A861E6">
              <w:rPr>
                <w:rFonts w:hint="eastAsia"/>
                <w:color w:val="000000"/>
                <w:w w:val="29"/>
                <w:szCs w:val="20"/>
                <w:shd w:val="solid" w:color="000000" w:fill="000000"/>
                <w:fitText w:val="131" w:id="-1167898364"/>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8" w:type="pct"/>
            <w:vAlign w:val="center"/>
          </w:tcPr>
          <w:p w14:paraId="7E2C8B48" w14:textId="1D7AB4F2"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363"/>
                <w14:textFill>
                  <w14:solidFill>
                    <w14:srgbClr w14:val="000000">
                      <w14:alpha w14:val="100000"/>
                    </w14:srgbClr>
                  </w14:solidFill>
                </w14:textFill>
              </w:rPr>
              <w:t xml:space="preserve">　</w:t>
            </w:r>
            <w:r w:rsidRPr="00A861E6">
              <w:rPr>
                <w:color w:val="000000"/>
                <w:w w:val="29"/>
                <w:szCs w:val="20"/>
                <w:shd w:val="solid" w:color="000000" w:fill="000000"/>
                <w:fitText w:val="131" w:id="-1167898363"/>
                <w14:textFill>
                  <w14:solidFill>
                    <w14:srgbClr w14:val="000000">
                      <w14:alpha w14:val="100000"/>
                    </w14:srgbClr>
                  </w14:solidFill>
                </w14:textFill>
              </w:rPr>
              <w:t>|</w:t>
            </w:r>
            <w:r w:rsidRPr="00A861E6">
              <w:rPr>
                <w:rFonts w:hint="eastAsia"/>
                <w:color w:val="000000"/>
                <w:w w:val="29"/>
                <w:szCs w:val="20"/>
                <w:shd w:val="solid" w:color="000000" w:fill="000000"/>
                <w:fitText w:val="131" w:id="-1167898363"/>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5" w:type="pct"/>
            <w:shd w:val="clear" w:color="auto" w:fill="F2F2F2" w:themeFill="background1" w:themeFillShade="F2"/>
          </w:tcPr>
          <w:p w14:paraId="0DE85520" w14:textId="77777777" w:rsidR="005F3049" w:rsidRPr="00D85CD0" w:rsidRDefault="005F3049" w:rsidP="00AD6C64">
            <w:pPr>
              <w:pStyle w:val="TableText0"/>
              <w:keepLines/>
              <w:jc w:val="center"/>
              <w:rPr>
                <w:szCs w:val="20"/>
              </w:rPr>
            </w:pPr>
          </w:p>
        </w:tc>
      </w:tr>
      <w:tr w:rsidR="005F3049" w:rsidRPr="00D85CD0" w14:paraId="7596731B" w14:textId="77777777" w:rsidTr="00AD6C64">
        <w:tc>
          <w:tcPr>
            <w:tcW w:w="1187" w:type="pct"/>
            <w:shd w:val="clear" w:color="auto" w:fill="auto"/>
            <w:vAlign w:val="center"/>
          </w:tcPr>
          <w:p w14:paraId="683202F1" w14:textId="77777777" w:rsidR="005F3049" w:rsidRPr="00D85CD0" w:rsidRDefault="005F3049" w:rsidP="00AD6C64">
            <w:pPr>
              <w:pStyle w:val="TableText0"/>
              <w:keepLines/>
              <w:rPr>
                <w:szCs w:val="20"/>
              </w:rPr>
            </w:pPr>
            <w:r w:rsidRPr="00D85CD0">
              <w:rPr>
                <w:szCs w:val="20"/>
              </w:rPr>
              <w:t>Continuers</w:t>
            </w:r>
          </w:p>
        </w:tc>
        <w:tc>
          <w:tcPr>
            <w:tcW w:w="544" w:type="pct"/>
            <w:shd w:val="clear" w:color="auto" w:fill="auto"/>
            <w:vAlign w:val="center"/>
          </w:tcPr>
          <w:p w14:paraId="61A7BA3B" w14:textId="30D8DAAB"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362"/>
                <w14:textFill>
                  <w14:solidFill>
                    <w14:srgbClr w14:val="000000">
                      <w14:alpha w14:val="100000"/>
                    </w14:srgbClr>
                  </w14:solidFill>
                </w14:textFill>
              </w:rPr>
              <w:t xml:space="preserve">　</w:t>
            </w:r>
            <w:r w:rsidRPr="00A861E6">
              <w:rPr>
                <w:color w:val="000000"/>
                <w:w w:val="29"/>
                <w:szCs w:val="20"/>
                <w:shd w:val="solid" w:color="000000" w:fill="000000"/>
                <w:fitText w:val="131" w:id="-1167898362"/>
                <w14:textFill>
                  <w14:solidFill>
                    <w14:srgbClr w14:val="000000">
                      <w14:alpha w14:val="100000"/>
                    </w14:srgbClr>
                  </w14:solidFill>
                </w14:textFill>
              </w:rPr>
              <w:t>|</w:t>
            </w:r>
            <w:r w:rsidRPr="00A861E6">
              <w:rPr>
                <w:rFonts w:hint="eastAsia"/>
                <w:color w:val="000000"/>
                <w:w w:val="29"/>
                <w:szCs w:val="20"/>
                <w:shd w:val="solid" w:color="000000" w:fill="000000"/>
                <w:fitText w:val="131" w:id="-1167898362"/>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4" w:type="pct"/>
            <w:shd w:val="clear" w:color="auto" w:fill="auto"/>
            <w:vAlign w:val="center"/>
          </w:tcPr>
          <w:p w14:paraId="7AA04BBC" w14:textId="4A501795"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361"/>
                <w14:textFill>
                  <w14:solidFill>
                    <w14:srgbClr w14:val="000000">
                      <w14:alpha w14:val="100000"/>
                    </w14:srgbClr>
                  </w14:solidFill>
                </w14:textFill>
              </w:rPr>
              <w:t xml:space="preserve">　</w:t>
            </w:r>
            <w:r w:rsidRPr="00A861E6">
              <w:rPr>
                <w:color w:val="000000"/>
                <w:w w:val="29"/>
                <w:szCs w:val="20"/>
                <w:shd w:val="solid" w:color="000000" w:fill="000000"/>
                <w:fitText w:val="131" w:id="-1167898361"/>
                <w14:textFill>
                  <w14:solidFill>
                    <w14:srgbClr w14:val="000000">
                      <w14:alpha w14:val="100000"/>
                    </w14:srgbClr>
                  </w14:solidFill>
                </w14:textFill>
              </w:rPr>
              <w:t>|</w:t>
            </w:r>
            <w:r w:rsidRPr="00A861E6">
              <w:rPr>
                <w:rFonts w:hint="eastAsia"/>
                <w:color w:val="000000"/>
                <w:w w:val="29"/>
                <w:szCs w:val="20"/>
                <w:shd w:val="solid" w:color="000000" w:fill="000000"/>
                <w:fitText w:val="131" w:id="-1167898361"/>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4" w:type="pct"/>
            <w:shd w:val="clear" w:color="auto" w:fill="auto"/>
            <w:vAlign w:val="center"/>
          </w:tcPr>
          <w:p w14:paraId="7286777C" w14:textId="168D8DE5"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360"/>
                <w14:textFill>
                  <w14:solidFill>
                    <w14:srgbClr w14:val="000000">
                      <w14:alpha w14:val="100000"/>
                    </w14:srgbClr>
                  </w14:solidFill>
                </w14:textFill>
              </w:rPr>
              <w:t xml:space="preserve">　</w:t>
            </w:r>
            <w:r w:rsidRPr="00A861E6">
              <w:rPr>
                <w:color w:val="000000"/>
                <w:w w:val="29"/>
                <w:szCs w:val="20"/>
                <w:shd w:val="solid" w:color="000000" w:fill="000000"/>
                <w:fitText w:val="131" w:id="-1167898360"/>
                <w14:textFill>
                  <w14:solidFill>
                    <w14:srgbClr w14:val="000000">
                      <w14:alpha w14:val="100000"/>
                    </w14:srgbClr>
                  </w14:solidFill>
                </w14:textFill>
              </w:rPr>
              <w:t>|</w:t>
            </w:r>
            <w:r w:rsidRPr="00A861E6">
              <w:rPr>
                <w:rFonts w:hint="eastAsia"/>
                <w:color w:val="000000"/>
                <w:w w:val="29"/>
                <w:szCs w:val="20"/>
                <w:shd w:val="solid" w:color="000000" w:fill="000000"/>
                <w:fitText w:val="131" w:id="-1167898360"/>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4" w:type="pct"/>
            <w:shd w:val="clear" w:color="auto" w:fill="auto"/>
            <w:vAlign w:val="center"/>
          </w:tcPr>
          <w:p w14:paraId="2BA2CA8E" w14:textId="12519183"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359"/>
                <w14:textFill>
                  <w14:solidFill>
                    <w14:srgbClr w14:val="000000">
                      <w14:alpha w14:val="100000"/>
                    </w14:srgbClr>
                  </w14:solidFill>
                </w14:textFill>
              </w:rPr>
              <w:t xml:space="preserve">　</w:t>
            </w:r>
            <w:r w:rsidRPr="00A861E6">
              <w:rPr>
                <w:color w:val="000000"/>
                <w:w w:val="29"/>
                <w:szCs w:val="20"/>
                <w:shd w:val="solid" w:color="000000" w:fill="000000"/>
                <w:fitText w:val="131" w:id="-1167898359"/>
                <w14:textFill>
                  <w14:solidFill>
                    <w14:srgbClr w14:val="000000">
                      <w14:alpha w14:val="100000"/>
                    </w14:srgbClr>
                  </w14:solidFill>
                </w14:textFill>
              </w:rPr>
              <w:t>|</w:t>
            </w:r>
            <w:r w:rsidRPr="00A861E6">
              <w:rPr>
                <w:rFonts w:hint="eastAsia"/>
                <w:color w:val="000000"/>
                <w:w w:val="29"/>
                <w:szCs w:val="20"/>
                <w:shd w:val="solid" w:color="000000" w:fill="000000"/>
                <w:fitText w:val="131" w:id="-1167898359"/>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4" w:type="pct"/>
            <w:shd w:val="clear" w:color="auto" w:fill="auto"/>
            <w:vAlign w:val="center"/>
          </w:tcPr>
          <w:p w14:paraId="1F4182D4" w14:textId="4CC26109"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358"/>
                <w14:textFill>
                  <w14:solidFill>
                    <w14:srgbClr w14:val="000000">
                      <w14:alpha w14:val="100000"/>
                    </w14:srgbClr>
                  </w14:solidFill>
                </w14:textFill>
              </w:rPr>
              <w:t xml:space="preserve">　</w:t>
            </w:r>
            <w:r w:rsidRPr="00A861E6">
              <w:rPr>
                <w:color w:val="000000"/>
                <w:w w:val="29"/>
                <w:szCs w:val="20"/>
                <w:shd w:val="solid" w:color="000000" w:fill="000000"/>
                <w:fitText w:val="131" w:id="-1167898358"/>
                <w14:textFill>
                  <w14:solidFill>
                    <w14:srgbClr w14:val="000000">
                      <w14:alpha w14:val="100000"/>
                    </w14:srgbClr>
                  </w14:solidFill>
                </w14:textFill>
              </w:rPr>
              <w:t>|</w:t>
            </w:r>
            <w:r w:rsidRPr="00A861E6">
              <w:rPr>
                <w:rFonts w:hint="eastAsia"/>
                <w:color w:val="000000"/>
                <w:w w:val="29"/>
                <w:szCs w:val="20"/>
                <w:shd w:val="solid" w:color="000000" w:fill="000000"/>
                <w:fitText w:val="131" w:id="-1167898358"/>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8" w:type="pct"/>
            <w:vAlign w:val="center"/>
          </w:tcPr>
          <w:p w14:paraId="2F44BF4E" w14:textId="6686C56A"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357"/>
                <w14:textFill>
                  <w14:solidFill>
                    <w14:srgbClr w14:val="000000">
                      <w14:alpha w14:val="100000"/>
                    </w14:srgbClr>
                  </w14:solidFill>
                </w14:textFill>
              </w:rPr>
              <w:t xml:space="preserve">　</w:t>
            </w:r>
            <w:r w:rsidRPr="00A861E6">
              <w:rPr>
                <w:color w:val="000000"/>
                <w:w w:val="29"/>
                <w:szCs w:val="20"/>
                <w:shd w:val="solid" w:color="000000" w:fill="000000"/>
                <w:fitText w:val="131" w:id="-1167898357"/>
                <w14:textFill>
                  <w14:solidFill>
                    <w14:srgbClr w14:val="000000">
                      <w14:alpha w14:val="100000"/>
                    </w14:srgbClr>
                  </w14:solidFill>
                </w14:textFill>
              </w:rPr>
              <w:t>|</w:t>
            </w:r>
            <w:r w:rsidRPr="00A861E6">
              <w:rPr>
                <w:rFonts w:hint="eastAsia"/>
                <w:color w:val="000000"/>
                <w:w w:val="29"/>
                <w:szCs w:val="20"/>
                <w:shd w:val="solid" w:color="000000" w:fill="000000"/>
                <w:fitText w:val="131" w:id="-1167898357"/>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5" w:type="pct"/>
            <w:shd w:val="clear" w:color="auto" w:fill="F2F2F2" w:themeFill="background1" w:themeFillShade="F2"/>
          </w:tcPr>
          <w:p w14:paraId="7B6BE754" w14:textId="77777777" w:rsidR="005F3049" w:rsidRPr="00D85CD0" w:rsidRDefault="005F3049" w:rsidP="00AD6C64">
            <w:pPr>
              <w:pStyle w:val="TableText0"/>
              <w:keepLines/>
              <w:jc w:val="center"/>
              <w:rPr>
                <w:szCs w:val="20"/>
              </w:rPr>
            </w:pPr>
          </w:p>
        </w:tc>
      </w:tr>
      <w:tr w:rsidR="005F3049" w:rsidRPr="00D85CD0" w14:paraId="276A95BD" w14:textId="77777777" w:rsidTr="00AD6C64">
        <w:tc>
          <w:tcPr>
            <w:tcW w:w="5000" w:type="pct"/>
            <w:gridSpan w:val="8"/>
            <w:shd w:val="clear" w:color="auto" w:fill="auto"/>
            <w:vAlign w:val="center"/>
          </w:tcPr>
          <w:p w14:paraId="27CABABC" w14:textId="77777777" w:rsidR="005F3049" w:rsidRPr="00D85CD0" w:rsidRDefault="005F3049" w:rsidP="00AD6C64">
            <w:pPr>
              <w:pStyle w:val="TableText0"/>
              <w:keepLines/>
              <w:rPr>
                <w:b/>
                <w:bCs w:val="0"/>
                <w:szCs w:val="20"/>
              </w:rPr>
            </w:pPr>
            <w:r w:rsidRPr="00D85CD0">
              <w:rPr>
                <w:b/>
                <w:szCs w:val="20"/>
              </w:rPr>
              <w:t>Estimated extent of use (number of scripts dispensed)</w:t>
            </w:r>
          </w:p>
        </w:tc>
      </w:tr>
      <w:tr w:rsidR="005F3049" w:rsidRPr="00D85CD0" w14:paraId="2362C594" w14:textId="77777777" w:rsidTr="00AD6C64">
        <w:tc>
          <w:tcPr>
            <w:tcW w:w="1187" w:type="pct"/>
            <w:shd w:val="clear" w:color="auto" w:fill="auto"/>
          </w:tcPr>
          <w:p w14:paraId="3EFF4C87" w14:textId="77777777" w:rsidR="005F3049" w:rsidRPr="00D85CD0" w:rsidRDefault="005F3049" w:rsidP="00AD6C64">
            <w:pPr>
              <w:pStyle w:val="TableText0"/>
              <w:keepLines/>
              <w:rPr>
                <w:szCs w:val="20"/>
              </w:rPr>
            </w:pPr>
            <w:r w:rsidRPr="00D85CD0">
              <w:rPr>
                <w:szCs w:val="20"/>
              </w:rPr>
              <w:t>BOT initiation scripts</w:t>
            </w:r>
          </w:p>
        </w:tc>
        <w:tc>
          <w:tcPr>
            <w:tcW w:w="544" w:type="pct"/>
            <w:shd w:val="clear" w:color="auto" w:fill="auto"/>
            <w:vAlign w:val="center"/>
          </w:tcPr>
          <w:p w14:paraId="63279ADA" w14:textId="2DE09569"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356"/>
                <w14:textFill>
                  <w14:solidFill>
                    <w14:srgbClr w14:val="000000">
                      <w14:alpha w14:val="100000"/>
                    </w14:srgbClr>
                  </w14:solidFill>
                </w14:textFill>
              </w:rPr>
              <w:t xml:space="preserve">　</w:t>
            </w:r>
            <w:r w:rsidRPr="00A861E6">
              <w:rPr>
                <w:color w:val="000000"/>
                <w:w w:val="29"/>
                <w:szCs w:val="20"/>
                <w:shd w:val="solid" w:color="000000" w:fill="000000"/>
                <w:fitText w:val="131" w:id="-1167898356"/>
                <w14:textFill>
                  <w14:solidFill>
                    <w14:srgbClr w14:val="000000">
                      <w14:alpha w14:val="100000"/>
                    </w14:srgbClr>
                  </w14:solidFill>
                </w14:textFill>
              </w:rPr>
              <w:t>|</w:t>
            </w:r>
            <w:r w:rsidRPr="00A861E6">
              <w:rPr>
                <w:rFonts w:hint="eastAsia"/>
                <w:color w:val="000000"/>
                <w:w w:val="29"/>
                <w:szCs w:val="20"/>
                <w:shd w:val="solid" w:color="000000" w:fill="000000"/>
                <w:fitText w:val="131" w:id="-1167898356"/>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4" w:type="pct"/>
            <w:shd w:val="clear" w:color="auto" w:fill="auto"/>
            <w:vAlign w:val="center"/>
          </w:tcPr>
          <w:p w14:paraId="016C85CD" w14:textId="2FC2A5CA"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355"/>
                <w14:textFill>
                  <w14:solidFill>
                    <w14:srgbClr w14:val="000000">
                      <w14:alpha w14:val="100000"/>
                    </w14:srgbClr>
                  </w14:solidFill>
                </w14:textFill>
              </w:rPr>
              <w:t xml:space="preserve">　</w:t>
            </w:r>
            <w:r w:rsidRPr="00A861E6">
              <w:rPr>
                <w:color w:val="000000"/>
                <w:w w:val="29"/>
                <w:szCs w:val="20"/>
                <w:shd w:val="solid" w:color="000000" w:fill="000000"/>
                <w:fitText w:val="131" w:id="-1167898355"/>
                <w14:textFill>
                  <w14:solidFill>
                    <w14:srgbClr w14:val="000000">
                      <w14:alpha w14:val="100000"/>
                    </w14:srgbClr>
                  </w14:solidFill>
                </w14:textFill>
              </w:rPr>
              <w:t>|</w:t>
            </w:r>
            <w:r w:rsidRPr="00A861E6">
              <w:rPr>
                <w:rFonts w:hint="eastAsia"/>
                <w:color w:val="000000"/>
                <w:w w:val="29"/>
                <w:szCs w:val="20"/>
                <w:shd w:val="solid" w:color="000000" w:fill="000000"/>
                <w:fitText w:val="131" w:id="-1167898355"/>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4" w:type="pct"/>
            <w:shd w:val="clear" w:color="auto" w:fill="auto"/>
            <w:vAlign w:val="center"/>
          </w:tcPr>
          <w:p w14:paraId="3B55AC77" w14:textId="63A08DFE"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12"/>
                <w14:textFill>
                  <w14:solidFill>
                    <w14:srgbClr w14:val="000000">
                      <w14:alpha w14:val="100000"/>
                    </w14:srgbClr>
                  </w14:solidFill>
                </w14:textFill>
              </w:rPr>
              <w:t xml:space="preserve">　</w:t>
            </w:r>
            <w:r w:rsidRPr="00A861E6">
              <w:rPr>
                <w:color w:val="000000"/>
                <w:w w:val="29"/>
                <w:szCs w:val="20"/>
                <w:shd w:val="solid" w:color="000000" w:fill="000000"/>
                <w:fitText w:val="131" w:id="-1167898112"/>
                <w14:textFill>
                  <w14:solidFill>
                    <w14:srgbClr w14:val="000000">
                      <w14:alpha w14:val="100000"/>
                    </w14:srgbClr>
                  </w14:solidFill>
                </w14:textFill>
              </w:rPr>
              <w:t>|</w:t>
            </w:r>
            <w:r w:rsidRPr="00A861E6">
              <w:rPr>
                <w:rFonts w:hint="eastAsia"/>
                <w:color w:val="000000"/>
                <w:w w:val="29"/>
                <w:szCs w:val="20"/>
                <w:shd w:val="solid" w:color="000000" w:fill="000000"/>
                <w:fitText w:val="131" w:id="-1167898112"/>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4" w:type="pct"/>
            <w:shd w:val="clear" w:color="auto" w:fill="auto"/>
            <w:vAlign w:val="center"/>
          </w:tcPr>
          <w:p w14:paraId="60C62466" w14:textId="38615B45"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11"/>
                <w14:textFill>
                  <w14:solidFill>
                    <w14:srgbClr w14:val="000000">
                      <w14:alpha w14:val="100000"/>
                    </w14:srgbClr>
                  </w14:solidFill>
                </w14:textFill>
              </w:rPr>
              <w:t xml:space="preserve">　</w:t>
            </w:r>
            <w:r w:rsidRPr="00A861E6">
              <w:rPr>
                <w:color w:val="000000"/>
                <w:w w:val="29"/>
                <w:szCs w:val="20"/>
                <w:shd w:val="solid" w:color="000000" w:fill="000000"/>
                <w:fitText w:val="131" w:id="-1167898111"/>
                <w14:textFill>
                  <w14:solidFill>
                    <w14:srgbClr w14:val="000000">
                      <w14:alpha w14:val="100000"/>
                    </w14:srgbClr>
                  </w14:solidFill>
                </w14:textFill>
              </w:rPr>
              <w:t>|</w:t>
            </w:r>
            <w:r w:rsidRPr="00A861E6">
              <w:rPr>
                <w:rFonts w:hint="eastAsia"/>
                <w:color w:val="000000"/>
                <w:w w:val="29"/>
                <w:szCs w:val="20"/>
                <w:shd w:val="solid" w:color="000000" w:fill="000000"/>
                <w:fitText w:val="131" w:id="-1167898111"/>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4" w:type="pct"/>
            <w:shd w:val="clear" w:color="auto" w:fill="auto"/>
            <w:vAlign w:val="center"/>
          </w:tcPr>
          <w:p w14:paraId="2C6F5A30" w14:textId="078CECC1"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10"/>
                <w14:textFill>
                  <w14:solidFill>
                    <w14:srgbClr w14:val="000000">
                      <w14:alpha w14:val="100000"/>
                    </w14:srgbClr>
                  </w14:solidFill>
                </w14:textFill>
              </w:rPr>
              <w:t xml:space="preserve">　</w:t>
            </w:r>
            <w:r w:rsidRPr="00A861E6">
              <w:rPr>
                <w:color w:val="000000"/>
                <w:w w:val="29"/>
                <w:szCs w:val="20"/>
                <w:shd w:val="solid" w:color="000000" w:fill="000000"/>
                <w:fitText w:val="131" w:id="-1167898110"/>
                <w14:textFill>
                  <w14:solidFill>
                    <w14:srgbClr w14:val="000000">
                      <w14:alpha w14:val="100000"/>
                    </w14:srgbClr>
                  </w14:solidFill>
                </w14:textFill>
              </w:rPr>
              <w:t>|</w:t>
            </w:r>
            <w:r w:rsidRPr="00A861E6">
              <w:rPr>
                <w:rFonts w:hint="eastAsia"/>
                <w:color w:val="000000"/>
                <w:w w:val="29"/>
                <w:szCs w:val="20"/>
                <w:shd w:val="solid" w:color="000000" w:fill="000000"/>
                <w:fitText w:val="131" w:id="-1167898110"/>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8" w:type="pct"/>
            <w:vAlign w:val="center"/>
          </w:tcPr>
          <w:p w14:paraId="46E3A3F3" w14:textId="61CF9BA2"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09"/>
                <w14:textFill>
                  <w14:solidFill>
                    <w14:srgbClr w14:val="000000">
                      <w14:alpha w14:val="100000"/>
                    </w14:srgbClr>
                  </w14:solidFill>
                </w14:textFill>
              </w:rPr>
              <w:t xml:space="preserve">　</w:t>
            </w:r>
            <w:r w:rsidRPr="00A861E6">
              <w:rPr>
                <w:color w:val="000000"/>
                <w:w w:val="29"/>
                <w:szCs w:val="20"/>
                <w:shd w:val="solid" w:color="000000" w:fill="000000"/>
                <w:fitText w:val="131" w:id="-1167898109"/>
                <w14:textFill>
                  <w14:solidFill>
                    <w14:srgbClr w14:val="000000">
                      <w14:alpha w14:val="100000"/>
                    </w14:srgbClr>
                  </w14:solidFill>
                </w14:textFill>
              </w:rPr>
              <w:t>|</w:t>
            </w:r>
            <w:r w:rsidRPr="00A861E6">
              <w:rPr>
                <w:rFonts w:hint="eastAsia"/>
                <w:color w:val="000000"/>
                <w:w w:val="29"/>
                <w:szCs w:val="20"/>
                <w:shd w:val="solid" w:color="000000" w:fill="000000"/>
                <w:fitText w:val="131" w:id="-1167898109"/>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5" w:type="pct"/>
            <w:shd w:val="clear" w:color="auto" w:fill="F2F2F2" w:themeFill="background1" w:themeFillShade="F2"/>
          </w:tcPr>
          <w:p w14:paraId="26158A2E" w14:textId="77777777" w:rsidR="005F3049" w:rsidRPr="00D85CD0" w:rsidRDefault="005F3049" w:rsidP="00AD6C64">
            <w:pPr>
              <w:pStyle w:val="TableText0"/>
              <w:keepLines/>
              <w:jc w:val="center"/>
              <w:rPr>
                <w:szCs w:val="20"/>
              </w:rPr>
            </w:pPr>
          </w:p>
        </w:tc>
      </w:tr>
      <w:tr w:rsidR="005F3049" w:rsidRPr="00D85CD0" w14:paraId="32712660" w14:textId="77777777" w:rsidTr="00AD6C64">
        <w:tc>
          <w:tcPr>
            <w:tcW w:w="1187" w:type="pct"/>
            <w:shd w:val="clear" w:color="auto" w:fill="auto"/>
          </w:tcPr>
          <w:p w14:paraId="1F428174" w14:textId="77777777" w:rsidR="005F3049" w:rsidRPr="00D85CD0" w:rsidRDefault="005F3049" w:rsidP="00AD6C64">
            <w:pPr>
              <w:pStyle w:val="TableText0"/>
              <w:keepLines/>
              <w:rPr>
                <w:szCs w:val="20"/>
              </w:rPr>
            </w:pPr>
            <w:r w:rsidRPr="00D85CD0">
              <w:rPr>
                <w:szCs w:val="20"/>
              </w:rPr>
              <w:t>BOT continuation scripts, first</w:t>
            </w:r>
          </w:p>
        </w:tc>
        <w:tc>
          <w:tcPr>
            <w:tcW w:w="544" w:type="pct"/>
            <w:shd w:val="clear" w:color="auto" w:fill="auto"/>
            <w:vAlign w:val="center"/>
          </w:tcPr>
          <w:p w14:paraId="556D0BF1" w14:textId="78C0CD8D"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08"/>
                <w14:textFill>
                  <w14:solidFill>
                    <w14:srgbClr w14:val="000000">
                      <w14:alpha w14:val="100000"/>
                    </w14:srgbClr>
                  </w14:solidFill>
                </w14:textFill>
              </w:rPr>
              <w:t xml:space="preserve">　</w:t>
            </w:r>
            <w:r w:rsidRPr="00A861E6">
              <w:rPr>
                <w:color w:val="000000"/>
                <w:w w:val="29"/>
                <w:szCs w:val="20"/>
                <w:shd w:val="solid" w:color="000000" w:fill="000000"/>
                <w:fitText w:val="131" w:id="-1167898108"/>
                <w14:textFill>
                  <w14:solidFill>
                    <w14:srgbClr w14:val="000000">
                      <w14:alpha w14:val="100000"/>
                    </w14:srgbClr>
                  </w14:solidFill>
                </w14:textFill>
              </w:rPr>
              <w:t>|</w:t>
            </w:r>
            <w:r w:rsidRPr="00A861E6">
              <w:rPr>
                <w:rFonts w:hint="eastAsia"/>
                <w:color w:val="000000"/>
                <w:w w:val="29"/>
                <w:szCs w:val="20"/>
                <w:shd w:val="solid" w:color="000000" w:fill="000000"/>
                <w:fitText w:val="131" w:id="-1167898108"/>
                <w14:textFill>
                  <w14:solidFill>
                    <w14:srgbClr w14:val="000000">
                      <w14:alpha w14:val="100000"/>
                    </w14:srgbClr>
                  </w14:solidFill>
                </w14:textFill>
              </w:rPr>
              <w:t xml:space="preserve">　</w:t>
            </w:r>
            <w:r w:rsidR="008D14E1">
              <w:rPr>
                <w:szCs w:val="20"/>
              </w:rPr>
              <w:t xml:space="preserve"> </w:t>
            </w:r>
            <w:r w:rsidR="008D14E1">
              <w:rPr>
                <w:szCs w:val="20"/>
                <w:vertAlign w:val="superscript"/>
              </w:rPr>
              <w:t>2</w:t>
            </w:r>
          </w:p>
        </w:tc>
        <w:tc>
          <w:tcPr>
            <w:tcW w:w="544" w:type="pct"/>
            <w:shd w:val="clear" w:color="auto" w:fill="auto"/>
            <w:vAlign w:val="center"/>
          </w:tcPr>
          <w:p w14:paraId="536FFD5B" w14:textId="2F565187"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07"/>
                <w14:textFill>
                  <w14:solidFill>
                    <w14:srgbClr w14:val="000000">
                      <w14:alpha w14:val="100000"/>
                    </w14:srgbClr>
                  </w14:solidFill>
                </w14:textFill>
              </w:rPr>
              <w:t xml:space="preserve">　</w:t>
            </w:r>
            <w:r w:rsidRPr="00A861E6">
              <w:rPr>
                <w:color w:val="000000"/>
                <w:w w:val="29"/>
                <w:szCs w:val="20"/>
                <w:shd w:val="solid" w:color="000000" w:fill="000000"/>
                <w:fitText w:val="131" w:id="-1167898107"/>
                <w14:textFill>
                  <w14:solidFill>
                    <w14:srgbClr w14:val="000000">
                      <w14:alpha w14:val="100000"/>
                    </w14:srgbClr>
                  </w14:solidFill>
                </w14:textFill>
              </w:rPr>
              <w:t>|</w:t>
            </w:r>
            <w:r w:rsidRPr="00A861E6">
              <w:rPr>
                <w:rFonts w:hint="eastAsia"/>
                <w:color w:val="000000"/>
                <w:w w:val="29"/>
                <w:szCs w:val="20"/>
                <w:shd w:val="solid" w:color="000000" w:fill="000000"/>
                <w:fitText w:val="131" w:id="-1167898107"/>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4" w:type="pct"/>
            <w:shd w:val="clear" w:color="auto" w:fill="auto"/>
            <w:vAlign w:val="center"/>
          </w:tcPr>
          <w:p w14:paraId="0A577FFA" w14:textId="243F1BC1"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06"/>
                <w14:textFill>
                  <w14:solidFill>
                    <w14:srgbClr w14:val="000000">
                      <w14:alpha w14:val="100000"/>
                    </w14:srgbClr>
                  </w14:solidFill>
                </w14:textFill>
              </w:rPr>
              <w:t xml:space="preserve">　</w:t>
            </w:r>
            <w:r w:rsidRPr="00A861E6">
              <w:rPr>
                <w:color w:val="000000"/>
                <w:w w:val="29"/>
                <w:szCs w:val="20"/>
                <w:shd w:val="solid" w:color="000000" w:fill="000000"/>
                <w:fitText w:val="131" w:id="-1167898106"/>
                <w14:textFill>
                  <w14:solidFill>
                    <w14:srgbClr w14:val="000000">
                      <w14:alpha w14:val="100000"/>
                    </w14:srgbClr>
                  </w14:solidFill>
                </w14:textFill>
              </w:rPr>
              <w:t>|</w:t>
            </w:r>
            <w:r w:rsidRPr="00A861E6">
              <w:rPr>
                <w:rFonts w:hint="eastAsia"/>
                <w:color w:val="000000"/>
                <w:w w:val="29"/>
                <w:szCs w:val="20"/>
                <w:shd w:val="solid" w:color="000000" w:fill="000000"/>
                <w:fitText w:val="131" w:id="-1167898106"/>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4" w:type="pct"/>
            <w:shd w:val="clear" w:color="auto" w:fill="auto"/>
            <w:vAlign w:val="center"/>
          </w:tcPr>
          <w:p w14:paraId="59D54D38" w14:textId="5BA1B82E"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05"/>
                <w14:textFill>
                  <w14:solidFill>
                    <w14:srgbClr w14:val="000000">
                      <w14:alpha w14:val="100000"/>
                    </w14:srgbClr>
                  </w14:solidFill>
                </w14:textFill>
              </w:rPr>
              <w:t xml:space="preserve">　</w:t>
            </w:r>
            <w:r w:rsidRPr="00A861E6">
              <w:rPr>
                <w:color w:val="000000"/>
                <w:w w:val="29"/>
                <w:szCs w:val="20"/>
                <w:shd w:val="solid" w:color="000000" w:fill="000000"/>
                <w:fitText w:val="131" w:id="-1167898105"/>
                <w14:textFill>
                  <w14:solidFill>
                    <w14:srgbClr w14:val="000000">
                      <w14:alpha w14:val="100000"/>
                    </w14:srgbClr>
                  </w14:solidFill>
                </w14:textFill>
              </w:rPr>
              <w:t>|</w:t>
            </w:r>
            <w:r w:rsidRPr="00A861E6">
              <w:rPr>
                <w:rFonts w:hint="eastAsia"/>
                <w:color w:val="000000"/>
                <w:w w:val="29"/>
                <w:szCs w:val="20"/>
                <w:shd w:val="solid" w:color="000000" w:fill="000000"/>
                <w:fitText w:val="131" w:id="-1167898105"/>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4" w:type="pct"/>
            <w:shd w:val="clear" w:color="auto" w:fill="auto"/>
            <w:vAlign w:val="center"/>
          </w:tcPr>
          <w:p w14:paraId="67004E69" w14:textId="1D30DC4B"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04"/>
                <w14:textFill>
                  <w14:solidFill>
                    <w14:srgbClr w14:val="000000">
                      <w14:alpha w14:val="100000"/>
                    </w14:srgbClr>
                  </w14:solidFill>
                </w14:textFill>
              </w:rPr>
              <w:t xml:space="preserve">　</w:t>
            </w:r>
            <w:r w:rsidRPr="00A861E6">
              <w:rPr>
                <w:color w:val="000000"/>
                <w:w w:val="29"/>
                <w:szCs w:val="20"/>
                <w:shd w:val="solid" w:color="000000" w:fill="000000"/>
                <w:fitText w:val="131" w:id="-1167898104"/>
                <w14:textFill>
                  <w14:solidFill>
                    <w14:srgbClr w14:val="000000">
                      <w14:alpha w14:val="100000"/>
                    </w14:srgbClr>
                  </w14:solidFill>
                </w14:textFill>
              </w:rPr>
              <w:t>|</w:t>
            </w:r>
            <w:r w:rsidRPr="00A861E6">
              <w:rPr>
                <w:rFonts w:hint="eastAsia"/>
                <w:color w:val="000000"/>
                <w:w w:val="29"/>
                <w:szCs w:val="20"/>
                <w:shd w:val="solid" w:color="000000" w:fill="000000"/>
                <w:fitText w:val="131" w:id="-1167898104"/>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8" w:type="pct"/>
            <w:vAlign w:val="center"/>
          </w:tcPr>
          <w:p w14:paraId="11CCEFA8" w14:textId="42832D21"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03"/>
                <w14:textFill>
                  <w14:solidFill>
                    <w14:srgbClr w14:val="000000">
                      <w14:alpha w14:val="100000"/>
                    </w14:srgbClr>
                  </w14:solidFill>
                </w14:textFill>
              </w:rPr>
              <w:t xml:space="preserve">　</w:t>
            </w:r>
            <w:r w:rsidRPr="00A861E6">
              <w:rPr>
                <w:color w:val="000000"/>
                <w:w w:val="29"/>
                <w:szCs w:val="20"/>
                <w:shd w:val="solid" w:color="000000" w:fill="000000"/>
                <w:fitText w:val="131" w:id="-1167898103"/>
                <w14:textFill>
                  <w14:solidFill>
                    <w14:srgbClr w14:val="000000">
                      <w14:alpha w14:val="100000"/>
                    </w14:srgbClr>
                  </w14:solidFill>
                </w14:textFill>
              </w:rPr>
              <w:t>|</w:t>
            </w:r>
            <w:r w:rsidRPr="00A861E6">
              <w:rPr>
                <w:rFonts w:hint="eastAsia"/>
                <w:color w:val="000000"/>
                <w:w w:val="29"/>
                <w:szCs w:val="20"/>
                <w:shd w:val="solid" w:color="000000" w:fill="000000"/>
                <w:fitText w:val="131" w:id="-1167898103"/>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5" w:type="pct"/>
            <w:shd w:val="clear" w:color="auto" w:fill="F2F2F2" w:themeFill="background1" w:themeFillShade="F2"/>
          </w:tcPr>
          <w:p w14:paraId="7E12CDE1" w14:textId="77777777" w:rsidR="005F3049" w:rsidRPr="00D85CD0" w:rsidRDefault="005F3049" w:rsidP="00AD6C64">
            <w:pPr>
              <w:pStyle w:val="TableText0"/>
              <w:keepLines/>
              <w:jc w:val="center"/>
              <w:rPr>
                <w:szCs w:val="20"/>
              </w:rPr>
            </w:pPr>
          </w:p>
        </w:tc>
      </w:tr>
      <w:tr w:rsidR="005F3049" w:rsidRPr="00D85CD0" w14:paraId="3C3E9931" w14:textId="77777777" w:rsidTr="00AD6C64">
        <w:tc>
          <w:tcPr>
            <w:tcW w:w="1187" w:type="pct"/>
            <w:shd w:val="clear" w:color="auto" w:fill="auto"/>
          </w:tcPr>
          <w:p w14:paraId="39DA119C" w14:textId="77777777" w:rsidR="005F3049" w:rsidRPr="00D85CD0" w:rsidRDefault="005F3049" w:rsidP="00AD6C64">
            <w:pPr>
              <w:pStyle w:val="TableText0"/>
              <w:keepLines/>
              <w:rPr>
                <w:szCs w:val="20"/>
              </w:rPr>
            </w:pPr>
            <w:r w:rsidRPr="00D85CD0">
              <w:rPr>
                <w:szCs w:val="20"/>
              </w:rPr>
              <w:t>BOT continuation scripts, subsequent</w:t>
            </w:r>
          </w:p>
        </w:tc>
        <w:tc>
          <w:tcPr>
            <w:tcW w:w="544" w:type="pct"/>
            <w:shd w:val="clear" w:color="auto" w:fill="auto"/>
            <w:vAlign w:val="center"/>
          </w:tcPr>
          <w:p w14:paraId="7DE25440" w14:textId="14367142"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02"/>
                <w14:textFill>
                  <w14:solidFill>
                    <w14:srgbClr w14:val="000000">
                      <w14:alpha w14:val="100000"/>
                    </w14:srgbClr>
                  </w14:solidFill>
                </w14:textFill>
              </w:rPr>
              <w:t xml:space="preserve">　</w:t>
            </w:r>
            <w:r w:rsidRPr="00A861E6">
              <w:rPr>
                <w:color w:val="000000"/>
                <w:w w:val="29"/>
                <w:szCs w:val="20"/>
                <w:shd w:val="solid" w:color="000000" w:fill="000000"/>
                <w:fitText w:val="131" w:id="-1167898102"/>
                <w14:textFill>
                  <w14:solidFill>
                    <w14:srgbClr w14:val="000000">
                      <w14:alpha w14:val="100000"/>
                    </w14:srgbClr>
                  </w14:solidFill>
                </w14:textFill>
              </w:rPr>
              <w:t>|</w:t>
            </w:r>
            <w:r w:rsidRPr="00A861E6">
              <w:rPr>
                <w:rFonts w:hint="eastAsia"/>
                <w:color w:val="000000"/>
                <w:w w:val="29"/>
                <w:szCs w:val="20"/>
                <w:shd w:val="solid" w:color="000000" w:fill="000000"/>
                <w:fitText w:val="131" w:id="-1167898102"/>
                <w14:textFill>
                  <w14:solidFill>
                    <w14:srgbClr w14:val="000000">
                      <w14:alpha w14:val="100000"/>
                    </w14:srgbClr>
                  </w14:solidFill>
                </w14:textFill>
              </w:rPr>
              <w:t xml:space="preserve">　</w:t>
            </w:r>
            <w:r w:rsidR="008D14E1">
              <w:rPr>
                <w:szCs w:val="20"/>
              </w:rPr>
              <w:t xml:space="preserve"> </w:t>
            </w:r>
            <w:r w:rsidR="008D14E1">
              <w:rPr>
                <w:szCs w:val="20"/>
                <w:vertAlign w:val="superscript"/>
              </w:rPr>
              <w:t>1</w:t>
            </w:r>
          </w:p>
        </w:tc>
        <w:tc>
          <w:tcPr>
            <w:tcW w:w="544" w:type="pct"/>
            <w:shd w:val="clear" w:color="auto" w:fill="auto"/>
            <w:vAlign w:val="center"/>
          </w:tcPr>
          <w:p w14:paraId="6EC71F7F" w14:textId="3D28CAA6"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01"/>
                <w14:textFill>
                  <w14:solidFill>
                    <w14:srgbClr w14:val="000000">
                      <w14:alpha w14:val="100000"/>
                    </w14:srgbClr>
                  </w14:solidFill>
                </w14:textFill>
              </w:rPr>
              <w:t xml:space="preserve">　</w:t>
            </w:r>
            <w:r w:rsidRPr="00A861E6">
              <w:rPr>
                <w:color w:val="000000"/>
                <w:w w:val="29"/>
                <w:szCs w:val="20"/>
                <w:shd w:val="solid" w:color="000000" w:fill="000000"/>
                <w:fitText w:val="131" w:id="-1167898101"/>
                <w14:textFill>
                  <w14:solidFill>
                    <w14:srgbClr w14:val="000000">
                      <w14:alpha w14:val="100000"/>
                    </w14:srgbClr>
                  </w14:solidFill>
                </w14:textFill>
              </w:rPr>
              <w:t>|</w:t>
            </w:r>
            <w:r w:rsidRPr="00A861E6">
              <w:rPr>
                <w:rFonts w:hint="eastAsia"/>
                <w:color w:val="000000"/>
                <w:w w:val="29"/>
                <w:szCs w:val="20"/>
                <w:shd w:val="solid" w:color="000000" w:fill="000000"/>
                <w:fitText w:val="131" w:id="-1167898101"/>
                <w14:textFill>
                  <w14:solidFill>
                    <w14:srgbClr w14:val="000000">
                      <w14:alpha w14:val="100000"/>
                    </w14:srgbClr>
                  </w14:solidFill>
                </w14:textFill>
              </w:rPr>
              <w:t xml:space="preserve">　</w:t>
            </w:r>
            <w:r w:rsidR="008D14E1">
              <w:rPr>
                <w:szCs w:val="20"/>
              </w:rPr>
              <w:t xml:space="preserve"> </w:t>
            </w:r>
            <w:r w:rsidR="008D14E1">
              <w:rPr>
                <w:szCs w:val="20"/>
                <w:vertAlign w:val="superscript"/>
              </w:rPr>
              <w:t>3</w:t>
            </w:r>
          </w:p>
        </w:tc>
        <w:tc>
          <w:tcPr>
            <w:tcW w:w="544" w:type="pct"/>
            <w:shd w:val="clear" w:color="auto" w:fill="auto"/>
            <w:vAlign w:val="center"/>
          </w:tcPr>
          <w:p w14:paraId="68103BE7" w14:textId="7BA65E38"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00"/>
                <w14:textFill>
                  <w14:solidFill>
                    <w14:srgbClr w14:val="000000">
                      <w14:alpha w14:val="100000"/>
                    </w14:srgbClr>
                  </w14:solidFill>
                </w14:textFill>
              </w:rPr>
              <w:t xml:space="preserve">　</w:t>
            </w:r>
            <w:r w:rsidRPr="00A861E6">
              <w:rPr>
                <w:color w:val="000000"/>
                <w:w w:val="29"/>
                <w:szCs w:val="20"/>
                <w:shd w:val="solid" w:color="000000" w:fill="000000"/>
                <w:fitText w:val="131" w:id="-1167898100"/>
                <w14:textFill>
                  <w14:solidFill>
                    <w14:srgbClr w14:val="000000">
                      <w14:alpha w14:val="100000"/>
                    </w14:srgbClr>
                  </w14:solidFill>
                </w14:textFill>
              </w:rPr>
              <w:t>|</w:t>
            </w:r>
            <w:r w:rsidRPr="00A861E6">
              <w:rPr>
                <w:rFonts w:hint="eastAsia"/>
                <w:color w:val="000000"/>
                <w:w w:val="29"/>
                <w:szCs w:val="20"/>
                <w:shd w:val="solid" w:color="000000" w:fill="000000"/>
                <w:fitText w:val="131" w:id="-1167898100"/>
                <w14:textFill>
                  <w14:solidFill>
                    <w14:srgbClr w14:val="000000">
                      <w14:alpha w14:val="100000"/>
                    </w14:srgbClr>
                  </w14:solidFill>
                </w14:textFill>
              </w:rPr>
              <w:t xml:space="preserve">　</w:t>
            </w:r>
            <w:r w:rsidR="008D14E1">
              <w:rPr>
                <w:szCs w:val="20"/>
              </w:rPr>
              <w:t xml:space="preserve"> </w:t>
            </w:r>
            <w:r w:rsidR="008D14E1">
              <w:rPr>
                <w:szCs w:val="20"/>
                <w:vertAlign w:val="superscript"/>
              </w:rPr>
              <w:t>3</w:t>
            </w:r>
          </w:p>
        </w:tc>
        <w:tc>
          <w:tcPr>
            <w:tcW w:w="544" w:type="pct"/>
            <w:shd w:val="clear" w:color="auto" w:fill="auto"/>
            <w:vAlign w:val="center"/>
          </w:tcPr>
          <w:p w14:paraId="51D6F4FE" w14:textId="514B5C1F" w:rsidR="005F3049" w:rsidRPr="00A861E6" w:rsidRDefault="00A861E6" w:rsidP="00AD6C64">
            <w:pPr>
              <w:pStyle w:val="TableText0"/>
              <w:keepLines/>
              <w:jc w:val="center"/>
              <w:rPr>
                <w:szCs w:val="20"/>
                <w:vertAlign w:val="superscript"/>
              </w:rPr>
            </w:pPr>
            <w:r w:rsidRPr="00A861E6">
              <w:rPr>
                <w:rFonts w:hint="eastAsia"/>
                <w:color w:val="000000"/>
                <w:w w:val="29"/>
                <w:szCs w:val="20"/>
                <w:shd w:val="solid" w:color="000000" w:fill="000000"/>
                <w:fitText w:val="131" w:id="-1167898099"/>
                <w14:textFill>
                  <w14:solidFill>
                    <w14:srgbClr w14:val="000000">
                      <w14:alpha w14:val="100000"/>
                    </w14:srgbClr>
                  </w14:solidFill>
                </w14:textFill>
              </w:rPr>
              <w:t xml:space="preserve">　</w:t>
            </w:r>
            <w:r w:rsidRPr="00A861E6">
              <w:rPr>
                <w:color w:val="000000"/>
                <w:w w:val="29"/>
                <w:szCs w:val="20"/>
                <w:shd w:val="solid" w:color="000000" w:fill="000000"/>
                <w:fitText w:val="131" w:id="-1167898099"/>
                <w14:textFill>
                  <w14:solidFill>
                    <w14:srgbClr w14:val="000000">
                      <w14:alpha w14:val="100000"/>
                    </w14:srgbClr>
                  </w14:solidFill>
                </w14:textFill>
              </w:rPr>
              <w:t>|</w:t>
            </w:r>
            <w:r w:rsidRPr="00A861E6">
              <w:rPr>
                <w:rFonts w:hint="eastAsia"/>
                <w:color w:val="000000"/>
                <w:w w:val="29"/>
                <w:szCs w:val="20"/>
                <w:shd w:val="solid" w:color="000000" w:fill="000000"/>
                <w:fitText w:val="131" w:id="-1167898099"/>
                <w14:textFill>
                  <w14:solidFill>
                    <w14:srgbClr w14:val="000000">
                      <w14:alpha w14:val="100000"/>
                    </w14:srgbClr>
                  </w14:solidFill>
                </w14:textFill>
              </w:rPr>
              <w:t xml:space="preserve">　</w:t>
            </w:r>
            <w:r w:rsidR="008D14E1">
              <w:rPr>
                <w:szCs w:val="20"/>
              </w:rPr>
              <w:t xml:space="preserve"> </w:t>
            </w:r>
            <w:r w:rsidR="008D14E1">
              <w:rPr>
                <w:szCs w:val="20"/>
                <w:vertAlign w:val="superscript"/>
              </w:rPr>
              <w:t>4</w:t>
            </w:r>
          </w:p>
        </w:tc>
        <w:tc>
          <w:tcPr>
            <w:tcW w:w="544" w:type="pct"/>
            <w:shd w:val="clear" w:color="auto" w:fill="auto"/>
            <w:vAlign w:val="center"/>
          </w:tcPr>
          <w:p w14:paraId="3E819994" w14:textId="181AFD29"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098"/>
                <w14:textFill>
                  <w14:solidFill>
                    <w14:srgbClr w14:val="000000">
                      <w14:alpha w14:val="100000"/>
                    </w14:srgbClr>
                  </w14:solidFill>
                </w14:textFill>
              </w:rPr>
              <w:t xml:space="preserve">　</w:t>
            </w:r>
            <w:r w:rsidRPr="00A861E6">
              <w:rPr>
                <w:color w:val="000000"/>
                <w:w w:val="29"/>
                <w:szCs w:val="20"/>
                <w:shd w:val="solid" w:color="000000" w:fill="000000"/>
                <w:fitText w:val="131" w:id="-1167898098"/>
                <w14:textFill>
                  <w14:solidFill>
                    <w14:srgbClr w14:val="000000">
                      <w14:alpha w14:val="100000"/>
                    </w14:srgbClr>
                  </w14:solidFill>
                </w14:textFill>
              </w:rPr>
              <w:t>|</w:t>
            </w:r>
            <w:r w:rsidRPr="00A861E6">
              <w:rPr>
                <w:rFonts w:hint="eastAsia"/>
                <w:color w:val="000000"/>
                <w:w w:val="29"/>
                <w:szCs w:val="20"/>
                <w:shd w:val="solid" w:color="000000" w:fill="000000"/>
                <w:fitText w:val="131" w:id="-1167898098"/>
                <w14:textFill>
                  <w14:solidFill>
                    <w14:srgbClr w14:val="000000">
                      <w14:alpha w14:val="100000"/>
                    </w14:srgbClr>
                  </w14:solidFill>
                </w14:textFill>
              </w:rPr>
              <w:t xml:space="preserve">　</w:t>
            </w:r>
            <w:r w:rsidR="008D14E1">
              <w:rPr>
                <w:szCs w:val="20"/>
              </w:rPr>
              <w:t xml:space="preserve"> </w:t>
            </w:r>
            <w:r w:rsidR="008D14E1">
              <w:rPr>
                <w:szCs w:val="20"/>
                <w:vertAlign w:val="superscript"/>
              </w:rPr>
              <w:t>4</w:t>
            </w:r>
          </w:p>
        </w:tc>
        <w:tc>
          <w:tcPr>
            <w:tcW w:w="548" w:type="pct"/>
            <w:vAlign w:val="center"/>
          </w:tcPr>
          <w:p w14:paraId="0CED8C6C" w14:textId="55AD7FB5"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097"/>
                <w14:textFill>
                  <w14:solidFill>
                    <w14:srgbClr w14:val="000000">
                      <w14:alpha w14:val="100000"/>
                    </w14:srgbClr>
                  </w14:solidFill>
                </w14:textFill>
              </w:rPr>
              <w:t xml:space="preserve">　</w:t>
            </w:r>
            <w:r w:rsidRPr="00A861E6">
              <w:rPr>
                <w:color w:val="000000"/>
                <w:w w:val="29"/>
                <w:szCs w:val="20"/>
                <w:shd w:val="solid" w:color="000000" w:fill="000000"/>
                <w:fitText w:val="131" w:id="-1167898097"/>
                <w14:textFill>
                  <w14:solidFill>
                    <w14:srgbClr w14:val="000000">
                      <w14:alpha w14:val="100000"/>
                    </w14:srgbClr>
                  </w14:solidFill>
                </w14:textFill>
              </w:rPr>
              <w:t>|</w:t>
            </w:r>
            <w:r w:rsidRPr="00A861E6">
              <w:rPr>
                <w:rFonts w:hint="eastAsia"/>
                <w:color w:val="000000"/>
                <w:w w:val="29"/>
                <w:szCs w:val="20"/>
                <w:shd w:val="solid" w:color="000000" w:fill="000000"/>
                <w:fitText w:val="131" w:id="-1167898097"/>
                <w14:textFill>
                  <w14:solidFill>
                    <w14:srgbClr w14:val="000000">
                      <w14:alpha w14:val="100000"/>
                    </w14:srgbClr>
                  </w14:solidFill>
                </w14:textFill>
              </w:rPr>
              <w:t xml:space="preserve">　</w:t>
            </w:r>
            <w:r w:rsidR="008D14E1">
              <w:rPr>
                <w:szCs w:val="20"/>
              </w:rPr>
              <w:t xml:space="preserve"> </w:t>
            </w:r>
            <w:r w:rsidR="008D14E1">
              <w:rPr>
                <w:szCs w:val="20"/>
                <w:vertAlign w:val="superscript"/>
              </w:rPr>
              <w:t>4</w:t>
            </w:r>
          </w:p>
        </w:tc>
        <w:tc>
          <w:tcPr>
            <w:tcW w:w="545" w:type="pct"/>
            <w:shd w:val="clear" w:color="auto" w:fill="F2F2F2" w:themeFill="background1" w:themeFillShade="F2"/>
          </w:tcPr>
          <w:p w14:paraId="1030D3EB" w14:textId="77777777" w:rsidR="005F3049" w:rsidRPr="00D85CD0" w:rsidRDefault="005F3049" w:rsidP="00AD6C64">
            <w:pPr>
              <w:pStyle w:val="TableText0"/>
              <w:keepLines/>
              <w:jc w:val="center"/>
              <w:rPr>
                <w:szCs w:val="20"/>
              </w:rPr>
            </w:pPr>
          </w:p>
        </w:tc>
      </w:tr>
      <w:tr w:rsidR="005F3049" w:rsidRPr="00D85CD0" w14:paraId="717BAA38" w14:textId="77777777" w:rsidTr="00AD6C64">
        <w:tc>
          <w:tcPr>
            <w:tcW w:w="1187" w:type="pct"/>
            <w:shd w:val="clear" w:color="auto" w:fill="auto"/>
          </w:tcPr>
          <w:p w14:paraId="4887B6D4" w14:textId="77777777" w:rsidR="005F3049" w:rsidRPr="00D85CD0" w:rsidRDefault="005F3049" w:rsidP="00AD6C64">
            <w:pPr>
              <w:pStyle w:val="TableText0"/>
              <w:keepLines/>
              <w:rPr>
                <w:szCs w:val="20"/>
              </w:rPr>
            </w:pPr>
            <w:r w:rsidRPr="00D85CD0">
              <w:rPr>
                <w:szCs w:val="20"/>
              </w:rPr>
              <w:t>Total BOT scripts</w:t>
            </w:r>
          </w:p>
        </w:tc>
        <w:tc>
          <w:tcPr>
            <w:tcW w:w="544" w:type="pct"/>
            <w:shd w:val="clear" w:color="auto" w:fill="auto"/>
            <w:vAlign w:val="center"/>
          </w:tcPr>
          <w:p w14:paraId="197DCE8A" w14:textId="562EC2CC"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096"/>
                <w14:textFill>
                  <w14:solidFill>
                    <w14:srgbClr w14:val="000000">
                      <w14:alpha w14:val="100000"/>
                    </w14:srgbClr>
                  </w14:solidFill>
                </w14:textFill>
              </w:rPr>
              <w:t xml:space="preserve">　</w:t>
            </w:r>
            <w:r w:rsidRPr="00A861E6">
              <w:rPr>
                <w:color w:val="000000"/>
                <w:w w:val="29"/>
                <w:szCs w:val="20"/>
                <w:shd w:val="solid" w:color="000000" w:fill="000000"/>
                <w:fitText w:val="131" w:id="-1167898096"/>
                <w14:textFill>
                  <w14:solidFill>
                    <w14:srgbClr w14:val="000000">
                      <w14:alpha w14:val="100000"/>
                    </w14:srgbClr>
                  </w14:solidFill>
                </w14:textFill>
              </w:rPr>
              <w:t>|</w:t>
            </w:r>
            <w:r w:rsidRPr="00A861E6">
              <w:rPr>
                <w:rFonts w:hint="eastAsia"/>
                <w:color w:val="000000"/>
                <w:w w:val="29"/>
                <w:szCs w:val="20"/>
                <w:shd w:val="solid" w:color="000000" w:fill="000000"/>
                <w:fitText w:val="131" w:id="-1167898096"/>
                <w14:textFill>
                  <w14:solidFill>
                    <w14:srgbClr w14:val="000000">
                      <w14:alpha w14:val="100000"/>
                    </w14:srgbClr>
                  </w14:solidFill>
                </w14:textFill>
              </w:rPr>
              <w:t xml:space="preserve">　</w:t>
            </w:r>
            <w:r w:rsidR="008D14E1">
              <w:rPr>
                <w:szCs w:val="20"/>
              </w:rPr>
              <w:t xml:space="preserve"> </w:t>
            </w:r>
            <w:r w:rsidR="008D14E1">
              <w:rPr>
                <w:szCs w:val="20"/>
                <w:vertAlign w:val="superscript"/>
              </w:rPr>
              <w:t>3</w:t>
            </w:r>
          </w:p>
        </w:tc>
        <w:tc>
          <w:tcPr>
            <w:tcW w:w="544" w:type="pct"/>
            <w:shd w:val="clear" w:color="auto" w:fill="auto"/>
            <w:vAlign w:val="center"/>
          </w:tcPr>
          <w:p w14:paraId="0A6950B7" w14:textId="2C91C3A6"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12"/>
                <w14:textFill>
                  <w14:solidFill>
                    <w14:srgbClr w14:val="000000">
                      <w14:alpha w14:val="100000"/>
                    </w14:srgbClr>
                  </w14:solidFill>
                </w14:textFill>
              </w:rPr>
              <w:t xml:space="preserve">　</w:t>
            </w:r>
            <w:r w:rsidRPr="00A861E6">
              <w:rPr>
                <w:color w:val="000000"/>
                <w:w w:val="29"/>
                <w:szCs w:val="20"/>
                <w:shd w:val="solid" w:color="000000" w:fill="000000"/>
                <w:fitText w:val="131" w:id="-1167898112"/>
                <w14:textFill>
                  <w14:solidFill>
                    <w14:srgbClr w14:val="000000">
                      <w14:alpha w14:val="100000"/>
                    </w14:srgbClr>
                  </w14:solidFill>
                </w14:textFill>
              </w:rPr>
              <w:t>|</w:t>
            </w:r>
            <w:r w:rsidRPr="00A861E6">
              <w:rPr>
                <w:rFonts w:hint="eastAsia"/>
                <w:color w:val="000000"/>
                <w:w w:val="29"/>
                <w:szCs w:val="20"/>
                <w:shd w:val="solid" w:color="000000" w:fill="000000"/>
                <w:fitText w:val="131" w:id="-1167898112"/>
                <w14:textFill>
                  <w14:solidFill>
                    <w14:srgbClr w14:val="000000">
                      <w14:alpha w14:val="100000"/>
                    </w14:srgbClr>
                  </w14:solidFill>
                </w14:textFill>
              </w:rPr>
              <w:t xml:space="preserve">　</w:t>
            </w:r>
            <w:r w:rsidR="008D14E1">
              <w:rPr>
                <w:szCs w:val="20"/>
              </w:rPr>
              <w:t xml:space="preserve"> </w:t>
            </w:r>
            <w:r w:rsidR="008D14E1" w:rsidRPr="00A861E6">
              <w:rPr>
                <w:szCs w:val="20"/>
                <w:vertAlign w:val="superscript"/>
              </w:rPr>
              <w:t>3</w:t>
            </w:r>
          </w:p>
        </w:tc>
        <w:tc>
          <w:tcPr>
            <w:tcW w:w="544" w:type="pct"/>
            <w:shd w:val="clear" w:color="auto" w:fill="auto"/>
            <w:vAlign w:val="center"/>
          </w:tcPr>
          <w:p w14:paraId="054A2206" w14:textId="0427B7D2"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11"/>
                <w14:textFill>
                  <w14:solidFill>
                    <w14:srgbClr w14:val="000000">
                      <w14:alpha w14:val="100000"/>
                    </w14:srgbClr>
                  </w14:solidFill>
                </w14:textFill>
              </w:rPr>
              <w:t xml:space="preserve">　</w:t>
            </w:r>
            <w:r w:rsidRPr="00A861E6">
              <w:rPr>
                <w:color w:val="000000"/>
                <w:w w:val="29"/>
                <w:szCs w:val="20"/>
                <w:shd w:val="solid" w:color="000000" w:fill="000000"/>
                <w:fitText w:val="131" w:id="-1167898111"/>
                <w14:textFill>
                  <w14:solidFill>
                    <w14:srgbClr w14:val="000000">
                      <w14:alpha w14:val="100000"/>
                    </w14:srgbClr>
                  </w14:solidFill>
                </w14:textFill>
              </w:rPr>
              <w:t>|</w:t>
            </w:r>
            <w:r w:rsidRPr="00A861E6">
              <w:rPr>
                <w:rFonts w:hint="eastAsia"/>
                <w:color w:val="000000"/>
                <w:w w:val="29"/>
                <w:szCs w:val="20"/>
                <w:shd w:val="solid" w:color="000000" w:fill="000000"/>
                <w:fitText w:val="131" w:id="-1167898111"/>
                <w14:textFill>
                  <w14:solidFill>
                    <w14:srgbClr w14:val="000000">
                      <w14:alpha w14:val="100000"/>
                    </w14:srgbClr>
                  </w14:solidFill>
                </w14:textFill>
              </w:rPr>
              <w:t xml:space="preserve">　</w:t>
            </w:r>
            <w:r w:rsidR="008D14E1">
              <w:rPr>
                <w:szCs w:val="20"/>
              </w:rPr>
              <w:t xml:space="preserve"> </w:t>
            </w:r>
            <w:r w:rsidR="008D14E1">
              <w:rPr>
                <w:szCs w:val="20"/>
                <w:vertAlign w:val="superscript"/>
              </w:rPr>
              <w:t>4</w:t>
            </w:r>
          </w:p>
        </w:tc>
        <w:tc>
          <w:tcPr>
            <w:tcW w:w="544" w:type="pct"/>
            <w:shd w:val="clear" w:color="auto" w:fill="auto"/>
            <w:vAlign w:val="center"/>
          </w:tcPr>
          <w:p w14:paraId="0807F3BC" w14:textId="13BCAF20"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10"/>
                <w14:textFill>
                  <w14:solidFill>
                    <w14:srgbClr w14:val="000000">
                      <w14:alpha w14:val="100000"/>
                    </w14:srgbClr>
                  </w14:solidFill>
                </w14:textFill>
              </w:rPr>
              <w:t xml:space="preserve">　</w:t>
            </w:r>
            <w:r w:rsidRPr="00A861E6">
              <w:rPr>
                <w:color w:val="000000"/>
                <w:w w:val="29"/>
                <w:szCs w:val="20"/>
                <w:shd w:val="solid" w:color="000000" w:fill="000000"/>
                <w:fitText w:val="131" w:id="-1167898110"/>
                <w14:textFill>
                  <w14:solidFill>
                    <w14:srgbClr w14:val="000000">
                      <w14:alpha w14:val="100000"/>
                    </w14:srgbClr>
                  </w14:solidFill>
                </w14:textFill>
              </w:rPr>
              <w:t>|</w:t>
            </w:r>
            <w:r w:rsidRPr="00A861E6">
              <w:rPr>
                <w:rFonts w:hint="eastAsia"/>
                <w:color w:val="000000"/>
                <w:w w:val="29"/>
                <w:szCs w:val="20"/>
                <w:shd w:val="solid" w:color="000000" w:fill="000000"/>
                <w:fitText w:val="131" w:id="-1167898110"/>
                <w14:textFill>
                  <w14:solidFill>
                    <w14:srgbClr w14:val="000000">
                      <w14:alpha w14:val="100000"/>
                    </w14:srgbClr>
                  </w14:solidFill>
                </w14:textFill>
              </w:rPr>
              <w:t xml:space="preserve">　</w:t>
            </w:r>
            <w:r w:rsidR="008D14E1">
              <w:rPr>
                <w:szCs w:val="20"/>
              </w:rPr>
              <w:t xml:space="preserve"> </w:t>
            </w:r>
            <w:r w:rsidR="008D14E1">
              <w:rPr>
                <w:szCs w:val="20"/>
                <w:vertAlign w:val="superscript"/>
              </w:rPr>
              <w:t>4</w:t>
            </w:r>
          </w:p>
        </w:tc>
        <w:tc>
          <w:tcPr>
            <w:tcW w:w="544" w:type="pct"/>
            <w:shd w:val="clear" w:color="auto" w:fill="auto"/>
            <w:vAlign w:val="center"/>
          </w:tcPr>
          <w:p w14:paraId="341E2593" w14:textId="10FA433C"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09"/>
                <w14:textFill>
                  <w14:solidFill>
                    <w14:srgbClr w14:val="000000">
                      <w14:alpha w14:val="100000"/>
                    </w14:srgbClr>
                  </w14:solidFill>
                </w14:textFill>
              </w:rPr>
              <w:t xml:space="preserve">　</w:t>
            </w:r>
            <w:r w:rsidRPr="00A861E6">
              <w:rPr>
                <w:color w:val="000000"/>
                <w:w w:val="29"/>
                <w:szCs w:val="20"/>
                <w:shd w:val="solid" w:color="000000" w:fill="000000"/>
                <w:fitText w:val="131" w:id="-1167898109"/>
                <w14:textFill>
                  <w14:solidFill>
                    <w14:srgbClr w14:val="000000">
                      <w14:alpha w14:val="100000"/>
                    </w14:srgbClr>
                  </w14:solidFill>
                </w14:textFill>
              </w:rPr>
              <w:t>|</w:t>
            </w:r>
            <w:r w:rsidRPr="00A861E6">
              <w:rPr>
                <w:rFonts w:hint="eastAsia"/>
                <w:color w:val="000000"/>
                <w:w w:val="29"/>
                <w:szCs w:val="20"/>
                <w:shd w:val="solid" w:color="000000" w:fill="000000"/>
                <w:fitText w:val="131" w:id="-1167898109"/>
                <w14:textFill>
                  <w14:solidFill>
                    <w14:srgbClr w14:val="000000">
                      <w14:alpha w14:val="100000"/>
                    </w14:srgbClr>
                  </w14:solidFill>
                </w14:textFill>
              </w:rPr>
              <w:t xml:space="preserve">　</w:t>
            </w:r>
            <w:r w:rsidR="008D14E1">
              <w:rPr>
                <w:szCs w:val="20"/>
              </w:rPr>
              <w:t xml:space="preserve"> </w:t>
            </w:r>
            <w:r w:rsidR="008D14E1">
              <w:rPr>
                <w:szCs w:val="20"/>
                <w:vertAlign w:val="superscript"/>
              </w:rPr>
              <w:t>5</w:t>
            </w:r>
          </w:p>
        </w:tc>
        <w:tc>
          <w:tcPr>
            <w:tcW w:w="548" w:type="pct"/>
            <w:vAlign w:val="center"/>
          </w:tcPr>
          <w:p w14:paraId="03944DAD" w14:textId="50C6BAF5"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08"/>
                <w14:textFill>
                  <w14:solidFill>
                    <w14:srgbClr w14:val="000000">
                      <w14:alpha w14:val="100000"/>
                    </w14:srgbClr>
                  </w14:solidFill>
                </w14:textFill>
              </w:rPr>
              <w:t xml:space="preserve">　</w:t>
            </w:r>
            <w:r w:rsidRPr="00A861E6">
              <w:rPr>
                <w:color w:val="000000"/>
                <w:w w:val="29"/>
                <w:szCs w:val="20"/>
                <w:shd w:val="solid" w:color="000000" w:fill="000000"/>
                <w:fitText w:val="131" w:id="-1167898108"/>
                <w14:textFill>
                  <w14:solidFill>
                    <w14:srgbClr w14:val="000000">
                      <w14:alpha w14:val="100000"/>
                    </w14:srgbClr>
                  </w14:solidFill>
                </w14:textFill>
              </w:rPr>
              <w:t>|</w:t>
            </w:r>
            <w:r w:rsidRPr="00A861E6">
              <w:rPr>
                <w:rFonts w:hint="eastAsia"/>
                <w:color w:val="000000"/>
                <w:w w:val="29"/>
                <w:szCs w:val="20"/>
                <w:shd w:val="solid" w:color="000000" w:fill="000000"/>
                <w:fitText w:val="131" w:id="-1167898108"/>
                <w14:textFill>
                  <w14:solidFill>
                    <w14:srgbClr w14:val="000000">
                      <w14:alpha w14:val="100000"/>
                    </w14:srgbClr>
                  </w14:solidFill>
                </w14:textFill>
              </w:rPr>
              <w:t xml:space="preserve">　</w:t>
            </w:r>
            <w:r w:rsidR="008D14E1">
              <w:rPr>
                <w:szCs w:val="20"/>
              </w:rPr>
              <w:t xml:space="preserve"> </w:t>
            </w:r>
            <w:r w:rsidR="008D14E1">
              <w:rPr>
                <w:szCs w:val="20"/>
                <w:vertAlign w:val="superscript"/>
              </w:rPr>
              <w:t>5</w:t>
            </w:r>
          </w:p>
        </w:tc>
        <w:tc>
          <w:tcPr>
            <w:tcW w:w="545" w:type="pct"/>
            <w:shd w:val="clear" w:color="auto" w:fill="F2F2F2" w:themeFill="background1" w:themeFillShade="F2"/>
          </w:tcPr>
          <w:p w14:paraId="6B748E15" w14:textId="77777777" w:rsidR="005F3049" w:rsidRPr="00D85CD0" w:rsidRDefault="005F3049" w:rsidP="00AD6C64">
            <w:pPr>
              <w:pStyle w:val="TableText0"/>
              <w:keepLines/>
              <w:jc w:val="center"/>
              <w:rPr>
                <w:szCs w:val="20"/>
              </w:rPr>
            </w:pPr>
          </w:p>
        </w:tc>
      </w:tr>
      <w:tr w:rsidR="005F3049" w:rsidRPr="00D85CD0" w14:paraId="5BEF13E1" w14:textId="77777777" w:rsidTr="00AD6C64">
        <w:tc>
          <w:tcPr>
            <w:tcW w:w="5000" w:type="pct"/>
            <w:gridSpan w:val="8"/>
            <w:shd w:val="clear" w:color="auto" w:fill="auto"/>
            <w:vAlign w:val="center"/>
          </w:tcPr>
          <w:p w14:paraId="303E2A72" w14:textId="77777777" w:rsidR="005F3049" w:rsidRPr="00D85CD0" w:rsidRDefault="005F3049" w:rsidP="00AD6C64">
            <w:pPr>
              <w:pStyle w:val="TableText0"/>
              <w:keepLines/>
              <w:rPr>
                <w:b/>
                <w:bCs w:val="0"/>
                <w:szCs w:val="20"/>
              </w:rPr>
            </w:pPr>
            <w:r w:rsidRPr="00D85CD0">
              <w:rPr>
                <w:b/>
                <w:szCs w:val="20"/>
              </w:rPr>
              <w:t>Estimated financial implications of BOT</w:t>
            </w:r>
          </w:p>
        </w:tc>
      </w:tr>
      <w:tr w:rsidR="005F3049" w:rsidRPr="00D85CD0" w14:paraId="31397F14" w14:textId="77777777" w:rsidTr="00AD6C64">
        <w:tc>
          <w:tcPr>
            <w:tcW w:w="1187" w:type="pct"/>
            <w:shd w:val="clear" w:color="auto" w:fill="auto"/>
            <w:vAlign w:val="center"/>
          </w:tcPr>
          <w:p w14:paraId="7DDA8EFA" w14:textId="77777777" w:rsidR="005F3049" w:rsidRPr="00D85CD0" w:rsidRDefault="005F3049" w:rsidP="00AD6C64">
            <w:pPr>
              <w:pStyle w:val="TableText0"/>
              <w:keepLines/>
              <w:rPr>
                <w:szCs w:val="20"/>
              </w:rPr>
            </w:pPr>
            <w:r w:rsidRPr="00D85CD0">
              <w:rPr>
                <w:szCs w:val="20"/>
              </w:rPr>
              <w:t>Cost to PBS/RPBS less co-payments</w:t>
            </w:r>
          </w:p>
        </w:tc>
        <w:tc>
          <w:tcPr>
            <w:tcW w:w="544" w:type="pct"/>
            <w:shd w:val="clear" w:color="auto" w:fill="auto"/>
          </w:tcPr>
          <w:p w14:paraId="44AC10C5" w14:textId="0513CFF7"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07"/>
                <w14:textFill>
                  <w14:solidFill>
                    <w14:srgbClr w14:val="000000">
                      <w14:alpha w14:val="100000"/>
                    </w14:srgbClr>
                  </w14:solidFill>
                </w14:textFill>
              </w:rPr>
              <w:t xml:space="preserve">　</w:t>
            </w:r>
            <w:r w:rsidRPr="00A861E6">
              <w:rPr>
                <w:color w:val="000000"/>
                <w:w w:val="29"/>
                <w:szCs w:val="20"/>
                <w:shd w:val="solid" w:color="000000" w:fill="000000"/>
                <w:fitText w:val="131" w:id="-1167898107"/>
                <w14:textFill>
                  <w14:solidFill>
                    <w14:srgbClr w14:val="000000">
                      <w14:alpha w14:val="100000"/>
                    </w14:srgbClr>
                  </w14:solidFill>
                </w14:textFill>
              </w:rPr>
              <w:t>|</w:t>
            </w:r>
            <w:r w:rsidRPr="00A861E6">
              <w:rPr>
                <w:rFonts w:hint="eastAsia"/>
                <w:color w:val="000000"/>
                <w:w w:val="29"/>
                <w:szCs w:val="20"/>
                <w:shd w:val="solid" w:color="000000" w:fill="000000"/>
                <w:fitText w:val="131" w:id="-1167898107"/>
                <w14:textFill>
                  <w14:solidFill>
                    <w14:srgbClr w14:val="000000">
                      <w14:alpha w14:val="100000"/>
                    </w14:srgbClr>
                  </w14:solidFill>
                </w14:textFill>
              </w:rPr>
              <w:t xml:space="preserve">　</w:t>
            </w:r>
            <w:r w:rsidR="008D14E1">
              <w:rPr>
                <w:szCs w:val="20"/>
              </w:rPr>
              <w:t xml:space="preserve"> </w:t>
            </w:r>
            <w:r w:rsidR="008D14E1">
              <w:rPr>
                <w:szCs w:val="20"/>
                <w:vertAlign w:val="superscript"/>
              </w:rPr>
              <w:t>6</w:t>
            </w:r>
          </w:p>
        </w:tc>
        <w:tc>
          <w:tcPr>
            <w:tcW w:w="544" w:type="pct"/>
            <w:shd w:val="clear" w:color="auto" w:fill="auto"/>
          </w:tcPr>
          <w:p w14:paraId="180C2A77" w14:textId="04927898"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06"/>
                <w14:textFill>
                  <w14:solidFill>
                    <w14:srgbClr w14:val="000000">
                      <w14:alpha w14:val="100000"/>
                    </w14:srgbClr>
                  </w14:solidFill>
                </w14:textFill>
              </w:rPr>
              <w:t xml:space="preserve">　</w:t>
            </w:r>
            <w:r w:rsidRPr="00A861E6">
              <w:rPr>
                <w:color w:val="000000"/>
                <w:w w:val="29"/>
                <w:szCs w:val="20"/>
                <w:shd w:val="solid" w:color="000000" w:fill="000000"/>
                <w:fitText w:val="131" w:id="-1167898106"/>
                <w14:textFill>
                  <w14:solidFill>
                    <w14:srgbClr w14:val="000000">
                      <w14:alpha w14:val="100000"/>
                    </w14:srgbClr>
                  </w14:solidFill>
                </w14:textFill>
              </w:rPr>
              <w:t>|</w:t>
            </w:r>
            <w:r w:rsidRPr="00A861E6">
              <w:rPr>
                <w:rFonts w:hint="eastAsia"/>
                <w:color w:val="000000"/>
                <w:w w:val="29"/>
                <w:szCs w:val="20"/>
                <w:shd w:val="solid" w:color="000000" w:fill="000000"/>
                <w:fitText w:val="131" w:id="-1167898106"/>
                <w14:textFill>
                  <w14:solidFill>
                    <w14:srgbClr w14:val="000000">
                      <w14:alpha w14:val="100000"/>
                    </w14:srgbClr>
                  </w14:solidFill>
                </w14:textFill>
              </w:rPr>
              <w:t xml:space="preserve">　</w:t>
            </w:r>
            <w:r w:rsidR="008D14E1">
              <w:rPr>
                <w:szCs w:val="20"/>
              </w:rPr>
              <w:t xml:space="preserve"> </w:t>
            </w:r>
            <w:r w:rsidR="008D14E1">
              <w:rPr>
                <w:szCs w:val="20"/>
                <w:vertAlign w:val="superscript"/>
              </w:rPr>
              <w:t>6</w:t>
            </w:r>
          </w:p>
        </w:tc>
        <w:tc>
          <w:tcPr>
            <w:tcW w:w="544" w:type="pct"/>
            <w:shd w:val="clear" w:color="auto" w:fill="auto"/>
          </w:tcPr>
          <w:p w14:paraId="25C5C2FE" w14:textId="548A0B02"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05"/>
                <w14:textFill>
                  <w14:solidFill>
                    <w14:srgbClr w14:val="000000">
                      <w14:alpha w14:val="100000"/>
                    </w14:srgbClr>
                  </w14:solidFill>
                </w14:textFill>
              </w:rPr>
              <w:t xml:space="preserve">　</w:t>
            </w:r>
            <w:r w:rsidRPr="00A861E6">
              <w:rPr>
                <w:color w:val="000000"/>
                <w:w w:val="29"/>
                <w:szCs w:val="20"/>
                <w:shd w:val="solid" w:color="000000" w:fill="000000"/>
                <w:fitText w:val="131" w:id="-1167898105"/>
                <w14:textFill>
                  <w14:solidFill>
                    <w14:srgbClr w14:val="000000">
                      <w14:alpha w14:val="100000"/>
                    </w14:srgbClr>
                  </w14:solidFill>
                </w14:textFill>
              </w:rPr>
              <w:t>|</w:t>
            </w:r>
            <w:r w:rsidRPr="00A861E6">
              <w:rPr>
                <w:rFonts w:hint="eastAsia"/>
                <w:color w:val="000000"/>
                <w:w w:val="29"/>
                <w:szCs w:val="20"/>
                <w:shd w:val="solid" w:color="000000" w:fill="000000"/>
                <w:fitText w:val="131" w:id="-1167898105"/>
                <w14:textFill>
                  <w14:solidFill>
                    <w14:srgbClr w14:val="000000">
                      <w14:alpha w14:val="100000"/>
                    </w14:srgbClr>
                  </w14:solidFill>
                </w14:textFill>
              </w:rPr>
              <w:t xml:space="preserve">　</w:t>
            </w:r>
            <w:r w:rsidR="008D14E1">
              <w:rPr>
                <w:szCs w:val="20"/>
              </w:rPr>
              <w:t xml:space="preserve"> </w:t>
            </w:r>
            <w:r w:rsidR="008D14E1">
              <w:rPr>
                <w:szCs w:val="20"/>
                <w:vertAlign w:val="superscript"/>
              </w:rPr>
              <w:t>6</w:t>
            </w:r>
          </w:p>
        </w:tc>
        <w:tc>
          <w:tcPr>
            <w:tcW w:w="544" w:type="pct"/>
            <w:shd w:val="clear" w:color="auto" w:fill="auto"/>
          </w:tcPr>
          <w:p w14:paraId="2ED640BF" w14:textId="000C9502"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04"/>
                <w14:textFill>
                  <w14:solidFill>
                    <w14:srgbClr w14:val="000000">
                      <w14:alpha w14:val="100000"/>
                    </w14:srgbClr>
                  </w14:solidFill>
                </w14:textFill>
              </w:rPr>
              <w:t xml:space="preserve">　</w:t>
            </w:r>
            <w:r w:rsidRPr="00A861E6">
              <w:rPr>
                <w:color w:val="000000"/>
                <w:w w:val="29"/>
                <w:szCs w:val="20"/>
                <w:shd w:val="solid" w:color="000000" w:fill="000000"/>
                <w:fitText w:val="131" w:id="-1167898104"/>
                <w14:textFill>
                  <w14:solidFill>
                    <w14:srgbClr w14:val="000000">
                      <w14:alpha w14:val="100000"/>
                    </w14:srgbClr>
                  </w14:solidFill>
                </w14:textFill>
              </w:rPr>
              <w:t>|</w:t>
            </w:r>
            <w:r w:rsidRPr="00A861E6">
              <w:rPr>
                <w:rFonts w:hint="eastAsia"/>
                <w:color w:val="000000"/>
                <w:w w:val="29"/>
                <w:szCs w:val="20"/>
                <w:shd w:val="solid" w:color="000000" w:fill="000000"/>
                <w:fitText w:val="131" w:id="-1167898104"/>
                <w14:textFill>
                  <w14:solidFill>
                    <w14:srgbClr w14:val="000000">
                      <w14:alpha w14:val="100000"/>
                    </w14:srgbClr>
                  </w14:solidFill>
                </w14:textFill>
              </w:rPr>
              <w:t xml:space="preserve">　</w:t>
            </w:r>
            <w:r w:rsidR="008D14E1">
              <w:rPr>
                <w:szCs w:val="20"/>
              </w:rPr>
              <w:t xml:space="preserve"> </w:t>
            </w:r>
            <w:r w:rsidR="008D14E1">
              <w:rPr>
                <w:szCs w:val="20"/>
                <w:vertAlign w:val="superscript"/>
              </w:rPr>
              <w:t>6</w:t>
            </w:r>
          </w:p>
        </w:tc>
        <w:tc>
          <w:tcPr>
            <w:tcW w:w="544" w:type="pct"/>
            <w:shd w:val="clear" w:color="auto" w:fill="auto"/>
          </w:tcPr>
          <w:p w14:paraId="6C7EBB3F" w14:textId="5AF3F0D6"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03"/>
                <w14:textFill>
                  <w14:solidFill>
                    <w14:srgbClr w14:val="000000">
                      <w14:alpha w14:val="100000"/>
                    </w14:srgbClr>
                  </w14:solidFill>
                </w14:textFill>
              </w:rPr>
              <w:t xml:space="preserve">　</w:t>
            </w:r>
            <w:r w:rsidRPr="00A861E6">
              <w:rPr>
                <w:color w:val="000000"/>
                <w:w w:val="29"/>
                <w:szCs w:val="20"/>
                <w:shd w:val="solid" w:color="000000" w:fill="000000"/>
                <w:fitText w:val="131" w:id="-1167898103"/>
                <w14:textFill>
                  <w14:solidFill>
                    <w14:srgbClr w14:val="000000">
                      <w14:alpha w14:val="100000"/>
                    </w14:srgbClr>
                  </w14:solidFill>
                </w14:textFill>
              </w:rPr>
              <w:t>|</w:t>
            </w:r>
            <w:r w:rsidRPr="00A861E6">
              <w:rPr>
                <w:rFonts w:hint="eastAsia"/>
                <w:color w:val="000000"/>
                <w:w w:val="29"/>
                <w:szCs w:val="20"/>
                <w:shd w:val="solid" w:color="000000" w:fill="000000"/>
                <w:fitText w:val="131" w:id="-1167898103"/>
                <w14:textFill>
                  <w14:solidFill>
                    <w14:srgbClr w14:val="000000">
                      <w14:alpha w14:val="100000"/>
                    </w14:srgbClr>
                  </w14:solidFill>
                </w14:textFill>
              </w:rPr>
              <w:t xml:space="preserve">　</w:t>
            </w:r>
            <w:r w:rsidR="008D14E1">
              <w:rPr>
                <w:szCs w:val="20"/>
              </w:rPr>
              <w:t xml:space="preserve"> </w:t>
            </w:r>
            <w:r w:rsidR="008D14E1">
              <w:rPr>
                <w:szCs w:val="20"/>
                <w:vertAlign w:val="superscript"/>
              </w:rPr>
              <w:t>6</w:t>
            </w:r>
          </w:p>
        </w:tc>
        <w:tc>
          <w:tcPr>
            <w:tcW w:w="548" w:type="pct"/>
          </w:tcPr>
          <w:p w14:paraId="54E25440" w14:textId="363F0452"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02"/>
                <w14:textFill>
                  <w14:solidFill>
                    <w14:srgbClr w14:val="000000">
                      <w14:alpha w14:val="100000"/>
                    </w14:srgbClr>
                  </w14:solidFill>
                </w14:textFill>
              </w:rPr>
              <w:t xml:space="preserve">　</w:t>
            </w:r>
            <w:r w:rsidRPr="00A861E6">
              <w:rPr>
                <w:color w:val="000000"/>
                <w:w w:val="29"/>
                <w:szCs w:val="20"/>
                <w:shd w:val="solid" w:color="000000" w:fill="000000"/>
                <w:fitText w:val="131" w:id="-1167898102"/>
                <w14:textFill>
                  <w14:solidFill>
                    <w14:srgbClr w14:val="000000">
                      <w14:alpha w14:val="100000"/>
                    </w14:srgbClr>
                  </w14:solidFill>
                </w14:textFill>
              </w:rPr>
              <w:t>|</w:t>
            </w:r>
            <w:r w:rsidRPr="00A861E6">
              <w:rPr>
                <w:rFonts w:hint="eastAsia"/>
                <w:color w:val="000000"/>
                <w:w w:val="29"/>
                <w:szCs w:val="20"/>
                <w:shd w:val="solid" w:color="000000" w:fill="000000"/>
                <w:fitText w:val="131" w:id="-1167898102"/>
                <w14:textFill>
                  <w14:solidFill>
                    <w14:srgbClr w14:val="000000">
                      <w14:alpha w14:val="100000"/>
                    </w14:srgbClr>
                  </w14:solidFill>
                </w14:textFill>
              </w:rPr>
              <w:t xml:space="preserve">　</w:t>
            </w:r>
            <w:r w:rsidR="008D14E1">
              <w:rPr>
                <w:szCs w:val="20"/>
              </w:rPr>
              <w:t xml:space="preserve"> </w:t>
            </w:r>
            <w:r w:rsidR="008D14E1">
              <w:rPr>
                <w:szCs w:val="20"/>
                <w:vertAlign w:val="superscript"/>
              </w:rPr>
              <w:t>6</w:t>
            </w:r>
          </w:p>
        </w:tc>
        <w:tc>
          <w:tcPr>
            <w:tcW w:w="545" w:type="pct"/>
          </w:tcPr>
          <w:p w14:paraId="09C6F88A" w14:textId="62F43D4B" w:rsidR="005F3049" w:rsidRPr="00D85CD0" w:rsidRDefault="00A861E6" w:rsidP="00AD6C64">
            <w:pPr>
              <w:pStyle w:val="TableText0"/>
              <w:keepLines/>
              <w:jc w:val="center"/>
              <w:rPr>
                <w:b/>
                <w:bCs w:val="0"/>
                <w:szCs w:val="20"/>
              </w:rPr>
            </w:pPr>
            <w:r w:rsidRPr="00174253">
              <w:rPr>
                <w:b/>
                <w:color w:val="000000"/>
                <w:spacing w:val="97"/>
                <w:szCs w:val="20"/>
                <w:shd w:val="solid" w:color="000000" w:fill="000000"/>
                <w:fitText w:val="189" w:id="-1167898101"/>
                <w14:textFill>
                  <w14:solidFill>
                    <w14:srgbClr w14:val="000000">
                      <w14:alpha w14:val="100000"/>
                    </w14:srgbClr>
                  </w14:solidFill>
                </w14:textFill>
              </w:rPr>
              <w:t>|</w:t>
            </w:r>
            <w:r w:rsidRPr="00174253">
              <w:rPr>
                <w:b/>
                <w:color w:val="000000"/>
                <w:spacing w:val="1"/>
                <w:szCs w:val="20"/>
                <w:shd w:val="solid" w:color="000000" w:fill="000000"/>
                <w:fitText w:val="189" w:id="-1167898101"/>
                <w14:textFill>
                  <w14:solidFill>
                    <w14:srgbClr w14:val="000000">
                      <w14:alpha w14:val="100000"/>
                    </w14:srgbClr>
                  </w14:solidFill>
                </w14:textFill>
              </w:rPr>
              <w:t>|</w:t>
            </w:r>
            <w:r w:rsidR="008D14E1">
              <w:rPr>
                <w:szCs w:val="20"/>
              </w:rPr>
              <w:t xml:space="preserve"> </w:t>
            </w:r>
            <w:r w:rsidR="008D14E1">
              <w:rPr>
                <w:szCs w:val="20"/>
                <w:vertAlign w:val="superscript"/>
              </w:rPr>
              <w:t>7</w:t>
            </w:r>
          </w:p>
        </w:tc>
      </w:tr>
      <w:tr w:rsidR="005F3049" w:rsidRPr="00D85CD0" w14:paraId="3F10F4C1" w14:textId="77777777" w:rsidTr="00AD6C64">
        <w:tc>
          <w:tcPr>
            <w:tcW w:w="1187" w:type="pct"/>
            <w:shd w:val="clear" w:color="auto" w:fill="auto"/>
            <w:vAlign w:val="center"/>
          </w:tcPr>
          <w:p w14:paraId="05CCFDE8" w14:textId="77777777" w:rsidR="005F3049" w:rsidRPr="00D85CD0" w:rsidRDefault="005F3049" w:rsidP="00AD6C64">
            <w:pPr>
              <w:pStyle w:val="TableText0"/>
              <w:keepLines/>
              <w:rPr>
                <w:szCs w:val="20"/>
              </w:rPr>
            </w:pPr>
            <w:r w:rsidRPr="00D85CD0">
              <w:rPr>
                <w:szCs w:val="20"/>
              </w:rPr>
              <w:t>Cost to MBS of endoscopy for efficacy assessment</w:t>
            </w:r>
          </w:p>
        </w:tc>
        <w:tc>
          <w:tcPr>
            <w:tcW w:w="544" w:type="pct"/>
            <w:shd w:val="clear" w:color="auto" w:fill="auto"/>
          </w:tcPr>
          <w:p w14:paraId="24356661" w14:textId="0B3BAC4B"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00"/>
                <w14:textFill>
                  <w14:solidFill>
                    <w14:srgbClr w14:val="000000">
                      <w14:alpha w14:val="100000"/>
                    </w14:srgbClr>
                  </w14:solidFill>
                </w14:textFill>
              </w:rPr>
              <w:t xml:space="preserve">　</w:t>
            </w:r>
            <w:r w:rsidRPr="00A861E6">
              <w:rPr>
                <w:color w:val="000000"/>
                <w:w w:val="29"/>
                <w:szCs w:val="20"/>
                <w:shd w:val="solid" w:color="000000" w:fill="000000"/>
                <w:fitText w:val="131" w:id="-1167898100"/>
                <w14:textFill>
                  <w14:solidFill>
                    <w14:srgbClr w14:val="000000">
                      <w14:alpha w14:val="100000"/>
                    </w14:srgbClr>
                  </w14:solidFill>
                </w14:textFill>
              </w:rPr>
              <w:t>|</w:t>
            </w:r>
            <w:r w:rsidRPr="00A861E6">
              <w:rPr>
                <w:rFonts w:hint="eastAsia"/>
                <w:color w:val="000000"/>
                <w:w w:val="29"/>
                <w:szCs w:val="20"/>
                <w:shd w:val="solid" w:color="000000" w:fill="000000"/>
                <w:fitText w:val="131" w:id="-1167898100"/>
                <w14:textFill>
                  <w14:solidFill>
                    <w14:srgbClr w14:val="000000">
                      <w14:alpha w14:val="100000"/>
                    </w14:srgbClr>
                  </w14:solidFill>
                </w14:textFill>
              </w:rPr>
              <w:t xml:space="preserve">　</w:t>
            </w:r>
            <w:r w:rsidR="008D14E1">
              <w:rPr>
                <w:szCs w:val="20"/>
              </w:rPr>
              <w:t xml:space="preserve"> </w:t>
            </w:r>
            <w:r w:rsidR="008D14E1">
              <w:rPr>
                <w:szCs w:val="20"/>
                <w:vertAlign w:val="superscript"/>
              </w:rPr>
              <w:t>6</w:t>
            </w:r>
          </w:p>
        </w:tc>
        <w:tc>
          <w:tcPr>
            <w:tcW w:w="544" w:type="pct"/>
            <w:shd w:val="clear" w:color="auto" w:fill="auto"/>
          </w:tcPr>
          <w:p w14:paraId="2FA55A73" w14:textId="1B22DE5A"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099"/>
                <w14:textFill>
                  <w14:solidFill>
                    <w14:srgbClr w14:val="000000">
                      <w14:alpha w14:val="100000"/>
                    </w14:srgbClr>
                  </w14:solidFill>
                </w14:textFill>
              </w:rPr>
              <w:t xml:space="preserve">　</w:t>
            </w:r>
            <w:r w:rsidRPr="00A861E6">
              <w:rPr>
                <w:color w:val="000000"/>
                <w:w w:val="29"/>
                <w:szCs w:val="20"/>
                <w:shd w:val="solid" w:color="000000" w:fill="000000"/>
                <w:fitText w:val="131" w:id="-1167898099"/>
                <w14:textFill>
                  <w14:solidFill>
                    <w14:srgbClr w14:val="000000">
                      <w14:alpha w14:val="100000"/>
                    </w14:srgbClr>
                  </w14:solidFill>
                </w14:textFill>
              </w:rPr>
              <w:t>|</w:t>
            </w:r>
            <w:r w:rsidRPr="00A861E6">
              <w:rPr>
                <w:rFonts w:hint="eastAsia"/>
                <w:color w:val="000000"/>
                <w:w w:val="29"/>
                <w:szCs w:val="20"/>
                <w:shd w:val="solid" w:color="000000" w:fill="000000"/>
                <w:fitText w:val="131" w:id="-1167898099"/>
                <w14:textFill>
                  <w14:solidFill>
                    <w14:srgbClr w14:val="000000">
                      <w14:alpha w14:val="100000"/>
                    </w14:srgbClr>
                  </w14:solidFill>
                </w14:textFill>
              </w:rPr>
              <w:t xml:space="preserve">　</w:t>
            </w:r>
            <w:r w:rsidR="008D14E1">
              <w:rPr>
                <w:szCs w:val="20"/>
              </w:rPr>
              <w:t xml:space="preserve"> </w:t>
            </w:r>
            <w:r w:rsidR="008D14E1">
              <w:rPr>
                <w:szCs w:val="20"/>
                <w:vertAlign w:val="superscript"/>
              </w:rPr>
              <w:t>6</w:t>
            </w:r>
          </w:p>
        </w:tc>
        <w:tc>
          <w:tcPr>
            <w:tcW w:w="544" w:type="pct"/>
            <w:shd w:val="clear" w:color="auto" w:fill="auto"/>
          </w:tcPr>
          <w:p w14:paraId="758BC4FE" w14:textId="121290A4"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098"/>
                <w14:textFill>
                  <w14:solidFill>
                    <w14:srgbClr w14:val="000000">
                      <w14:alpha w14:val="100000"/>
                    </w14:srgbClr>
                  </w14:solidFill>
                </w14:textFill>
              </w:rPr>
              <w:t xml:space="preserve">　</w:t>
            </w:r>
            <w:r w:rsidRPr="00A861E6">
              <w:rPr>
                <w:color w:val="000000"/>
                <w:w w:val="29"/>
                <w:szCs w:val="20"/>
                <w:shd w:val="solid" w:color="000000" w:fill="000000"/>
                <w:fitText w:val="131" w:id="-1167898098"/>
                <w14:textFill>
                  <w14:solidFill>
                    <w14:srgbClr w14:val="000000">
                      <w14:alpha w14:val="100000"/>
                    </w14:srgbClr>
                  </w14:solidFill>
                </w14:textFill>
              </w:rPr>
              <w:t>|</w:t>
            </w:r>
            <w:r w:rsidRPr="00A861E6">
              <w:rPr>
                <w:rFonts w:hint="eastAsia"/>
                <w:color w:val="000000"/>
                <w:w w:val="29"/>
                <w:szCs w:val="20"/>
                <w:shd w:val="solid" w:color="000000" w:fill="000000"/>
                <w:fitText w:val="131" w:id="-1167898098"/>
                <w14:textFill>
                  <w14:solidFill>
                    <w14:srgbClr w14:val="000000">
                      <w14:alpha w14:val="100000"/>
                    </w14:srgbClr>
                  </w14:solidFill>
                </w14:textFill>
              </w:rPr>
              <w:t xml:space="preserve">　</w:t>
            </w:r>
            <w:r w:rsidR="008D14E1">
              <w:rPr>
                <w:szCs w:val="20"/>
              </w:rPr>
              <w:t xml:space="preserve"> </w:t>
            </w:r>
            <w:r w:rsidR="008D14E1">
              <w:rPr>
                <w:szCs w:val="20"/>
                <w:vertAlign w:val="superscript"/>
              </w:rPr>
              <w:t>6</w:t>
            </w:r>
          </w:p>
        </w:tc>
        <w:tc>
          <w:tcPr>
            <w:tcW w:w="544" w:type="pct"/>
            <w:shd w:val="clear" w:color="auto" w:fill="auto"/>
          </w:tcPr>
          <w:p w14:paraId="0E112E9A" w14:textId="1920FFB1"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097"/>
                <w14:textFill>
                  <w14:solidFill>
                    <w14:srgbClr w14:val="000000">
                      <w14:alpha w14:val="100000"/>
                    </w14:srgbClr>
                  </w14:solidFill>
                </w14:textFill>
              </w:rPr>
              <w:t xml:space="preserve">　</w:t>
            </w:r>
            <w:r w:rsidRPr="00A861E6">
              <w:rPr>
                <w:color w:val="000000"/>
                <w:w w:val="29"/>
                <w:szCs w:val="20"/>
                <w:shd w:val="solid" w:color="000000" w:fill="000000"/>
                <w:fitText w:val="131" w:id="-1167898097"/>
                <w14:textFill>
                  <w14:solidFill>
                    <w14:srgbClr w14:val="000000">
                      <w14:alpha w14:val="100000"/>
                    </w14:srgbClr>
                  </w14:solidFill>
                </w14:textFill>
              </w:rPr>
              <w:t>|</w:t>
            </w:r>
            <w:r w:rsidRPr="00A861E6">
              <w:rPr>
                <w:rFonts w:hint="eastAsia"/>
                <w:color w:val="000000"/>
                <w:w w:val="29"/>
                <w:szCs w:val="20"/>
                <w:shd w:val="solid" w:color="000000" w:fill="000000"/>
                <w:fitText w:val="131" w:id="-1167898097"/>
                <w14:textFill>
                  <w14:solidFill>
                    <w14:srgbClr w14:val="000000">
                      <w14:alpha w14:val="100000"/>
                    </w14:srgbClr>
                  </w14:solidFill>
                </w14:textFill>
              </w:rPr>
              <w:t xml:space="preserve">　</w:t>
            </w:r>
            <w:r w:rsidR="008D14E1">
              <w:rPr>
                <w:szCs w:val="20"/>
              </w:rPr>
              <w:t xml:space="preserve"> </w:t>
            </w:r>
            <w:r w:rsidR="008D14E1">
              <w:rPr>
                <w:szCs w:val="20"/>
                <w:vertAlign w:val="superscript"/>
              </w:rPr>
              <w:t>6</w:t>
            </w:r>
          </w:p>
        </w:tc>
        <w:tc>
          <w:tcPr>
            <w:tcW w:w="544" w:type="pct"/>
            <w:shd w:val="clear" w:color="auto" w:fill="auto"/>
          </w:tcPr>
          <w:p w14:paraId="443573D5" w14:textId="15B8F534"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096"/>
                <w14:textFill>
                  <w14:solidFill>
                    <w14:srgbClr w14:val="000000">
                      <w14:alpha w14:val="100000"/>
                    </w14:srgbClr>
                  </w14:solidFill>
                </w14:textFill>
              </w:rPr>
              <w:t xml:space="preserve">　</w:t>
            </w:r>
            <w:r w:rsidRPr="00A861E6">
              <w:rPr>
                <w:color w:val="000000"/>
                <w:w w:val="29"/>
                <w:szCs w:val="20"/>
                <w:shd w:val="solid" w:color="000000" w:fill="000000"/>
                <w:fitText w:val="131" w:id="-1167898096"/>
                <w14:textFill>
                  <w14:solidFill>
                    <w14:srgbClr w14:val="000000">
                      <w14:alpha w14:val="100000"/>
                    </w14:srgbClr>
                  </w14:solidFill>
                </w14:textFill>
              </w:rPr>
              <w:t>|</w:t>
            </w:r>
            <w:r w:rsidRPr="00A861E6">
              <w:rPr>
                <w:rFonts w:hint="eastAsia"/>
                <w:color w:val="000000"/>
                <w:w w:val="29"/>
                <w:szCs w:val="20"/>
                <w:shd w:val="solid" w:color="000000" w:fill="000000"/>
                <w:fitText w:val="131" w:id="-1167898096"/>
                <w14:textFill>
                  <w14:solidFill>
                    <w14:srgbClr w14:val="000000">
                      <w14:alpha w14:val="100000"/>
                    </w14:srgbClr>
                  </w14:solidFill>
                </w14:textFill>
              </w:rPr>
              <w:t xml:space="preserve">　</w:t>
            </w:r>
            <w:r w:rsidR="008D14E1">
              <w:rPr>
                <w:szCs w:val="20"/>
              </w:rPr>
              <w:t xml:space="preserve"> </w:t>
            </w:r>
            <w:r w:rsidR="008D14E1">
              <w:rPr>
                <w:szCs w:val="20"/>
                <w:vertAlign w:val="superscript"/>
              </w:rPr>
              <w:t>6</w:t>
            </w:r>
          </w:p>
        </w:tc>
        <w:tc>
          <w:tcPr>
            <w:tcW w:w="548" w:type="pct"/>
          </w:tcPr>
          <w:p w14:paraId="51A97A76" w14:textId="042280B3" w:rsidR="005F3049" w:rsidRPr="00D85CD0" w:rsidRDefault="00A861E6" w:rsidP="00AD6C64">
            <w:pPr>
              <w:pStyle w:val="TableText0"/>
              <w:keepLines/>
              <w:jc w:val="center"/>
              <w:rPr>
                <w:szCs w:val="20"/>
              </w:rPr>
            </w:pPr>
            <w:r w:rsidRPr="00A861E6">
              <w:rPr>
                <w:rFonts w:hint="eastAsia"/>
                <w:color w:val="000000"/>
                <w:w w:val="29"/>
                <w:szCs w:val="20"/>
                <w:shd w:val="solid" w:color="000000" w:fill="000000"/>
                <w:fitText w:val="131" w:id="-1167898112"/>
                <w14:textFill>
                  <w14:solidFill>
                    <w14:srgbClr w14:val="000000">
                      <w14:alpha w14:val="100000"/>
                    </w14:srgbClr>
                  </w14:solidFill>
                </w14:textFill>
              </w:rPr>
              <w:t xml:space="preserve">　</w:t>
            </w:r>
            <w:r w:rsidRPr="00A861E6">
              <w:rPr>
                <w:color w:val="000000"/>
                <w:w w:val="29"/>
                <w:szCs w:val="20"/>
                <w:shd w:val="solid" w:color="000000" w:fill="000000"/>
                <w:fitText w:val="131" w:id="-1167898112"/>
                <w14:textFill>
                  <w14:solidFill>
                    <w14:srgbClr w14:val="000000">
                      <w14:alpha w14:val="100000"/>
                    </w14:srgbClr>
                  </w14:solidFill>
                </w14:textFill>
              </w:rPr>
              <w:t>|</w:t>
            </w:r>
            <w:r w:rsidRPr="00A861E6">
              <w:rPr>
                <w:rFonts w:hint="eastAsia"/>
                <w:color w:val="000000"/>
                <w:w w:val="29"/>
                <w:szCs w:val="20"/>
                <w:shd w:val="solid" w:color="000000" w:fill="000000"/>
                <w:fitText w:val="131" w:id="-1167898112"/>
                <w14:textFill>
                  <w14:solidFill>
                    <w14:srgbClr w14:val="000000">
                      <w14:alpha w14:val="100000"/>
                    </w14:srgbClr>
                  </w14:solidFill>
                </w14:textFill>
              </w:rPr>
              <w:t xml:space="preserve">　</w:t>
            </w:r>
            <w:r w:rsidR="008D14E1">
              <w:rPr>
                <w:szCs w:val="20"/>
              </w:rPr>
              <w:t xml:space="preserve"> </w:t>
            </w:r>
            <w:r w:rsidR="008D14E1">
              <w:rPr>
                <w:szCs w:val="20"/>
                <w:vertAlign w:val="superscript"/>
              </w:rPr>
              <w:t>6</w:t>
            </w:r>
          </w:p>
        </w:tc>
        <w:tc>
          <w:tcPr>
            <w:tcW w:w="545" w:type="pct"/>
          </w:tcPr>
          <w:p w14:paraId="6DCBD0AA" w14:textId="5EF07C11" w:rsidR="005F3049" w:rsidRPr="00D85CD0" w:rsidRDefault="00A861E6" w:rsidP="00AD6C64">
            <w:pPr>
              <w:pStyle w:val="TableText0"/>
              <w:keepLines/>
              <w:jc w:val="center"/>
              <w:rPr>
                <w:b/>
                <w:bCs w:val="0"/>
                <w:szCs w:val="20"/>
              </w:rPr>
            </w:pPr>
            <w:r w:rsidRPr="00174253">
              <w:rPr>
                <w:b/>
                <w:color w:val="000000"/>
                <w:spacing w:val="97"/>
                <w:szCs w:val="20"/>
                <w:shd w:val="solid" w:color="000000" w:fill="000000"/>
                <w:fitText w:val="189" w:id="-1167898111"/>
                <w14:textFill>
                  <w14:solidFill>
                    <w14:srgbClr w14:val="000000">
                      <w14:alpha w14:val="100000"/>
                    </w14:srgbClr>
                  </w14:solidFill>
                </w14:textFill>
              </w:rPr>
              <w:t>|</w:t>
            </w:r>
            <w:r w:rsidRPr="00174253">
              <w:rPr>
                <w:b/>
                <w:color w:val="000000"/>
                <w:spacing w:val="1"/>
                <w:szCs w:val="20"/>
                <w:shd w:val="solid" w:color="000000" w:fill="000000"/>
                <w:fitText w:val="189" w:id="-1167898111"/>
                <w14:textFill>
                  <w14:solidFill>
                    <w14:srgbClr w14:val="000000">
                      <w14:alpha w14:val="100000"/>
                    </w14:srgbClr>
                  </w14:solidFill>
                </w14:textFill>
              </w:rPr>
              <w:t>|</w:t>
            </w:r>
            <w:r w:rsidR="008D14E1">
              <w:rPr>
                <w:szCs w:val="20"/>
              </w:rPr>
              <w:t xml:space="preserve"> </w:t>
            </w:r>
            <w:r w:rsidR="008D14E1">
              <w:rPr>
                <w:szCs w:val="20"/>
                <w:vertAlign w:val="superscript"/>
              </w:rPr>
              <w:t>6</w:t>
            </w:r>
          </w:p>
        </w:tc>
      </w:tr>
    </w:tbl>
    <w:p w14:paraId="088A78A4" w14:textId="77777777" w:rsidR="005F3049" w:rsidRPr="008D14E1" w:rsidRDefault="005F3049" w:rsidP="005F3049">
      <w:pPr>
        <w:pStyle w:val="Tablenotes0"/>
        <w:spacing w:after="0"/>
        <w:jc w:val="both"/>
        <w:rPr>
          <w:sz w:val="18"/>
          <w:szCs w:val="18"/>
        </w:rPr>
      </w:pPr>
      <w:r w:rsidRPr="008D14E1">
        <w:rPr>
          <w:sz w:val="18"/>
          <w:szCs w:val="18"/>
        </w:rPr>
        <w:t>Source: Submission main body, Table 5, p.12</w:t>
      </w:r>
    </w:p>
    <w:p w14:paraId="4342EDF7" w14:textId="77777777" w:rsidR="005F3049" w:rsidRPr="008D14E1" w:rsidRDefault="005F3049" w:rsidP="005F3049">
      <w:pPr>
        <w:pStyle w:val="Tablenotes0"/>
        <w:spacing w:after="0"/>
        <w:jc w:val="both"/>
        <w:rPr>
          <w:sz w:val="18"/>
          <w:szCs w:val="18"/>
        </w:rPr>
      </w:pPr>
      <w:r w:rsidRPr="008D14E1">
        <w:rPr>
          <w:sz w:val="18"/>
          <w:szCs w:val="18"/>
        </w:rPr>
        <w:t>Note: These estimates are based on the latest budget impact model spreadsheet from post-PBAC discussions following the November 2021 submission and vary slightly to those in the final deed</w:t>
      </w:r>
    </w:p>
    <w:p w14:paraId="79AFF405" w14:textId="74D6E7B5" w:rsidR="005F3049" w:rsidRPr="00A861E6" w:rsidRDefault="005F3049" w:rsidP="005F3049">
      <w:pPr>
        <w:rPr>
          <w:rFonts w:ascii="Arial Narrow" w:hAnsi="Arial Narrow"/>
          <w:sz w:val="18"/>
          <w:szCs w:val="18"/>
        </w:rPr>
      </w:pPr>
      <w:r w:rsidRPr="00A861E6">
        <w:rPr>
          <w:rFonts w:ascii="Arial Narrow" w:hAnsi="Arial Narrow"/>
          <w:sz w:val="18"/>
          <w:szCs w:val="18"/>
        </w:rPr>
        <w:t>BOT = budesonide orally disintegrating tablets, MBS = Medicare Benefits Schedule, PBS = Pharmaceutical Benefits Scheme, RPBS = Repatriation Pharmaceutical Benefits Scheme.</w:t>
      </w:r>
    </w:p>
    <w:p w14:paraId="765E4503" w14:textId="77777777" w:rsidR="008D14E1" w:rsidRPr="008D14E1" w:rsidRDefault="008D14E1" w:rsidP="008D14E1">
      <w:pPr>
        <w:rPr>
          <w:rFonts w:ascii="Arial Narrow" w:hAnsi="Arial Narrow" w:cs="Arial"/>
          <w:i/>
          <w:sz w:val="18"/>
          <w:szCs w:val="18"/>
        </w:rPr>
      </w:pPr>
      <w:r w:rsidRPr="008D14E1">
        <w:rPr>
          <w:rFonts w:ascii="Arial Narrow" w:hAnsi="Arial Narrow" w:cs="Arial"/>
          <w:i/>
          <w:sz w:val="18"/>
          <w:szCs w:val="18"/>
        </w:rPr>
        <w:t xml:space="preserve">The redacted values correspond to the following ranges: </w:t>
      </w:r>
    </w:p>
    <w:p w14:paraId="198A6F17" w14:textId="08DAC65C" w:rsidR="008D14E1" w:rsidRPr="008D14E1" w:rsidRDefault="008D14E1" w:rsidP="008D14E1">
      <w:pPr>
        <w:rPr>
          <w:rFonts w:ascii="Arial Narrow" w:hAnsi="Arial Narrow" w:cs="Arial"/>
          <w:i/>
          <w:sz w:val="18"/>
          <w:szCs w:val="18"/>
        </w:rPr>
      </w:pPr>
      <w:r w:rsidRPr="008D14E1">
        <w:rPr>
          <w:rFonts w:ascii="Arial Narrow" w:hAnsi="Arial Narrow" w:cs="Arial"/>
          <w:i/>
          <w:sz w:val="18"/>
          <w:szCs w:val="18"/>
          <w:vertAlign w:val="superscript"/>
        </w:rPr>
        <w:t>1</w:t>
      </w:r>
      <w:r w:rsidRPr="008D14E1">
        <w:rPr>
          <w:rFonts w:ascii="Arial Narrow" w:hAnsi="Arial Narrow" w:cs="Arial"/>
          <w:i/>
          <w:sz w:val="18"/>
          <w:szCs w:val="18"/>
        </w:rPr>
        <w:t xml:space="preserve"> 500 to &lt; 5,000</w:t>
      </w:r>
    </w:p>
    <w:p w14:paraId="6ED48784" w14:textId="6F65CA6F" w:rsidR="008D14E1" w:rsidRPr="008D14E1" w:rsidRDefault="008D14E1" w:rsidP="008D14E1">
      <w:pPr>
        <w:rPr>
          <w:rFonts w:ascii="Arial Narrow" w:hAnsi="Arial Narrow" w:cs="Arial"/>
          <w:i/>
          <w:sz w:val="18"/>
          <w:szCs w:val="18"/>
        </w:rPr>
      </w:pPr>
      <w:r w:rsidRPr="008D14E1">
        <w:rPr>
          <w:rFonts w:ascii="Arial Narrow" w:hAnsi="Arial Narrow" w:cs="Arial"/>
          <w:i/>
          <w:sz w:val="18"/>
          <w:szCs w:val="18"/>
          <w:vertAlign w:val="superscript"/>
        </w:rPr>
        <w:t>2</w:t>
      </w:r>
      <w:r w:rsidRPr="008D14E1">
        <w:rPr>
          <w:rFonts w:ascii="Arial Narrow" w:hAnsi="Arial Narrow" w:cs="Arial"/>
          <w:i/>
          <w:sz w:val="18"/>
          <w:szCs w:val="18"/>
        </w:rPr>
        <w:t xml:space="preserve"> 5,000 to &lt; 10,000</w:t>
      </w:r>
    </w:p>
    <w:p w14:paraId="7D7D0A87" w14:textId="77777777" w:rsidR="008D14E1" w:rsidRDefault="008D14E1" w:rsidP="008D14E1">
      <w:pPr>
        <w:rPr>
          <w:rFonts w:ascii="Arial Narrow" w:hAnsi="Arial Narrow" w:cs="Arial"/>
          <w:i/>
          <w:sz w:val="18"/>
          <w:szCs w:val="18"/>
        </w:rPr>
      </w:pPr>
      <w:r w:rsidRPr="008D14E1">
        <w:rPr>
          <w:rFonts w:ascii="Arial Narrow" w:hAnsi="Arial Narrow" w:cs="Arial"/>
          <w:i/>
          <w:sz w:val="18"/>
          <w:szCs w:val="18"/>
          <w:vertAlign w:val="superscript"/>
        </w:rPr>
        <w:t>3</w:t>
      </w:r>
      <w:r w:rsidRPr="008D14E1">
        <w:rPr>
          <w:rFonts w:ascii="Arial Narrow" w:hAnsi="Arial Narrow" w:cs="Arial"/>
          <w:i/>
          <w:sz w:val="18"/>
          <w:szCs w:val="18"/>
        </w:rPr>
        <w:t xml:space="preserve"> 10,000 to &lt; 20,000</w:t>
      </w:r>
    </w:p>
    <w:p w14:paraId="75B0BFD4" w14:textId="58C4FFCF" w:rsidR="008D14E1" w:rsidRPr="008D14E1" w:rsidRDefault="008D14E1" w:rsidP="008D14E1">
      <w:pPr>
        <w:rPr>
          <w:rFonts w:ascii="Arial Narrow" w:hAnsi="Arial Narrow" w:cs="Arial"/>
          <w:i/>
          <w:sz w:val="18"/>
          <w:szCs w:val="18"/>
        </w:rPr>
      </w:pPr>
      <w:r w:rsidRPr="008D14E1">
        <w:rPr>
          <w:rFonts w:ascii="Arial Narrow" w:hAnsi="Arial Narrow" w:cs="Arial"/>
          <w:i/>
          <w:sz w:val="18"/>
          <w:szCs w:val="18"/>
          <w:vertAlign w:val="superscript"/>
        </w:rPr>
        <w:t>4</w:t>
      </w:r>
      <w:r w:rsidRPr="008D14E1">
        <w:rPr>
          <w:rFonts w:ascii="Arial Narrow" w:hAnsi="Arial Narrow" w:cs="Arial"/>
          <w:i/>
          <w:sz w:val="18"/>
          <w:szCs w:val="18"/>
        </w:rPr>
        <w:t xml:space="preserve"> 20,000 to &lt; 30,000</w:t>
      </w:r>
    </w:p>
    <w:p w14:paraId="18BC273F" w14:textId="4C26F8E6" w:rsidR="008D14E1" w:rsidRPr="008D14E1" w:rsidRDefault="008D14E1" w:rsidP="008D14E1">
      <w:pPr>
        <w:rPr>
          <w:rFonts w:ascii="Arial Narrow" w:hAnsi="Arial Narrow" w:cs="Arial"/>
          <w:i/>
          <w:sz w:val="18"/>
          <w:szCs w:val="18"/>
        </w:rPr>
      </w:pPr>
      <w:r w:rsidRPr="008D14E1">
        <w:rPr>
          <w:rFonts w:ascii="Arial Narrow" w:hAnsi="Arial Narrow" w:cs="Arial"/>
          <w:i/>
          <w:sz w:val="18"/>
          <w:szCs w:val="18"/>
          <w:vertAlign w:val="superscript"/>
        </w:rPr>
        <w:t>5</w:t>
      </w:r>
      <w:r w:rsidRPr="008D14E1">
        <w:rPr>
          <w:rFonts w:ascii="Arial Narrow" w:hAnsi="Arial Narrow" w:cs="Arial"/>
          <w:i/>
          <w:sz w:val="18"/>
          <w:szCs w:val="18"/>
        </w:rPr>
        <w:t xml:space="preserve"> 30,000 to &lt; 40,000</w:t>
      </w:r>
    </w:p>
    <w:p w14:paraId="053A5FDA" w14:textId="2766B4AC" w:rsidR="008D14E1" w:rsidRPr="008D14E1" w:rsidRDefault="008D14E1" w:rsidP="008D14E1">
      <w:pPr>
        <w:rPr>
          <w:rFonts w:ascii="Arial Narrow" w:hAnsi="Arial Narrow" w:cs="Arial"/>
          <w:i/>
          <w:sz w:val="18"/>
          <w:szCs w:val="18"/>
        </w:rPr>
      </w:pPr>
      <w:r w:rsidRPr="008D14E1">
        <w:rPr>
          <w:rFonts w:ascii="Arial Narrow" w:hAnsi="Arial Narrow" w:cs="Arial"/>
          <w:i/>
          <w:sz w:val="18"/>
          <w:szCs w:val="18"/>
          <w:vertAlign w:val="superscript"/>
        </w:rPr>
        <w:t>6</w:t>
      </w:r>
      <w:r w:rsidRPr="008D14E1">
        <w:rPr>
          <w:rFonts w:ascii="Arial Narrow" w:hAnsi="Arial Narrow" w:cs="Arial"/>
          <w:i/>
          <w:sz w:val="18"/>
          <w:szCs w:val="18"/>
        </w:rPr>
        <w:t xml:space="preserve"> $0 to &lt; $10 million</w:t>
      </w:r>
    </w:p>
    <w:p w14:paraId="6E31551B" w14:textId="1E809DB1" w:rsidR="005F3049" w:rsidRPr="00D85CD0" w:rsidRDefault="008D14E1" w:rsidP="005F3049">
      <w:pPr>
        <w:rPr>
          <w:rFonts w:ascii="Arial Narrow" w:hAnsi="Arial Narrow" w:cstheme="minorHAnsi"/>
          <w:b/>
          <w:bCs/>
          <w:sz w:val="20"/>
          <w:szCs w:val="20"/>
        </w:rPr>
      </w:pPr>
      <w:r w:rsidRPr="008D14E1">
        <w:rPr>
          <w:rFonts w:ascii="Arial Narrow" w:hAnsi="Arial Narrow" w:cs="Arial"/>
          <w:i/>
          <w:sz w:val="18"/>
          <w:szCs w:val="18"/>
          <w:vertAlign w:val="superscript"/>
        </w:rPr>
        <w:t>7</w:t>
      </w:r>
      <w:r w:rsidRPr="008D14E1">
        <w:rPr>
          <w:rFonts w:ascii="Arial Narrow" w:hAnsi="Arial Narrow" w:cs="Arial"/>
          <w:i/>
          <w:sz w:val="18"/>
          <w:szCs w:val="18"/>
        </w:rPr>
        <w:t xml:space="preserve"> $40 million to &lt; $50 million</w:t>
      </w:r>
    </w:p>
    <w:p w14:paraId="759ADF39" w14:textId="77777777" w:rsidR="005F3049" w:rsidRPr="00D85CD0" w:rsidRDefault="005F3049" w:rsidP="00A861E6">
      <w:pPr>
        <w:keepNext/>
        <w:rPr>
          <w:rFonts w:ascii="Arial Narrow" w:hAnsi="Arial Narrow" w:cstheme="minorHAnsi"/>
          <w:b/>
          <w:bCs/>
          <w:sz w:val="20"/>
          <w:szCs w:val="20"/>
        </w:rPr>
      </w:pPr>
      <w:r w:rsidRPr="00D85CD0">
        <w:rPr>
          <w:rFonts w:ascii="Arial Narrow" w:hAnsi="Arial Narrow" w:cstheme="minorHAnsi"/>
          <w:b/>
          <w:bCs/>
          <w:sz w:val="20"/>
          <w:szCs w:val="20"/>
        </w:rPr>
        <w:t>Table 4: Predicted vs Actual analysis</w:t>
      </w:r>
    </w:p>
    <w:tbl>
      <w:tblPr>
        <w:tblW w:w="9350" w:type="dxa"/>
        <w:tblLook w:val="04A0" w:firstRow="1" w:lastRow="0" w:firstColumn="1" w:lastColumn="0" w:noHBand="0" w:noVBand="1"/>
      </w:tblPr>
      <w:tblGrid>
        <w:gridCol w:w="4591"/>
        <w:gridCol w:w="1634"/>
        <w:gridCol w:w="1634"/>
        <w:gridCol w:w="1491"/>
      </w:tblGrid>
      <w:tr w:rsidR="005F3049" w:rsidRPr="00223831" w14:paraId="3846D91D" w14:textId="77777777" w:rsidTr="00A861E6">
        <w:trPr>
          <w:trHeight w:val="227"/>
        </w:trPr>
        <w:tc>
          <w:tcPr>
            <w:tcW w:w="459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17275A2" w14:textId="77777777" w:rsidR="005F3049" w:rsidRPr="007A1357" w:rsidRDefault="005F3049" w:rsidP="00A861E6">
            <w:pPr>
              <w:keepNext/>
              <w:rPr>
                <w:rFonts w:ascii="Arial Narrow" w:hAnsi="Arial Narrow"/>
                <w:b/>
                <w:bCs/>
                <w:color w:val="000000"/>
                <w:sz w:val="20"/>
                <w:szCs w:val="20"/>
              </w:rPr>
            </w:pPr>
            <w:r w:rsidRPr="007A1357">
              <w:rPr>
                <w:rFonts w:ascii="Arial Narrow" w:hAnsi="Arial Narrow"/>
                <w:b/>
                <w:bCs/>
                <w:color w:val="000000"/>
                <w:sz w:val="20"/>
                <w:szCs w:val="20"/>
              </w:rPr>
              <w:t>Budesonide for EoE</w:t>
            </w:r>
          </w:p>
        </w:tc>
        <w:tc>
          <w:tcPr>
            <w:tcW w:w="4759" w:type="dxa"/>
            <w:gridSpan w:val="3"/>
            <w:tcBorders>
              <w:top w:val="single" w:sz="4" w:space="0" w:color="auto"/>
              <w:left w:val="nil"/>
              <w:bottom w:val="single" w:sz="4" w:space="0" w:color="auto"/>
              <w:right w:val="single" w:sz="4" w:space="0" w:color="auto"/>
            </w:tcBorders>
            <w:shd w:val="clear" w:color="000000" w:fill="BFBFBF"/>
            <w:vAlign w:val="center"/>
            <w:hideMark/>
          </w:tcPr>
          <w:p w14:paraId="2F179F4B" w14:textId="77777777" w:rsidR="005F3049" w:rsidRPr="007A1357" w:rsidRDefault="005F3049" w:rsidP="00A861E6">
            <w:pPr>
              <w:keepNext/>
              <w:jc w:val="center"/>
              <w:rPr>
                <w:rFonts w:ascii="Arial Narrow" w:hAnsi="Arial Narrow"/>
                <w:b/>
                <w:bCs/>
                <w:color w:val="000000"/>
                <w:sz w:val="20"/>
                <w:szCs w:val="20"/>
              </w:rPr>
            </w:pPr>
            <w:r w:rsidRPr="007A1357">
              <w:rPr>
                <w:rFonts w:ascii="Arial Narrow" w:hAnsi="Arial Narrow"/>
                <w:b/>
                <w:bCs/>
                <w:color w:val="000000"/>
                <w:sz w:val="20"/>
                <w:szCs w:val="20"/>
              </w:rPr>
              <w:t>Year 1 (May 2022 - April 2023)</w:t>
            </w:r>
          </w:p>
        </w:tc>
      </w:tr>
      <w:tr w:rsidR="005F3049" w:rsidRPr="00223831" w14:paraId="22DE9D97" w14:textId="77777777" w:rsidTr="00A861E6">
        <w:trPr>
          <w:trHeight w:val="227"/>
        </w:trPr>
        <w:tc>
          <w:tcPr>
            <w:tcW w:w="4591" w:type="dxa"/>
            <w:tcBorders>
              <w:top w:val="nil"/>
              <w:left w:val="single" w:sz="4" w:space="0" w:color="auto"/>
              <w:bottom w:val="single" w:sz="4" w:space="0" w:color="auto"/>
              <w:right w:val="single" w:sz="4" w:space="0" w:color="auto"/>
            </w:tcBorders>
            <w:shd w:val="clear" w:color="auto" w:fill="auto"/>
            <w:noWrap/>
            <w:vAlign w:val="bottom"/>
            <w:hideMark/>
          </w:tcPr>
          <w:p w14:paraId="1103F159" w14:textId="77777777" w:rsidR="005F3049" w:rsidRPr="007A1357" w:rsidRDefault="005F3049" w:rsidP="00A861E6">
            <w:pPr>
              <w:keepNext/>
              <w:rPr>
                <w:rFonts w:ascii="Arial Narrow" w:hAnsi="Arial Narrow"/>
                <w:sz w:val="20"/>
                <w:szCs w:val="20"/>
              </w:rPr>
            </w:pPr>
            <w:r w:rsidRPr="007A1357">
              <w:rPr>
                <w:rFonts w:ascii="Arial Narrow" w:hAnsi="Arial Narrow"/>
                <w:sz w:val="20"/>
                <w:szCs w:val="20"/>
              </w:rPr>
              <w:t> </w:t>
            </w:r>
          </w:p>
        </w:tc>
        <w:tc>
          <w:tcPr>
            <w:tcW w:w="1634" w:type="dxa"/>
            <w:tcBorders>
              <w:top w:val="nil"/>
              <w:left w:val="nil"/>
              <w:bottom w:val="single" w:sz="4" w:space="0" w:color="auto"/>
              <w:right w:val="single" w:sz="4" w:space="0" w:color="auto"/>
            </w:tcBorders>
            <w:shd w:val="clear" w:color="000000" w:fill="BFBFBF"/>
            <w:vAlign w:val="center"/>
            <w:hideMark/>
          </w:tcPr>
          <w:p w14:paraId="5F4EA591" w14:textId="77777777" w:rsidR="005F3049" w:rsidRPr="007A1357" w:rsidRDefault="005F3049" w:rsidP="00A861E6">
            <w:pPr>
              <w:keepNext/>
              <w:jc w:val="center"/>
              <w:rPr>
                <w:rFonts w:ascii="Arial Narrow" w:hAnsi="Arial Narrow"/>
                <w:color w:val="000000"/>
                <w:sz w:val="20"/>
                <w:szCs w:val="20"/>
              </w:rPr>
            </w:pPr>
            <w:r w:rsidRPr="007A1357">
              <w:rPr>
                <w:rFonts w:ascii="Arial Narrow" w:hAnsi="Arial Narrow"/>
                <w:color w:val="000000"/>
                <w:sz w:val="20"/>
                <w:szCs w:val="20"/>
              </w:rPr>
              <w:t>Predicted</w:t>
            </w:r>
          </w:p>
        </w:tc>
        <w:tc>
          <w:tcPr>
            <w:tcW w:w="1634" w:type="dxa"/>
            <w:tcBorders>
              <w:top w:val="nil"/>
              <w:left w:val="nil"/>
              <w:bottom w:val="single" w:sz="4" w:space="0" w:color="auto"/>
              <w:right w:val="single" w:sz="4" w:space="0" w:color="auto"/>
            </w:tcBorders>
            <w:shd w:val="clear" w:color="000000" w:fill="BFBFBF"/>
            <w:vAlign w:val="center"/>
            <w:hideMark/>
          </w:tcPr>
          <w:p w14:paraId="67329B64" w14:textId="77777777" w:rsidR="005F3049" w:rsidRPr="007A1357" w:rsidRDefault="005F3049" w:rsidP="00A861E6">
            <w:pPr>
              <w:keepNext/>
              <w:jc w:val="center"/>
              <w:rPr>
                <w:rFonts w:ascii="Arial Narrow" w:hAnsi="Arial Narrow"/>
                <w:color w:val="000000"/>
                <w:sz w:val="20"/>
                <w:szCs w:val="20"/>
              </w:rPr>
            </w:pPr>
            <w:r w:rsidRPr="007A1357">
              <w:rPr>
                <w:rFonts w:ascii="Arial Narrow" w:hAnsi="Arial Narrow"/>
                <w:color w:val="000000"/>
                <w:sz w:val="20"/>
                <w:szCs w:val="20"/>
              </w:rPr>
              <w:t>Actual*</w:t>
            </w:r>
          </w:p>
        </w:tc>
        <w:tc>
          <w:tcPr>
            <w:tcW w:w="1491" w:type="dxa"/>
            <w:tcBorders>
              <w:top w:val="nil"/>
              <w:left w:val="nil"/>
              <w:bottom w:val="single" w:sz="4" w:space="0" w:color="auto"/>
              <w:right w:val="single" w:sz="4" w:space="0" w:color="auto"/>
            </w:tcBorders>
            <w:shd w:val="clear" w:color="000000" w:fill="BFBFBF"/>
            <w:vAlign w:val="center"/>
            <w:hideMark/>
          </w:tcPr>
          <w:p w14:paraId="1B8044DD" w14:textId="77777777" w:rsidR="005F3049" w:rsidRPr="007A1357" w:rsidRDefault="005F3049" w:rsidP="00A861E6">
            <w:pPr>
              <w:keepNext/>
              <w:jc w:val="center"/>
              <w:rPr>
                <w:rFonts w:ascii="Arial Narrow" w:hAnsi="Arial Narrow"/>
                <w:color w:val="000000"/>
                <w:sz w:val="20"/>
                <w:szCs w:val="20"/>
              </w:rPr>
            </w:pPr>
            <w:r w:rsidRPr="007A1357">
              <w:rPr>
                <w:rFonts w:ascii="Arial Narrow" w:hAnsi="Arial Narrow"/>
                <w:color w:val="000000"/>
                <w:sz w:val="20"/>
                <w:szCs w:val="20"/>
              </w:rPr>
              <w:t>% Difference</w:t>
            </w:r>
          </w:p>
        </w:tc>
      </w:tr>
      <w:tr w:rsidR="005F3049" w:rsidRPr="00223831" w14:paraId="6C2A1AC7" w14:textId="77777777" w:rsidTr="00A861E6">
        <w:trPr>
          <w:trHeight w:val="227"/>
        </w:trPr>
        <w:tc>
          <w:tcPr>
            <w:tcW w:w="4591" w:type="dxa"/>
            <w:tcBorders>
              <w:top w:val="nil"/>
              <w:left w:val="single" w:sz="4" w:space="0" w:color="auto"/>
              <w:bottom w:val="single" w:sz="4" w:space="0" w:color="auto"/>
              <w:right w:val="single" w:sz="4" w:space="0" w:color="auto"/>
            </w:tcBorders>
            <w:shd w:val="clear" w:color="auto" w:fill="auto"/>
            <w:noWrap/>
            <w:vAlign w:val="center"/>
            <w:hideMark/>
          </w:tcPr>
          <w:p w14:paraId="51507263" w14:textId="77777777" w:rsidR="005F3049" w:rsidRPr="007A1357" w:rsidRDefault="005F3049" w:rsidP="00A861E6">
            <w:pPr>
              <w:keepNext/>
              <w:jc w:val="left"/>
              <w:rPr>
                <w:rFonts w:ascii="Arial Narrow" w:hAnsi="Arial Narrow"/>
                <w:sz w:val="20"/>
                <w:szCs w:val="20"/>
              </w:rPr>
            </w:pPr>
            <w:bookmarkStart w:id="16" w:name="_Hlk134454977"/>
            <w:r w:rsidRPr="007A1357">
              <w:rPr>
                <w:rFonts w:ascii="Arial Narrow" w:hAnsi="Arial Narrow"/>
                <w:sz w:val="20"/>
                <w:szCs w:val="20"/>
              </w:rPr>
              <w:t>Patients - initial treatment</w:t>
            </w:r>
            <w:bookmarkEnd w:id="16"/>
          </w:p>
        </w:tc>
        <w:tc>
          <w:tcPr>
            <w:tcW w:w="1634" w:type="dxa"/>
            <w:tcBorders>
              <w:top w:val="nil"/>
              <w:left w:val="nil"/>
              <w:bottom w:val="single" w:sz="4" w:space="0" w:color="auto"/>
              <w:right w:val="single" w:sz="4" w:space="0" w:color="auto"/>
            </w:tcBorders>
            <w:shd w:val="clear" w:color="auto" w:fill="auto"/>
            <w:noWrap/>
            <w:vAlign w:val="center"/>
            <w:hideMark/>
          </w:tcPr>
          <w:p w14:paraId="16411337" w14:textId="218BE092" w:rsidR="005F3049" w:rsidRPr="00A861E6" w:rsidRDefault="00A861E6" w:rsidP="00A861E6">
            <w:pPr>
              <w:keepNext/>
              <w:jc w:val="center"/>
              <w:rPr>
                <w:rFonts w:ascii="Arial Narrow" w:hAnsi="Arial Narrow"/>
                <w:sz w:val="20"/>
                <w:szCs w:val="20"/>
                <w:vertAlign w:val="superscript"/>
              </w:rPr>
            </w:pPr>
            <w:r w:rsidRPr="00A861E6">
              <w:rPr>
                <w:rFonts w:ascii="Arial Narrow" w:hAnsi="Arial Narrow"/>
                <w:color w:val="000000"/>
                <w:sz w:val="20"/>
                <w:szCs w:val="20"/>
                <w:shd w:val="solid" w:color="000000" w:fill="000000"/>
                <w14:textFill>
                  <w14:solidFill>
                    <w14:srgbClr w14:val="000000">
                      <w14:alpha w14:val="100000"/>
                    </w14:srgbClr>
                  </w14:solidFill>
                </w14:textFill>
              </w:rPr>
              <w:t>|</w:t>
            </w:r>
            <w:r w:rsidR="007A1357" w:rsidRPr="007A1357">
              <w:rPr>
                <w:rFonts w:ascii="Arial Narrow" w:hAnsi="Arial Narrow"/>
                <w:sz w:val="20"/>
                <w:szCs w:val="20"/>
              </w:rPr>
              <w:t xml:space="preserve"> </w:t>
            </w:r>
            <w:r w:rsidR="007A1357" w:rsidRPr="007A1357">
              <w:rPr>
                <w:rFonts w:ascii="Arial Narrow" w:hAnsi="Arial Narrow"/>
                <w:sz w:val="20"/>
                <w:szCs w:val="20"/>
                <w:vertAlign w:val="superscript"/>
              </w:rPr>
              <w:t>1</w:t>
            </w:r>
          </w:p>
        </w:tc>
        <w:tc>
          <w:tcPr>
            <w:tcW w:w="1634" w:type="dxa"/>
            <w:tcBorders>
              <w:top w:val="nil"/>
              <w:left w:val="nil"/>
              <w:bottom w:val="single" w:sz="4" w:space="0" w:color="auto"/>
              <w:right w:val="single" w:sz="4" w:space="0" w:color="auto"/>
            </w:tcBorders>
            <w:shd w:val="clear" w:color="auto" w:fill="auto"/>
            <w:noWrap/>
            <w:vAlign w:val="center"/>
            <w:hideMark/>
          </w:tcPr>
          <w:p w14:paraId="598AD0E3" w14:textId="367EF3F0" w:rsidR="005F3049" w:rsidRPr="007A1357" w:rsidRDefault="00A861E6" w:rsidP="00A861E6">
            <w:pPr>
              <w:keepNext/>
              <w:jc w:val="center"/>
              <w:rPr>
                <w:rFonts w:ascii="Arial Narrow" w:hAnsi="Arial Narrow"/>
                <w:sz w:val="20"/>
                <w:szCs w:val="20"/>
              </w:rPr>
            </w:pPr>
            <w:r w:rsidRPr="00A861E6">
              <w:rPr>
                <w:rFonts w:ascii="Arial Narrow" w:hAnsi="Arial Narrow"/>
                <w:color w:val="000000"/>
                <w:sz w:val="20"/>
                <w:szCs w:val="20"/>
                <w:shd w:val="solid" w:color="000000" w:fill="000000"/>
                <w14:textFill>
                  <w14:solidFill>
                    <w14:srgbClr w14:val="000000">
                      <w14:alpha w14:val="100000"/>
                    </w14:srgbClr>
                  </w14:solidFill>
                </w14:textFill>
              </w:rPr>
              <w:t>|</w:t>
            </w:r>
            <w:r w:rsidR="007A1357" w:rsidRPr="007A1357">
              <w:rPr>
                <w:rFonts w:ascii="Arial Narrow" w:hAnsi="Arial Narrow"/>
                <w:sz w:val="20"/>
                <w:szCs w:val="20"/>
              </w:rPr>
              <w:t xml:space="preserve"> </w:t>
            </w:r>
            <w:r w:rsidR="007A1357" w:rsidRPr="007A1357">
              <w:rPr>
                <w:rFonts w:ascii="Arial Narrow" w:hAnsi="Arial Narrow"/>
                <w:sz w:val="20"/>
                <w:szCs w:val="20"/>
                <w:vertAlign w:val="superscript"/>
              </w:rPr>
              <w:t>1</w:t>
            </w:r>
          </w:p>
        </w:tc>
        <w:tc>
          <w:tcPr>
            <w:tcW w:w="1491" w:type="dxa"/>
            <w:tcBorders>
              <w:top w:val="nil"/>
              <w:left w:val="nil"/>
              <w:bottom w:val="single" w:sz="4" w:space="0" w:color="auto"/>
              <w:right w:val="single" w:sz="4" w:space="0" w:color="auto"/>
            </w:tcBorders>
            <w:shd w:val="clear" w:color="auto" w:fill="auto"/>
            <w:noWrap/>
            <w:vAlign w:val="center"/>
            <w:hideMark/>
          </w:tcPr>
          <w:p w14:paraId="3D7C7F3D" w14:textId="77777777" w:rsidR="005F3049" w:rsidRPr="007A1357" w:rsidRDefault="005F3049" w:rsidP="00A861E6">
            <w:pPr>
              <w:keepNext/>
              <w:jc w:val="center"/>
              <w:rPr>
                <w:rFonts w:ascii="Arial Narrow" w:hAnsi="Arial Narrow"/>
                <w:sz w:val="20"/>
                <w:szCs w:val="20"/>
              </w:rPr>
            </w:pPr>
            <w:r w:rsidRPr="007A1357">
              <w:rPr>
                <w:rFonts w:ascii="Arial Narrow" w:hAnsi="Arial Narrow"/>
                <w:sz w:val="20"/>
                <w:szCs w:val="20"/>
              </w:rPr>
              <w:t>+72%</w:t>
            </w:r>
          </w:p>
        </w:tc>
      </w:tr>
      <w:tr w:rsidR="005F3049" w:rsidRPr="00223831" w14:paraId="68BD210C" w14:textId="77777777" w:rsidTr="00A861E6">
        <w:trPr>
          <w:trHeight w:val="227"/>
        </w:trPr>
        <w:tc>
          <w:tcPr>
            <w:tcW w:w="4591" w:type="dxa"/>
            <w:tcBorders>
              <w:top w:val="nil"/>
              <w:left w:val="single" w:sz="4" w:space="0" w:color="auto"/>
              <w:bottom w:val="single" w:sz="4" w:space="0" w:color="auto"/>
              <w:right w:val="single" w:sz="4" w:space="0" w:color="auto"/>
            </w:tcBorders>
            <w:shd w:val="clear" w:color="auto" w:fill="auto"/>
            <w:noWrap/>
            <w:vAlign w:val="center"/>
            <w:hideMark/>
          </w:tcPr>
          <w:p w14:paraId="26523968" w14:textId="77777777" w:rsidR="005F3049" w:rsidRPr="007A1357" w:rsidRDefault="005F3049" w:rsidP="00A861E6">
            <w:pPr>
              <w:keepNext/>
              <w:jc w:val="left"/>
              <w:rPr>
                <w:rFonts w:ascii="Arial Narrow" w:hAnsi="Arial Narrow"/>
                <w:sz w:val="20"/>
                <w:szCs w:val="20"/>
              </w:rPr>
            </w:pPr>
            <w:r w:rsidRPr="007A1357">
              <w:rPr>
                <w:rFonts w:ascii="Arial Narrow" w:hAnsi="Arial Narrow"/>
                <w:sz w:val="20"/>
                <w:szCs w:val="20"/>
              </w:rPr>
              <w:t>Patients - continuing treatment</w:t>
            </w:r>
          </w:p>
        </w:tc>
        <w:tc>
          <w:tcPr>
            <w:tcW w:w="1634" w:type="dxa"/>
            <w:tcBorders>
              <w:top w:val="nil"/>
              <w:left w:val="nil"/>
              <w:bottom w:val="single" w:sz="4" w:space="0" w:color="auto"/>
              <w:right w:val="single" w:sz="4" w:space="0" w:color="auto"/>
            </w:tcBorders>
            <w:shd w:val="clear" w:color="auto" w:fill="auto"/>
            <w:noWrap/>
            <w:vAlign w:val="center"/>
            <w:hideMark/>
          </w:tcPr>
          <w:p w14:paraId="3B712106" w14:textId="2959EEE3" w:rsidR="005F3049" w:rsidRPr="007A1357" w:rsidRDefault="00A861E6" w:rsidP="00A861E6">
            <w:pPr>
              <w:keepNext/>
              <w:jc w:val="center"/>
              <w:rPr>
                <w:rFonts w:ascii="Arial Narrow" w:hAnsi="Arial Narrow"/>
                <w:sz w:val="20"/>
                <w:szCs w:val="20"/>
              </w:rPr>
            </w:pPr>
            <w:r w:rsidRPr="00A861E6">
              <w:rPr>
                <w:rFonts w:ascii="Arial Narrow" w:hAnsi="Arial Narrow"/>
                <w:color w:val="000000"/>
                <w:sz w:val="20"/>
                <w:szCs w:val="20"/>
                <w:shd w:val="solid" w:color="000000" w:fill="000000"/>
                <w14:textFill>
                  <w14:solidFill>
                    <w14:srgbClr w14:val="000000">
                      <w14:alpha w14:val="100000"/>
                    </w14:srgbClr>
                  </w14:solidFill>
                </w14:textFill>
              </w:rPr>
              <w:t>|</w:t>
            </w:r>
            <w:r w:rsidR="007A1357" w:rsidRPr="007A1357">
              <w:rPr>
                <w:rFonts w:ascii="Arial Narrow" w:hAnsi="Arial Narrow"/>
                <w:sz w:val="20"/>
                <w:szCs w:val="20"/>
              </w:rPr>
              <w:t xml:space="preserve"> </w:t>
            </w:r>
            <w:r w:rsidR="007A1357" w:rsidRPr="007A1357">
              <w:rPr>
                <w:rFonts w:ascii="Arial Narrow" w:hAnsi="Arial Narrow"/>
                <w:sz w:val="20"/>
                <w:szCs w:val="20"/>
                <w:vertAlign w:val="superscript"/>
              </w:rPr>
              <w:t>1</w:t>
            </w:r>
          </w:p>
        </w:tc>
        <w:tc>
          <w:tcPr>
            <w:tcW w:w="1634" w:type="dxa"/>
            <w:tcBorders>
              <w:top w:val="nil"/>
              <w:left w:val="nil"/>
              <w:bottom w:val="single" w:sz="4" w:space="0" w:color="auto"/>
              <w:right w:val="single" w:sz="4" w:space="0" w:color="auto"/>
            </w:tcBorders>
            <w:shd w:val="clear" w:color="auto" w:fill="auto"/>
            <w:noWrap/>
            <w:vAlign w:val="center"/>
            <w:hideMark/>
          </w:tcPr>
          <w:p w14:paraId="7E0CBFA3" w14:textId="6A6BDAE3" w:rsidR="005F3049" w:rsidRPr="007A1357" w:rsidRDefault="00A861E6" w:rsidP="00A861E6">
            <w:pPr>
              <w:keepNext/>
              <w:jc w:val="center"/>
              <w:rPr>
                <w:rFonts w:ascii="Arial Narrow" w:hAnsi="Arial Narrow"/>
                <w:sz w:val="20"/>
                <w:szCs w:val="20"/>
              </w:rPr>
            </w:pPr>
            <w:r w:rsidRPr="00A861E6">
              <w:rPr>
                <w:rFonts w:ascii="Arial Narrow" w:hAnsi="Arial Narrow"/>
                <w:color w:val="000000"/>
                <w:sz w:val="20"/>
                <w:szCs w:val="20"/>
                <w:shd w:val="solid" w:color="000000" w:fill="000000"/>
                <w14:textFill>
                  <w14:solidFill>
                    <w14:srgbClr w14:val="000000">
                      <w14:alpha w14:val="100000"/>
                    </w14:srgbClr>
                  </w14:solidFill>
                </w14:textFill>
              </w:rPr>
              <w:t>|</w:t>
            </w:r>
            <w:r w:rsidR="007A1357" w:rsidRPr="007A1357">
              <w:rPr>
                <w:rFonts w:ascii="Arial Narrow" w:hAnsi="Arial Narrow"/>
                <w:sz w:val="20"/>
                <w:szCs w:val="20"/>
              </w:rPr>
              <w:t xml:space="preserve"> </w:t>
            </w:r>
            <w:r w:rsidR="007A1357" w:rsidRPr="007A1357">
              <w:rPr>
                <w:rFonts w:ascii="Arial Narrow" w:hAnsi="Arial Narrow"/>
                <w:sz w:val="20"/>
                <w:szCs w:val="20"/>
                <w:vertAlign w:val="superscript"/>
              </w:rPr>
              <w:t>1</w:t>
            </w:r>
          </w:p>
        </w:tc>
        <w:tc>
          <w:tcPr>
            <w:tcW w:w="1491" w:type="dxa"/>
            <w:tcBorders>
              <w:top w:val="nil"/>
              <w:left w:val="nil"/>
              <w:bottom w:val="single" w:sz="4" w:space="0" w:color="auto"/>
              <w:right w:val="single" w:sz="4" w:space="0" w:color="auto"/>
            </w:tcBorders>
            <w:shd w:val="clear" w:color="auto" w:fill="auto"/>
            <w:noWrap/>
            <w:vAlign w:val="center"/>
            <w:hideMark/>
          </w:tcPr>
          <w:p w14:paraId="4A20D5F6" w14:textId="77777777" w:rsidR="005F3049" w:rsidRPr="007A1357" w:rsidRDefault="005F3049" w:rsidP="00A861E6">
            <w:pPr>
              <w:keepNext/>
              <w:jc w:val="center"/>
              <w:rPr>
                <w:rFonts w:ascii="Arial Narrow" w:hAnsi="Arial Narrow"/>
                <w:sz w:val="20"/>
                <w:szCs w:val="20"/>
              </w:rPr>
            </w:pPr>
            <w:r w:rsidRPr="007A1357">
              <w:rPr>
                <w:rFonts w:ascii="Arial Narrow" w:hAnsi="Arial Narrow"/>
                <w:sz w:val="20"/>
                <w:szCs w:val="20"/>
              </w:rPr>
              <w:t>-14%</w:t>
            </w:r>
          </w:p>
        </w:tc>
      </w:tr>
      <w:tr w:rsidR="005F3049" w:rsidRPr="00223831" w14:paraId="7A5B2107" w14:textId="77777777" w:rsidTr="00A861E6">
        <w:trPr>
          <w:trHeight w:val="227"/>
        </w:trPr>
        <w:tc>
          <w:tcPr>
            <w:tcW w:w="4591" w:type="dxa"/>
            <w:tcBorders>
              <w:top w:val="nil"/>
              <w:left w:val="single" w:sz="4" w:space="0" w:color="auto"/>
              <w:bottom w:val="single" w:sz="4" w:space="0" w:color="auto"/>
              <w:right w:val="single" w:sz="4" w:space="0" w:color="auto"/>
            </w:tcBorders>
            <w:shd w:val="clear" w:color="auto" w:fill="auto"/>
            <w:noWrap/>
            <w:vAlign w:val="center"/>
            <w:hideMark/>
          </w:tcPr>
          <w:p w14:paraId="3AA9ABAA" w14:textId="77777777" w:rsidR="005F3049" w:rsidRPr="007A1357" w:rsidRDefault="005F3049" w:rsidP="00A861E6">
            <w:pPr>
              <w:keepNext/>
              <w:jc w:val="left"/>
              <w:rPr>
                <w:rFonts w:ascii="Arial Narrow" w:hAnsi="Arial Narrow"/>
                <w:sz w:val="20"/>
                <w:szCs w:val="20"/>
              </w:rPr>
            </w:pPr>
            <w:r w:rsidRPr="007A1357">
              <w:rPr>
                <w:rFonts w:ascii="Arial Narrow" w:hAnsi="Arial Narrow"/>
                <w:sz w:val="20"/>
                <w:szCs w:val="20"/>
              </w:rPr>
              <w:t>Patients - grandfather treatment</w:t>
            </w:r>
          </w:p>
        </w:tc>
        <w:tc>
          <w:tcPr>
            <w:tcW w:w="1634" w:type="dxa"/>
            <w:tcBorders>
              <w:top w:val="nil"/>
              <w:left w:val="nil"/>
              <w:bottom w:val="single" w:sz="4" w:space="0" w:color="auto"/>
              <w:right w:val="single" w:sz="4" w:space="0" w:color="auto"/>
            </w:tcBorders>
            <w:shd w:val="clear" w:color="auto" w:fill="auto"/>
            <w:noWrap/>
            <w:vAlign w:val="center"/>
            <w:hideMark/>
          </w:tcPr>
          <w:p w14:paraId="1A2B7E97" w14:textId="6B8B5D4B" w:rsidR="005F3049" w:rsidRPr="007A1357" w:rsidRDefault="00A861E6" w:rsidP="00A861E6">
            <w:pPr>
              <w:keepNext/>
              <w:jc w:val="center"/>
              <w:rPr>
                <w:rFonts w:ascii="Arial Narrow" w:hAnsi="Arial Narrow"/>
                <w:sz w:val="20"/>
                <w:szCs w:val="20"/>
              </w:rPr>
            </w:pPr>
            <w:r w:rsidRPr="00A861E6">
              <w:rPr>
                <w:rFonts w:ascii="Arial Narrow" w:hAnsi="Arial Narrow"/>
                <w:color w:val="000000"/>
                <w:sz w:val="20"/>
                <w:szCs w:val="20"/>
                <w:shd w:val="solid" w:color="000000" w:fill="000000"/>
                <w14:textFill>
                  <w14:solidFill>
                    <w14:srgbClr w14:val="000000">
                      <w14:alpha w14:val="100000"/>
                    </w14:srgbClr>
                  </w14:solidFill>
                </w14:textFill>
              </w:rPr>
              <w:t>|</w:t>
            </w:r>
            <w:r w:rsidR="007A1357" w:rsidRPr="007A1357">
              <w:rPr>
                <w:rFonts w:ascii="Arial Narrow" w:hAnsi="Arial Narrow"/>
                <w:sz w:val="20"/>
                <w:szCs w:val="20"/>
              </w:rPr>
              <w:t xml:space="preserve"> </w:t>
            </w:r>
            <w:r w:rsidR="007A1357" w:rsidRPr="007A1357">
              <w:rPr>
                <w:rFonts w:ascii="Arial Narrow" w:hAnsi="Arial Narrow"/>
                <w:sz w:val="20"/>
                <w:szCs w:val="20"/>
                <w:vertAlign w:val="superscript"/>
              </w:rPr>
              <w:t>2</w:t>
            </w:r>
          </w:p>
        </w:tc>
        <w:tc>
          <w:tcPr>
            <w:tcW w:w="1634" w:type="dxa"/>
            <w:tcBorders>
              <w:top w:val="nil"/>
              <w:left w:val="nil"/>
              <w:bottom w:val="single" w:sz="4" w:space="0" w:color="auto"/>
              <w:right w:val="single" w:sz="4" w:space="0" w:color="auto"/>
            </w:tcBorders>
            <w:shd w:val="clear" w:color="auto" w:fill="auto"/>
            <w:noWrap/>
            <w:vAlign w:val="center"/>
            <w:hideMark/>
          </w:tcPr>
          <w:p w14:paraId="11A41491" w14:textId="3AF7B9F7" w:rsidR="005F3049" w:rsidRPr="007A1357" w:rsidRDefault="00A861E6" w:rsidP="00A861E6">
            <w:pPr>
              <w:keepNext/>
              <w:jc w:val="center"/>
              <w:rPr>
                <w:rFonts w:ascii="Arial Narrow" w:hAnsi="Arial Narrow"/>
                <w:sz w:val="20"/>
                <w:szCs w:val="20"/>
              </w:rPr>
            </w:pPr>
            <w:r w:rsidRPr="00A861E6">
              <w:rPr>
                <w:rFonts w:ascii="Arial Narrow" w:hAnsi="Arial Narrow"/>
                <w:color w:val="000000"/>
                <w:sz w:val="20"/>
                <w:szCs w:val="20"/>
                <w:shd w:val="solid" w:color="000000" w:fill="000000"/>
                <w14:textFill>
                  <w14:solidFill>
                    <w14:srgbClr w14:val="000000">
                      <w14:alpha w14:val="100000"/>
                    </w14:srgbClr>
                  </w14:solidFill>
                </w14:textFill>
              </w:rPr>
              <w:t>|</w:t>
            </w:r>
            <w:r w:rsidR="007A1357" w:rsidRPr="007A1357">
              <w:rPr>
                <w:rFonts w:ascii="Arial Narrow" w:hAnsi="Arial Narrow"/>
                <w:sz w:val="20"/>
                <w:szCs w:val="20"/>
              </w:rPr>
              <w:t xml:space="preserve"> </w:t>
            </w:r>
            <w:r w:rsidR="007A1357" w:rsidRPr="007A1357">
              <w:rPr>
                <w:rFonts w:ascii="Arial Narrow" w:hAnsi="Arial Narrow"/>
                <w:sz w:val="20"/>
                <w:szCs w:val="20"/>
                <w:vertAlign w:val="superscript"/>
              </w:rPr>
              <w:t>2</w:t>
            </w:r>
          </w:p>
        </w:tc>
        <w:tc>
          <w:tcPr>
            <w:tcW w:w="1491" w:type="dxa"/>
            <w:tcBorders>
              <w:top w:val="nil"/>
              <w:left w:val="nil"/>
              <w:bottom w:val="single" w:sz="4" w:space="0" w:color="auto"/>
              <w:right w:val="single" w:sz="4" w:space="0" w:color="auto"/>
            </w:tcBorders>
            <w:shd w:val="clear" w:color="auto" w:fill="auto"/>
            <w:noWrap/>
            <w:vAlign w:val="center"/>
            <w:hideMark/>
          </w:tcPr>
          <w:p w14:paraId="5EB5AA82" w14:textId="77777777" w:rsidR="005F3049" w:rsidRPr="007A1357" w:rsidRDefault="005F3049" w:rsidP="00A861E6">
            <w:pPr>
              <w:keepNext/>
              <w:jc w:val="center"/>
              <w:rPr>
                <w:rFonts w:ascii="Arial Narrow" w:hAnsi="Arial Narrow"/>
                <w:sz w:val="20"/>
                <w:szCs w:val="20"/>
              </w:rPr>
            </w:pPr>
            <w:r w:rsidRPr="007A1357">
              <w:rPr>
                <w:rFonts w:ascii="Arial Narrow" w:hAnsi="Arial Narrow"/>
                <w:sz w:val="20"/>
                <w:szCs w:val="20"/>
              </w:rPr>
              <w:t>n.a.</w:t>
            </w:r>
          </w:p>
        </w:tc>
      </w:tr>
      <w:tr w:rsidR="005F3049" w:rsidRPr="00223831" w14:paraId="27A19E3F" w14:textId="77777777" w:rsidTr="00A861E6">
        <w:trPr>
          <w:trHeight w:val="227"/>
        </w:trPr>
        <w:tc>
          <w:tcPr>
            <w:tcW w:w="4591" w:type="dxa"/>
            <w:tcBorders>
              <w:top w:val="nil"/>
              <w:left w:val="nil"/>
              <w:bottom w:val="nil"/>
              <w:right w:val="nil"/>
            </w:tcBorders>
            <w:shd w:val="clear" w:color="auto" w:fill="auto"/>
            <w:noWrap/>
            <w:vAlign w:val="center"/>
            <w:hideMark/>
          </w:tcPr>
          <w:p w14:paraId="150F07A6" w14:textId="77777777" w:rsidR="005F3049" w:rsidRPr="007A1357" w:rsidRDefault="005F3049" w:rsidP="00A861E6">
            <w:pPr>
              <w:keepNext/>
              <w:jc w:val="left"/>
              <w:rPr>
                <w:rFonts w:ascii="Arial Narrow" w:hAnsi="Arial Narrow"/>
                <w:sz w:val="20"/>
                <w:szCs w:val="20"/>
              </w:rPr>
            </w:pPr>
          </w:p>
        </w:tc>
        <w:tc>
          <w:tcPr>
            <w:tcW w:w="1634" w:type="dxa"/>
            <w:tcBorders>
              <w:top w:val="nil"/>
              <w:left w:val="nil"/>
              <w:bottom w:val="nil"/>
              <w:right w:val="nil"/>
            </w:tcBorders>
            <w:shd w:val="clear" w:color="auto" w:fill="auto"/>
            <w:noWrap/>
            <w:vAlign w:val="center"/>
            <w:hideMark/>
          </w:tcPr>
          <w:p w14:paraId="7CA539C0" w14:textId="77777777" w:rsidR="005F3049" w:rsidRPr="007A1357" w:rsidRDefault="005F3049" w:rsidP="00A861E6">
            <w:pPr>
              <w:keepNext/>
              <w:jc w:val="center"/>
              <w:rPr>
                <w:rFonts w:ascii="Arial Narrow" w:hAnsi="Arial Narrow"/>
                <w:sz w:val="20"/>
                <w:szCs w:val="20"/>
              </w:rPr>
            </w:pPr>
          </w:p>
        </w:tc>
        <w:tc>
          <w:tcPr>
            <w:tcW w:w="1634" w:type="dxa"/>
            <w:tcBorders>
              <w:top w:val="nil"/>
              <w:left w:val="nil"/>
              <w:bottom w:val="nil"/>
              <w:right w:val="nil"/>
            </w:tcBorders>
            <w:shd w:val="clear" w:color="auto" w:fill="auto"/>
            <w:noWrap/>
            <w:vAlign w:val="center"/>
            <w:hideMark/>
          </w:tcPr>
          <w:p w14:paraId="69A581C5" w14:textId="77777777" w:rsidR="005F3049" w:rsidRPr="007A1357" w:rsidRDefault="005F3049" w:rsidP="00A861E6">
            <w:pPr>
              <w:keepNext/>
              <w:jc w:val="center"/>
              <w:rPr>
                <w:rFonts w:ascii="Arial Narrow" w:hAnsi="Arial Narrow"/>
                <w:sz w:val="20"/>
                <w:szCs w:val="20"/>
              </w:rPr>
            </w:pPr>
          </w:p>
        </w:tc>
        <w:tc>
          <w:tcPr>
            <w:tcW w:w="1491" w:type="dxa"/>
            <w:tcBorders>
              <w:top w:val="nil"/>
              <w:left w:val="nil"/>
              <w:bottom w:val="nil"/>
              <w:right w:val="nil"/>
            </w:tcBorders>
            <w:shd w:val="clear" w:color="auto" w:fill="auto"/>
            <w:noWrap/>
            <w:vAlign w:val="center"/>
            <w:hideMark/>
          </w:tcPr>
          <w:p w14:paraId="0D7048B2" w14:textId="77777777" w:rsidR="005F3049" w:rsidRPr="007A1357" w:rsidRDefault="005F3049" w:rsidP="00A861E6">
            <w:pPr>
              <w:keepNext/>
              <w:jc w:val="center"/>
              <w:rPr>
                <w:rFonts w:ascii="Arial Narrow" w:hAnsi="Arial Narrow"/>
                <w:sz w:val="20"/>
                <w:szCs w:val="20"/>
              </w:rPr>
            </w:pPr>
          </w:p>
        </w:tc>
      </w:tr>
      <w:tr w:rsidR="005F3049" w:rsidRPr="00223831" w14:paraId="483087BC" w14:textId="77777777" w:rsidTr="00A861E6">
        <w:trPr>
          <w:trHeight w:val="227"/>
        </w:trPr>
        <w:tc>
          <w:tcPr>
            <w:tcW w:w="4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09898" w14:textId="77777777" w:rsidR="005F3049" w:rsidRPr="007A1357" w:rsidRDefault="005F3049" w:rsidP="00A861E6">
            <w:pPr>
              <w:keepNext/>
              <w:jc w:val="left"/>
              <w:rPr>
                <w:rFonts w:ascii="Arial Narrow" w:hAnsi="Arial Narrow"/>
                <w:sz w:val="20"/>
                <w:szCs w:val="20"/>
              </w:rPr>
            </w:pPr>
            <w:r w:rsidRPr="007A1357">
              <w:rPr>
                <w:rFonts w:ascii="Arial Narrow" w:hAnsi="Arial Narrow"/>
                <w:sz w:val="20"/>
                <w:szCs w:val="20"/>
              </w:rPr>
              <w:t>Prescriptions - initial treatment</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0F2B0AE3" w14:textId="55456A43" w:rsidR="005F3049" w:rsidRPr="007A1357" w:rsidRDefault="00A861E6" w:rsidP="00A861E6">
            <w:pPr>
              <w:keepNext/>
              <w:jc w:val="center"/>
              <w:rPr>
                <w:rFonts w:ascii="Arial Narrow" w:hAnsi="Arial Narrow"/>
                <w:sz w:val="20"/>
                <w:szCs w:val="20"/>
              </w:rPr>
            </w:pPr>
            <w:r w:rsidRPr="00A861E6">
              <w:rPr>
                <w:rFonts w:ascii="Arial Narrow" w:hAnsi="Arial Narrow"/>
                <w:color w:val="000000"/>
                <w:sz w:val="20"/>
                <w:szCs w:val="20"/>
                <w:shd w:val="solid" w:color="000000" w:fill="000000"/>
                <w14:textFill>
                  <w14:solidFill>
                    <w14:srgbClr w14:val="000000">
                      <w14:alpha w14:val="100000"/>
                    </w14:srgbClr>
                  </w14:solidFill>
                </w14:textFill>
              </w:rPr>
              <w:t>|</w:t>
            </w:r>
            <w:r w:rsidR="007A1357" w:rsidRPr="007A1357">
              <w:rPr>
                <w:rFonts w:ascii="Arial Narrow" w:hAnsi="Arial Narrow"/>
                <w:sz w:val="20"/>
                <w:szCs w:val="20"/>
              </w:rPr>
              <w:t xml:space="preserve"> </w:t>
            </w:r>
            <w:r w:rsidR="007A1357" w:rsidRPr="007A1357">
              <w:rPr>
                <w:rFonts w:ascii="Arial Narrow" w:hAnsi="Arial Narrow"/>
                <w:sz w:val="20"/>
                <w:szCs w:val="20"/>
                <w:vertAlign w:val="superscript"/>
              </w:rPr>
              <w:t>1</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014D7020" w14:textId="08FBD22A" w:rsidR="005F3049" w:rsidRPr="007A1357" w:rsidRDefault="00A861E6" w:rsidP="00A861E6">
            <w:pPr>
              <w:keepNext/>
              <w:jc w:val="center"/>
              <w:rPr>
                <w:rFonts w:ascii="Arial Narrow" w:hAnsi="Arial Narrow"/>
                <w:sz w:val="20"/>
                <w:szCs w:val="20"/>
              </w:rPr>
            </w:pPr>
            <w:r w:rsidRPr="00A861E6">
              <w:rPr>
                <w:rFonts w:ascii="Arial Narrow" w:hAnsi="Arial Narrow"/>
                <w:color w:val="000000"/>
                <w:sz w:val="20"/>
                <w:szCs w:val="20"/>
                <w:shd w:val="solid" w:color="000000" w:fill="000000"/>
                <w14:textFill>
                  <w14:solidFill>
                    <w14:srgbClr w14:val="000000">
                      <w14:alpha w14:val="100000"/>
                    </w14:srgbClr>
                  </w14:solidFill>
                </w14:textFill>
              </w:rPr>
              <w:t>|</w:t>
            </w:r>
            <w:r w:rsidR="007A1357" w:rsidRPr="007A1357">
              <w:rPr>
                <w:rFonts w:ascii="Arial Narrow" w:hAnsi="Arial Narrow"/>
                <w:sz w:val="20"/>
                <w:szCs w:val="20"/>
              </w:rPr>
              <w:t xml:space="preserve"> </w:t>
            </w:r>
            <w:r w:rsidR="007A1357" w:rsidRPr="007A1357">
              <w:rPr>
                <w:rFonts w:ascii="Arial Narrow" w:hAnsi="Arial Narrow"/>
                <w:sz w:val="20"/>
                <w:szCs w:val="20"/>
                <w:vertAlign w:val="superscript"/>
              </w:rPr>
              <w:t>1</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14:paraId="12D31DF2" w14:textId="77777777" w:rsidR="005F3049" w:rsidRPr="007A1357" w:rsidRDefault="005F3049" w:rsidP="00A861E6">
            <w:pPr>
              <w:keepNext/>
              <w:jc w:val="center"/>
              <w:rPr>
                <w:rFonts w:ascii="Arial Narrow" w:hAnsi="Arial Narrow"/>
                <w:sz w:val="20"/>
                <w:szCs w:val="20"/>
              </w:rPr>
            </w:pPr>
            <w:r w:rsidRPr="007A1357">
              <w:rPr>
                <w:rFonts w:ascii="Arial Narrow" w:hAnsi="Arial Narrow"/>
                <w:sz w:val="20"/>
                <w:szCs w:val="20"/>
              </w:rPr>
              <w:t>+36%</w:t>
            </w:r>
          </w:p>
        </w:tc>
      </w:tr>
      <w:tr w:rsidR="005F3049" w:rsidRPr="00223831" w14:paraId="6774D974" w14:textId="77777777" w:rsidTr="00A861E6">
        <w:trPr>
          <w:trHeight w:val="227"/>
        </w:trPr>
        <w:tc>
          <w:tcPr>
            <w:tcW w:w="4591" w:type="dxa"/>
            <w:tcBorders>
              <w:top w:val="nil"/>
              <w:left w:val="single" w:sz="4" w:space="0" w:color="auto"/>
              <w:bottom w:val="single" w:sz="4" w:space="0" w:color="auto"/>
              <w:right w:val="single" w:sz="4" w:space="0" w:color="auto"/>
            </w:tcBorders>
            <w:shd w:val="clear" w:color="auto" w:fill="auto"/>
            <w:noWrap/>
            <w:vAlign w:val="center"/>
            <w:hideMark/>
          </w:tcPr>
          <w:p w14:paraId="08D40CD5" w14:textId="77777777" w:rsidR="005F3049" w:rsidRPr="007A1357" w:rsidRDefault="005F3049" w:rsidP="00A861E6">
            <w:pPr>
              <w:keepNext/>
              <w:jc w:val="left"/>
              <w:rPr>
                <w:rFonts w:ascii="Arial Narrow" w:hAnsi="Arial Narrow"/>
                <w:sz w:val="20"/>
                <w:szCs w:val="20"/>
              </w:rPr>
            </w:pPr>
            <w:r w:rsidRPr="007A1357">
              <w:rPr>
                <w:rFonts w:ascii="Arial Narrow" w:hAnsi="Arial Narrow"/>
                <w:sz w:val="20"/>
                <w:szCs w:val="20"/>
              </w:rPr>
              <w:t>Prescriptions - continuing treatment</w:t>
            </w:r>
          </w:p>
        </w:tc>
        <w:tc>
          <w:tcPr>
            <w:tcW w:w="1634" w:type="dxa"/>
            <w:tcBorders>
              <w:top w:val="nil"/>
              <w:left w:val="nil"/>
              <w:bottom w:val="single" w:sz="4" w:space="0" w:color="auto"/>
              <w:right w:val="single" w:sz="4" w:space="0" w:color="auto"/>
            </w:tcBorders>
            <w:shd w:val="clear" w:color="auto" w:fill="auto"/>
            <w:noWrap/>
            <w:vAlign w:val="center"/>
            <w:hideMark/>
          </w:tcPr>
          <w:p w14:paraId="49FCF4C9" w14:textId="0E113869" w:rsidR="005F3049" w:rsidRPr="007A1357" w:rsidRDefault="00A861E6" w:rsidP="00A861E6">
            <w:pPr>
              <w:keepNext/>
              <w:jc w:val="center"/>
              <w:rPr>
                <w:rFonts w:ascii="Arial Narrow" w:hAnsi="Arial Narrow"/>
                <w:sz w:val="20"/>
                <w:szCs w:val="20"/>
              </w:rPr>
            </w:pPr>
            <w:r w:rsidRPr="00A861E6">
              <w:rPr>
                <w:rFonts w:ascii="Arial Narrow" w:hAnsi="Arial Narrow"/>
                <w:color w:val="000000"/>
                <w:sz w:val="20"/>
                <w:szCs w:val="20"/>
                <w:shd w:val="solid" w:color="000000" w:fill="000000"/>
                <w14:textFill>
                  <w14:solidFill>
                    <w14:srgbClr w14:val="000000">
                      <w14:alpha w14:val="100000"/>
                    </w14:srgbClr>
                  </w14:solidFill>
                </w14:textFill>
              </w:rPr>
              <w:t>|</w:t>
            </w:r>
            <w:r w:rsidR="007A1357" w:rsidRPr="007A1357">
              <w:rPr>
                <w:rFonts w:ascii="Arial Narrow" w:hAnsi="Arial Narrow"/>
                <w:sz w:val="20"/>
                <w:szCs w:val="20"/>
              </w:rPr>
              <w:t xml:space="preserve"> </w:t>
            </w:r>
            <w:r w:rsidR="007A1357" w:rsidRPr="007A1357">
              <w:rPr>
                <w:rFonts w:ascii="Arial Narrow" w:hAnsi="Arial Narrow"/>
                <w:sz w:val="20"/>
                <w:szCs w:val="20"/>
                <w:vertAlign w:val="superscript"/>
              </w:rPr>
              <w:t>3</w:t>
            </w:r>
          </w:p>
        </w:tc>
        <w:tc>
          <w:tcPr>
            <w:tcW w:w="1634" w:type="dxa"/>
            <w:tcBorders>
              <w:top w:val="nil"/>
              <w:left w:val="nil"/>
              <w:bottom w:val="single" w:sz="4" w:space="0" w:color="auto"/>
              <w:right w:val="single" w:sz="4" w:space="0" w:color="auto"/>
            </w:tcBorders>
            <w:shd w:val="clear" w:color="auto" w:fill="auto"/>
            <w:noWrap/>
            <w:vAlign w:val="center"/>
            <w:hideMark/>
          </w:tcPr>
          <w:p w14:paraId="08479FB6" w14:textId="186CC6E0" w:rsidR="005F3049" w:rsidRPr="007A1357" w:rsidRDefault="00A861E6" w:rsidP="00A861E6">
            <w:pPr>
              <w:keepNext/>
              <w:jc w:val="center"/>
              <w:rPr>
                <w:rFonts w:ascii="Arial Narrow" w:hAnsi="Arial Narrow"/>
                <w:sz w:val="20"/>
                <w:szCs w:val="20"/>
              </w:rPr>
            </w:pPr>
            <w:r w:rsidRPr="00A861E6">
              <w:rPr>
                <w:rFonts w:ascii="Arial Narrow" w:hAnsi="Arial Narrow"/>
                <w:color w:val="000000"/>
                <w:sz w:val="20"/>
                <w:szCs w:val="20"/>
                <w:shd w:val="solid" w:color="000000" w:fill="000000"/>
                <w14:textFill>
                  <w14:solidFill>
                    <w14:srgbClr w14:val="000000">
                      <w14:alpha w14:val="100000"/>
                    </w14:srgbClr>
                  </w14:solidFill>
                </w14:textFill>
              </w:rPr>
              <w:t>|</w:t>
            </w:r>
            <w:r w:rsidR="007A1357" w:rsidRPr="007A1357">
              <w:rPr>
                <w:rFonts w:ascii="Arial Narrow" w:hAnsi="Arial Narrow"/>
                <w:sz w:val="20"/>
                <w:szCs w:val="20"/>
              </w:rPr>
              <w:t xml:space="preserve"> </w:t>
            </w:r>
            <w:r w:rsidR="007A1357" w:rsidRPr="007A1357">
              <w:rPr>
                <w:rFonts w:ascii="Arial Narrow" w:hAnsi="Arial Narrow"/>
                <w:sz w:val="20"/>
                <w:szCs w:val="20"/>
                <w:vertAlign w:val="superscript"/>
              </w:rPr>
              <w:t>1</w:t>
            </w:r>
          </w:p>
        </w:tc>
        <w:tc>
          <w:tcPr>
            <w:tcW w:w="1491" w:type="dxa"/>
            <w:tcBorders>
              <w:top w:val="nil"/>
              <w:left w:val="nil"/>
              <w:bottom w:val="single" w:sz="4" w:space="0" w:color="auto"/>
              <w:right w:val="single" w:sz="4" w:space="0" w:color="auto"/>
            </w:tcBorders>
            <w:shd w:val="clear" w:color="auto" w:fill="auto"/>
            <w:noWrap/>
            <w:vAlign w:val="center"/>
            <w:hideMark/>
          </w:tcPr>
          <w:p w14:paraId="3EC6B0AE" w14:textId="77777777" w:rsidR="005F3049" w:rsidRPr="007A1357" w:rsidRDefault="005F3049" w:rsidP="00A861E6">
            <w:pPr>
              <w:keepNext/>
              <w:jc w:val="center"/>
              <w:rPr>
                <w:rFonts w:ascii="Arial Narrow" w:hAnsi="Arial Narrow"/>
                <w:sz w:val="20"/>
                <w:szCs w:val="20"/>
              </w:rPr>
            </w:pPr>
            <w:r w:rsidRPr="007A1357">
              <w:rPr>
                <w:rFonts w:ascii="Arial Narrow" w:hAnsi="Arial Narrow"/>
                <w:sz w:val="20"/>
                <w:szCs w:val="20"/>
              </w:rPr>
              <w:t>-75%</w:t>
            </w:r>
          </w:p>
        </w:tc>
      </w:tr>
      <w:tr w:rsidR="005F3049" w:rsidRPr="00223831" w14:paraId="6F8B9A87" w14:textId="77777777" w:rsidTr="00A861E6">
        <w:trPr>
          <w:trHeight w:val="227"/>
        </w:trPr>
        <w:tc>
          <w:tcPr>
            <w:tcW w:w="4591" w:type="dxa"/>
            <w:tcBorders>
              <w:top w:val="nil"/>
              <w:left w:val="single" w:sz="4" w:space="0" w:color="auto"/>
              <w:bottom w:val="single" w:sz="4" w:space="0" w:color="auto"/>
              <w:right w:val="single" w:sz="4" w:space="0" w:color="auto"/>
            </w:tcBorders>
            <w:shd w:val="clear" w:color="auto" w:fill="auto"/>
            <w:noWrap/>
            <w:vAlign w:val="center"/>
            <w:hideMark/>
          </w:tcPr>
          <w:p w14:paraId="08C7139B" w14:textId="77777777" w:rsidR="005F3049" w:rsidRPr="007A1357" w:rsidRDefault="005F3049" w:rsidP="00A861E6">
            <w:pPr>
              <w:keepNext/>
              <w:jc w:val="left"/>
              <w:rPr>
                <w:rFonts w:ascii="Arial Narrow" w:hAnsi="Arial Narrow"/>
                <w:sz w:val="20"/>
                <w:szCs w:val="20"/>
              </w:rPr>
            </w:pPr>
            <w:r w:rsidRPr="007A1357">
              <w:rPr>
                <w:rFonts w:ascii="Arial Narrow" w:hAnsi="Arial Narrow"/>
                <w:sz w:val="20"/>
                <w:szCs w:val="20"/>
              </w:rPr>
              <w:t>Prescriptions - grandfather treatment</w:t>
            </w:r>
          </w:p>
        </w:tc>
        <w:tc>
          <w:tcPr>
            <w:tcW w:w="1634" w:type="dxa"/>
            <w:tcBorders>
              <w:top w:val="nil"/>
              <w:left w:val="nil"/>
              <w:bottom w:val="single" w:sz="4" w:space="0" w:color="auto"/>
              <w:right w:val="single" w:sz="4" w:space="0" w:color="auto"/>
            </w:tcBorders>
            <w:shd w:val="clear" w:color="auto" w:fill="auto"/>
            <w:noWrap/>
            <w:vAlign w:val="center"/>
            <w:hideMark/>
          </w:tcPr>
          <w:p w14:paraId="5847DA54" w14:textId="19DBB559" w:rsidR="005F3049" w:rsidRPr="007A1357" w:rsidRDefault="00A861E6" w:rsidP="00A861E6">
            <w:pPr>
              <w:keepNext/>
              <w:jc w:val="center"/>
              <w:rPr>
                <w:rFonts w:ascii="Arial Narrow" w:hAnsi="Arial Narrow"/>
                <w:sz w:val="20"/>
                <w:szCs w:val="20"/>
              </w:rPr>
            </w:pPr>
            <w:r w:rsidRPr="00A861E6">
              <w:rPr>
                <w:rFonts w:ascii="Arial Narrow" w:hAnsi="Arial Narrow"/>
                <w:color w:val="000000"/>
                <w:sz w:val="20"/>
                <w:szCs w:val="20"/>
                <w:shd w:val="solid" w:color="000000" w:fill="000000"/>
                <w14:textFill>
                  <w14:solidFill>
                    <w14:srgbClr w14:val="000000">
                      <w14:alpha w14:val="100000"/>
                    </w14:srgbClr>
                  </w14:solidFill>
                </w14:textFill>
              </w:rPr>
              <w:t>|</w:t>
            </w:r>
            <w:r w:rsidR="007A1357" w:rsidRPr="007A1357">
              <w:rPr>
                <w:rFonts w:ascii="Arial Narrow" w:hAnsi="Arial Narrow"/>
                <w:sz w:val="20"/>
                <w:szCs w:val="20"/>
              </w:rPr>
              <w:t xml:space="preserve"> </w:t>
            </w:r>
            <w:r w:rsidR="007A1357" w:rsidRPr="007A1357">
              <w:rPr>
                <w:rFonts w:ascii="Arial Narrow" w:hAnsi="Arial Narrow"/>
                <w:sz w:val="20"/>
                <w:szCs w:val="20"/>
                <w:vertAlign w:val="superscript"/>
              </w:rPr>
              <w:t>2</w:t>
            </w:r>
          </w:p>
        </w:tc>
        <w:tc>
          <w:tcPr>
            <w:tcW w:w="1634" w:type="dxa"/>
            <w:tcBorders>
              <w:top w:val="nil"/>
              <w:left w:val="nil"/>
              <w:bottom w:val="single" w:sz="4" w:space="0" w:color="auto"/>
              <w:right w:val="single" w:sz="4" w:space="0" w:color="auto"/>
            </w:tcBorders>
            <w:shd w:val="clear" w:color="auto" w:fill="auto"/>
            <w:noWrap/>
            <w:vAlign w:val="center"/>
            <w:hideMark/>
          </w:tcPr>
          <w:p w14:paraId="578FAB1F" w14:textId="7E32800B" w:rsidR="005F3049" w:rsidRPr="007A1357" w:rsidRDefault="00A861E6" w:rsidP="00A861E6">
            <w:pPr>
              <w:keepNext/>
              <w:jc w:val="center"/>
              <w:rPr>
                <w:rFonts w:ascii="Arial Narrow" w:hAnsi="Arial Narrow"/>
                <w:sz w:val="20"/>
                <w:szCs w:val="20"/>
              </w:rPr>
            </w:pPr>
            <w:r w:rsidRPr="00A861E6">
              <w:rPr>
                <w:rFonts w:ascii="Arial Narrow" w:hAnsi="Arial Narrow"/>
                <w:color w:val="000000"/>
                <w:sz w:val="20"/>
                <w:szCs w:val="20"/>
                <w:shd w:val="solid" w:color="000000" w:fill="000000"/>
                <w14:textFill>
                  <w14:solidFill>
                    <w14:srgbClr w14:val="000000">
                      <w14:alpha w14:val="100000"/>
                    </w14:srgbClr>
                  </w14:solidFill>
                </w14:textFill>
              </w:rPr>
              <w:t>|</w:t>
            </w:r>
            <w:r w:rsidR="007A1357" w:rsidRPr="007A1357">
              <w:rPr>
                <w:rFonts w:ascii="Arial Narrow" w:hAnsi="Arial Narrow"/>
                <w:sz w:val="20"/>
                <w:szCs w:val="20"/>
              </w:rPr>
              <w:t xml:space="preserve"> </w:t>
            </w:r>
            <w:r w:rsidR="007A1357" w:rsidRPr="007A1357">
              <w:rPr>
                <w:rFonts w:ascii="Arial Narrow" w:hAnsi="Arial Narrow"/>
                <w:sz w:val="20"/>
                <w:szCs w:val="20"/>
                <w:vertAlign w:val="superscript"/>
              </w:rPr>
              <w:t>1</w:t>
            </w:r>
          </w:p>
        </w:tc>
        <w:tc>
          <w:tcPr>
            <w:tcW w:w="1491" w:type="dxa"/>
            <w:tcBorders>
              <w:top w:val="nil"/>
              <w:left w:val="nil"/>
              <w:bottom w:val="single" w:sz="4" w:space="0" w:color="auto"/>
              <w:right w:val="single" w:sz="4" w:space="0" w:color="auto"/>
            </w:tcBorders>
            <w:shd w:val="clear" w:color="auto" w:fill="auto"/>
            <w:noWrap/>
            <w:vAlign w:val="center"/>
            <w:hideMark/>
          </w:tcPr>
          <w:p w14:paraId="3DA49F9A" w14:textId="77777777" w:rsidR="005F3049" w:rsidRPr="007A1357" w:rsidRDefault="005F3049" w:rsidP="00A861E6">
            <w:pPr>
              <w:keepNext/>
              <w:jc w:val="center"/>
              <w:rPr>
                <w:rFonts w:ascii="Arial Narrow" w:hAnsi="Arial Narrow"/>
                <w:sz w:val="20"/>
                <w:szCs w:val="20"/>
              </w:rPr>
            </w:pPr>
            <w:r w:rsidRPr="007A1357">
              <w:rPr>
                <w:rFonts w:ascii="Arial Narrow" w:hAnsi="Arial Narrow"/>
                <w:sz w:val="20"/>
                <w:szCs w:val="20"/>
              </w:rPr>
              <w:t>n.a.</w:t>
            </w:r>
          </w:p>
        </w:tc>
      </w:tr>
      <w:tr w:rsidR="005F3049" w:rsidRPr="00223831" w14:paraId="6DC8EC26" w14:textId="77777777" w:rsidTr="00A861E6">
        <w:trPr>
          <w:trHeight w:val="227"/>
        </w:trPr>
        <w:tc>
          <w:tcPr>
            <w:tcW w:w="4591" w:type="dxa"/>
            <w:tcBorders>
              <w:top w:val="nil"/>
              <w:left w:val="single" w:sz="4" w:space="0" w:color="auto"/>
              <w:bottom w:val="single" w:sz="4" w:space="0" w:color="auto"/>
              <w:right w:val="single" w:sz="4" w:space="0" w:color="auto"/>
            </w:tcBorders>
            <w:shd w:val="clear" w:color="auto" w:fill="auto"/>
            <w:noWrap/>
            <w:vAlign w:val="center"/>
            <w:hideMark/>
          </w:tcPr>
          <w:p w14:paraId="59B4271A" w14:textId="77777777" w:rsidR="005F3049" w:rsidRPr="007A1357" w:rsidRDefault="005F3049" w:rsidP="00A861E6">
            <w:pPr>
              <w:keepNext/>
              <w:jc w:val="left"/>
              <w:rPr>
                <w:rFonts w:ascii="Arial Narrow" w:hAnsi="Arial Narrow"/>
                <w:sz w:val="20"/>
                <w:szCs w:val="20"/>
              </w:rPr>
            </w:pPr>
            <w:r w:rsidRPr="007A1357">
              <w:rPr>
                <w:rFonts w:ascii="Arial Narrow" w:hAnsi="Arial Narrow"/>
                <w:sz w:val="20"/>
                <w:szCs w:val="20"/>
              </w:rPr>
              <w:t>Prescriptions - total</w:t>
            </w:r>
          </w:p>
        </w:tc>
        <w:tc>
          <w:tcPr>
            <w:tcW w:w="1634" w:type="dxa"/>
            <w:tcBorders>
              <w:top w:val="nil"/>
              <w:left w:val="nil"/>
              <w:bottom w:val="single" w:sz="4" w:space="0" w:color="auto"/>
              <w:right w:val="single" w:sz="4" w:space="0" w:color="auto"/>
            </w:tcBorders>
            <w:shd w:val="clear" w:color="auto" w:fill="auto"/>
            <w:noWrap/>
            <w:vAlign w:val="center"/>
            <w:hideMark/>
          </w:tcPr>
          <w:p w14:paraId="6F4CE63C" w14:textId="1006AF3A" w:rsidR="005F3049" w:rsidRPr="007A1357" w:rsidRDefault="00A861E6" w:rsidP="00A861E6">
            <w:pPr>
              <w:keepNext/>
              <w:jc w:val="center"/>
              <w:rPr>
                <w:rFonts w:ascii="Arial Narrow" w:hAnsi="Arial Narrow"/>
                <w:sz w:val="20"/>
                <w:szCs w:val="20"/>
              </w:rPr>
            </w:pPr>
            <w:r w:rsidRPr="00A861E6">
              <w:rPr>
                <w:rFonts w:ascii="Arial Narrow" w:hAnsi="Arial Narrow"/>
                <w:color w:val="000000"/>
                <w:sz w:val="20"/>
                <w:szCs w:val="20"/>
                <w:shd w:val="solid" w:color="000000" w:fill="000000"/>
                <w14:textFill>
                  <w14:solidFill>
                    <w14:srgbClr w14:val="000000">
                      <w14:alpha w14:val="100000"/>
                    </w14:srgbClr>
                  </w14:solidFill>
                </w14:textFill>
              </w:rPr>
              <w:t>|</w:t>
            </w:r>
            <w:r w:rsidR="007A1357" w:rsidRPr="007A1357">
              <w:rPr>
                <w:rFonts w:ascii="Arial Narrow" w:hAnsi="Arial Narrow"/>
                <w:sz w:val="20"/>
                <w:szCs w:val="20"/>
              </w:rPr>
              <w:t xml:space="preserve"> </w:t>
            </w:r>
            <w:r w:rsidR="007A1357" w:rsidRPr="007A1357">
              <w:rPr>
                <w:rFonts w:ascii="Arial Narrow" w:hAnsi="Arial Narrow"/>
                <w:sz w:val="20"/>
                <w:szCs w:val="20"/>
                <w:vertAlign w:val="superscript"/>
              </w:rPr>
              <w:t>3</w:t>
            </w:r>
          </w:p>
        </w:tc>
        <w:tc>
          <w:tcPr>
            <w:tcW w:w="1634" w:type="dxa"/>
            <w:tcBorders>
              <w:top w:val="nil"/>
              <w:left w:val="nil"/>
              <w:bottom w:val="single" w:sz="4" w:space="0" w:color="auto"/>
              <w:right w:val="single" w:sz="4" w:space="0" w:color="auto"/>
            </w:tcBorders>
            <w:shd w:val="clear" w:color="auto" w:fill="auto"/>
            <w:noWrap/>
            <w:vAlign w:val="center"/>
            <w:hideMark/>
          </w:tcPr>
          <w:p w14:paraId="74298B2C" w14:textId="516EF9F3" w:rsidR="005F3049" w:rsidRPr="007A1357" w:rsidRDefault="00A861E6" w:rsidP="00A861E6">
            <w:pPr>
              <w:keepNext/>
              <w:jc w:val="center"/>
              <w:rPr>
                <w:rFonts w:ascii="Arial Narrow" w:hAnsi="Arial Narrow"/>
                <w:sz w:val="20"/>
                <w:szCs w:val="20"/>
              </w:rPr>
            </w:pPr>
            <w:r w:rsidRPr="00A861E6">
              <w:rPr>
                <w:rFonts w:ascii="Arial Narrow" w:hAnsi="Arial Narrow"/>
                <w:color w:val="000000"/>
                <w:sz w:val="20"/>
                <w:szCs w:val="20"/>
                <w:shd w:val="solid" w:color="000000" w:fill="000000"/>
                <w14:textFill>
                  <w14:solidFill>
                    <w14:srgbClr w14:val="000000">
                      <w14:alpha w14:val="100000"/>
                    </w14:srgbClr>
                  </w14:solidFill>
                </w14:textFill>
              </w:rPr>
              <w:t>|</w:t>
            </w:r>
            <w:r w:rsidR="007A1357" w:rsidRPr="007A1357">
              <w:rPr>
                <w:rFonts w:ascii="Arial Narrow" w:hAnsi="Arial Narrow"/>
                <w:sz w:val="20"/>
                <w:szCs w:val="20"/>
              </w:rPr>
              <w:t xml:space="preserve"> </w:t>
            </w:r>
            <w:r w:rsidR="007A1357" w:rsidRPr="007A1357">
              <w:rPr>
                <w:rFonts w:ascii="Arial Narrow" w:hAnsi="Arial Narrow"/>
                <w:sz w:val="20"/>
                <w:szCs w:val="20"/>
                <w:vertAlign w:val="superscript"/>
              </w:rPr>
              <w:t>4</w:t>
            </w:r>
          </w:p>
        </w:tc>
        <w:tc>
          <w:tcPr>
            <w:tcW w:w="1491" w:type="dxa"/>
            <w:tcBorders>
              <w:top w:val="nil"/>
              <w:left w:val="nil"/>
              <w:bottom w:val="single" w:sz="4" w:space="0" w:color="auto"/>
              <w:right w:val="single" w:sz="4" w:space="0" w:color="auto"/>
            </w:tcBorders>
            <w:shd w:val="clear" w:color="auto" w:fill="auto"/>
            <w:noWrap/>
            <w:vAlign w:val="center"/>
            <w:hideMark/>
          </w:tcPr>
          <w:p w14:paraId="78CD0F17" w14:textId="70706C8D" w:rsidR="005F3049" w:rsidRPr="007A1357" w:rsidRDefault="00A861E6" w:rsidP="00A861E6">
            <w:pPr>
              <w:keepNext/>
              <w:jc w:val="center"/>
              <w:rPr>
                <w:rFonts w:ascii="Arial Narrow" w:hAnsi="Arial Narrow"/>
                <w:sz w:val="20"/>
                <w:szCs w:val="20"/>
              </w:rPr>
            </w:pPr>
            <w:r w:rsidRPr="00A861E6">
              <w:rPr>
                <w:rFonts w:ascii="Arial Narrow" w:hAnsi="Arial Narrow"/>
                <w:color w:val="000000"/>
                <w:sz w:val="20"/>
                <w:szCs w:val="20"/>
                <w:shd w:val="solid" w:color="000000" w:fill="000000"/>
                <w14:textFill>
                  <w14:solidFill>
                    <w14:srgbClr w14:val="000000">
                      <w14:alpha w14:val="100000"/>
                    </w14:srgbClr>
                  </w14:solidFill>
                </w14:textFill>
              </w:rPr>
              <w:t>|</w:t>
            </w:r>
            <w:r w:rsidR="005F3049" w:rsidRPr="007A1357">
              <w:rPr>
                <w:rFonts w:ascii="Arial Narrow" w:hAnsi="Arial Narrow"/>
                <w:sz w:val="20"/>
                <w:szCs w:val="20"/>
              </w:rPr>
              <w:t>%</w:t>
            </w:r>
          </w:p>
        </w:tc>
      </w:tr>
      <w:tr w:rsidR="005F3049" w:rsidRPr="00223831" w14:paraId="4C33A5BB" w14:textId="77777777" w:rsidTr="00A861E6">
        <w:trPr>
          <w:trHeight w:val="227"/>
        </w:trPr>
        <w:tc>
          <w:tcPr>
            <w:tcW w:w="4591" w:type="dxa"/>
            <w:tcBorders>
              <w:top w:val="nil"/>
              <w:left w:val="nil"/>
              <w:bottom w:val="nil"/>
              <w:right w:val="nil"/>
            </w:tcBorders>
            <w:shd w:val="clear" w:color="auto" w:fill="auto"/>
            <w:noWrap/>
            <w:vAlign w:val="center"/>
            <w:hideMark/>
          </w:tcPr>
          <w:p w14:paraId="50186551" w14:textId="77777777" w:rsidR="005F3049" w:rsidRPr="007A1357" w:rsidRDefault="005F3049" w:rsidP="00A861E6">
            <w:pPr>
              <w:keepNext/>
              <w:jc w:val="left"/>
              <w:rPr>
                <w:rFonts w:ascii="Arial Narrow" w:hAnsi="Arial Narrow"/>
                <w:sz w:val="20"/>
                <w:szCs w:val="20"/>
              </w:rPr>
            </w:pPr>
          </w:p>
        </w:tc>
        <w:tc>
          <w:tcPr>
            <w:tcW w:w="1634" w:type="dxa"/>
            <w:tcBorders>
              <w:top w:val="nil"/>
              <w:left w:val="nil"/>
              <w:bottom w:val="nil"/>
              <w:right w:val="nil"/>
            </w:tcBorders>
            <w:shd w:val="clear" w:color="auto" w:fill="auto"/>
            <w:noWrap/>
            <w:vAlign w:val="center"/>
            <w:hideMark/>
          </w:tcPr>
          <w:p w14:paraId="52F3A379" w14:textId="77777777" w:rsidR="005F3049" w:rsidRPr="007A1357" w:rsidRDefault="005F3049" w:rsidP="00A861E6">
            <w:pPr>
              <w:keepNext/>
              <w:jc w:val="center"/>
              <w:rPr>
                <w:rFonts w:ascii="Arial Narrow" w:hAnsi="Arial Narrow"/>
                <w:sz w:val="20"/>
                <w:szCs w:val="20"/>
              </w:rPr>
            </w:pPr>
          </w:p>
        </w:tc>
        <w:tc>
          <w:tcPr>
            <w:tcW w:w="1634" w:type="dxa"/>
            <w:tcBorders>
              <w:top w:val="nil"/>
              <w:left w:val="nil"/>
              <w:bottom w:val="nil"/>
              <w:right w:val="nil"/>
            </w:tcBorders>
            <w:shd w:val="clear" w:color="auto" w:fill="auto"/>
            <w:noWrap/>
            <w:vAlign w:val="center"/>
            <w:hideMark/>
          </w:tcPr>
          <w:p w14:paraId="67D34AFF" w14:textId="77777777" w:rsidR="005F3049" w:rsidRPr="007A1357" w:rsidRDefault="005F3049" w:rsidP="00A861E6">
            <w:pPr>
              <w:keepNext/>
              <w:jc w:val="center"/>
              <w:rPr>
                <w:rFonts w:ascii="Arial Narrow" w:hAnsi="Arial Narrow"/>
                <w:sz w:val="20"/>
                <w:szCs w:val="20"/>
              </w:rPr>
            </w:pPr>
          </w:p>
        </w:tc>
        <w:tc>
          <w:tcPr>
            <w:tcW w:w="1491" w:type="dxa"/>
            <w:tcBorders>
              <w:top w:val="nil"/>
              <w:left w:val="nil"/>
              <w:bottom w:val="nil"/>
              <w:right w:val="nil"/>
            </w:tcBorders>
            <w:shd w:val="clear" w:color="auto" w:fill="auto"/>
            <w:noWrap/>
            <w:vAlign w:val="center"/>
            <w:hideMark/>
          </w:tcPr>
          <w:p w14:paraId="2FF10403" w14:textId="77777777" w:rsidR="005F3049" w:rsidRPr="007A1357" w:rsidRDefault="005F3049" w:rsidP="00A861E6">
            <w:pPr>
              <w:keepNext/>
              <w:jc w:val="center"/>
              <w:rPr>
                <w:rFonts w:ascii="Arial Narrow" w:hAnsi="Arial Narrow"/>
                <w:sz w:val="20"/>
                <w:szCs w:val="20"/>
              </w:rPr>
            </w:pPr>
          </w:p>
        </w:tc>
      </w:tr>
      <w:tr w:rsidR="005F3049" w:rsidRPr="00223831" w14:paraId="2E444E16" w14:textId="77777777" w:rsidTr="00A861E6">
        <w:trPr>
          <w:trHeight w:val="227"/>
        </w:trPr>
        <w:tc>
          <w:tcPr>
            <w:tcW w:w="4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9CB13" w14:textId="77777777" w:rsidR="005F3049" w:rsidRPr="007A1357" w:rsidRDefault="005F3049" w:rsidP="00A861E6">
            <w:pPr>
              <w:keepNext/>
              <w:jc w:val="left"/>
              <w:rPr>
                <w:rFonts w:ascii="Arial Narrow" w:hAnsi="Arial Narrow"/>
                <w:sz w:val="20"/>
                <w:szCs w:val="20"/>
              </w:rPr>
            </w:pPr>
            <w:r w:rsidRPr="007A1357">
              <w:rPr>
                <w:rFonts w:ascii="Arial Narrow" w:hAnsi="Arial Narrow"/>
                <w:sz w:val="20"/>
                <w:szCs w:val="20"/>
              </w:rPr>
              <w:t>Government Expenditure - published</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19A0976F" w14:textId="1F547015" w:rsidR="005F3049" w:rsidRPr="007A1357" w:rsidRDefault="005F3049" w:rsidP="00A861E6">
            <w:pPr>
              <w:keepNext/>
              <w:jc w:val="center"/>
              <w:rPr>
                <w:rFonts w:ascii="Arial Narrow" w:hAnsi="Arial Narrow"/>
                <w:sz w:val="20"/>
                <w:szCs w:val="20"/>
              </w:rPr>
            </w:pPr>
            <w:r w:rsidRPr="007A1357">
              <w:rPr>
                <w:rFonts w:ascii="Arial Narrow" w:hAnsi="Arial Narrow"/>
                <w:sz w:val="20"/>
                <w:szCs w:val="20"/>
              </w:rPr>
              <w:t xml:space="preserve">$ </w:t>
            </w:r>
            <w:r w:rsidR="00A861E6" w:rsidRPr="00A861E6">
              <w:rPr>
                <w:rFonts w:ascii="Arial Narrow" w:hAnsi="Arial Narrow" w:hint="eastAsia"/>
                <w:color w:val="000000"/>
                <w:w w:val="15"/>
                <w:sz w:val="20"/>
                <w:szCs w:val="20"/>
                <w:shd w:val="solid" w:color="000000" w:fill="000000"/>
                <w:fitText w:val="59" w:id="-1167898110"/>
                <w14:textFill>
                  <w14:solidFill>
                    <w14:srgbClr w14:val="000000">
                      <w14:alpha w14:val="100000"/>
                    </w14:srgbClr>
                  </w14:solidFill>
                </w14:textFill>
              </w:rPr>
              <w:t xml:space="preserve">　</w:t>
            </w:r>
            <w:r w:rsidR="00A861E6" w:rsidRPr="00A861E6">
              <w:rPr>
                <w:rFonts w:ascii="Arial Narrow" w:hAnsi="Arial Narrow"/>
                <w:color w:val="000000"/>
                <w:w w:val="15"/>
                <w:sz w:val="20"/>
                <w:szCs w:val="20"/>
                <w:shd w:val="solid" w:color="000000" w:fill="000000"/>
                <w:fitText w:val="59" w:id="-1167898110"/>
                <w14:textFill>
                  <w14:solidFill>
                    <w14:srgbClr w14:val="000000">
                      <w14:alpha w14:val="100000"/>
                    </w14:srgbClr>
                  </w14:solidFill>
                </w14:textFill>
              </w:rPr>
              <w:t>|</w:t>
            </w:r>
            <w:r w:rsidR="00A861E6" w:rsidRPr="00A861E6">
              <w:rPr>
                <w:rFonts w:ascii="Arial Narrow" w:hAnsi="Arial Narrow" w:hint="eastAsia"/>
                <w:color w:val="000000"/>
                <w:spacing w:val="-14"/>
                <w:w w:val="15"/>
                <w:sz w:val="20"/>
                <w:szCs w:val="20"/>
                <w:shd w:val="solid" w:color="000000" w:fill="000000"/>
                <w:fitText w:val="59" w:id="-1167898110"/>
                <w14:textFill>
                  <w14:solidFill>
                    <w14:srgbClr w14:val="000000">
                      <w14:alpha w14:val="100000"/>
                    </w14:srgbClr>
                  </w14:solidFill>
                </w14:textFill>
              </w:rPr>
              <w:t xml:space="preserve">　</w:t>
            </w:r>
            <w:r w:rsidR="007A1357" w:rsidRPr="007A1357">
              <w:rPr>
                <w:rFonts w:ascii="Arial Narrow" w:hAnsi="Arial Narrow"/>
                <w:sz w:val="20"/>
                <w:szCs w:val="20"/>
              </w:rPr>
              <w:t xml:space="preserve"> </w:t>
            </w:r>
            <w:r w:rsidR="007A1357" w:rsidRPr="007A1357">
              <w:rPr>
                <w:rFonts w:ascii="Arial Narrow" w:hAnsi="Arial Narrow"/>
                <w:sz w:val="20"/>
                <w:szCs w:val="20"/>
                <w:vertAlign w:val="superscript"/>
              </w:rPr>
              <w:t>5</w:t>
            </w:r>
            <w:r w:rsidR="007A1357" w:rsidRPr="007A1357">
              <w:rPr>
                <w:rFonts w:ascii="Arial Narrow" w:hAnsi="Arial Narrow"/>
                <w:sz w:val="20"/>
                <w:szCs w:val="20"/>
              </w:rPr>
              <w:t xml:space="preserve"> </w:t>
            </w:r>
            <w:r w:rsidRPr="007A1357">
              <w:rPr>
                <w:rFonts w:ascii="Arial Narrow" w:hAnsi="Arial Narrow"/>
                <w:sz w:val="20"/>
                <w:szCs w:val="20"/>
              </w:rPr>
              <w:t>**</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40DE36CB" w14:textId="6FD518C5" w:rsidR="005F3049" w:rsidRPr="007A1357" w:rsidRDefault="005F3049" w:rsidP="00A861E6">
            <w:pPr>
              <w:keepNext/>
              <w:jc w:val="center"/>
              <w:rPr>
                <w:rFonts w:ascii="Arial Narrow" w:hAnsi="Arial Narrow"/>
                <w:sz w:val="20"/>
                <w:szCs w:val="20"/>
              </w:rPr>
            </w:pPr>
            <w:r w:rsidRPr="007A1357">
              <w:rPr>
                <w:rFonts w:ascii="Arial Narrow" w:hAnsi="Arial Narrow"/>
                <w:sz w:val="20"/>
                <w:szCs w:val="20"/>
              </w:rPr>
              <w:t xml:space="preserve">$ </w:t>
            </w:r>
            <w:r w:rsidR="00A861E6" w:rsidRPr="00A861E6">
              <w:rPr>
                <w:rFonts w:ascii="Arial Narrow" w:hAnsi="Arial Narrow"/>
                <w:color w:val="000000"/>
                <w:sz w:val="20"/>
                <w:szCs w:val="20"/>
                <w:shd w:val="solid" w:color="000000" w:fill="000000"/>
                <w14:textFill>
                  <w14:solidFill>
                    <w14:srgbClr w14:val="000000">
                      <w14:alpha w14:val="100000"/>
                    </w14:srgbClr>
                  </w14:solidFill>
                </w14:textFill>
              </w:rPr>
              <w:t>|</w:t>
            </w:r>
            <w:r w:rsidRPr="007A1357">
              <w:rPr>
                <w:rFonts w:ascii="Arial Narrow" w:hAnsi="Arial Narrow"/>
                <w:sz w:val="20"/>
                <w:szCs w:val="20"/>
              </w:rPr>
              <w:t xml:space="preserve"> </w:t>
            </w:r>
            <w:r w:rsidR="007A1357" w:rsidRPr="007A1357">
              <w:rPr>
                <w:rFonts w:ascii="Arial Narrow" w:hAnsi="Arial Narrow"/>
                <w:sz w:val="20"/>
                <w:szCs w:val="20"/>
              </w:rPr>
              <w:t xml:space="preserve"> </w:t>
            </w:r>
            <w:r w:rsidR="007A1357" w:rsidRPr="007A1357">
              <w:rPr>
                <w:rFonts w:ascii="Arial Narrow" w:hAnsi="Arial Narrow"/>
                <w:sz w:val="20"/>
                <w:szCs w:val="20"/>
                <w:vertAlign w:val="superscript"/>
              </w:rPr>
              <w:t>5</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14:paraId="27E8EFCD" w14:textId="7506E30B" w:rsidR="005F3049" w:rsidRPr="007A1357" w:rsidRDefault="00A861E6" w:rsidP="00A861E6">
            <w:pPr>
              <w:keepNext/>
              <w:jc w:val="center"/>
              <w:rPr>
                <w:rFonts w:ascii="Arial Narrow" w:hAnsi="Arial Narrow"/>
                <w:sz w:val="20"/>
                <w:szCs w:val="20"/>
              </w:rPr>
            </w:pPr>
            <w:r w:rsidRPr="00A861E6">
              <w:rPr>
                <w:rFonts w:ascii="Arial Narrow" w:hAnsi="Arial Narrow"/>
                <w:color w:val="000000"/>
                <w:sz w:val="20"/>
                <w:szCs w:val="20"/>
                <w:shd w:val="solid" w:color="000000" w:fill="000000"/>
                <w14:textFill>
                  <w14:solidFill>
                    <w14:srgbClr w14:val="000000">
                      <w14:alpha w14:val="100000"/>
                    </w14:srgbClr>
                  </w14:solidFill>
                </w14:textFill>
              </w:rPr>
              <w:t>|</w:t>
            </w:r>
            <w:r w:rsidR="005F3049" w:rsidRPr="007A1357">
              <w:rPr>
                <w:rFonts w:ascii="Arial Narrow" w:hAnsi="Arial Narrow"/>
                <w:sz w:val="20"/>
                <w:szCs w:val="20"/>
              </w:rPr>
              <w:t>%</w:t>
            </w:r>
          </w:p>
        </w:tc>
      </w:tr>
      <w:tr w:rsidR="005F3049" w:rsidRPr="00223831" w14:paraId="6D9F7B25" w14:textId="77777777" w:rsidTr="00A861E6">
        <w:trPr>
          <w:trHeight w:val="227"/>
        </w:trPr>
        <w:tc>
          <w:tcPr>
            <w:tcW w:w="4591" w:type="dxa"/>
            <w:tcBorders>
              <w:top w:val="nil"/>
              <w:left w:val="single" w:sz="4" w:space="0" w:color="auto"/>
              <w:bottom w:val="single" w:sz="4" w:space="0" w:color="auto"/>
              <w:right w:val="single" w:sz="4" w:space="0" w:color="auto"/>
            </w:tcBorders>
            <w:shd w:val="clear" w:color="auto" w:fill="auto"/>
            <w:noWrap/>
            <w:vAlign w:val="center"/>
            <w:hideMark/>
          </w:tcPr>
          <w:p w14:paraId="0D7467D4" w14:textId="77777777" w:rsidR="005F3049" w:rsidRPr="007A1357" w:rsidRDefault="005F3049" w:rsidP="00A861E6">
            <w:pPr>
              <w:keepNext/>
              <w:jc w:val="left"/>
              <w:rPr>
                <w:rFonts w:ascii="Arial Narrow" w:hAnsi="Arial Narrow"/>
                <w:sz w:val="20"/>
                <w:szCs w:val="20"/>
              </w:rPr>
            </w:pPr>
            <w:r w:rsidRPr="007A1357">
              <w:rPr>
                <w:rFonts w:ascii="Arial Narrow" w:hAnsi="Arial Narrow"/>
                <w:sz w:val="20"/>
                <w:szCs w:val="20"/>
              </w:rPr>
              <w:t>Government Expenditure - effective</w:t>
            </w:r>
          </w:p>
        </w:tc>
        <w:tc>
          <w:tcPr>
            <w:tcW w:w="1634" w:type="dxa"/>
            <w:tcBorders>
              <w:top w:val="nil"/>
              <w:left w:val="nil"/>
              <w:bottom w:val="single" w:sz="4" w:space="0" w:color="auto"/>
              <w:right w:val="single" w:sz="4" w:space="0" w:color="auto"/>
            </w:tcBorders>
            <w:shd w:val="clear" w:color="auto" w:fill="auto"/>
            <w:noWrap/>
            <w:vAlign w:val="center"/>
            <w:hideMark/>
          </w:tcPr>
          <w:p w14:paraId="45BFEE95" w14:textId="4AAFEDA2" w:rsidR="005F3049" w:rsidRPr="007A1357" w:rsidRDefault="005F3049" w:rsidP="00A861E6">
            <w:pPr>
              <w:keepNext/>
              <w:jc w:val="center"/>
              <w:rPr>
                <w:rFonts w:ascii="Arial Narrow" w:hAnsi="Arial Narrow"/>
                <w:sz w:val="20"/>
                <w:szCs w:val="20"/>
              </w:rPr>
            </w:pPr>
            <w:r w:rsidRPr="007A1357">
              <w:rPr>
                <w:rFonts w:ascii="Arial Narrow" w:hAnsi="Arial Narrow"/>
                <w:sz w:val="20"/>
                <w:szCs w:val="20"/>
              </w:rPr>
              <w:t xml:space="preserve">$ </w:t>
            </w:r>
            <w:r w:rsidR="00A861E6" w:rsidRPr="00A861E6">
              <w:rPr>
                <w:rFonts w:ascii="Arial Narrow" w:hAnsi="Arial Narrow"/>
                <w:color w:val="000000"/>
                <w:sz w:val="20"/>
                <w:szCs w:val="20"/>
                <w:shd w:val="solid" w:color="000000" w:fill="000000"/>
                <w14:textFill>
                  <w14:solidFill>
                    <w14:srgbClr w14:val="000000">
                      <w14:alpha w14:val="100000"/>
                    </w14:srgbClr>
                  </w14:solidFill>
                </w14:textFill>
              </w:rPr>
              <w:t>|</w:t>
            </w:r>
            <w:r w:rsidRPr="007A1357">
              <w:rPr>
                <w:rFonts w:ascii="Arial Narrow" w:hAnsi="Arial Narrow"/>
                <w:sz w:val="20"/>
                <w:szCs w:val="20"/>
              </w:rPr>
              <w:t xml:space="preserve"> </w:t>
            </w:r>
            <w:r w:rsidR="007A1357" w:rsidRPr="007A1357">
              <w:rPr>
                <w:rFonts w:ascii="Arial Narrow" w:hAnsi="Arial Narrow"/>
                <w:sz w:val="20"/>
                <w:szCs w:val="20"/>
              </w:rPr>
              <w:t xml:space="preserve"> </w:t>
            </w:r>
            <w:r w:rsidR="007A1357" w:rsidRPr="007A1357">
              <w:rPr>
                <w:rFonts w:ascii="Arial Narrow" w:hAnsi="Arial Narrow"/>
                <w:sz w:val="20"/>
                <w:szCs w:val="20"/>
                <w:vertAlign w:val="superscript"/>
              </w:rPr>
              <w:t>5</w:t>
            </w:r>
          </w:p>
        </w:tc>
        <w:tc>
          <w:tcPr>
            <w:tcW w:w="1634" w:type="dxa"/>
            <w:tcBorders>
              <w:top w:val="nil"/>
              <w:left w:val="nil"/>
              <w:bottom w:val="single" w:sz="4" w:space="0" w:color="auto"/>
              <w:right w:val="single" w:sz="4" w:space="0" w:color="auto"/>
            </w:tcBorders>
            <w:shd w:val="clear" w:color="auto" w:fill="auto"/>
            <w:noWrap/>
            <w:vAlign w:val="center"/>
            <w:hideMark/>
          </w:tcPr>
          <w:p w14:paraId="6F30974D" w14:textId="4CE059C6" w:rsidR="005F3049" w:rsidRPr="007A1357" w:rsidRDefault="005F3049" w:rsidP="00A861E6">
            <w:pPr>
              <w:keepNext/>
              <w:jc w:val="center"/>
              <w:rPr>
                <w:rFonts w:ascii="Arial Narrow" w:hAnsi="Arial Narrow"/>
                <w:sz w:val="20"/>
                <w:szCs w:val="20"/>
              </w:rPr>
            </w:pPr>
            <w:r w:rsidRPr="007A1357">
              <w:rPr>
                <w:rFonts w:ascii="Arial Narrow" w:hAnsi="Arial Narrow"/>
                <w:sz w:val="20"/>
                <w:szCs w:val="20"/>
              </w:rPr>
              <w:t xml:space="preserve">$ </w:t>
            </w:r>
            <w:r w:rsidR="00A861E6" w:rsidRPr="00A861E6">
              <w:rPr>
                <w:rFonts w:ascii="Arial Narrow" w:hAnsi="Arial Narrow" w:hint="eastAsia"/>
                <w:color w:val="000000"/>
                <w:w w:val="15"/>
                <w:sz w:val="20"/>
                <w:szCs w:val="20"/>
                <w:shd w:val="solid" w:color="000000" w:fill="000000"/>
                <w:fitText w:val="59" w:id="-1167898109"/>
                <w14:textFill>
                  <w14:solidFill>
                    <w14:srgbClr w14:val="000000">
                      <w14:alpha w14:val="100000"/>
                    </w14:srgbClr>
                  </w14:solidFill>
                </w14:textFill>
              </w:rPr>
              <w:t xml:space="preserve">　</w:t>
            </w:r>
            <w:r w:rsidR="00A861E6" w:rsidRPr="00A861E6">
              <w:rPr>
                <w:rFonts w:ascii="Arial Narrow" w:hAnsi="Arial Narrow"/>
                <w:color w:val="000000"/>
                <w:w w:val="15"/>
                <w:sz w:val="20"/>
                <w:szCs w:val="20"/>
                <w:shd w:val="solid" w:color="000000" w:fill="000000"/>
                <w:fitText w:val="59" w:id="-1167898109"/>
                <w14:textFill>
                  <w14:solidFill>
                    <w14:srgbClr w14:val="000000">
                      <w14:alpha w14:val="100000"/>
                    </w14:srgbClr>
                  </w14:solidFill>
                </w14:textFill>
              </w:rPr>
              <w:t>|</w:t>
            </w:r>
            <w:r w:rsidR="00A861E6" w:rsidRPr="00A861E6">
              <w:rPr>
                <w:rFonts w:ascii="Arial Narrow" w:hAnsi="Arial Narrow" w:hint="eastAsia"/>
                <w:color w:val="000000"/>
                <w:spacing w:val="-14"/>
                <w:w w:val="15"/>
                <w:sz w:val="20"/>
                <w:szCs w:val="20"/>
                <w:shd w:val="solid" w:color="000000" w:fill="000000"/>
                <w:fitText w:val="59" w:id="-1167898109"/>
                <w14:textFill>
                  <w14:solidFill>
                    <w14:srgbClr w14:val="000000">
                      <w14:alpha w14:val="100000"/>
                    </w14:srgbClr>
                  </w14:solidFill>
                </w14:textFill>
              </w:rPr>
              <w:t xml:space="preserve">　</w:t>
            </w:r>
            <w:r w:rsidR="007A1357" w:rsidRPr="007A1357">
              <w:rPr>
                <w:rFonts w:ascii="Arial Narrow" w:hAnsi="Arial Narrow"/>
                <w:sz w:val="20"/>
                <w:szCs w:val="20"/>
              </w:rPr>
              <w:t xml:space="preserve"> </w:t>
            </w:r>
            <w:r w:rsidR="007A1357" w:rsidRPr="007A1357">
              <w:rPr>
                <w:rFonts w:ascii="Arial Narrow" w:hAnsi="Arial Narrow"/>
                <w:sz w:val="20"/>
                <w:szCs w:val="20"/>
                <w:vertAlign w:val="superscript"/>
              </w:rPr>
              <w:t>5</w:t>
            </w:r>
            <w:r w:rsidR="007A1357" w:rsidRPr="007A1357">
              <w:rPr>
                <w:rFonts w:ascii="Arial Narrow" w:hAnsi="Arial Narrow"/>
                <w:sz w:val="20"/>
                <w:szCs w:val="20"/>
              </w:rPr>
              <w:t xml:space="preserve"> </w:t>
            </w:r>
            <w:r w:rsidRPr="007A1357">
              <w:rPr>
                <w:rFonts w:ascii="Arial Narrow" w:hAnsi="Arial Narrow"/>
                <w:sz w:val="20"/>
                <w:szCs w:val="20"/>
              </w:rPr>
              <w:t>**</w:t>
            </w:r>
          </w:p>
        </w:tc>
        <w:tc>
          <w:tcPr>
            <w:tcW w:w="1491" w:type="dxa"/>
            <w:tcBorders>
              <w:top w:val="nil"/>
              <w:left w:val="nil"/>
              <w:bottom w:val="single" w:sz="4" w:space="0" w:color="auto"/>
              <w:right w:val="single" w:sz="4" w:space="0" w:color="auto"/>
            </w:tcBorders>
            <w:shd w:val="clear" w:color="auto" w:fill="auto"/>
            <w:noWrap/>
            <w:vAlign w:val="center"/>
            <w:hideMark/>
          </w:tcPr>
          <w:p w14:paraId="3629689F" w14:textId="39A531EE" w:rsidR="005F3049" w:rsidRPr="007A1357" w:rsidRDefault="00A861E6" w:rsidP="00A861E6">
            <w:pPr>
              <w:keepNext/>
              <w:jc w:val="center"/>
              <w:rPr>
                <w:rFonts w:ascii="Arial Narrow" w:hAnsi="Arial Narrow"/>
                <w:sz w:val="20"/>
                <w:szCs w:val="20"/>
              </w:rPr>
            </w:pPr>
            <w:r w:rsidRPr="00A861E6">
              <w:rPr>
                <w:rFonts w:ascii="Arial Narrow" w:hAnsi="Arial Narrow"/>
                <w:color w:val="000000"/>
                <w:sz w:val="20"/>
                <w:szCs w:val="20"/>
                <w:shd w:val="solid" w:color="000000" w:fill="000000"/>
                <w14:textFill>
                  <w14:solidFill>
                    <w14:srgbClr w14:val="000000">
                      <w14:alpha w14:val="100000"/>
                    </w14:srgbClr>
                  </w14:solidFill>
                </w14:textFill>
              </w:rPr>
              <w:t>|</w:t>
            </w:r>
            <w:r w:rsidR="005F3049" w:rsidRPr="007A1357">
              <w:rPr>
                <w:rFonts w:ascii="Arial Narrow" w:hAnsi="Arial Narrow"/>
                <w:sz w:val="20"/>
                <w:szCs w:val="20"/>
              </w:rPr>
              <w:t>%</w:t>
            </w:r>
          </w:p>
        </w:tc>
      </w:tr>
    </w:tbl>
    <w:p w14:paraId="1A441D0D" w14:textId="77777777" w:rsidR="005F3049" w:rsidRPr="00D85CD0" w:rsidRDefault="005F3049" w:rsidP="00A861E6">
      <w:pPr>
        <w:keepNext/>
        <w:rPr>
          <w:rFonts w:ascii="Arial Narrow" w:hAnsi="Arial Narrow" w:cstheme="minorHAnsi"/>
          <w:sz w:val="18"/>
          <w:szCs w:val="18"/>
        </w:rPr>
      </w:pPr>
      <w:r w:rsidRPr="00D85CD0">
        <w:rPr>
          <w:rFonts w:ascii="Arial Narrow" w:hAnsi="Arial Narrow" w:cstheme="minorHAnsi"/>
          <w:sz w:val="18"/>
          <w:szCs w:val="18"/>
        </w:rPr>
        <w:t>* Actuals are based on 11 months of data (May 2022 to the end of March 2023) plus an extrapolated estimate of the 12th month (see Appendix A).</w:t>
      </w:r>
    </w:p>
    <w:p w14:paraId="421B30B2" w14:textId="77777777" w:rsidR="005F3049" w:rsidRPr="00D85CD0" w:rsidRDefault="005F3049" w:rsidP="00A861E6">
      <w:pPr>
        <w:keepNext/>
        <w:rPr>
          <w:rFonts w:ascii="Arial Narrow" w:hAnsi="Arial Narrow" w:cstheme="minorHAnsi"/>
          <w:sz w:val="18"/>
          <w:szCs w:val="18"/>
        </w:rPr>
      </w:pPr>
      <w:r w:rsidRPr="00D85CD0">
        <w:rPr>
          <w:rFonts w:ascii="Arial Narrow" w:hAnsi="Arial Narrow" w:cstheme="minorHAnsi"/>
          <w:sz w:val="18"/>
          <w:szCs w:val="18"/>
        </w:rPr>
        <w:t>**Estimated based on a ratio of published to effective expenditure of 1.43 in the March 2023 submission.</w:t>
      </w:r>
    </w:p>
    <w:p w14:paraId="2828069D" w14:textId="77777777" w:rsidR="005F3049" w:rsidRPr="00D85CD0" w:rsidRDefault="005F3049" w:rsidP="00A861E6">
      <w:pPr>
        <w:keepNext/>
        <w:rPr>
          <w:rFonts w:ascii="Arial Narrow" w:hAnsi="Arial Narrow" w:cstheme="minorHAnsi"/>
          <w:sz w:val="18"/>
          <w:szCs w:val="18"/>
        </w:rPr>
      </w:pPr>
      <w:r w:rsidRPr="00D85CD0">
        <w:rPr>
          <w:rFonts w:ascii="Arial Narrow" w:hAnsi="Arial Narrow" w:cstheme="minorHAnsi"/>
          <w:sz w:val="18"/>
          <w:szCs w:val="18"/>
        </w:rPr>
        <w:t>Note that “continuing treatment” includes both “First continuing treatment” and “Subsequent continuing treatment”.</w:t>
      </w:r>
    </w:p>
    <w:p w14:paraId="229288BB" w14:textId="513A25FD" w:rsidR="005F3049" w:rsidRDefault="005F3049" w:rsidP="00A861E6">
      <w:pPr>
        <w:keepNext/>
        <w:rPr>
          <w:rFonts w:ascii="Arial Narrow" w:hAnsi="Arial Narrow" w:cstheme="minorHAnsi"/>
          <w:sz w:val="18"/>
          <w:szCs w:val="18"/>
        </w:rPr>
      </w:pPr>
      <w:r w:rsidRPr="00D85CD0">
        <w:rPr>
          <w:rFonts w:ascii="Arial Narrow" w:hAnsi="Arial Narrow" w:cstheme="minorHAnsi"/>
          <w:sz w:val="18"/>
          <w:szCs w:val="18"/>
        </w:rPr>
        <w:t>EoE = eosinophilic oesophagitis</w:t>
      </w:r>
    </w:p>
    <w:p w14:paraId="32B5BFC7" w14:textId="77777777" w:rsidR="007A1357" w:rsidRPr="008D14E1" w:rsidRDefault="007A1357" w:rsidP="00A861E6">
      <w:pPr>
        <w:keepNext/>
        <w:rPr>
          <w:rFonts w:ascii="Arial Narrow" w:hAnsi="Arial Narrow" w:cs="Arial"/>
          <w:i/>
          <w:sz w:val="18"/>
          <w:szCs w:val="18"/>
        </w:rPr>
      </w:pPr>
      <w:r w:rsidRPr="008D14E1">
        <w:rPr>
          <w:rFonts w:ascii="Arial Narrow" w:hAnsi="Arial Narrow" w:cs="Arial"/>
          <w:i/>
          <w:sz w:val="18"/>
          <w:szCs w:val="18"/>
        </w:rPr>
        <w:t xml:space="preserve">The redacted values correspond to the following ranges: </w:t>
      </w:r>
    </w:p>
    <w:p w14:paraId="018B16A1" w14:textId="77777777" w:rsidR="007A1357" w:rsidRPr="008D14E1" w:rsidRDefault="007A1357" w:rsidP="00A861E6">
      <w:pPr>
        <w:keepNext/>
        <w:rPr>
          <w:rFonts w:ascii="Arial Narrow" w:hAnsi="Arial Narrow" w:cs="Arial"/>
          <w:i/>
          <w:sz w:val="18"/>
          <w:szCs w:val="18"/>
        </w:rPr>
      </w:pPr>
      <w:r w:rsidRPr="008D14E1">
        <w:rPr>
          <w:rFonts w:ascii="Arial Narrow" w:hAnsi="Arial Narrow" w:cs="Arial"/>
          <w:i/>
          <w:sz w:val="18"/>
          <w:szCs w:val="18"/>
          <w:vertAlign w:val="superscript"/>
        </w:rPr>
        <w:t>1</w:t>
      </w:r>
      <w:r w:rsidRPr="008D14E1">
        <w:rPr>
          <w:rFonts w:ascii="Arial Narrow" w:hAnsi="Arial Narrow" w:cs="Arial"/>
          <w:i/>
          <w:sz w:val="18"/>
          <w:szCs w:val="18"/>
        </w:rPr>
        <w:t xml:space="preserve"> 500 to &lt; 5,000</w:t>
      </w:r>
    </w:p>
    <w:p w14:paraId="4FEFD017" w14:textId="16F2E154" w:rsidR="007A1357" w:rsidRPr="008D14E1" w:rsidRDefault="007A1357" w:rsidP="00A861E6">
      <w:pPr>
        <w:keepNext/>
        <w:rPr>
          <w:rFonts w:ascii="Arial Narrow" w:hAnsi="Arial Narrow" w:cs="Arial"/>
          <w:i/>
          <w:sz w:val="18"/>
          <w:szCs w:val="18"/>
        </w:rPr>
      </w:pPr>
      <w:r w:rsidRPr="008D14E1">
        <w:rPr>
          <w:rFonts w:ascii="Arial Narrow" w:hAnsi="Arial Narrow" w:cs="Arial"/>
          <w:i/>
          <w:sz w:val="18"/>
          <w:szCs w:val="18"/>
          <w:vertAlign w:val="superscript"/>
        </w:rPr>
        <w:t>2</w:t>
      </w:r>
      <w:r w:rsidRPr="008D14E1">
        <w:rPr>
          <w:rFonts w:ascii="Arial Narrow" w:hAnsi="Arial Narrow" w:cs="Arial"/>
          <w:i/>
          <w:sz w:val="18"/>
          <w:szCs w:val="18"/>
        </w:rPr>
        <w:t xml:space="preserve"> </w:t>
      </w:r>
      <w:r>
        <w:rPr>
          <w:rFonts w:ascii="Arial Narrow" w:hAnsi="Arial Narrow" w:cs="Arial"/>
          <w:i/>
          <w:sz w:val="18"/>
          <w:szCs w:val="18"/>
        </w:rPr>
        <w:t>&lt; 500</w:t>
      </w:r>
    </w:p>
    <w:p w14:paraId="3E0EE5A3" w14:textId="77777777" w:rsidR="007A1357" w:rsidRDefault="007A1357" w:rsidP="00A861E6">
      <w:pPr>
        <w:keepNext/>
        <w:rPr>
          <w:rFonts w:ascii="Arial Narrow" w:hAnsi="Arial Narrow" w:cs="Arial"/>
          <w:i/>
          <w:sz w:val="18"/>
          <w:szCs w:val="18"/>
        </w:rPr>
      </w:pPr>
      <w:r w:rsidRPr="008D14E1">
        <w:rPr>
          <w:rFonts w:ascii="Arial Narrow" w:hAnsi="Arial Narrow" w:cs="Arial"/>
          <w:i/>
          <w:sz w:val="18"/>
          <w:szCs w:val="18"/>
          <w:vertAlign w:val="superscript"/>
        </w:rPr>
        <w:t>3</w:t>
      </w:r>
      <w:r w:rsidRPr="008D14E1">
        <w:rPr>
          <w:rFonts w:ascii="Arial Narrow" w:hAnsi="Arial Narrow" w:cs="Arial"/>
          <w:i/>
          <w:sz w:val="18"/>
          <w:szCs w:val="18"/>
        </w:rPr>
        <w:t xml:space="preserve"> 10,000 to &lt; 20,000</w:t>
      </w:r>
    </w:p>
    <w:p w14:paraId="5C8C7701" w14:textId="7E49D612" w:rsidR="007A1357" w:rsidRPr="008D14E1" w:rsidRDefault="007A1357" w:rsidP="00A861E6">
      <w:pPr>
        <w:keepNext/>
        <w:rPr>
          <w:rFonts w:ascii="Arial Narrow" w:hAnsi="Arial Narrow" w:cs="Arial"/>
          <w:i/>
          <w:sz w:val="18"/>
          <w:szCs w:val="18"/>
        </w:rPr>
      </w:pPr>
      <w:r w:rsidRPr="008D14E1">
        <w:rPr>
          <w:rFonts w:ascii="Arial Narrow" w:hAnsi="Arial Narrow" w:cs="Arial"/>
          <w:i/>
          <w:sz w:val="18"/>
          <w:szCs w:val="18"/>
          <w:vertAlign w:val="superscript"/>
        </w:rPr>
        <w:t>4</w:t>
      </w:r>
      <w:r w:rsidRPr="008D14E1">
        <w:rPr>
          <w:rFonts w:ascii="Arial Narrow" w:hAnsi="Arial Narrow" w:cs="Arial"/>
          <w:i/>
          <w:sz w:val="18"/>
          <w:szCs w:val="18"/>
        </w:rPr>
        <w:t xml:space="preserve"> 5,000 to &lt; 10,000</w:t>
      </w:r>
    </w:p>
    <w:p w14:paraId="3ED04156" w14:textId="2AF8432B" w:rsidR="007A1357" w:rsidRPr="00A861E6" w:rsidRDefault="007A1357" w:rsidP="007A1357">
      <w:pPr>
        <w:spacing w:after="120"/>
        <w:rPr>
          <w:rFonts w:ascii="Arial Narrow" w:hAnsi="Arial Narrow" w:cs="Arial"/>
          <w:i/>
          <w:sz w:val="18"/>
          <w:szCs w:val="18"/>
        </w:rPr>
      </w:pPr>
      <w:r w:rsidRPr="008D14E1">
        <w:rPr>
          <w:rFonts w:ascii="Arial Narrow" w:hAnsi="Arial Narrow" w:cs="Arial"/>
          <w:i/>
          <w:sz w:val="18"/>
          <w:szCs w:val="18"/>
          <w:vertAlign w:val="superscript"/>
        </w:rPr>
        <w:t>5</w:t>
      </w:r>
      <w:r w:rsidRPr="008D14E1">
        <w:rPr>
          <w:rFonts w:ascii="Arial Narrow" w:hAnsi="Arial Narrow" w:cs="Arial"/>
          <w:i/>
          <w:sz w:val="18"/>
          <w:szCs w:val="18"/>
        </w:rPr>
        <w:t xml:space="preserve"> $0 to &lt; $10 million</w:t>
      </w:r>
    </w:p>
    <w:p w14:paraId="6A9443A6" w14:textId="77777777" w:rsidR="005F3049" w:rsidRPr="00D85CD0" w:rsidRDefault="005F3049" w:rsidP="005F3049">
      <w:pPr>
        <w:pStyle w:val="3Bodytext"/>
        <w:jc w:val="both"/>
        <w:rPr>
          <w:rFonts w:cstheme="minorHAnsi"/>
        </w:rPr>
      </w:pPr>
      <w:r w:rsidRPr="00D85CD0">
        <w:t>The submission assumed two prescriptions per patient in the initial treatment phase. This is because initial treatment is 90 days and the PBS item for initial treatment (12994X) contains 90 x 1 mg tablets which are intended to last 45 days (one tablet in the morning and one in the evening). Therefore, two prescriptions (the original prescription and one repeat) are required.</w:t>
      </w:r>
    </w:p>
    <w:p w14:paraId="54F42FB7" w14:textId="77777777" w:rsidR="005F3049" w:rsidRPr="00D85CD0" w:rsidRDefault="005F3049" w:rsidP="005F3049">
      <w:pPr>
        <w:pStyle w:val="3Bodytext"/>
        <w:jc w:val="both"/>
      </w:pPr>
      <w:r w:rsidRPr="00D85CD0">
        <w:t xml:space="preserve">Table 4 shows that the number of initial treatment patients was 72% more than predicted and the number of continuing patients was 14% less than predicted. The prescriptions for initial treatment were only 36% more than expected. That is 1.6 prescriptions per patient instead of the predicted 2 prescriptions. </w:t>
      </w:r>
    </w:p>
    <w:p w14:paraId="36D75559" w14:textId="77777777" w:rsidR="005F3049" w:rsidRPr="00D85CD0" w:rsidRDefault="005F3049" w:rsidP="005F3049">
      <w:pPr>
        <w:pStyle w:val="3Bodytext"/>
        <w:jc w:val="both"/>
      </w:pPr>
      <w:r w:rsidRPr="00D85CD0">
        <w:t>This is partially due to early discontinuation (i.e. prior to their 2</w:t>
      </w:r>
      <w:r w:rsidRPr="00D85CD0">
        <w:rPr>
          <w:vertAlign w:val="superscript"/>
        </w:rPr>
        <w:t>nd</w:t>
      </w:r>
      <w:r w:rsidRPr="00D85CD0">
        <w:t xml:space="preserve"> prescription) and also the fact that not all initiating patients had the opportunity to have their 2</w:t>
      </w:r>
      <w:r w:rsidRPr="00D85CD0">
        <w:rPr>
          <w:vertAlign w:val="superscript"/>
        </w:rPr>
        <w:t>nd</w:t>
      </w:r>
      <w:r w:rsidRPr="00D85CD0">
        <w:t xml:space="preserve"> prescription filled in the period (i.e. they initiated in the last 45 days of the period). The PBAC noted this could also be due to patients only requiring 6 weeks of induction treatment, which is consistent with the recommended dose for Jorveza in the PI.</w:t>
      </w:r>
    </w:p>
    <w:p w14:paraId="7DF21750" w14:textId="1451C15F" w:rsidR="005F3049" w:rsidRPr="00D85CD0" w:rsidRDefault="005F3049" w:rsidP="005F3049">
      <w:pPr>
        <w:pStyle w:val="3Bodytext"/>
        <w:jc w:val="both"/>
      </w:pPr>
      <w:r w:rsidRPr="00D85CD0">
        <w:t xml:space="preserve">This is likely to be an underestimate as it takes time (i.e. 90 days) for patients to progress from initial to continuing treatment, so patients that initiated in the last </w:t>
      </w:r>
      <w:r w:rsidR="00EE3B3A" w:rsidRPr="00D85CD0">
        <w:t>3</w:t>
      </w:r>
      <w:r w:rsidR="00EE3B3A">
        <w:t> </w:t>
      </w:r>
      <w:r w:rsidRPr="00D85CD0">
        <w:t>months of the period will not have had the opportunity to show continuation.</w:t>
      </w:r>
    </w:p>
    <w:p w14:paraId="2F07A216" w14:textId="189ACD08" w:rsidR="005F3049" w:rsidRPr="00D85CD0" w:rsidRDefault="005F3049" w:rsidP="005F3049">
      <w:pPr>
        <w:pStyle w:val="3Bodytext"/>
        <w:jc w:val="both"/>
      </w:pPr>
      <w:r w:rsidRPr="00D85CD0">
        <w:t xml:space="preserve">Overall, prescription utilisation was </w:t>
      </w:r>
      <w:r w:rsidR="00A861E6" w:rsidRPr="00A861E6">
        <w:rPr>
          <w:color w:val="000000"/>
          <w:w w:val="61"/>
          <w:shd w:val="solid" w:color="000000" w:fill="000000"/>
          <w:fitText w:val="475" w:id="-1167898108"/>
          <w14:textFill>
            <w14:solidFill>
              <w14:srgbClr w14:val="000000">
                <w14:alpha w14:val="100000"/>
              </w14:srgbClr>
            </w14:solidFill>
          </w14:textFill>
        </w:rPr>
        <w:t>|||  ||</w:t>
      </w:r>
      <w:r w:rsidR="00A861E6" w:rsidRPr="00A861E6">
        <w:rPr>
          <w:color w:val="000000"/>
          <w:spacing w:val="5"/>
          <w:w w:val="61"/>
          <w:shd w:val="solid" w:color="000000" w:fill="000000"/>
          <w:fitText w:val="475" w:id="-1167898108"/>
          <w14:textFill>
            <w14:solidFill>
              <w14:srgbClr w14:val="000000">
                <w14:alpha w14:val="100000"/>
              </w14:srgbClr>
            </w14:solidFill>
          </w14:textFill>
        </w:rPr>
        <w:t>|</w:t>
      </w:r>
      <w:r w:rsidRPr="00C50A14">
        <w:t>% less than</w:t>
      </w:r>
      <w:r w:rsidRPr="00D85CD0">
        <w:t xml:space="preserve"> predicted and Government expenditure was </w:t>
      </w:r>
      <w:r w:rsidR="00A861E6" w:rsidRPr="006A0A6B">
        <w:rPr>
          <w:color w:val="000000"/>
          <w:w w:val="15"/>
          <w:shd w:val="solid" w:color="000000" w:fill="000000"/>
          <w:fitText w:val="-20" w:id="-1167898107"/>
          <w14:textFill>
            <w14:solidFill>
              <w14:srgbClr w14:val="000000">
                <w14:alpha w14:val="100000"/>
              </w14:srgbClr>
            </w14:solidFill>
          </w14:textFill>
        </w:rPr>
        <w:t xml:space="preserve">|  </w:t>
      </w:r>
      <w:r w:rsidR="00A861E6" w:rsidRPr="006A0A6B">
        <w:rPr>
          <w:color w:val="000000"/>
          <w:spacing w:val="-69"/>
          <w:w w:val="15"/>
          <w:shd w:val="solid" w:color="000000" w:fill="000000"/>
          <w:fitText w:val="-20" w:id="-1167898107"/>
          <w14:textFill>
            <w14:solidFill>
              <w14:srgbClr w14:val="000000">
                <w14:alpha w14:val="100000"/>
              </w14:srgbClr>
            </w14:solidFill>
          </w14:textFill>
        </w:rPr>
        <w:t>|</w:t>
      </w:r>
      <w:r w:rsidRPr="00C50A14">
        <w:t>% less than</w:t>
      </w:r>
      <w:r w:rsidRPr="00D85CD0">
        <w:t xml:space="preserve"> expected. DUSC considered that the number of patients receiving continuing treatment was likely to be underestimated due to immature data.</w:t>
      </w:r>
    </w:p>
    <w:p w14:paraId="52E20407" w14:textId="22770BFF" w:rsidR="005F3049" w:rsidRPr="00D85CD0" w:rsidRDefault="005F3049" w:rsidP="005F3049">
      <w:pPr>
        <w:pStyle w:val="3Bodytext"/>
        <w:jc w:val="both"/>
      </w:pPr>
      <w:r w:rsidRPr="00D85CD0">
        <w:t xml:space="preserve">The estimated continuation rate of 53.1% calculated in the analysis is considerably </w:t>
      </w:r>
      <w:r w:rsidRPr="00C50A14">
        <w:t xml:space="preserve">less than the </w:t>
      </w:r>
      <w:r w:rsidR="00A861E6" w:rsidRPr="006A0A6B">
        <w:rPr>
          <w:color w:val="000000"/>
          <w:w w:val="15"/>
          <w:shd w:val="solid" w:color="000000" w:fill="000000"/>
          <w:fitText w:val="-20" w:id="-1167898106"/>
          <w14:textFill>
            <w14:solidFill>
              <w14:srgbClr w14:val="000000">
                <w14:alpha w14:val="100000"/>
              </w14:srgbClr>
            </w14:solidFill>
          </w14:textFill>
        </w:rPr>
        <w:t xml:space="preserve">|  </w:t>
      </w:r>
      <w:r w:rsidR="00A861E6" w:rsidRPr="006A0A6B">
        <w:rPr>
          <w:color w:val="000000"/>
          <w:spacing w:val="-69"/>
          <w:w w:val="15"/>
          <w:shd w:val="solid" w:color="000000" w:fill="000000"/>
          <w:fitText w:val="-20" w:id="-1167898106"/>
          <w14:textFill>
            <w14:solidFill>
              <w14:srgbClr w14:val="000000">
                <w14:alpha w14:val="100000"/>
              </w14:srgbClr>
            </w14:solidFill>
          </w14:textFill>
        </w:rPr>
        <w:t>|</w:t>
      </w:r>
      <w:r w:rsidRPr="00C50A14">
        <w:t>%</w:t>
      </w:r>
      <w:r w:rsidRPr="00D85CD0">
        <w:t xml:space="preserve"> assumed in the November 2021 submission. It is not possible to determine from the data if the low continuation rate is due to difficulty in obtaining a follow-up endoscopy, a low remission rate, or immature data.</w:t>
      </w:r>
    </w:p>
    <w:p w14:paraId="43C158CF" w14:textId="77777777" w:rsidR="005F3049" w:rsidRPr="00D85CD0" w:rsidRDefault="005F3049" w:rsidP="005F3049">
      <w:pPr>
        <w:pStyle w:val="3Bodytext"/>
        <w:jc w:val="both"/>
      </w:pPr>
      <w:r w:rsidRPr="00D85CD0">
        <w:t>It was also noted that 5.4% of patients only received continuation phase prescriptions and other unexpected sequences were also present. This suggests that the allocation of Authority restriction codes was not always accurate.</w:t>
      </w:r>
    </w:p>
    <w:p w14:paraId="6B78D5FD" w14:textId="77777777" w:rsidR="005F3049" w:rsidRPr="00D85CD0" w:rsidRDefault="005F3049" w:rsidP="005F3049">
      <w:pPr>
        <w:pStyle w:val="3Bodytext"/>
        <w:jc w:val="both"/>
      </w:pPr>
      <w:r w:rsidRPr="00D85CD0">
        <w:t>DUSC considered that there appears to be some prescribing outside the restriction where non-gastroenterology and hepatology specialists are prescribing in treatment phases that are only intended to be prescribed by a gastroenterologist.</w:t>
      </w:r>
    </w:p>
    <w:p w14:paraId="15B62E1E" w14:textId="77777777" w:rsidR="005F3049" w:rsidRPr="00D85CD0" w:rsidRDefault="005F3049" w:rsidP="005F3049">
      <w:pPr>
        <w:pStyle w:val="3Bodytext"/>
        <w:jc w:val="both"/>
      </w:pPr>
      <w:r w:rsidRPr="00D85CD0">
        <w:t>DUSC noted that there is an upwards rise in the use of BOT, however costs are less than what was expected in the first 12 months of listing. DUSC also considered that due to the COVID pandemic some patients may have had delays in receiving endoscopies.</w:t>
      </w:r>
    </w:p>
    <w:p w14:paraId="0913FB43" w14:textId="77777777" w:rsidR="005F3049" w:rsidRPr="00D85CD0" w:rsidRDefault="005F3049" w:rsidP="005F3049">
      <w:pPr>
        <w:pStyle w:val="3Bodytext"/>
        <w:jc w:val="both"/>
      </w:pPr>
      <w:r w:rsidRPr="00D85CD0">
        <w:t>DUSC suggested that patients could be given more time to receive a second endoscopy, particularly given the issues with access and backlog following COVID.</w:t>
      </w:r>
    </w:p>
    <w:p w14:paraId="5E9ADBF5" w14:textId="77777777" w:rsidR="005F3049" w:rsidRPr="00D85CD0" w:rsidRDefault="005F3049" w:rsidP="005F3049">
      <w:pPr>
        <w:pStyle w:val="2-SectionHeading"/>
        <w:numPr>
          <w:ilvl w:val="0"/>
          <w:numId w:val="2"/>
        </w:numPr>
      </w:pPr>
      <w:r w:rsidRPr="00D85CD0">
        <w:t>PBAC Outcome</w:t>
      </w:r>
    </w:p>
    <w:p w14:paraId="75F51CB1" w14:textId="77777777" w:rsidR="005F3049" w:rsidRPr="00682EBA" w:rsidRDefault="005F3049" w:rsidP="005F3049">
      <w:pPr>
        <w:widowControl w:val="0"/>
        <w:numPr>
          <w:ilvl w:val="1"/>
          <w:numId w:val="2"/>
        </w:numPr>
        <w:spacing w:after="120"/>
        <w:rPr>
          <w:rFonts w:asciiTheme="minorHAnsi" w:hAnsiTheme="minorHAnsi" w:cs="Arial"/>
          <w:snapToGrid w:val="0"/>
        </w:rPr>
      </w:pPr>
      <w:r w:rsidRPr="00682EBA">
        <w:rPr>
          <w:rFonts w:asciiTheme="minorHAnsi" w:hAnsiTheme="minorHAnsi" w:cs="Arial"/>
          <w:snapToGrid w:val="0"/>
        </w:rPr>
        <w:t>The PBAC recommended extending the required timeframe for a histological assessment (endoscopy) following initiation of treatment to determine treatment response/eligibility for continuing treatment with BOT 500 micrograms and 1 mg for EoE. The PBAC considered that the timeframe could be extended from within 8</w:t>
      </w:r>
      <w:r>
        <w:rPr>
          <w:rFonts w:asciiTheme="minorHAnsi" w:hAnsiTheme="minorHAnsi" w:cs="Arial"/>
          <w:snapToGrid w:val="0"/>
        </w:rPr>
        <w:noBreakHyphen/>
      </w:r>
      <w:r w:rsidRPr="00682EBA">
        <w:rPr>
          <w:rFonts w:asciiTheme="minorHAnsi" w:hAnsiTheme="minorHAnsi" w:cs="Arial"/>
          <w:snapToGrid w:val="0"/>
        </w:rPr>
        <w:t>10</w:t>
      </w:r>
      <w:r>
        <w:rPr>
          <w:rFonts w:asciiTheme="minorHAnsi" w:hAnsiTheme="minorHAnsi" w:cs="Arial"/>
          <w:snapToGrid w:val="0"/>
        </w:rPr>
        <w:t> </w:t>
      </w:r>
      <w:r w:rsidRPr="00682EBA">
        <w:rPr>
          <w:rFonts w:asciiTheme="minorHAnsi" w:hAnsiTheme="minorHAnsi" w:cs="Arial"/>
          <w:snapToGrid w:val="0"/>
        </w:rPr>
        <w:t xml:space="preserve">weeks to within 12 months </w:t>
      </w:r>
      <w:r>
        <w:rPr>
          <w:rFonts w:asciiTheme="minorHAnsi" w:hAnsiTheme="minorHAnsi" w:cs="Arial"/>
          <w:snapToGrid w:val="0"/>
        </w:rPr>
        <w:t>from</w:t>
      </w:r>
      <w:r w:rsidRPr="00682EBA">
        <w:rPr>
          <w:rFonts w:asciiTheme="minorHAnsi" w:hAnsiTheme="minorHAnsi" w:cs="Arial"/>
          <w:snapToGrid w:val="0"/>
        </w:rPr>
        <w:t xml:space="preserve"> starting treatment. The PBAC recommended patients could continue to access BOT through the PBS until they have the repeat endoscopy</w:t>
      </w:r>
      <w:r>
        <w:rPr>
          <w:rFonts w:asciiTheme="minorHAnsi" w:hAnsiTheme="minorHAnsi" w:cs="Arial"/>
          <w:snapToGrid w:val="0"/>
        </w:rPr>
        <w:t xml:space="preserve"> (the histological assessment)</w:t>
      </w:r>
      <w:r w:rsidRPr="00682EBA">
        <w:rPr>
          <w:rFonts w:asciiTheme="minorHAnsi" w:hAnsiTheme="minorHAnsi" w:cs="Arial"/>
          <w:snapToGrid w:val="0"/>
        </w:rPr>
        <w:t>, subject to advice provided by their treating clinician.</w:t>
      </w:r>
    </w:p>
    <w:p w14:paraId="575AB892" w14:textId="77777777" w:rsidR="005F3049" w:rsidRPr="00682EBA" w:rsidRDefault="005F3049" w:rsidP="005F3049">
      <w:pPr>
        <w:widowControl w:val="0"/>
        <w:numPr>
          <w:ilvl w:val="1"/>
          <w:numId w:val="2"/>
        </w:numPr>
        <w:spacing w:after="120"/>
        <w:rPr>
          <w:rFonts w:asciiTheme="minorHAnsi" w:hAnsiTheme="minorHAnsi" w:cs="Arial"/>
          <w:snapToGrid w:val="0"/>
        </w:rPr>
      </w:pPr>
      <w:r w:rsidRPr="00682EBA">
        <w:rPr>
          <w:rFonts w:asciiTheme="minorHAnsi" w:hAnsiTheme="minorHAnsi" w:cs="Arial"/>
          <w:snapToGrid w:val="0"/>
        </w:rPr>
        <w:t>The PBAC recalled the concerns raised in the March 2023 submission regarding the challenges for clinicians and patients in obtaining a follow-up endoscopy within the 8</w:t>
      </w:r>
      <w:r>
        <w:rPr>
          <w:rFonts w:asciiTheme="minorHAnsi" w:hAnsiTheme="minorHAnsi" w:cs="Arial"/>
          <w:snapToGrid w:val="0"/>
        </w:rPr>
        <w:noBreakHyphen/>
      </w:r>
      <w:r w:rsidRPr="00682EBA">
        <w:rPr>
          <w:rFonts w:asciiTheme="minorHAnsi" w:hAnsiTheme="minorHAnsi" w:cs="Arial"/>
          <w:snapToGrid w:val="0"/>
        </w:rPr>
        <w:t>10 week timeframe. The PBAC recalled the submission’s claim that patients who would have otherwise benefited from treatment with BOT were either not being started on this treatment or were started on initial induction of remission treatment but then were forced to cease as they were unable to access a repeat endoscopy to confirm treatment response. The PBAC also recalled concerns raised by health professionals via the Consumer Comments facility on the PBS website that there was difficulty in scheduling a repeat endoscopy, particularly in the public sector.</w:t>
      </w:r>
    </w:p>
    <w:p w14:paraId="4E67A60F" w14:textId="77777777" w:rsidR="005F3049" w:rsidRPr="00682EBA" w:rsidRDefault="005F3049" w:rsidP="005F3049">
      <w:pPr>
        <w:widowControl w:val="0"/>
        <w:numPr>
          <w:ilvl w:val="1"/>
          <w:numId w:val="2"/>
        </w:numPr>
        <w:spacing w:after="120"/>
        <w:rPr>
          <w:rFonts w:asciiTheme="minorHAnsi" w:hAnsiTheme="minorHAnsi" w:cs="Arial"/>
          <w:snapToGrid w:val="0"/>
        </w:rPr>
      </w:pPr>
      <w:r w:rsidRPr="00682EBA">
        <w:rPr>
          <w:rFonts w:asciiTheme="minorHAnsi" w:hAnsiTheme="minorHAnsi" w:cs="Arial"/>
          <w:snapToGrid w:val="0"/>
        </w:rPr>
        <w:t>The PBAC noted advice received from the Gastroenterological Society of Australia (GESA) that the current requirement for a second endoscopy within 8-10 weeks was difficult to meet, but a histological follow-up is still best practice. The PBAC noted GESA’s suggestion to extend the time for a follow-up endoscopy.</w:t>
      </w:r>
    </w:p>
    <w:p w14:paraId="795A724D" w14:textId="77777777" w:rsidR="005F3049" w:rsidRPr="00682EBA" w:rsidRDefault="005F3049" w:rsidP="005F3049">
      <w:pPr>
        <w:widowControl w:val="0"/>
        <w:numPr>
          <w:ilvl w:val="1"/>
          <w:numId w:val="2"/>
        </w:numPr>
        <w:spacing w:after="120"/>
        <w:rPr>
          <w:rFonts w:asciiTheme="minorHAnsi" w:hAnsiTheme="minorHAnsi" w:cs="Arial"/>
          <w:snapToGrid w:val="0"/>
        </w:rPr>
      </w:pPr>
      <w:r w:rsidRPr="00682EBA">
        <w:rPr>
          <w:rFonts w:asciiTheme="minorHAnsi" w:hAnsiTheme="minorHAnsi" w:cs="Arial"/>
          <w:snapToGrid w:val="0"/>
        </w:rPr>
        <w:t xml:space="preserve">The PBAC noted the advice from GESA that BOT is well tolerated and has a favourable adverse effect </w:t>
      </w:r>
      <w:r w:rsidRPr="005F62EB">
        <w:rPr>
          <w:rFonts w:asciiTheme="minorHAnsi" w:hAnsiTheme="minorHAnsi" w:cs="Arial"/>
          <w:snapToGrid w:val="0"/>
        </w:rPr>
        <w:t>profile and</w:t>
      </w:r>
      <w:r w:rsidRPr="00682EBA">
        <w:rPr>
          <w:rFonts w:asciiTheme="minorHAnsi" w:hAnsiTheme="minorHAnsi" w:cs="Arial"/>
          <w:snapToGrid w:val="0"/>
        </w:rPr>
        <w:t xml:space="preserve"> considered the risk to patients of extending the time for a follow-up endoscopy would be low.</w:t>
      </w:r>
    </w:p>
    <w:p w14:paraId="1DDFE08C" w14:textId="77777777" w:rsidR="005F3049" w:rsidRPr="00682EBA" w:rsidRDefault="005F3049" w:rsidP="005F3049">
      <w:pPr>
        <w:widowControl w:val="0"/>
        <w:numPr>
          <w:ilvl w:val="1"/>
          <w:numId w:val="2"/>
        </w:numPr>
        <w:spacing w:after="120"/>
        <w:rPr>
          <w:rFonts w:asciiTheme="minorHAnsi" w:hAnsiTheme="minorHAnsi" w:cs="Arial"/>
          <w:snapToGrid w:val="0"/>
        </w:rPr>
      </w:pPr>
      <w:r w:rsidRPr="00682EBA">
        <w:rPr>
          <w:rFonts w:asciiTheme="minorHAnsi" w:hAnsiTheme="minorHAnsi" w:cs="Arial"/>
          <w:snapToGrid w:val="0"/>
        </w:rPr>
        <w:t xml:space="preserve">The PBAC noted the findings from the utilisation review of BOT by the DUSC and the projected use of BOT for 12 months since initial listing in May 2022. The PBAC noted the number of patients accessing continuing treatment was lower than was predicted. The PBAC asked DUSC to continue to monitor the use of BOT and undertake a repeat review of its utilisation in 12 months’ time. </w:t>
      </w:r>
    </w:p>
    <w:p w14:paraId="30B615FB" w14:textId="77777777" w:rsidR="005F3049" w:rsidRPr="00682EBA" w:rsidRDefault="005F3049" w:rsidP="005F3049">
      <w:pPr>
        <w:widowControl w:val="0"/>
        <w:numPr>
          <w:ilvl w:val="1"/>
          <w:numId w:val="2"/>
        </w:numPr>
        <w:spacing w:after="120"/>
        <w:rPr>
          <w:rFonts w:asciiTheme="minorHAnsi" w:hAnsiTheme="minorHAnsi" w:cs="Arial"/>
          <w:snapToGrid w:val="0"/>
        </w:rPr>
      </w:pPr>
      <w:r w:rsidRPr="00682EBA">
        <w:rPr>
          <w:rFonts w:asciiTheme="minorHAnsi" w:hAnsiTheme="minorHAnsi" w:cs="Arial"/>
          <w:snapToGrid w:val="0"/>
        </w:rPr>
        <w:t>The PBAC noted the request by GESA to change the authority level for continuing treatment from Authority Required (telephone/online) to Authority Required (STREAMLINED) to improve efficiency of prescribing, however noted that this change had not been requested by the sponsor. Furthermore, no concerns had been raised by either the sponsor or other health professionals about the current authority levels. The PBAC considered the current authority levels for BOT were appropriate.</w:t>
      </w:r>
    </w:p>
    <w:p w14:paraId="4D937D3F" w14:textId="7B85A2CE" w:rsidR="005F3049" w:rsidRPr="00174253" w:rsidRDefault="005F3049" w:rsidP="005F3049">
      <w:pPr>
        <w:widowControl w:val="0"/>
        <w:numPr>
          <w:ilvl w:val="1"/>
          <w:numId w:val="2"/>
        </w:numPr>
        <w:contextualSpacing/>
        <w:rPr>
          <w:rFonts w:asciiTheme="minorHAnsi" w:hAnsiTheme="minorHAnsi" w:cstheme="minorHAnsi"/>
        </w:rPr>
      </w:pPr>
      <w:r w:rsidRPr="00D85CD0">
        <w:rPr>
          <w:rFonts w:asciiTheme="minorHAnsi" w:hAnsiTheme="minorHAnsi" w:cstheme="minorHAnsi"/>
        </w:rPr>
        <w:t>The PBAC noted that this submission is not eligible for an Independent Review because it received a positive recommendation.</w:t>
      </w:r>
    </w:p>
    <w:p w14:paraId="2E38A7F7" w14:textId="77777777" w:rsidR="005F3049" w:rsidRPr="00682EBA" w:rsidRDefault="005F3049" w:rsidP="005F3049">
      <w:pPr>
        <w:spacing w:before="240"/>
        <w:rPr>
          <w:rFonts w:asciiTheme="minorHAnsi" w:hAnsiTheme="minorHAnsi" w:cs="Arial"/>
          <w:b/>
          <w:bCs/>
          <w:snapToGrid w:val="0"/>
        </w:rPr>
      </w:pPr>
      <w:r w:rsidRPr="00682EBA">
        <w:rPr>
          <w:rFonts w:asciiTheme="minorHAnsi" w:hAnsiTheme="minorHAnsi" w:cs="Arial"/>
          <w:b/>
          <w:bCs/>
          <w:snapToGrid w:val="0"/>
        </w:rPr>
        <w:t>Outcome:</w:t>
      </w:r>
    </w:p>
    <w:p w14:paraId="4E906C8C" w14:textId="77777777" w:rsidR="005F3049" w:rsidRPr="00682EBA" w:rsidRDefault="005F3049" w:rsidP="005F3049">
      <w:pPr>
        <w:rPr>
          <w:rFonts w:asciiTheme="minorHAnsi" w:hAnsiTheme="minorHAnsi" w:cs="Arial"/>
          <w:bCs/>
          <w:snapToGrid w:val="0"/>
        </w:rPr>
      </w:pPr>
      <w:r w:rsidRPr="00682EBA">
        <w:rPr>
          <w:rFonts w:asciiTheme="minorHAnsi" w:hAnsiTheme="minorHAnsi" w:cs="Arial"/>
          <w:bCs/>
          <w:snapToGrid w:val="0"/>
        </w:rPr>
        <w:t xml:space="preserve">Recommended </w:t>
      </w:r>
    </w:p>
    <w:p w14:paraId="15A10B15" w14:textId="77777777" w:rsidR="005F3049" w:rsidRPr="00D85CD0" w:rsidRDefault="005F3049" w:rsidP="005F3049">
      <w:pPr>
        <w:widowControl w:val="0"/>
        <w:rPr>
          <w:rFonts w:asciiTheme="minorHAnsi" w:hAnsiTheme="minorHAnsi" w:cs="Arial"/>
          <w:b/>
          <w:bCs/>
          <w:snapToGrid w:val="0"/>
        </w:rPr>
      </w:pPr>
    </w:p>
    <w:p w14:paraId="5E32DE66" w14:textId="77777777" w:rsidR="005F3049" w:rsidRPr="00682EBA" w:rsidRDefault="005F3049" w:rsidP="005F3049">
      <w:pPr>
        <w:pStyle w:val="2-SectionHeading"/>
        <w:numPr>
          <w:ilvl w:val="0"/>
          <w:numId w:val="2"/>
        </w:numPr>
        <w:spacing w:before="120"/>
        <w:rPr>
          <w:b w:val="0"/>
          <w:iCs/>
        </w:rPr>
      </w:pPr>
      <w:r w:rsidRPr="00682EBA">
        <w:t>Recommended listing</w:t>
      </w:r>
    </w:p>
    <w:p w14:paraId="608ACA9E" w14:textId="77777777" w:rsidR="005F3049" w:rsidRPr="001B7DE8" w:rsidRDefault="005F3049" w:rsidP="004B01D0">
      <w:pPr>
        <w:pStyle w:val="3Bodytext"/>
        <w:rPr>
          <w:b/>
          <w:snapToGrid w:val="0"/>
        </w:rPr>
      </w:pPr>
      <w:r w:rsidRPr="00D85CD0">
        <w:rPr>
          <w:snapToGrid w:val="0"/>
        </w:rPr>
        <w:t>Amend existing listing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
        <w:gridCol w:w="640"/>
        <w:gridCol w:w="2836"/>
        <w:gridCol w:w="994"/>
        <w:gridCol w:w="849"/>
        <w:gridCol w:w="851"/>
        <w:gridCol w:w="709"/>
        <w:gridCol w:w="1648"/>
      </w:tblGrid>
      <w:tr w:rsidR="005F3049" w:rsidRPr="00D85CD0" w14:paraId="3C80C394" w14:textId="77777777" w:rsidTr="00A861E6">
        <w:trPr>
          <w:cantSplit/>
          <w:trHeight w:val="471"/>
        </w:trPr>
        <w:tc>
          <w:tcPr>
            <w:tcW w:w="2199" w:type="pct"/>
            <w:gridSpan w:val="3"/>
          </w:tcPr>
          <w:p w14:paraId="478BE7E3" w14:textId="77777777" w:rsidR="005F3049" w:rsidRPr="005F62EB" w:rsidRDefault="005F3049" w:rsidP="00AD6C64">
            <w:pPr>
              <w:keepNext/>
              <w:ind w:left="-108"/>
              <w:rPr>
                <w:rFonts w:ascii="Arial Narrow" w:hAnsi="Arial Narrow" w:cs="Arial"/>
                <w:b/>
                <w:bCs/>
                <w:sz w:val="20"/>
                <w:szCs w:val="20"/>
              </w:rPr>
            </w:pPr>
            <w:r w:rsidRPr="005F62EB">
              <w:rPr>
                <w:rFonts w:ascii="Arial Narrow" w:hAnsi="Arial Narrow" w:cs="Arial"/>
                <w:b/>
                <w:bCs/>
                <w:sz w:val="20"/>
                <w:szCs w:val="20"/>
              </w:rPr>
              <w:t>MEDICINAL PRODUCT</w:t>
            </w:r>
          </w:p>
          <w:p w14:paraId="5D4BDD29" w14:textId="77777777" w:rsidR="005F3049" w:rsidRPr="00D85CD0" w:rsidRDefault="005F3049" w:rsidP="00AD6C64">
            <w:pPr>
              <w:keepNext/>
              <w:ind w:left="-108"/>
              <w:rPr>
                <w:rFonts w:ascii="Arial Narrow" w:hAnsi="Arial Narrow" w:cs="Arial"/>
                <w:b/>
                <w:sz w:val="20"/>
                <w:szCs w:val="20"/>
              </w:rPr>
            </w:pPr>
            <w:r w:rsidRPr="00D85CD0">
              <w:rPr>
                <w:rFonts w:ascii="Arial Narrow" w:hAnsi="Arial Narrow" w:cs="Arial"/>
                <w:b/>
                <w:bCs/>
                <w:sz w:val="20"/>
                <w:szCs w:val="20"/>
              </w:rPr>
              <w:t xml:space="preserve"> Medicinal Product Pack</w:t>
            </w:r>
          </w:p>
        </w:tc>
        <w:tc>
          <w:tcPr>
            <w:tcW w:w="551" w:type="pct"/>
          </w:tcPr>
          <w:p w14:paraId="427044BD"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PBS item code</w:t>
            </w:r>
          </w:p>
        </w:tc>
        <w:tc>
          <w:tcPr>
            <w:tcW w:w="471" w:type="pct"/>
          </w:tcPr>
          <w:p w14:paraId="6809CE24"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Max. qty packs</w:t>
            </w:r>
          </w:p>
        </w:tc>
        <w:tc>
          <w:tcPr>
            <w:tcW w:w="472" w:type="pct"/>
          </w:tcPr>
          <w:p w14:paraId="5B361FDB"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Max. qty units</w:t>
            </w:r>
          </w:p>
        </w:tc>
        <w:tc>
          <w:tcPr>
            <w:tcW w:w="393" w:type="pct"/>
          </w:tcPr>
          <w:p w14:paraId="4670FA29"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№.of</w:t>
            </w:r>
          </w:p>
          <w:p w14:paraId="7739DC6B"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Rpts</w:t>
            </w:r>
          </w:p>
        </w:tc>
        <w:tc>
          <w:tcPr>
            <w:tcW w:w="914" w:type="pct"/>
          </w:tcPr>
          <w:p w14:paraId="01C9F9CC" w14:textId="77777777" w:rsidR="005F3049" w:rsidRPr="00682EBA" w:rsidRDefault="005F3049" w:rsidP="00AD6C64">
            <w:pPr>
              <w:keepNext/>
              <w:rPr>
                <w:rFonts w:ascii="Arial Narrow" w:hAnsi="Arial Narrow" w:cs="Arial"/>
                <w:b/>
                <w:sz w:val="20"/>
                <w:szCs w:val="20"/>
              </w:rPr>
            </w:pPr>
            <w:r w:rsidRPr="00D85CD0">
              <w:rPr>
                <w:rFonts w:ascii="Arial Narrow" w:hAnsi="Arial Narrow" w:cs="Arial"/>
                <w:b/>
                <w:sz w:val="20"/>
                <w:szCs w:val="20"/>
              </w:rPr>
              <w:t>Available brands</w:t>
            </w:r>
          </w:p>
        </w:tc>
      </w:tr>
      <w:tr w:rsidR="005F3049" w:rsidRPr="00D85CD0" w14:paraId="35938488" w14:textId="77777777" w:rsidTr="00AD6C64">
        <w:trPr>
          <w:cantSplit/>
          <w:trHeight w:val="165"/>
        </w:trPr>
        <w:tc>
          <w:tcPr>
            <w:tcW w:w="5000" w:type="pct"/>
            <w:gridSpan w:val="8"/>
          </w:tcPr>
          <w:p w14:paraId="32DBCEA6" w14:textId="77777777" w:rsidR="005F3049" w:rsidRPr="00D85CD0" w:rsidRDefault="005F3049" w:rsidP="00AD6C64">
            <w:pPr>
              <w:keepNext/>
              <w:ind w:left="-108"/>
              <w:rPr>
                <w:rFonts w:ascii="Arial Narrow" w:hAnsi="Arial Narrow" w:cs="Arial"/>
                <w:sz w:val="20"/>
                <w:szCs w:val="20"/>
              </w:rPr>
            </w:pPr>
            <w:r w:rsidRPr="00D85CD0">
              <w:rPr>
                <w:rFonts w:ascii="Arial Narrow" w:hAnsi="Arial Narrow" w:cs="Arial"/>
                <w:sz w:val="20"/>
                <w:szCs w:val="20"/>
              </w:rPr>
              <w:t>BUDESONIDE</w:t>
            </w:r>
          </w:p>
        </w:tc>
      </w:tr>
      <w:tr w:rsidR="005F3049" w:rsidRPr="00D85CD0" w14:paraId="62CA6719" w14:textId="77777777" w:rsidTr="00A861E6">
        <w:trPr>
          <w:cantSplit/>
          <w:trHeight w:val="211"/>
        </w:trPr>
        <w:tc>
          <w:tcPr>
            <w:tcW w:w="2199" w:type="pct"/>
            <w:gridSpan w:val="3"/>
          </w:tcPr>
          <w:p w14:paraId="77502128" w14:textId="77777777" w:rsidR="005F3049" w:rsidRPr="00D85CD0" w:rsidRDefault="005F3049" w:rsidP="00AD6C64">
            <w:pPr>
              <w:keepNext/>
              <w:ind w:left="-108"/>
              <w:rPr>
                <w:rFonts w:ascii="Arial Narrow" w:hAnsi="Arial Narrow" w:cs="Arial"/>
                <w:sz w:val="20"/>
                <w:szCs w:val="20"/>
              </w:rPr>
            </w:pPr>
            <w:r w:rsidRPr="00D85CD0">
              <w:rPr>
                <w:rFonts w:ascii="Arial Narrow" w:hAnsi="Arial Narrow" w:cs="Arial"/>
                <w:sz w:val="20"/>
                <w:szCs w:val="20"/>
              </w:rPr>
              <w:t>budesonide 1 mg orally disintegrating tablet, 90</w:t>
            </w:r>
          </w:p>
        </w:tc>
        <w:tc>
          <w:tcPr>
            <w:tcW w:w="551" w:type="pct"/>
            <w:vAlign w:val="center"/>
          </w:tcPr>
          <w:p w14:paraId="5814EDDF" w14:textId="77777777" w:rsidR="005F3049" w:rsidRPr="00D85CD0" w:rsidRDefault="005F3049" w:rsidP="00AD6C64">
            <w:pPr>
              <w:keepNext/>
              <w:jc w:val="center"/>
              <w:rPr>
                <w:rFonts w:ascii="Arial Narrow" w:hAnsi="Arial Narrow" w:cs="Arial"/>
                <w:sz w:val="20"/>
                <w:szCs w:val="20"/>
              </w:rPr>
            </w:pPr>
            <w:r w:rsidRPr="00D85CD0">
              <w:rPr>
                <w:rFonts w:ascii="Arial Narrow" w:hAnsi="Arial Narrow" w:cs="Arial"/>
                <w:sz w:val="20"/>
                <w:szCs w:val="20"/>
              </w:rPr>
              <w:t>12994X</w:t>
            </w:r>
          </w:p>
        </w:tc>
        <w:tc>
          <w:tcPr>
            <w:tcW w:w="471" w:type="pct"/>
            <w:vAlign w:val="center"/>
          </w:tcPr>
          <w:p w14:paraId="35F6650B" w14:textId="77777777" w:rsidR="005F3049" w:rsidRPr="00D85CD0" w:rsidRDefault="005F3049" w:rsidP="00AD6C64">
            <w:pPr>
              <w:keepNext/>
              <w:jc w:val="center"/>
              <w:rPr>
                <w:rFonts w:ascii="Arial Narrow" w:hAnsi="Arial Narrow" w:cs="Arial"/>
                <w:sz w:val="20"/>
                <w:szCs w:val="20"/>
              </w:rPr>
            </w:pPr>
            <w:r w:rsidRPr="00D85CD0">
              <w:rPr>
                <w:rFonts w:ascii="Arial Narrow" w:hAnsi="Arial Narrow" w:cs="Arial"/>
                <w:sz w:val="20"/>
                <w:szCs w:val="20"/>
              </w:rPr>
              <w:t>1</w:t>
            </w:r>
          </w:p>
        </w:tc>
        <w:tc>
          <w:tcPr>
            <w:tcW w:w="472" w:type="pct"/>
            <w:vAlign w:val="center"/>
          </w:tcPr>
          <w:p w14:paraId="488F3974" w14:textId="77777777" w:rsidR="005F3049" w:rsidRPr="00D85CD0" w:rsidRDefault="005F3049" w:rsidP="00AD6C64">
            <w:pPr>
              <w:keepNext/>
              <w:jc w:val="center"/>
              <w:rPr>
                <w:rFonts w:ascii="Arial Narrow" w:hAnsi="Arial Narrow" w:cs="Arial"/>
                <w:sz w:val="20"/>
                <w:szCs w:val="20"/>
              </w:rPr>
            </w:pPr>
            <w:r w:rsidRPr="00D85CD0">
              <w:rPr>
                <w:rFonts w:ascii="Arial Narrow" w:hAnsi="Arial Narrow" w:cs="Arial"/>
                <w:sz w:val="20"/>
                <w:szCs w:val="20"/>
              </w:rPr>
              <w:t>90</w:t>
            </w:r>
          </w:p>
        </w:tc>
        <w:tc>
          <w:tcPr>
            <w:tcW w:w="393" w:type="pct"/>
            <w:vAlign w:val="center"/>
          </w:tcPr>
          <w:p w14:paraId="399BE48B" w14:textId="77777777" w:rsidR="005F3049" w:rsidRPr="00D85CD0" w:rsidRDefault="005F3049" w:rsidP="00AD6C64">
            <w:pPr>
              <w:keepNext/>
              <w:jc w:val="center"/>
              <w:rPr>
                <w:rFonts w:ascii="Arial Narrow" w:hAnsi="Arial Narrow" w:cs="Arial"/>
                <w:sz w:val="20"/>
                <w:szCs w:val="20"/>
              </w:rPr>
            </w:pPr>
            <w:r w:rsidRPr="00D85CD0">
              <w:rPr>
                <w:rFonts w:ascii="Arial Narrow" w:hAnsi="Arial Narrow" w:cs="Arial"/>
                <w:sz w:val="20"/>
                <w:szCs w:val="20"/>
              </w:rPr>
              <w:t>1</w:t>
            </w:r>
          </w:p>
        </w:tc>
        <w:tc>
          <w:tcPr>
            <w:tcW w:w="914" w:type="pct"/>
            <w:vAlign w:val="center"/>
          </w:tcPr>
          <w:p w14:paraId="2C9B7453" w14:textId="77777777" w:rsidR="005F3049" w:rsidRPr="00D85CD0" w:rsidRDefault="005F3049" w:rsidP="00AD6C64">
            <w:pPr>
              <w:keepNext/>
              <w:jc w:val="center"/>
              <w:rPr>
                <w:rFonts w:ascii="Arial Narrow" w:hAnsi="Arial Narrow" w:cs="Arial"/>
                <w:sz w:val="20"/>
                <w:szCs w:val="20"/>
              </w:rPr>
            </w:pPr>
            <w:r w:rsidRPr="00D85CD0">
              <w:rPr>
                <w:rFonts w:ascii="Arial Narrow" w:hAnsi="Arial Narrow" w:cs="Arial"/>
                <w:sz w:val="20"/>
                <w:szCs w:val="20"/>
              </w:rPr>
              <w:t>Jorveza</w:t>
            </w:r>
          </w:p>
        </w:tc>
      </w:tr>
      <w:tr w:rsidR="005F3049" w:rsidRPr="00D85CD0" w14:paraId="3F2D615D" w14:textId="77777777" w:rsidTr="00AD6C64">
        <w:trPr>
          <w:cantSplit/>
          <w:trHeight w:val="211"/>
        </w:trPr>
        <w:tc>
          <w:tcPr>
            <w:tcW w:w="5000" w:type="pct"/>
            <w:gridSpan w:val="8"/>
          </w:tcPr>
          <w:p w14:paraId="09E206D9" w14:textId="77777777" w:rsidR="005F3049" w:rsidRPr="00D85CD0" w:rsidRDefault="005F3049" w:rsidP="00AD6C64">
            <w:pPr>
              <w:keepNext/>
              <w:jc w:val="center"/>
              <w:rPr>
                <w:rFonts w:ascii="Arial Narrow" w:hAnsi="Arial Narrow" w:cs="Arial"/>
                <w:sz w:val="20"/>
                <w:szCs w:val="20"/>
              </w:rPr>
            </w:pPr>
          </w:p>
        </w:tc>
      </w:tr>
      <w:tr w:rsidR="005F3049" w:rsidRPr="00D85CD0" w14:paraId="66CBE71E" w14:textId="77777777" w:rsidTr="00AD6C64">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4AFCFEE8" w14:textId="5340862D" w:rsidR="005F3049" w:rsidRPr="00D85CD0" w:rsidRDefault="005F3049" w:rsidP="00AD6C64">
            <w:pPr>
              <w:keepLines/>
              <w:rPr>
                <w:rFonts w:ascii="Arial Narrow" w:hAnsi="Arial Narrow" w:cs="Arial"/>
                <w:b/>
                <w:sz w:val="20"/>
                <w:szCs w:val="20"/>
              </w:rPr>
            </w:pPr>
            <w:r w:rsidRPr="00D85CD0">
              <w:rPr>
                <w:rFonts w:ascii="Arial Narrow" w:hAnsi="Arial Narrow"/>
                <w:b/>
                <w:sz w:val="20"/>
                <w:szCs w:val="20"/>
              </w:rPr>
              <w:t>Restriction Summary / Treatment of Concept:</w:t>
            </w:r>
          </w:p>
        </w:tc>
      </w:tr>
      <w:tr w:rsidR="005F3049" w:rsidRPr="00D85CD0" w14:paraId="1FDA7052" w14:textId="77777777" w:rsidTr="00A861E6">
        <w:tblPrEx>
          <w:tblCellMar>
            <w:top w:w="15" w:type="dxa"/>
            <w:bottom w:w="15" w:type="dxa"/>
          </w:tblCellMar>
          <w:tblLook w:val="04A0" w:firstRow="1" w:lastRow="0" w:firstColumn="1" w:lastColumn="0" w:noHBand="0" w:noVBand="1"/>
        </w:tblPrEx>
        <w:trPr>
          <w:trHeight w:val="20"/>
        </w:trPr>
        <w:tc>
          <w:tcPr>
            <w:tcW w:w="626" w:type="pct"/>
            <w:gridSpan w:val="2"/>
            <w:vMerge w:val="restart"/>
            <w:tcBorders>
              <w:top w:val="single" w:sz="4" w:space="0" w:color="auto"/>
              <w:left w:val="single" w:sz="4" w:space="0" w:color="auto"/>
              <w:right w:val="single" w:sz="4" w:space="0" w:color="auto"/>
            </w:tcBorders>
          </w:tcPr>
          <w:p w14:paraId="376E45C3" w14:textId="6D68504D" w:rsidR="005F3049" w:rsidRPr="00D85CD0" w:rsidRDefault="005F3049" w:rsidP="00AD6C64">
            <w:pPr>
              <w:rPr>
                <w:rFonts w:ascii="Arial Narrow" w:hAnsi="Arial Narrow" w:cs="Arial"/>
                <w:b/>
                <w:sz w:val="20"/>
                <w:szCs w:val="20"/>
              </w:rPr>
            </w:pPr>
            <w:r w:rsidRPr="00D85CD0">
              <w:rPr>
                <w:rFonts w:ascii="Arial Narrow" w:hAnsi="Arial Narrow" w:cs="Arial"/>
                <w:b/>
                <w:sz w:val="20"/>
                <w:szCs w:val="20"/>
              </w:rPr>
              <w:t>Concept ID</w:t>
            </w:r>
          </w:p>
        </w:tc>
        <w:tc>
          <w:tcPr>
            <w:tcW w:w="4374" w:type="pct"/>
            <w:gridSpan w:val="6"/>
            <w:tcBorders>
              <w:top w:val="single" w:sz="4" w:space="0" w:color="auto"/>
              <w:left w:val="single" w:sz="4" w:space="0" w:color="auto"/>
              <w:bottom w:val="single" w:sz="4" w:space="0" w:color="auto"/>
              <w:right w:val="single" w:sz="4" w:space="0" w:color="auto"/>
            </w:tcBorders>
            <w:vAlign w:val="center"/>
          </w:tcPr>
          <w:p w14:paraId="1C7717D8" w14:textId="77777777" w:rsidR="005F3049" w:rsidRPr="00D85CD0" w:rsidRDefault="005F3049" w:rsidP="00AD6C64">
            <w:pPr>
              <w:keepLines/>
              <w:rPr>
                <w:rFonts w:ascii="Arial Narrow" w:hAnsi="Arial Narrow" w:cs="Arial"/>
                <w:sz w:val="20"/>
                <w:szCs w:val="20"/>
              </w:rPr>
            </w:pPr>
            <w:r w:rsidRPr="00D85CD0">
              <w:rPr>
                <w:rFonts w:ascii="Arial Narrow" w:hAnsi="Arial Narrow" w:cs="Arial"/>
                <w:b/>
                <w:sz w:val="20"/>
                <w:szCs w:val="20"/>
              </w:rPr>
              <w:t xml:space="preserve">Category / Program: </w:t>
            </w:r>
            <w:r w:rsidRPr="00D85CD0">
              <w:rPr>
                <w:rFonts w:ascii="Arial Narrow" w:hAnsi="Arial Narrow" w:cs="Arial"/>
                <w:sz w:val="20"/>
                <w:szCs w:val="20"/>
              </w:rPr>
              <w:t>GENERAL – General Schedule (Code GE)</w:t>
            </w:r>
          </w:p>
        </w:tc>
      </w:tr>
      <w:tr w:rsidR="005F3049" w:rsidRPr="00D85CD0" w14:paraId="526E8573" w14:textId="77777777" w:rsidTr="00A861E6">
        <w:tblPrEx>
          <w:tblCellMar>
            <w:top w:w="15" w:type="dxa"/>
            <w:bottom w:w="15" w:type="dxa"/>
          </w:tblCellMar>
          <w:tblLook w:val="04A0" w:firstRow="1" w:lastRow="0" w:firstColumn="1" w:lastColumn="0" w:noHBand="0" w:noVBand="1"/>
        </w:tblPrEx>
        <w:trPr>
          <w:trHeight w:val="20"/>
        </w:trPr>
        <w:tc>
          <w:tcPr>
            <w:tcW w:w="626" w:type="pct"/>
            <w:gridSpan w:val="2"/>
            <w:vMerge/>
            <w:tcBorders>
              <w:left w:val="single" w:sz="4" w:space="0" w:color="auto"/>
              <w:right w:val="single" w:sz="4" w:space="0" w:color="auto"/>
            </w:tcBorders>
          </w:tcPr>
          <w:p w14:paraId="1A13ABC5" w14:textId="77777777" w:rsidR="005F3049" w:rsidRPr="00D85CD0" w:rsidRDefault="005F3049" w:rsidP="00AD6C64">
            <w:pPr>
              <w:rPr>
                <w:rFonts w:ascii="Arial Narrow" w:hAnsi="Arial Narrow" w:cs="Arial"/>
                <w:sz w:val="20"/>
                <w:szCs w:val="20"/>
              </w:rPr>
            </w:pPr>
          </w:p>
        </w:tc>
        <w:tc>
          <w:tcPr>
            <w:tcW w:w="4374" w:type="pct"/>
            <w:gridSpan w:val="6"/>
            <w:tcBorders>
              <w:top w:val="single" w:sz="4" w:space="0" w:color="auto"/>
              <w:left w:val="single" w:sz="4" w:space="0" w:color="auto"/>
              <w:bottom w:val="single" w:sz="4" w:space="0" w:color="auto"/>
              <w:right w:val="single" w:sz="4" w:space="0" w:color="auto"/>
            </w:tcBorders>
            <w:vAlign w:val="center"/>
          </w:tcPr>
          <w:p w14:paraId="7FB15DF5" w14:textId="77777777" w:rsidR="005F3049" w:rsidRPr="00D85CD0" w:rsidRDefault="005F3049" w:rsidP="00AD6C64">
            <w:pPr>
              <w:keepLines/>
              <w:rPr>
                <w:rFonts w:ascii="Arial Narrow" w:hAnsi="Arial Narrow" w:cs="Arial"/>
                <w:b/>
                <w:sz w:val="20"/>
                <w:szCs w:val="20"/>
              </w:rPr>
            </w:pPr>
            <w:r w:rsidRPr="00D85CD0">
              <w:rPr>
                <w:rFonts w:ascii="Arial Narrow" w:hAnsi="Arial Narrow" w:cs="Arial"/>
                <w:b/>
                <w:sz w:val="20"/>
                <w:szCs w:val="20"/>
              </w:rPr>
              <w:t xml:space="preserve">Prescriber type: </w:t>
            </w:r>
            <w:r w:rsidRPr="003A22FA">
              <w:rPr>
                <w:rFonts w:ascii="Arial Narrow" w:hAnsi="Arial Narrow" w:cs="Arial"/>
                <w:sz w:val="20"/>
                <w:szCs w:val="20"/>
              </w:rPr>
              <w:fldChar w:fldCharType="begin" w:fldLock="1">
                <w:ffData>
                  <w:name w:val=""/>
                  <w:enabled/>
                  <w:calcOnExit w:val="0"/>
                  <w:checkBox>
                    <w:sizeAuto/>
                    <w:default w:val="1"/>
                  </w:checkBox>
                </w:ffData>
              </w:fldChar>
            </w:r>
            <w:r w:rsidRPr="00D85CD0">
              <w:rPr>
                <w:rFonts w:ascii="Arial Narrow" w:hAnsi="Arial Narrow" w:cs="Arial"/>
                <w:sz w:val="20"/>
                <w:szCs w:val="20"/>
              </w:rPr>
              <w:instrText xml:space="preserve"> FORMCHECKBOX </w:instrText>
            </w:r>
            <w:r w:rsidR="001579BE">
              <w:rPr>
                <w:rFonts w:ascii="Arial Narrow" w:hAnsi="Arial Narrow" w:cs="Arial"/>
                <w:sz w:val="20"/>
                <w:szCs w:val="20"/>
              </w:rPr>
            </w:r>
            <w:r w:rsidR="001579BE">
              <w:rPr>
                <w:rFonts w:ascii="Arial Narrow" w:hAnsi="Arial Narrow" w:cs="Arial"/>
                <w:sz w:val="20"/>
                <w:szCs w:val="20"/>
              </w:rPr>
              <w:fldChar w:fldCharType="separate"/>
            </w:r>
            <w:r w:rsidRPr="003A22FA">
              <w:rPr>
                <w:rFonts w:ascii="Arial Narrow" w:hAnsi="Arial Narrow" w:cs="Arial"/>
                <w:sz w:val="20"/>
                <w:szCs w:val="20"/>
              </w:rPr>
              <w:fldChar w:fldCharType="end"/>
            </w:r>
            <w:r w:rsidRPr="00D85CD0">
              <w:rPr>
                <w:rFonts w:ascii="Arial Narrow" w:hAnsi="Arial Narrow" w:cs="Arial"/>
                <w:sz w:val="20"/>
                <w:szCs w:val="20"/>
              </w:rPr>
              <w:t xml:space="preserve">Medical Practitioners </w:t>
            </w:r>
          </w:p>
        </w:tc>
      </w:tr>
      <w:tr w:rsidR="005F3049" w:rsidRPr="00D85CD0" w14:paraId="43527CB8" w14:textId="77777777" w:rsidTr="00A861E6">
        <w:tblPrEx>
          <w:tblCellMar>
            <w:top w:w="15" w:type="dxa"/>
            <w:bottom w:w="15" w:type="dxa"/>
          </w:tblCellMar>
          <w:tblLook w:val="04A0" w:firstRow="1" w:lastRow="0" w:firstColumn="1" w:lastColumn="0" w:noHBand="0" w:noVBand="1"/>
        </w:tblPrEx>
        <w:trPr>
          <w:trHeight w:val="20"/>
        </w:trPr>
        <w:tc>
          <w:tcPr>
            <w:tcW w:w="626" w:type="pct"/>
            <w:gridSpan w:val="2"/>
            <w:vMerge/>
            <w:tcBorders>
              <w:left w:val="single" w:sz="4" w:space="0" w:color="auto"/>
              <w:bottom w:val="single" w:sz="4" w:space="0" w:color="auto"/>
              <w:right w:val="single" w:sz="4" w:space="0" w:color="auto"/>
            </w:tcBorders>
          </w:tcPr>
          <w:p w14:paraId="750279F2" w14:textId="77777777" w:rsidR="005F3049" w:rsidRPr="00D85CD0" w:rsidRDefault="005F3049" w:rsidP="00AD6C64">
            <w:pPr>
              <w:rPr>
                <w:rFonts w:ascii="Arial Narrow" w:hAnsi="Arial Narrow" w:cs="Arial"/>
                <w:sz w:val="20"/>
                <w:szCs w:val="20"/>
              </w:rPr>
            </w:pPr>
          </w:p>
        </w:tc>
        <w:tc>
          <w:tcPr>
            <w:tcW w:w="4374" w:type="pct"/>
            <w:gridSpan w:val="6"/>
            <w:tcBorders>
              <w:top w:val="single" w:sz="4" w:space="0" w:color="auto"/>
              <w:left w:val="single" w:sz="4" w:space="0" w:color="auto"/>
              <w:bottom w:val="single" w:sz="4" w:space="0" w:color="auto"/>
              <w:right w:val="single" w:sz="4" w:space="0" w:color="auto"/>
            </w:tcBorders>
            <w:vAlign w:val="center"/>
          </w:tcPr>
          <w:p w14:paraId="7B0D2BB3" w14:textId="77777777" w:rsidR="005F3049" w:rsidRPr="00D85CD0" w:rsidRDefault="005F3049" w:rsidP="00AD6C64">
            <w:pPr>
              <w:keepLines/>
              <w:jc w:val="left"/>
              <w:rPr>
                <w:rFonts w:ascii="Arial Narrow" w:eastAsia="Calibri" w:hAnsi="Arial Narrow" w:cs="Arial"/>
                <w:sz w:val="20"/>
                <w:szCs w:val="20"/>
              </w:rPr>
            </w:pPr>
            <w:r w:rsidRPr="00D85CD0">
              <w:rPr>
                <w:rFonts w:ascii="Arial Narrow" w:hAnsi="Arial Narrow" w:cs="Arial"/>
                <w:b/>
                <w:sz w:val="20"/>
                <w:szCs w:val="20"/>
              </w:rPr>
              <w:t xml:space="preserve">Restriction type: </w:t>
            </w:r>
            <w:r w:rsidRPr="00D85CD0">
              <w:rPr>
                <w:rFonts w:ascii="Arial Narrow" w:eastAsia="Calibri" w:hAnsi="Arial Narrow" w:cs="Arial"/>
                <w:sz w:val="20"/>
                <w:szCs w:val="20"/>
              </w:rPr>
              <w:br/>
            </w:r>
            <w:r w:rsidRPr="003A22FA">
              <w:rPr>
                <w:rFonts w:ascii="Arial Narrow" w:eastAsia="Calibri" w:hAnsi="Arial Narrow" w:cs="Arial"/>
                <w:sz w:val="20"/>
                <w:szCs w:val="20"/>
              </w:rPr>
              <w:fldChar w:fldCharType="begin" w:fldLock="1">
                <w:ffData>
                  <w:name w:val=""/>
                  <w:enabled/>
                  <w:calcOnExit w:val="0"/>
                  <w:checkBox>
                    <w:sizeAuto/>
                    <w:default w:val="1"/>
                  </w:checkBox>
                </w:ffData>
              </w:fldChar>
            </w:r>
            <w:r w:rsidRPr="00D85CD0">
              <w:rPr>
                <w:rFonts w:ascii="Arial Narrow" w:eastAsia="Calibri" w:hAnsi="Arial Narrow" w:cs="Arial"/>
                <w:sz w:val="20"/>
                <w:szCs w:val="20"/>
              </w:rPr>
              <w:instrText xml:space="preserve"> FORMCHECKBOX </w:instrText>
            </w:r>
            <w:r w:rsidR="001579BE">
              <w:rPr>
                <w:rFonts w:ascii="Arial Narrow" w:eastAsia="Calibri" w:hAnsi="Arial Narrow" w:cs="Arial"/>
                <w:sz w:val="20"/>
                <w:szCs w:val="20"/>
              </w:rPr>
            </w:r>
            <w:r w:rsidR="001579BE">
              <w:rPr>
                <w:rFonts w:ascii="Arial Narrow" w:eastAsia="Calibri" w:hAnsi="Arial Narrow" w:cs="Arial"/>
                <w:sz w:val="20"/>
                <w:szCs w:val="20"/>
              </w:rPr>
              <w:fldChar w:fldCharType="separate"/>
            </w:r>
            <w:r w:rsidRPr="003A22FA">
              <w:rPr>
                <w:rFonts w:ascii="Arial Narrow" w:eastAsia="Calibri" w:hAnsi="Arial Narrow" w:cs="Arial"/>
                <w:sz w:val="20"/>
                <w:szCs w:val="20"/>
              </w:rPr>
              <w:fldChar w:fldCharType="end"/>
            </w:r>
            <w:r w:rsidRPr="00D85CD0">
              <w:rPr>
                <w:rFonts w:ascii="Arial Narrow" w:eastAsia="Calibri" w:hAnsi="Arial Narrow" w:cs="Arial"/>
                <w:sz w:val="20"/>
                <w:szCs w:val="20"/>
              </w:rPr>
              <w:t xml:space="preserve">Authority Required (telephone/online PBS Authorities system) </w:t>
            </w:r>
          </w:p>
        </w:tc>
      </w:tr>
      <w:tr w:rsidR="005F3049" w:rsidRPr="00D85CD0" w14:paraId="7A3A77E5" w14:textId="77777777" w:rsidTr="00A861E6">
        <w:tblPrEx>
          <w:tblCellMar>
            <w:top w:w="15" w:type="dxa"/>
            <w:bottom w:w="15" w:type="dxa"/>
          </w:tblCellMar>
        </w:tblPrEx>
        <w:trPr>
          <w:trHeight w:val="20"/>
        </w:trPr>
        <w:tc>
          <w:tcPr>
            <w:tcW w:w="271" w:type="pct"/>
            <w:vMerge w:val="restart"/>
            <w:tcBorders>
              <w:left w:val="single" w:sz="4" w:space="0" w:color="auto"/>
              <w:right w:val="single" w:sz="4" w:space="0" w:color="auto"/>
            </w:tcBorders>
            <w:textDirection w:val="btLr"/>
            <w:vAlign w:val="center"/>
          </w:tcPr>
          <w:p w14:paraId="4E878113" w14:textId="45B716C2" w:rsidR="005F3049" w:rsidRPr="00D85CD0" w:rsidRDefault="005F3049" w:rsidP="00AD6C64">
            <w:pPr>
              <w:jc w:val="center"/>
              <w:rPr>
                <w:rFonts w:ascii="Arial Narrow" w:hAnsi="Arial Narrow" w:cs="Arial"/>
                <w:sz w:val="20"/>
                <w:szCs w:val="20"/>
              </w:rPr>
            </w:pPr>
          </w:p>
        </w:tc>
        <w:tc>
          <w:tcPr>
            <w:tcW w:w="355" w:type="pct"/>
          </w:tcPr>
          <w:p w14:paraId="3F6F94C3" w14:textId="139E9497" w:rsidR="005F3049" w:rsidRPr="00D85CD0" w:rsidRDefault="005F3049" w:rsidP="00AD6C64">
            <w:pPr>
              <w:rPr>
                <w:rFonts w:ascii="Arial Narrow" w:hAnsi="Arial Narrow"/>
                <w:sz w:val="20"/>
                <w:szCs w:val="20"/>
              </w:rPr>
            </w:pPr>
          </w:p>
        </w:tc>
        <w:tc>
          <w:tcPr>
            <w:tcW w:w="4374" w:type="pct"/>
            <w:gridSpan w:val="6"/>
          </w:tcPr>
          <w:p w14:paraId="36AAD508"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b/>
                <w:bCs/>
                <w:sz w:val="20"/>
                <w:szCs w:val="20"/>
                <w:bdr w:val="none" w:sz="0" w:space="0" w:color="auto" w:frame="1"/>
              </w:rPr>
              <w:t>Administrative Advice:</w:t>
            </w:r>
          </w:p>
          <w:p w14:paraId="52BB65BA" w14:textId="77777777" w:rsidR="005F3049" w:rsidRPr="00D85CD0" w:rsidRDefault="005F3049" w:rsidP="00AD6C64">
            <w:pPr>
              <w:rPr>
                <w:rFonts w:ascii="Arial Narrow" w:hAnsi="Arial Narrow"/>
                <w:sz w:val="20"/>
                <w:szCs w:val="20"/>
              </w:rPr>
            </w:pPr>
            <w:r w:rsidRPr="00D85CD0">
              <w:rPr>
                <w:rFonts w:ascii="Arial Narrow" w:hAnsi="Arial Narrow" w:cs="Open Sans"/>
                <w:sz w:val="20"/>
                <w:szCs w:val="20"/>
              </w:rPr>
              <w:t>No increase in the maximum number of repeats may be authorised.</w:t>
            </w:r>
          </w:p>
        </w:tc>
      </w:tr>
      <w:tr w:rsidR="005F3049" w:rsidRPr="00D85CD0" w14:paraId="56733FC7" w14:textId="77777777" w:rsidTr="00A861E6">
        <w:tblPrEx>
          <w:tblCellMar>
            <w:top w:w="15" w:type="dxa"/>
            <w:bottom w:w="15" w:type="dxa"/>
          </w:tblCellMar>
        </w:tblPrEx>
        <w:trPr>
          <w:trHeight w:val="20"/>
        </w:trPr>
        <w:tc>
          <w:tcPr>
            <w:tcW w:w="271" w:type="pct"/>
            <w:vMerge/>
            <w:tcBorders>
              <w:left w:val="single" w:sz="4" w:space="0" w:color="auto"/>
              <w:right w:val="single" w:sz="4" w:space="0" w:color="auto"/>
            </w:tcBorders>
          </w:tcPr>
          <w:p w14:paraId="3016788A" w14:textId="77777777" w:rsidR="005F3049" w:rsidRPr="00D85CD0" w:rsidRDefault="005F3049" w:rsidP="00AD6C64">
            <w:pPr>
              <w:rPr>
                <w:rFonts w:ascii="Arial Narrow" w:hAnsi="Arial Narrow" w:cs="Arial"/>
                <w:sz w:val="20"/>
                <w:szCs w:val="20"/>
              </w:rPr>
            </w:pPr>
          </w:p>
        </w:tc>
        <w:tc>
          <w:tcPr>
            <w:tcW w:w="355" w:type="pct"/>
          </w:tcPr>
          <w:p w14:paraId="691B12C8" w14:textId="1BF0E945" w:rsidR="005F3049" w:rsidRPr="00D85CD0" w:rsidRDefault="005F3049" w:rsidP="00AD6C64">
            <w:pPr>
              <w:rPr>
                <w:rFonts w:ascii="Arial Narrow" w:hAnsi="Arial Narrow"/>
                <w:sz w:val="20"/>
                <w:szCs w:val="20"/>
              </w:rPr>
            </w:pPr>
          </w:p>
        </w:tc>
        <w:tc>
          <w:tcPr>
            <w:tcW w:w="4374" w:type="pct"/>
            <w:gridSpan w:val="6"/>
          </w:tcPr>
          <w:p w14:paraId="4EAC7BE4"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b/>
                <w:bCs/>
                <w:sz w:val="20"/>
                <w:szCs w:val="20"/>
                <w:bdr w:val="none" w:sz="0" w:space="0" w:color="auto" w:frame="1"/>
              </w:rPr>
              <w:t>Administrative Advice:</w:t>
            </w:r>
          </w:p>
          <w:p w14:paraId="4A19AF9F"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No increase in the maximum quantity or number of units may be authorised.</w:t>
            </w:r>
          </w:p>
        </w:tc>
      </w:tr>
      <w:tr w:rsidR="005F3049" w:rsidRPr="00D85CD0" w14:paraId="6FC6FB9A" w14:textId="77777777" w:rsidTr="00A861E6">
        <w:tblPrEx>
          <w:tblCellMar>
            <w:top w:w="15" w:type="dxa"/>
            <w:bottom w:w="15" w:type="dxa"/>
          </w:tblCellMar>
        </w:tblPrEx>
        <w:trPr>
          <w:trHeight w:val="20"/>
        </w:trPr>
        <w:tc>
          <w:tcPr>
            <w:tcW w:w="271" w:type="pct"/>
            <w:vMerge/>
            <w:tcBorders>
              <w:left w:val="single" w:sz="4" w:space="0" w:color="auto"/>
              <w:right w:val="single" w:sz="4" w:space="0" w:color="auto"/>
            </w:tcBorders>
          </w:tcPr>
          <w:p w14:paraId="1E62870B" w14:textId="77777777" w:rsidR="005F3049" w:rsidRPr="00D85CD0" w:rsidRDefault="005F3049" w:rsidP="00AD6C64">
            <w:pPr>
              <w:rPr>
                <w:rFonts w:ascii="Arial Narrow" w:hAnsi="Arial Narrow" w:cs="Arial"/>
                <w:sz w:val="20"/>
                <w:szCs w:val="20"/>
              </w:rPr>
            </w:pPr>
          </w:p>
        </w:tc>
        <w:tc>
          <w:tcPr>
            <w:tcW w:w="355" w:type="pct"/>
          </w:tcPr>
          <w:p w14:paraId="44E36AFE" w14:textId="0431B8EA" w:rsidR="005F3049" w:rsidRPr="00D85CD0" w:rsidRDefault="005F3049" w:rsidP="00AD6C64">
            <w:pPr>
              <w:rPr>
                <w:rFonts w:ascii="Arial Narrow" w:hAnsi="Arial Narrow"/>
                <w:sz w:val="20"/>
                <w:szCs w:val="20"/>
              </w:rPr>
            </w:pPr>
          </w:p>
        </w:tc>
        <w:tc>
          <w:tcPr>
            <w:tcW w:w="4374" w:type="pct"/>
            <w:gridSpan w:val="6"/>
          </w:tcPr>
          <w:p w14:paraId="638C5C60"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b/>
                <w:bCs/>
                <w:sz w:val="20"/>
                <w:szCs w:val="20"/>
                <w:bdr w:val="none" w:sz="0" w:space="0" w:color="auto" w:frame="1"/>
              </w:rPr>
              <w:t>Administrative Advice:</w:t>
            </w:r>
          </w:p>
          <w:p w14:paraId="1AC0C15E"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Applications for authorisation under this restriction may be made in real time using the Online PBS Authorities system (see www.servicesaustralia.gov.au/HPOS) or by telephone by contacting Services Australia on 1800 888 333.</w:t>
            </w:r>
          </w:p>
        </w:tc>
      </w:tr>
      <w:tr w:rsidR="005F3049" w:rsidRPr="00D85CD0" w14:paraId="010EC558" w14:textId="77777777" w:rsidTr="00A861E6">
        <w:tblPrEx>
          <w:tblCellMar>
            <w:top w:w="15" w:type="dxa"/>
            <w:bottom w:w="15" w:type="dxa"/>
          </w:tblCellMar>
        </w:tblPrEx>
        <w:trPr>
          <w:trHeight w:val="20"/>
        </w:trPr>
        <w:tc>
          <w:tcPr>
            <w:tcW w:w="271" w:type="pct"/>
            <w:vMerge/>
            <w:tcBorders>
              <w:left w:val="single" w:sz="4" w:space="0" w:color="auto"/>
              <w:bottom w:val="single" w:sz="4" w:space="0" w:color="auto"/>
              <w:right w:val="single" w:sz="4" w:space="0" w:color="auto"/>
            </w:tcBorders>
          </w:tcPr>
          <w:p w14:paraId="3FAF3596" w14:textId="77777777" w:rsidR="005F3049" w:rsidRPr="00D85CD0" w:rsidRDefault="005F3049" w:rsidP="00AD6C64">
            <w:pPr>
              <w:rPr>
                <w:rFonts w:ascii="Arial Narrow" w:hAnsi="Arial Narrow" w:cs="Arial"/>
                <w:sz w:val="20"/>
                <w:szCs w:val="20"/>
              </w:rPr>
            </w:pPr>
          </w:p>
        </w:tc>
        <w:tc>
          <w:tcPr>
            <w:tcW w:w="355" w:type="pct"/>
          </w:tcPr>
          <w:p w14:paraId="3FA79209" w14:textId="028F8902" w:rsidR="005F3049" w:rsidRPr="00D85CD0" w:rsidRDefault="005F3049" w:rsidP="00AD6C64">
            <w:pPr>
              <w:rPr>
                <w:rFonts w:ascii="Arial Narrow" w:hAnsi="Arial Narrow"/>
                <w:sz w:val="20"/>
                <w:szCs w:val="20"/>
              </w:rPr>
            </w:pPr>
          </w:p>
        </w:tc>
        <w:tc>
          <w:tcPr>
            <w:tcW w:w="4374" w:type="pct"/>
            <w:gridSpan w:val="6"/>
          </w:tcPr>
          <w:p w14:paraId="1A9A353E"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b/>
                <w:bCs/>
                <w:sz w:val="20"/>
                <w:szCs w:val="20"/>
                <w:bdr w:val="none" w:sz="0" w:space="0" w:color="auto" w:frame="1"/>
              </w:rPr>
              <w:t>Administrative Advice:</w:t>
            </w:r>
          </w:p>
          <w:p w14:paraId="28F95A6D"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Special Pricing Arrangements apply.</w:t>
            </w:r>
          </w:p>
        </w:tc>
      </w:tr>
      <w:tr w:rsidR="005F3049" w:rsidRPr="00D85CD0" w14:paraId="361DB241" w14:textId="77777777" w:rsidTr="00A861E6">
        <w:tblPrEx>
          <w:tblCellMar>
            <w:top w:w="15" w:type="dxa"/>
            <w:bottom w:w="15" w:type="dxa"/>
          </w:tblCellMar>
          <w:tblLook w:val="04A0" w:firstRow="1" w:lastRow="0" w:firstColumn="1" w:lastColumn="0" w:noHBand="0" w:noVBand="1"/>
        </w:tblPrEx>
        <w:trPr>
          <w:cantSplit/>
          <w:trHeight w:val="20"/>
        </w:trPr>
        <w:tc>
          <w:tcPr>
            <w:tcW w:w="626" w:type="pct"/>
            <w:gridSpan w:val="2"/>
            <w:vAlign w:val="center"/>
          </w:tcPr>
          <w:p w14:paraId="2EB567DC" w14:textId="77777777" w:rsidR="005F3049" w:rsidRPr="00D85CD0" w:rsidRDefault="005F3049" w:rsidP="00AD6C64">
            <w:pPr>
              <w:jc w:val="left"/>
              <w:textAlignment w:val="baseline"/>
              <w:rPr>
                <w:rFonts w:ascii="Arial Narrow" w:hAnsi="Arial Narrow" w:cs="Open Sans"/>
                <w:sz w:val="20"/>
                <w:szCs w:val="20"/>
              </w:rPr>
            </w:pPr>
          </w:p>
        </w:tc>
        <w:tc>
          <w:tcPr>
            <w:tcW w:w="4374" w:type="pct"/>
            <w:gridSpan w:val="6"/>
            <w:vAlign w:val="center"/>
          </w:tcPr>
          <w:p w14:paraId="005E20D1" w14:textId="77777777" w:rsidR="005F3049" w:rsidRPr="00D85CD0" w:rsidRDefault="005F3049" w:rsidP="00AD6C64">
            <w:pPr>
              <w:keepLines/>
              <w:rPr>
                <w:rFonts w:ascii="Arial Narrow" w:hAnsi="Arial Narrow"/>
                <w:b/>
                <w:bCs/>
                <w:sz w:val="20"/>
                <w:szCs w:val="20"/>
              </w:rPr>
            </w:pPr>
          </w:p>
        </w:tc>
      </w:tr>
      <w:tr w:rsidR="005F3049" w:rsidRPr="00D85CD0" w14:paraId="2DA5209F" w14:textId="77777777" w:rsidTr="00A861E6">
        <w:tblPrEx>
          <w:tblCellMar>
            <w:top w:w="15" w:type="dxa"/>
            <w:bottom w:w="15" w:type="dxa"/>
          </w:tblCellMar>
          <w:tblLook w:val="04A0" w:firstRow="1" w:lastRow="0" w:firstColumn="1" w:lastColumn="0" w:noHBand="0" w:noVBand="1"/>
        </w:tblPrEx>
        <w:trPr>
          <w:cantSplit/>
          <w:trHeight w:val="20"/>
        </w:trPr>
        <w:tc>
          <w:tcPr>
            <w:tcW w:w="626" w:type="pct"/>
            <w:gridSpan w:val="2"/>
            <w:vAlign w:val="center"/>
          </w:tcPr>
          <w:p w14:paraId="2C4C2BEA" w14:textId="5787B458" w:rsidR="005F3049" w:rsidRPr="00D85CD0" w:rsidRDefault="005F3049" w:rsidP="00AD6C64">
            <w:pPr>
              <w:keepLines/>
              <w:rPr>
                <w:rFonts w:ascii="Arial Narrow" w:hAnsi="Arial Narrow"/>
                <w:sz w:val="20"/>
                <w:szCs w:val="20"/>
              </w:rPr>
            </w:pPr>
          </w:p>
        </w:tc>
        <w:tc>
          <w:tcPr>
            <w:tcW w:w="4374" w:type="pct"/>
            <w:gridSpan w:val="6"/>
            <w:vAlign w:val="center"/>
            <w:hideMark/>
          </w:tcPr>
          <w:p w14:paraId="013D7459" w14:textId="77777777" w:rsidR="005F3049" w:rsidRPr="00D85CD0" w:rsidRDefault="005F3049" w:rsidP="00AD6C64">
            <w:pPr>
              <w:keepLines/>
              <w:rPr>
                <w:rFonts w:ascii="Arial Narrow" w:hAnsi="Arial Narrow"/>
                <w:sz w:val="20"/>
                <w:szCs w:val="20"/>
              </w:rPr>
            </w:pPr>
            <w:r w:rsidRPr="00D85CD0">
              <w:rPr>
                <w:rFonts w:ascii="Arial Narrow" w:hAnsi="Arial Narrow"/>
                <w:b/>
                <w:bCs/>
                <w:sz w:val="20"/>
                <w:szCs w:val="20"/>
              </w:rPr>
              <w:t>Indication:</w:t>
            </w:r>
            <w:r w:rsidRPr="00D85CD0">
              <w:rPr>
                <w:rFonts w:ascii="Arial Narrow" w:hAnsi="Arial Narrow"/>
                <w:sz w:val="20"/>
                <w:szCs w:val="20"/>
              </w:rPr>
              <w:t xml:space="preserve"> Eosinophilic oesophagitis</w:t>
            </w:r>
          </w:p>
        </w:tc>
      </w:tr>
      <w:tr w:rsidR="005F3049" w:rsidRPr="00D85CD0" w14:paraId="790FF11A" w14:textId="77777777" w:rsidTr="00A861E6">
        <w:tblPrEx>
          <w:tblCellMar>
            <w:top w:w="15" w:type="dxa"/>
            <w:bottom w:w="15" w:type="dxa"/>
          </w:tblCellMar>
          <w:tblLook w:val="04A0" w:firstRow="1" w:lastRow="0" w:firstColumn="1" w:lastColumn="0" w:noHBand="0" w:noVBand="1"/>
        </w:tblPrEx>
        <w:trPr>
          <w:cantSplit/>
          <w:trHeight w:val="20"/>
        </w:trPr>
        <w:tc>
          <w:tcPr>
            <w:tcW w:w="626" w:type="pct"/>
            <w:gridSpan w:val="2"/>
            <w:vAlign w:val="center"/>
          </w:tcPr>
          <w:p w14:paraId="32E146A2" w14:textId="77777777" w:rsidR="005F3049" w:rsidRPr="00D85CD0" w:rsidRDefault="005F3049" w:rsidP="00AD6C64">
            <w:pPr>
              <w:rPr>
                <w:rFonts w:ascii="Arial Narrow" w:hAnsi="Arial Narrow"/>
                <w:sz w:val="20"/>
                <w:szCs w:val="20"/>
              </w:rPr>
            </w:pPr>
          </w:p>
        </w:tc>
        <w:tc>
          <w:tcPr>
            <w:tcW w:w="4374" w:type="pct"/>
            <w:gridSpan w:val="6"/>
            <w:vAlign w:val="center"/>
            <w:hideMark/>
          </w:tcPr>
          <w:p w14:paraId="075F9626" w14:textId="77777777" w:rsidR="005F3049" w:rsidRPr="00D85CD0" w:rsidRDefault="005F3049" w:rsidP="00AD6C64">
            <w:pPr>
              <w:rPr>
                <w:rFonts w:ascii="Arial Narrow" w:hAnsi="Arial Narrow"/>
                <w:sz w:val="20"/>
                <w:szCs w:val="20"/>
              </w:rPr>
            </w:pPr>
            <w:r w:rsidRPr="00D85CD0">
              <w:rPr>
                <w:rFonts w:ascii="Arial Narrow" w:hAnsi="Arial Narrow"/>
                <w:b/>
                <w:bCs/>
                <w:sz w:val="20"/>
                <w:szCs w:val="20"/>
              </w:rPr>
              <w:t>Treatment Phase:</w:t>
            </w:r>
            <w:r w:rsidRPr="00D85CD0">
              <w:rPr>
                <w:rFonts w:ascii="Arial Narrow" w:hAnsi="Arial Narrow"/>
                <w:sz w:val="20"/>
                <w:szCs w:val="20"/>
              </w:rPr>
              <w:t xml:space="preserve"> Initial treatment - Induction of remission</w:t>
            </w:r>
          </w:p>
        </w:tc>
      </w:tr>
      <w:tr w:rsidR="005F3049" w:rsidRPr="00D85CD0" w14:paraId="71E9094C" w14:textId="77777777" w:rsidTr="00A861E6">
        <w:tblPrEx>
          <w:tblCellMar>
            <w:top w:w="15" w:type="dxa"/>
            <w:bottom w:w="15" w:type="dxa"/>
          </w:tblCellMar>
          <w:tblLook w:val="04A0" w:firstRow="1" w:lastRow="0" w:firstColumn="1" w:lastColumn="0" w:noHBand="0" w:noVBand="1"/>
        </w:tblPrEx>
        <w:trPr>
          <w:cantSplit/>
          <w:trHeight w:val="20"/>
        </w:trPr>
        <w:tc>
          <w:tcPr>
            <w:tcW w:w="626" w:type="pct"/>
            <w:gridSpan w:val="2"/>
            <w:vAlign w:val="center"/>
          </w:tcPr>
          <w:p w14:paraId="73A16AF7" w14:textId="77777777" w:rsidR="005F3049" w:rsidRPr="00D85CD0" w:rsidRDefault="005F3049" w:rsidP="00AD6C64">
            <w:pPr>
              <w:rPr>
                <w:rFonts w:ascii="Arial Narrow" w:hAnsi="Arial Narrow"/>
                <w:sz w:val="20"/>
                <w:szCs w:val="20"/>
              </w:rPr>
            </w:pPr>
          </w:p>
        </w:tc>
        <w:tc>
          <w:tcPr>
            <w:tcW w:w="4374" w:type="pct"/>
            <w:gridSpan w:val="6"/>
            <w:vAlign w:val="center"/>
          </w:tcPr>
          <w:p w14:paraId="12917959" w14:textId="77777777" w:rsidR="005F3049" w:rsidRPr="00D85CD0" w:rsidRDefault="005F3049" w:rsidP="00AD6C64">
            <w:pPr>
              <w:rPr>
                <w:rFonts w:ascii="Arial Narrow" w:hAnsi="Arial Narrow"/>
                <w:b/>
                <w:bCs/>
                <w:sz w:val="20"/>
                <w:szCs w:val="20"/>
              </w:rPr>
            </w:pPr>
          </w:p>
        </w:tc>
      </w:tr>
      <w:tr w:rsidR="005F3049" w:rsidRPr="00D85CD0" w14:paraId="1D2A89C6" w14:textId="77777777" w:rsidTr="00A861E6">
        <w:tblPrEx>
          <w:tblCellMar>
            <w:top w:w="15" w:type="dxa"/>
            <w:bottom w:w="15" w:type="dxa"/>
          </w:tblCellMar>
        </w:tblPrEx>
        <w:trPr>
          <w:cantSplit/>
          <w:trHeight w:val="20"/>
        </w:trPr>
        <w:tc>
          <w:tcPr>
            <w:tcW w:w="626" w:type="pct"/>
            <w:gridSpan w:val="2"/>
          </w:tcPr>
          <w:p w14:paraId="14168AC5" w14:textId="0C1E6AAB" w:rsidR="005F3049" w:rsidRPr="00D85CD0" w:rsidRDefault="005F3049" w:rsidP="00AD6C64">
            <w:pPr>
              <w:rPr>
                <w:rFonts w:ascii="Arial Narrow" w:hAnsi="Arial Narrow"/>
                <w:sz w:val="20"/>
                <w:szCs w:val="20"/>
              </w:rPr>
            </w:pPr>
          </w:p>
        </w:tc>
        <w:tc>
          <w:tcPr>
            <w:tcW w:w="4374" w:type="pct"/>
            <w:gridSpan w:val="6"/>
          </w:tcPr>
          <w:p w14:paraId="3FD6593F" w14:textId="77777777" w:rsidR="005F3049" w:rsidRPr="00D85CD0" w:rsidRDefault="005F3049" w:rsidP="00AD6C64">
            <w:pPr>
              <w:rPr>
                <w:rFonts w:ascii="Arial Narrow" w:hAnsi="Arial Narrow"/>
                <w:sz w:val="20"/>
                <w:szCs w:val="20"/>
              </w:rPr>
            </w:pPr>
            <w:r w:rsidRPr="00D85CD0">
              <w:rPr>
                <w:rFonts w:ascii="Arial Narrow" w:hAnsi="Arial Narrow" w:cs="Open Sans"/>
                <w:b/>
                <w:bCs/>
                <w:sz w:val="20"/>
                <w:szCs w:val="20"/>
                <w:bdr w:val="none" w:sz="0" w:space="0" w:color="auto" w:frame="1"/>
              </w:rPr>
              <w:t>Clinical criteria:</w:t>
            </w:r>
          </w:p>
        </w:tc>
      </w:tr>
      <w:tr w:rsidR="005F3049" w:rsidRPr="00D85CD0" w14:paraId="4CC1DED2" w14:textId="77777777" w:rsidTr="00A861E6">
        <w:tblPrEx>
          <w:tblCellMar>
            <w:top w:w="15" w:type="dxa"/>
            <w:bottom w:w="15" w:type="dxa"/>
          </w:tblCellMar>
        </w:tblPrEx>
        <w:trPr>
          <w:cantSplit/>
          <w:trHeight w:val="20"/>
        </w:trPr>
        <w:tc>
          <w:tcPr>
            <w:tcW w:w="626" w:type="pct"/>
            <w:gridSpan w:val="2"/>
          </w:tcPr>
          <w:p w14:paraId="03F43A23" w14:textId="05EECC4F" w:rsidR="005F3049" w:rsidRPr="00D85CD0" w:rsidRDefault="005F3049" w:rsidP="00AD6C64">
            <w:pPr>
              <w:rPr>
                <w:rFonts w:ascii="Arial Narrow" w:hAnsi="Arial Narrow"/>
                <w:sz w:val="20"/>
                <w:szCs w:val="20"/>
              </w:rPr>
            </w:pPr>
          </w:p>
        </w:tc>
        <w:tc>
          <w:tcPr>
            <w:tcW w:w="4374" w:type="pct"/>
            <w:gridSpan w:val="6"/>
          </w:tcPr>
          <w:p w14:paraId="4B6715F3" w14:textId="77777777" w:rsidR="005F3049" w:rsidRPr="00D85CD0" w:rsidRDefault="005F3049" w:rsidP="00AD6C64">
            <w:pPr>
              <w:rPr>
                <w:rFonts w:ascii="Arial Narrow" w:hAnsi="Arial Narrow"/>
                <w:sz w:val="20"/>
                <w:szCs w:val="20"/>
              </w:rPr>
            </w:pPr>
            <w:r w:rsidRPr="00D85CD0">
              <w:rPr>
                <w:rFonts w:ascii="Arial Narrow" w:hAnsi="Arial Narrow" w:cs="Open Sans"/>
                <w:sz w:val="20"/>
                <w:szCs w:val="20"/>
              </w:rPr>
              <w:t>Patient must have a history of symptoms of oesophageal dysfunction</w:t>
            </w:r>
          </w:p>
        </w:tc>
      </w:tr>
      <w:tr w:rsidR="005F3049" w:rsidRPr="00D85CD0" w14:paraId="7BA5D426" w14:textId="77777777" w:rsidTr="00A861E6">
        <w:tblPrEx>
          <w:tblCellMar>
            <w:top w:w="15" w:type="dxa"/>
            <w:bottom w:w="15" w:type="dxa"/>
          </w:tblCellMar>
        </w:tblPrEx>
        <w:trPr>
          <w:cantSplit/>
          <w:trHeight w:val="20"/>
        </w:trPr>
        <w:tc>
          <w:tcPr>
            <w:tcW w:w="626" w:type="pct"/>
            <w:gridSpan w:val="2"/>
          </w:tcPr>
          <w:p w14:paraId="448E0C6F" w14:textId="77777777" w:rsidR="005F3049" w:rsidRPr="00D85CD0" w:rsidRDefault="005F3049" w:rsidP="00AD6C64">
            <w:pPr>
              <w:rPr>
                <w:rFonts w:ascii="Arial Narrow" w:hAnsi="Arial Narrow"/>
                <w:sz w:val="20"/>
                <w:szCs w:val="20"/>
              </w:rPr>
            </w:pPr>
          </w:p>
        </w:tc>
        <w:tc>
          <w:tcPr>
            <w:tcW w:w="4374" w:type="pct"/>
            <w:gridSpan w:val="6"/>
          </w:tcPr>
          <w:p w14:paraId="187FD89E" w14:textId="77777777" w:rsidR="005F3049" w:rsidRPr="00D85CD0" w:rsidRDefault="005F3049" w:rsidP="00AD6C64">
            <w:pPr>
              <w:rPr>
                <w:rFonts w:ascii="Arial Narrow" w:hAnsi="Arial Narrow"/>
                <w:sz w:val="20"/>
                <w:szCs w:val="20"/>
              </w:rPr>
            </w:pPr>
            <w:r w:rsidRPr="00D85CD0">
              <w:rPr>
                <w:rFonts w:ascii="Arial Narrow" w:hAnsi="Arial Narrow" w:cs="Open Sans"/>
                <w:b/>
                <w:bCs/>
                <w:sz w:val="20"/>
                <w:szCs w:val="20"/>
                <w:bdr w:val="none" w:sz="0" w:space="0" w:color="auto" w:frame="1"/>
              </w:rPr>
              <w:t>AND</w:t>
            </w:r>
          </w:p>
        </w:tc>
      </w:tr>
      <w:tr w:rsidR="005F3049" w:rsidRPr="00D85CD0" w14:paraId="42B49B12" w14:textId="77777777" w:rsidTr="00A861E6">
        <w:tblPrEx>
          <w:tblCellMar>
            <w:top w:w="15" w:type="dxa"/>
            <w:bottom w:w="15" w:type="dxa"/>
          </w:tblCellMar>
        </w:tblPrEx>
        <w:trPr>
          <w:cantSplit/>
          <w:trHeight w:val="20"/>
        </w:trPr>
        <w:tc>
          <w:tcPr>
            <w:tcW w:w="626" w:type="pct"/>
            <w:gridSpan w:val="2"/>
          </w:tcPr>
          <w:p w14:paraId="23C8C332" w14:textId="3520B04B" w:rsidR="005F3049" w:rsidRPr="00D85CD0" w:rsidRDefault="005F3049" w:rsidP="00AD6C64">
            <w:pPr>
              <w:rPr>
                <w:rFonts w:ascii="Arial Narrow" w:hAnsi="Arial Narrow"/>
                <w:sz w:val="20"/>
                <w:szCs w:val="20"/>
              </w:rPr>
            </w:pPr>
          </w:p>
        </w:tc>
        <w:tc>
          <w:tcPr>
            <w:tcW w:w="4374" w:type="pct"/>
            <w:gridSpan w:val="6"/>
          </w:tcPr>
          <w:p w14:paraId="67F525B6" w14:textId="77777777" w:rsidR="005F3049" w:rsidRPr="00D85CD0" w:rsidRDefault="005F3049" w:rsidP="00AD6C64">
            <w:pPr>
              <w:rPr>
                <w:rFonts w:ascii="Arial Narrow" w:hAnsi="Arial Narrow"/>
                <w:sz w:val="20"/>
                <w:szCs w:val="20"/>
              </w:rPr>
            </w:pPr>
            <w:r w:rsidRPr="00D85CD0">
              <w:rPr>
                <w:rFonts w:ascii="Arial Narrow" w:hAnsi="Arial Narrow" w:cs="Open Sans"/>
                <w:b/>
                <w:bCs/>
                <w:sz w:val="20"/>
                <w:szCs w:val="20"/>
                <w:bdr w:val="none" w:sz="0" w:space="0" w:color="auto" w:frame="1"/>
              </w:rPr>
              <w:t>Clinical criteria:</w:t>
            </w:r>
          </w:p>
        </w:tc>
      </w:tr>
      <w:tr w:rsidR="005F3049" w:rsidRPr="00D85CD0" w14:paraId="6820C3C2" w14:textId="77777777" w:rsidTr="00A861E6">
        <w:tblPrEx>
          <w:tblCellMar>
            <w:top w:w="15" w:type="dxa"/>
            <w:bottom w:w="15" w:type="dxa"/>
          </w:tblCellMar>
        </w:tblPrEx>
        <w:trPr>
          <w:cantSplit/>
          <w:trHeight w:val="20"/>
        </w:trPr>
        <w:tc>
          <w:tcPr>
            <w:tcW w:w="626" w:type="pct"/>
            <w:gridSpan w:val="2"/>
          </w:tcPr>
          <w:p w14:paraId="25ADE738" w14:textId="4217EC90" w:rsidR="005F3049" w:rsidRPr="00D85CD0" w:rsidRDefault="005F3049" w:rsidP="00AD6C64">
            <w:pPr>
              <w:rPr>
                <w:rFonts w:ascii="Arial Narrow" w:hAnsi="Arial Narrow"/>
                <w:sz w:val="20"/>
                <w:szCs w:val="20"/>
              </w:rPr>
            </w:pPr>
          </w:p>
        </w:tc>
        <w:tc>
          <w:tcPr>
            <w:tcW w:w="4374" w:type="pct"/>
            <w:gridSpan w:val="6"/>
          </w:tcPr>
          <w:p w14:paraId="1B8C157B" w14:textId="77777777" w:rsidR="005F3049" w:rsidRPr="00D85CD0" w:rsidRDefault="005F3049" w:rsidP="00AD6C64">
            <w:pPr>
              <w:rPr>
                <w:rFonts w:ascii="Arial Narrow" w:hAnsi="Arial Narrow"/>
                <w:sz w:val="20"/>
                <w:szCs w:val="20"/>
              </w:rPr>
            </w:pPr>
            <w:r w:rsidRPr="00D85CD0">
              <w:rPr>
                <w:rFonts w:ascii="Arial Narrow" w:hAnsi="Arial Narrow" w:cs="Open Sans"/>
                <w:sz w:val="20"/>
                <w:szCs w:val="20"/>
              </w:rPr>
              <w:t>Patient must have eosinophilic infiltration of the oesophagus, demonstrated by oesophageal biopsy specimens obtained by endoscopy confirming the presence of at least 15 eosinophils in at least one high power field (hpf); corresponding to approximately 60 eosinophils per mm</w:t>
            </w:r>
            <w:r w:rsidRPr="00D85CD0">
              <w:rPr>
                <w:rFonts w:ascii="Arial Narrow" w:hAnsi="Arial Narrow" w:cs="Open Sans"/>
                <w:sz w:val="20"/>
                <w:szCs w:val="20"/>
                <w:vertAlign w:val="superscript"/>
              </w:rPr>
              <w:t>2</w:t>
            </w:r>
            <w:r w:rsidRPr="00D85CD0">
              <w:rPr>
                <w:rFonts w:ascii="Arial Narrow" w:hAnsi="Arial Narrow" w:cs="Open Sans"/>
                <w:sz w:val="20"/>
                <w:szCs w:val="20"/>
              </w:rPr>
              <w:t xml:space="preserve"> hpf</w:t>
            </w:r>
          </w:p>
        </w:tc>
      </w:tr>
      <w:tr w:rsidR="005F3049" w:rsidRPr="00D85CD0" w14:paraId="58769506" w14:textId="77777777" w:rsidTr="00A861E6">
        <w:tblPrEx>
          <w:tblCellMar>
            <w:top w:w="15" w:type="dxa"/>
            <w:bottom w:w="15" w:type="dxa"/>
          </w:tblCellMar>
        </w:tblPrEx>
        <w:trPr>
          <w:cantSplit/>
          <w:trHeight w:val="20"/>
        </w:trPr>
        <w:tc>
          <w:tcPr>
            <w:tcW w:w="626" w:type="pct"/>
            <w:gridSpan w:val="2"/>
          </w:tcPr>
          <w:p w14:paraId="4C02CC88" w14:textId="77777777" w:rsidR="005F3049" w:rsidRPr="00D85CD0" w:rsidRDefault="005F3049" w:rsidP="00AD6C64">
            <w:pPr>
              <w:rPr>
                <w:rFonts w:ascii="Arial Narrow" w:hAnsi="Arial Narrow"/>
                <w:sz w:val="20"/>
                <w:szCs w:val="20"/>
              </w:rPr>
            </w:pPr>
          </w:p>
        </w:tc>
        <w:tc>
          <w:tcPr>
            <w:tcW w:w="4374" w:type="pct"/>
            <w:gridSpan w:val="6"/>
          </w:tcPr>
          <w:p w14:paraId="226D5C31" w14:textId="77777777" w:rsidR="005F3049" w:rsidRPr="00D85CD0" w:rsidRDefault="005F3049" w:rsidP="00AD6C64">
            <w:pPr>
              <w:rPr>
                <w:rFonts w:ascii="Arial Narrow" w:hAnsi="Arial Narrow"/>
                <w:sz w:val="20"/>
                <w:szCs w:val="20"/>
              </w:rPr>
            </w:pPr>
            <w:r w:rsidRPr="00D85CD0">
              <w:rPr>
                <w:rFonts w:ascii="Arial Narrow" w:hAnsi="Arial Narrow" w:cs="Open Sans"/>
                <w:b/>
                <w:bCs/>
                <w:sz w:val="20"/>
                <w:szCs w:val="20"/>
                <w:bdr w:val="none" w:sz="0" w:space="0" w:color="auto" w:frame="1"/>
              </w:rPr>
              <w:t>AND</w:t>
            </w:r>
          </w:p>
        </w:tc>
      </w:tr>
      <w:tr w:rsidR="005F3049" w:rsidRPr="00D85CD0" w14:paraId="5E8A687C" w14:textId="77777777" w:rsidTr="00A861E6">
        <w:tblPrEx>
          <w:tblCellMar>
            <w:top w:w="15" w:type="dxa"/>
            <w:bottom w:w="15" w:type="dxa"/>
          </w:tblCellMar>
        </w:tblPrEx>
        <w:trPr>
          <w:cantSplit/>
          <w:trHeight w:val="20"/>
        </w:trPr>
        <w:tc>
          <w:tcPr>
            <w:tcW w:w="626" w:type="pct"/>
            <w:gridSpan w:val="2"/>
          </w:tcPr>
          <w:p w14:paraId="583FDD1F" w14:textId="2ADB1672" w:rsidR="005F3049" w:rsidRPr="00D85CD0" w:rsidRDefault="005F3049" w:rsidP="00AD6C64">
            <w:pPr>
              <w:rPr>
                <w:rFonts w:ascii="Arial Narrow" w:hAnsi="Arial Narrow"/>
                <w:sz w:val="20"/>
                <w:szCs w:val="20"/>
              </w:rPr>
            </w:pPr>
          </w:p>
        </w:tc>
        <w:tc>
          <w:tcPr>
            <w:tcW w:w="4374" w:type="pct"/>
            <w:gridSpan w:val="6"/>
          </w:tcPr>
          <w:p w14:paraId="2512D537" w14:textId="77777777" w:rsidR="005F3049" w:rsidRPr="00D85CD0" w:rsidRDefault="005F3049" w:rsidP="00AD6C64">
            <w:pPr>
              <w:rPr>
                <w:rFonts w:ascii="Arial Narrow" w:hAnsi="Arial Narrow"/>
                <w:sz w:val="20"/>
                <w:szCs w:val="20"/>
              </w:rPr>
            </w:pPr>
            <w:r w:rsidRPr="00D85CD0">
              <w:rPr>
                <w:rFonts w:ascii="Arial Narrow" w:hAnsi="Arial Narrow" w:cs="Open Sans"/>
                <w:b/>
                <w:bCs/>
                <w:sz w:val="20"/>
                <w:szCs w:val="20"/>
                <w:bdr w:val="none" w:sz="0" w:space="0" w:color="auto" w:frame="1"/>
              </w:rPr>
              <w:t>Clinical criteria:</w:t>
            </w:r>
          </w:p>
        </w:tc>
      </w:tr>
      <w:tr w:rsidR="005F3049" w:rsidRPr="00D85CD0" w14:paraId="7B5F5B92" w14:textId="77777777" w:rsidTr="00A861E6">
        <w:tblPrEx>
          <w:tblCellMar>
            <w:top w:w="15" w:type="dxa"/>
            <w:bottom w:w="15" w:type="dxa"/>
          </w:tblCellMar>
        </w:tblPrEx>
        <w:trPr>
          <w:cantSplit/>
          <w:trHeight w:val="20"/>
        </w:trPr>
        <w:tc>
          <w:tcPr>
            <w:tcW w:w="626" w:type="pct"/>
            <w:gridSpan w:val="2"/>
          </w:tcPr>
          <w:p w14:paraId="7ED73E27" w14:textId="31F8EDDB" w:rsidR="005F3049" w:rsidRPr="00D85CD0" w:rsidRDefault="005F3049" w:rsidP="00AD6C64">
            <w:pPr>
              <w:rPr>
                <w:rFonts w:ascii="Arial Narrow" w:hAnsi="Arial Narrow"/>
                <w:sz w:val="20"/>
                <w:szCs w:val="20"/>
              </w:rPr>
            </w:pPr>
          </w:p>
        </w:tc>
        <w:tc>
          <w:tcPr>
            <w:tcW w:w="4374" w:type="pct"/>
            <w:gridSpan w:val="6"/>
          </w:tcPr>
          <w:p w14:paraId="22784798" w14:textId="77777777" w:rsidR="005F3049" w:rsidRPr="00D85CD0" w:rsidRDefault="005F3049" w:rsidP="00AD6C64">
            <w:pPr>
              <w:rPr>
                <w:rFonts w:ascii="Arial Narrow" w:hAnsi="Arial Narrow"/>
                <w:sz w:val="20"/>
                <w:szCs w:val="20"/>
              </w:rPr>
            </w:pPr>
            <w:r w:rsidRPr="00D85CD0">
              <w:rPr>
                <w:rFonts w:ascii="Arial Narrow" w:hAnsi="Arial Narrow" w:cs="Open Sans"/>
                <w:sz w:val="20"/>
                <w:szCs w:val="20"/>
              </w:rPr>
              <w:t>Patient must not receive more than 90 days of treatment under this restriction</w:t>
            </w:r>
          </w:p>
        </w:tc>
      </w:tr>
      <w:tr w:rsidR="005F3049" w:rsidRPr="00D85CD0" w14:paraId="3A43E307" w14:textId="77777777" w:rsidTr="00A861E6">
        <w:tblPrEx>
          <w:tblCellMar>
            <w:top w:w="15" w:type="dxa"/>
            <w:bottom w:w="15" w:type="dxa"/>
          </w:tblCellMar>
          <w:tblLook w:val="04A0" w:firstRow="1" w:lastRow="0" w:firstColumn="1" w:lastColumn="0" w:noHBand="0" w:noVBand="1"/>
        </w:tblPrEx>
        <w:trPr>
          <w:cantSplit/>
          <w:trHeight w:val="20"/>
        </w:trPr>
        <w:tc>
          <w:tcPr>
            <w:tcW w:w="626" w:type="pct"/>
            <w:gridSpan w:val="2"/>
          </w:tcPr>
          <w:p w14:paraId="1448E993" w14:textId="77777777" w:rsidR="005F3049" w:rsidRPr="00D85CD0" w:rsidRDefault="005F3049" w:rsidP="00AD6C64">
            <w:pPr>
              <w:rPr>
                <w:rFonts w:ascii="Arial Narrow" w:hAnsi="Arial Narrow" w:cs="Open Sans"/>
                <w:sz w:val="20"/>
                <w:szCs w:val="20"/>
              </w:rPr>
            </w:pPr>
          </w:p>
        </w:tc>
        <w:tc>
          <w:tcPr>
            <w:tcW w:w="4374" w:type="pct"/>
            <w:gridSpan w:val="6"/>
          </w:tcPr>
          <w:p w14:paraId="4C3577DB" w14:textId="77777777" w:rsidR="005F3049" w:rsidRPr="00D85CD0" w:rsidRDefault="005F3049" w:rsidP="00AD6C64">
            <w:pPr>
              <w:rPr>
                <w:rFonts w:ascii="Arial Narrow" w:hAnsi="Arial Narrow" w:cs="Open Sans"/>
                <w:sz w:val="20"/>
                <w:szCs w:val="20"/>
              </w:rPr>
            </w:pPr>
          </w:p>
        </w:tc>
      </w:tr>
      <w:tr w:rsidR="005F3049" w:rsidRPr="00D85CD0" w14:paraId="1F285278" w14:textId="77777777" w:rsidTr="00A861E6">
        <w:tblPrEx>
          <w:tblCellMar>
            <w:top w:w="15" w:type="dxa"/>
            <w:bottom w:w="15" w:type="dxa"/>
          </w:tblCellMar>
        </w:tblPrEx>
        <w:trPr>
          <w:cantSplit/>
          <w:trHeight w:val="20"/>
        </w:trPr>
        <w:tc>
          <w:tcPr>
            <w:tcW w:w="626" w:type="pct"/>
            <w:gridSpan w:val="2"/>
          </w:tcPr>
          <w:p w14:paraId="59694E8C" w14:textId="35C9A740" w:rsidR="005F3049" w:rsidRPr="00D85CD0" w:rsidRDefault="005F3049" w:rsidP="00AD6C64">
            <w:pPr>
              <w:keepNext/>
              <w:rPr>
                <w:rFonts w:ascii="Arial Narrow" w:hAnsi="Arial Narrow" w:cs="Open Sans"/>
                <w:sz w:val="20"/>
                <w:szCs w:val="20"/>
              </w:rPr>
            </w:pPr>
          </w:p>
        </w:tc>
        <w:tc>
          <w:tcPr>
            <w:tcW w:w="4374" w:type="pct"/>
            <w:gridSpan w:val="6"/>
          </w:tcPr>
          <w:p w14:paraId="37F723E1" w14:textId="77777777" w:rsidR="005F3049" w:rsidRPr="00D85CD0" w:rsidRDefault="005F3049" w:rsidP="00AD6C64">
            <w:pPr>
              <w:keepNext/>
              <w:rPr>
                <w:rFonts w:ascii="Arial Narrow" w:hAnsi="Arial Narrow"/>
                <w:sz w:val="20"/>
                <w:szCs w:val="20"/>
              </w:rPr>
            </w:pPr>
            <w:r w:rsidRPr="00D85CD0">
              <w:rPr>
                <w:rFonts w:ascii="Arial Narrow" w:hAnsi="Arial Narrow" w:cs="Open Sans"/>
                <w:b/>
                <w:bCs/>
                <w:sz w:val="20"/>
                <w:szCs w:val="20"/>
                <w:bdr w:val="none" w:sz="0" w:space="0" w:color="auto" w:frame="1"/>
              </w:rPr>
              <w:t>Treatment criteria:</w:t>
            </w:r>
          </w:p>
        </w:tc>
      </w:tr>
      <w:tr w:rsidR="005F3049" w:rsidRPr="00D85CD0" w14:paraId="6CDA283B" w14:textId="77777777" w:rsidTr="00A861E6">
        <w:tblPrEx>
          <w:tblCellMar>
            <w:top w:w="15" w:type="dxa"/>
            <w:bottom w:w="15" w:type="dxa"/>
          </w:tblCellMar>
        </w:tblPrEx>
        <w:trPr>
          <w:cantSplit/>
          <w:trHeight w:val="20"/>
        </w:trPr>
        <w:tc>
          <w:tcPr>
            <w:tcW w:w="626" w:type="pct"/>
            <w:gridSpan w:val="2"/>
          </w:tcPr>
          <w:p w14:paraId="70C566A4" w14:textId="77777777" w:rsidR="005F3049" w:rsidRPr="00D85CD0" w:rsidRDefault="005F3049" w:rsidP="00AD6C64">
            <w:pPr>
              <w:rPr>
                <w:rFonts w:ascii="Arial Narrow" w:hAnsi="Arial Narrow" w:cs="Open Sans"/>
                <w:strike/>
                <w:sz w:val="20"/>
                <w:szCs w:val="20"/>
              </w:rPr>
            </w:pPr>
          </w:p>
        </w:tc>
        <w:tc>
          <w:tcPr>
            <w:tcW w:w="4374" w:type="pct"/>
            <w:gridSpan w:val="6"/>
          </w:tcPr>
          <w:p w14:paraId="5FFFA141" w14:textId="77777777" w:rsidR="005F3049" w:rsidRPr="001B7DE8" w:rsidRDefault="005F3049" w:rsidP="00AD6C64">
            <w:pPr>
              <w:autoSpaceDE w:val="0"/>
              <w:autoSpaceDN w:val="0"/>
              <w:adjustRightInd w:val="0"/>
              <w:rPr>
                <w:rFonts w:ascii="Arial Narrow" w:hAnsi="Arial Narrow" w:cs="Arial Narrow"/>
                <w:i/>
                <w:iCs/>
                <w:sz w:val="20"/>
                <w:szCs w:val="20"/>
              </w:rPr>
            </w:pPr>
            <w:r w:rsidRPr="001B7DE8">
              <w:rPr>
                <w:rFonts w:ascii="Arial Narrow" w:hAnsi="Arial Narrow" w:cs="Open Sans"/>
                <w:i/>
                <w:iCs/>
                <w:sz w:val="20"/>
                <w:szCs w:val="20"/>
              </w:rPr>
              <w:t>Must be treated by at least one of: (i) gastroenterologist, (ii) surgeon experienced in the management of patients with eosinophilic oesophagitis, (iii) physician experienced in the management of patients with eosinophilic oesophagitis.</w:t>
            </w:r>
          </w:p>
        </w:tc>
      </w:tr>
      <w:tr w:rsidR="005F3049" w:rsidRPr="00D85CD0" w14:paraId="08BEB724" w14:textId="77777777" w:rsidTr="00A861E6">
        <w:tblPrEx>
          <w:tblCellMar>
            <w:top w:w="15" w:type="dxa"/>
            <w:bottom w:w="15" w:type="dxa"/>
          </w:tblCellMar>
          <w:tblLook w:val="04A0" w:firstRow="1" w:lastRow="0" w:firstColumn="1" w:lastColumn="0" w:noHBand="0" w:noVBand="1"/>
        </w:tblPrEx>
        <w:trPr>
          <w:cantSplit/>
          <w:trHeight w:val="20"/>
        </w:trPr>
        <w:tc>
          <w:tcPr>
            <w:tcW w:w="626" w:type="pct"/>
            <w:gridSpan w:val="2"/>
          </w:tcPr>
          <w:p w14:paraId="084655AD" w14:textId="77777777" w:rsidR="005F3049" w:rsidRPr="00D85CD0" w:rsidRDefault="005F3049" w:rsidP="00AD6C64">
            <w:pPr>
              <w:rPr>
                <w:rFonts w:ascii="Arial Narrow" w:hAnsi="Arial Narrow" w:cs="Open Sans"/>
                <w:sz w:val="20"/>
                <w:szCs w:val="20"/>
              </w:rPr>
            </w:pPr>
          </w:p>
        </w:tc>
        <w:tc>
          <w:tcPr>
            <w:tcW w:w="4374" w:type="pct"/>
            <w:gridSpan w:val="6"/>
          </w:tcPr>
          <w:p w14:paraId="0D51733E" w14:textId="77777777" w:rsidR="005F3049" w:rsidRPr="00D85CD0" w:rsidRDefault="005F3049" w:rsidP="00AD6C64">
            <w:pPr>
              <w:autoSpaceDE w:val="0"/>
              <w:autoSpaceDN w:val="0"/>
              <w:adjustRightInd w:val="0"/>
              <w:rPr>
                <w:rFonts w:ascii="Arial Narrow" w:hAnsi="Arial Narrow" w:cs="Open Sans"/>
                <w:sz w:val="20"/>
                <w:szCs w:val="20"/>
              </w:rPr>
            </w:pPr>
          </w:p>
        </w:tc>
      </w:tr>
      <w:tr w:rsidR="005F3049" w:rsidRPr="00D85CD0" w14:paraId="5B1A806F" w14:textId="77777777" w:rsidTr="00A861E6">
        <w:tblPrEx>
          <w:tblCellMar>
            <w:top w:w="15" w:type="dxa"/>
            <w:bottom w:w="15" w:type="dxa"/>
          </w:tblCellMar>
        </w:tblPrEx>
        <w:trPr>
          <w:cantSplit/>
          <w:trHeight w:val="20"/>
        </w:trPr>
        <w:tc>
          <w:tcPr>
            <w:tcW w:w="626" w:type="pct"/>
            <w:gridSpan w:val="2"/>
          </w:tcPr>
          <w:p w14:paraId="17849A9A" w14:textId="1422210A" w:rsidR="005F3049" w:rsidRPr="00D85CD0" w:rsidRDefault="005F3049" w:rsidP="00AD6C64">
            <w:pPr>
              <w:rPr>
                <w:rFonts w:ascii="Arial Narrow" w:hAnsi="Arial Narrow"/>
                <w:sz w:val="20"/>
                <w:szCs w:val="20"/>
              </w:rPr>
            </w:pPr>
          </w:p>
        </w:tc>
        <w:tc>
          <w:tcPr>
            <w:tcW w:w="4374" w:type="pct"/>
            <w:gridSpan w:val="6"/>
          </w:tcPr>
          <w:p w14:paraId="552BB41A"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b/>
                <w:bCs/>
                <w:sz w:val="20"/>
                <w:szCs w:val="20"/>
                <w:bdr w:val="none" w:sz="0" w:space="0" w:color="auto" w:frame="1"/>
              </w:rPr>
              <w:t>Prescribing Instructions:</w:t>
            </w:r>
          </w:p>
          <w:p w14:paraId="08A91F18" w14:textId="77777777" w:rsidR="005F3049" w:rsidRPr="00D85CD0" w:rsidRDefault="005F3049" w:rsidP="00AD6C64">
            <w:pPr>
              <w:autoSpaceDE w:val="0"/>
              <w:autoSpaceDN w:val="0"/>
              <w:adjustRightInd w:val="0"/>
              <w:rPr>
                <w:rFonts w:ascii="Arial Narrow" w:hAnsi="Arial Narrow" w:cs="Arial Narrow"/>
                <w:i/>
                <w:iCs/>
                <w:sz w:val="20"/>
                <w:szCs w:val="20"/>
              </w:rPr>
            </w:pPr>
            <w:r w:rsidRPr="00D85CD0">
              <w:rPr>
                <w:rFonts w:ascii="Arial Narrow" w:hAnsi="Arial Narrow" w:cs="Open Sans"/>
                <w:sz w:val="20"/>
                <w:szCs w:val="20"/>
              </w:rPr>
              <w:t>Applications for treatment of this condition must be received within 12 weeks of biopsy.</w:t>
            </w:r>
          </w:p>
        </w:tc>
      </w:tr>
      <w:tr w:rsidR="005F3049" w:rsidRPr="00D85CD0" w14:paraId="461A98E7" w14:textId="77777777" w:rsidTr="00A861E6">
        <w:tblPrEx>
          <w:tblCellMar>
            <w:top w:w="15" w:type="dxa"/>
            <w:bottom w:w="15" w:type="dxa"/>
          </w:tblCellMar>
        </w:tblPrEx>
        <w:trPr>
          <w:cantSplit/>
          <w:trHeight w:val="20"/>
        </w:trPr>
        <w:tc>
          <w:tcPr>
            <w:tcW w:w="626" w:type="pct"/>
            <w:gridSpan w:val="2"/>
          </w:tcPr>
          <w:p w14:paraId="22BDFC51" w14:textId="7C5A277D" w:rsidR="005F3049" w:rsidRPr="00D85CD0" w:rsidRDefault="005F3049" w:rsidP="00AD6C64">
            <w:pPr>
              <w:rPr>
                <w:rFonts w:ascii="Arial Narrow" w:hAnsi="Arial Narrow"/>
                <w:sz w:val="20"/>
                <w:szCs w:val="20"/>
              </w:rPr>
            </w:pPr>
          </w:p>
        </w:tc>
        <w:tc>
          <w:tcPr>
            <w:tcW w:w="4374" w:type="pct"/>
            <w:gridSpan w:val="6"/>
          </w:tcPr>
          <w:p w14:paraId="6D8568AB"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b/>
                <w:bCs/>
                <w:sz w:val="20"/>
                <w:szCs w:val="20"/>
                <w:bdr w:val="none" w:sz="0" w:space="0" w:color="auto" w:frame="1"/>
              </w:rPr>
              <w:t>Prescribing Instructions:</w:t>
            </w:r>
          </w:p>
          <w:p w14:paraId="320D5FA2"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Symptoms of oesophageal dysfunction include at least one of the following: dysphasia, odynophagia, transient or self-cleared food impaction, chest pain, epigastric discomfort, vomiting/regurgitation.</w:t>
            </w:r>
          </w:p>
        </w:tc>
      </w:tr>
      <w:tr w:rsidR="005F3049" w:rsidRPr="00D85CD0" w14:paraId="4E03D957" w14:textId="77777777" w:rsidTr="00A861E6">
        <w:tblPrEx>
          <w:tblCellMar>
            <w:top w:w="15" w:type="dxa"/>
            <w:bottom w:w="15" w:type="dxa"/>
          </w:tblCellMar>
        </w:tblPrEx>
        <w:trPr>
          <w:cantSplit/>
          <w:trHeight w:val="20"/>
        </w:trPr>
        <w:tc>
          <w:tcPr>
            <w:tcW w:w="626" w:type="pct"/>
            <w:gridSpan w:val="2"/>
          </w:tcPr>
          <w:p w14:paraId="1A0C2F98" w14:textId="77777777" w:rsidR="005F3049" w:rsidRPr="00D85CD0" w:rsidRDefault="005F3049" w:rsidP="00AD6C64">
            <w:pPr>
              <w:rPr>
                <w:rFonts w:ascii="Arial Narrow" w:hAnsi="Arial Narrow"/>
                <w:sz w:val="20"/>
                <w:szCs w:val="20"/>
              </w:rPr>
            </w:pPr>
          </w:p>
        </w:tc>
        <w:tc>
          <w:tcPr>
            <w:tcW w:w="4374" w:type="pct"/>
            <w:gridSpan w:val="6"/>
          </w:tcPr>
          <w:p w14:paraId="608A98DB"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b/>
                <w:bCs/>
                <w:sz w:val="20"/>
                <w:szCs w:val="20"/>
                <w:bdr w:val="none" w:sz="0" w:space="0" w:color="auto" w:frame="1"/>
              </w:rPr>
              <w:t>Prescribing Instructions:</w:t>
            </w:r>
          </w:p>
          <w:p w14:paraId="40170411"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 xml:space="preserve">Diagnostic sensitivity increases with the number of biopsies and </w:t>
            </w:r>
            <w:r w:rsidRPr="00395B70">
              <w:rPr>
                <w:rFonts w:ascii="Arial Narrow" w:hAnsi="Arial Narrow" w:cs="Open Sans"/>
                <w:i/>
                <w:iCs/>
                <w:sz w:val="20"/>
                <w:szCs w:val="20"/>
              </w:rPr>
              <w:t>can be</w:t>
            </w:r>
            <w:r w:rsidRPr="00D85CD0">
              <w:rPr>
                <w:rFonts w:ascii="Arial Narrow" w:hAnsi="Arial Narrow" w:cs="Open Sans"/>
                <w:sz w:val="20"/>
                <w:szCs w:val="20"/>
              </w:rPr>
              <w:t xml:space="preserve"> optimised, </w:t>
            </w:r>
            <w:r w:rsidRPr="00395B70">
              <w:rPr>
                <w:rFonts w:ascii="Arial Narrow" w:hAnsi="Arial Narrow" w:cs="Open Sans"/>
                <w:i/>
                <w:iCs/>
                <w:sz w:val="20"/>
                <w:szCs w:val="20"/>
              </w:rPr>
              <w:t>where necessary</w:t>
            </w:r>
            <w:r w:rsidRPr="00D85CD0">
              <w:rPr>
                <w:rFonts w:ascii="Arial Narrow" w:hAnsi="Arial Narrow" w:cs="Open Sans"/>
                <w:sz w:val="20"/>
                <w:szCs w:val="20"/>
              </w:rPr>
              <w:t>, by taking at least eight biopsies (minimum of four collected from each of the mid and distal segments, with the distal segment biopsies taken at least 5 cm above the gastroesophageal junction).</w:t>
            </w:r>
          </w:p>
        </w:tc>
      </w:tr>
      <w:tr w:rsidR="005F3049" w:rsidRPr="00D85CD0" w14:paraId="450955A4" w14:textId="77777777" w:rsidTr="00A861E6">
        <w:tblPrEx>
          <w:tblCellMar>
            <w:top w:w="15" w:type="dxa"/>
            <w:bottom w:w="15" w:type="dxa"/>
          </w:tblCellMar>
        </w:tblPrEx>
        <w:trPr>
          <w:cantSplit/>
          <w:trHeight w:val="20"/>
        </w:trPr>
        <w:tc>
          <w:tcPr>
            <w:tcW w:w="626" w:type="pct"/>
            <w:gridSpan w:val="2"/>
          </w:tcPr>
          <w:p w14:paraId="04B5BE4B" w14:textId="29A9E2B8" w:rsidR="005F3049" w:rsidRPr="00D85CD0" w:rsidRDefault="005F3049" w:rsidP="00AD6C64">
            <w:pPr>
              <w:rPr>
                <w:rFonts w:ascii="Arial Narrow" w:hAnsi="Arial Narrow"/>
                <w:strike/>
                <w:sz w:val="20"/>
                <w:szCs w:val="20"/>
              </w:rPr>
            </w:pPr>
          </w:p>
        </w:tc>
        <w:tc>
          <w:tcPr>
            <w:tcW w:w="4374" w:type="pct"/>
            <w:gridSpan w:val="6"/>
          </w:tcPr>
          <w:p w14:paraId="4B51F500" w14:textId="77777777" w:rsidR="005F3049" w:rsidRPr="00D85CD0" w:rsidRDefault="005F3049" w:rsidP="00AD6C64">
            <w:pPr>
              <w:jc w:val="left"/>
              <w:textAlignment w:val="baseline"/>
              <w:rPr>
                <w:rFonts w:ascii="Arial Narrow" w:hAnsi="Arial Narrow" w:cs="Open Sans"/>
                <w:strike/>
                <w:sz w:val="20"/>
                <w:szCs w:val="20"/>
              </w:rPr>
            </w:pPr>
            <w:r w:rsidRPr="00D85CD0">
              <w:rPr>
                <w:rFonts w:ascii="Arial Narrow" w:hAnsi="Arial Narrow" w:cs="Open Sans"/>
                <w:b/>
                <w:bCs/>
                <w:strike/>
                <w:sz w:val="20"/>
                <w:szCs w:val="20"/>
                <w:bdr w:val="none" w:sz="0" w:space="0" w:color="auto" w:frame="1"/>
              </w:rPr>
              <w:t>Prescribing Instructions:</w:t>
            </w:r>
          </w:p>
          <w:p w14:paraId="2230CBDB" w14:textId="77777777" w:rsidR="005F3049" w:rsidRPr="00D85CD0" w:rsidRDefault="005F3049" w:rsidP="00AD6C64">
            <w:pPr>
              <w:rPr>
                <w:rFonts w:ascii="Arial Narrow" w:hAnsi="Arial Narrow"/>
                <w:strike/>
                <w:sz w:val="20"/>
                <w:szCs w:val="20"/>
              </w:rPr>
            </w:pPr>
            <w:r w:rsidRPr="00D85CD0">
              <w:rPr>
                <w:rFonts w:ascii="Arial Narrow" w:hAnsi="Arial Narrow" w:cs="Open Sans"/>
                <w:strike/>
                <w:sz w:val="20"/>
                <w:szCs w:val="20"/>
              </w:rPr>
              <w:t>A histologic assessment of the oesophageal biopsy should be planned for approximately 8 weeks after the initiation of the first PBS-subsidised treatment with this drug under this restriction, and no later than 2 weeks prior to the patient completing the PBS-subsidised initial treatment course, to determine the patient's eligibility for continuing therapy and to avoid an interruption to supply.</w:t>
            </w:r>
          </w:p>
        </w:tc>
      </w:tr>
      <w:tr w:rsidR="005F3049" w:rsidRPr="00D85CD0" w14:paraId="11E3F881" w14:textId="77777777" w:rsidTr="00A861E6">
        <w:tblPrEx>
          <w:tblCellMar>
            <w:top w:w="15" w:type="dxa"/>
            <w:bottom w:w="15" w:type="dxa"/>
          </w:tblCellMar>
        </w:tblPrEx>
        <w:trPr>
          <w:cantSplit/>
          <w:trHeight w:val="20"/>
        </w:trPr>
        <w:tc>
          <w:tcPr>
            <w:tcW w:w="626" w:type="pct"/>
            <w:gridSpan w:val="2"/>
          </w:tcPr>
          <w:p w14:paraId="1227608E" w14:textId="756B6D81" w:rsidR="005F3049" w:rsidRPr="00D85CD0" w:rsidRDefault="005F3049" w:rsidP="00AD6C64">
            <w:pPr>
              <w:rPr>
                <w:rFonts w:ascii="Arial Narrow" w:hAnsi="Arial Narrow" w:cs="Open Sans"/>
                <w:sz w:val="20"/>
                <w:szCs w:val="20"/>
              </w:rPr>
            </w:pPr>
          </w:p>
        </w:tc>
        <w:tc>
          <w:tcPr>
            <w:tcW w:w="4374" w:type="pct"/>
            <w:gridSpan w:val="6"/>
          </w:tcPr>
          <w:p w14:paraId="0BAFD140"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b/>
                <w:bCs/>
                <w:sz w:val="20"/>
                <w:szCs w:val="20"/>
                <w:bdr w:val="none" w:sz="0" w:space="0" w:color="auto" w:frame="1"/>
              </w:rPr>
              <w:t>Prescribing Instructions:</w:t>
            </w:r>
          </w:p>
          <w:p w14:paraId="72FB376C" w14:textId="77777777" w:rsidR="005F3049" w:rsidRPr="00395B70" w:rsidRDefault="005F3049" w:rsidP="00AD6C64">
            <w:pPr>
              <w:jc w:val="left"/>
              <w:textAlignment w:val="baseline"/>
              <w:rPr>
                <w:rFonts w:ascii="Arial Narrow" w:hAnsi="Arial Narrow" w:cs="Open Sans"/>
                <w:i/>
                <w:iCs/>
                <w:sz w:val="20"/>
                <w:szCs w:val="20"/>
                <w:bdr w:val="none" w:sz="0" w:space="0" w:color="auto" w:frame="1"/>
              </w:rPr>
            </w:pPr>
            <w:r w:rsidRPr="00395B70">
              <w:rPr>
                <w:rFonts w:ascii="Arial Narrow" w:hAnsi="Arial Narrow" w:cs="Open Sans"/>
                <w:i/>
                <w:iCs/>
                <w:sz w:val="20"/>
                <w:szCs w:val="20"/>
                <w:bdr w:val="none" w:sz="0" w:space="0" w:color="auto" w:frame="1"/>
              </w:rPr>
              <w:t xml:space="preserve">After prescribing the initial induction treatment with budesonide, a histologic assessment must be conducted </w:t>
            </w:r>
            <w:r w:rsidRPr="00682EBA">
              <w:rPr>
                <w:rFonts w:ascii="Arial Narrow" w:hAnsi="Arial Narrow" w:cs="Open Sans"/>
                <w:i/>
                <w:iCs/>
                <w:sz w:val="20"/>
                <w:szCs w:val="20"/>
                <w:bdr w:val="none" w:sz="0" w:space="0" w:color="auto" w:frame="1"/>
              </w:rPr>
              <w:t>within 4</w:t>
            </w:r>
            <w:r w:rsidRPr="00682EBA">
              <w:rPr>
                <w:rFonts w:ascii="Arial Narrow" w:hAnsi="Arial Narrow"/>
                <w:i/>
                <w:iCs/>
                <w:sz w:val="20"/>
                <w:szCs w:val="20"/>
                <w:bdr w:val="none" w:sz="0" w:space="0" w:color="auto" w:frame="1"/>
              </w:rPr>
              <w:t>8 weeks</w:t>
            </w:r>
            <w:r w:rsidRPr="00682EBA">
              <w:rPr>
                <w:rFonts w:ascii="Arial Narrow" w:hAnsi="Arial Narrow" w:cs="Open Sans"/>
                <w:i/>
                <w:iCs/>
                <w:sz w:val="20"/>
                <w:szCs w:val="20"/>
                <w:bdr w:val="none" w:sz="0" w:space="0" w:color="auto" w:frame="1"/>
              </w:rPr>
              <w:t xml:space="preserve"> of initiating treatment</w:t>
            </w:r>
            <w:r w:rsidRPr="00395B70">
              <w:rPr>
                <w:rFonts w:ascii="Arial Narrow" w:hAnsi="Arial Narrow" w:cs="Open Sans"/>
                <w:i/>
                <w:iCs/>
                <w:sz w:val="20"/>
                <w:szCs w:val="20"/>
                <w:bdr w:val="none" w:sz="0" w:space="0" w:color="auto" w:frame="1"/>
              </w:rPr>
              <w:t xml:space="preserve"> to determine the patient's eligibility for continuing therapy.</w:t>
            </w:r>
          </w:p>
          <w:p w14:paraId="2A8A2CC3" w14:textId="77777777" w:rsidR="005F3049" w:rsidRPr="00D85CD0" w:rsidRDefault="005F3049" w:rsidP="00AD6C64">
            <w:pPr>
              <w:jc w:val="left"/>
              <w:textAlignment w:val="baseline"/>
              <w:rPr>
                <w:rFonts w:ascii="Arial Narrow" w:hAnsi="Arial Narrow" w:cs="Open Sans"/>
                <w:b/>
                <w:bCs/>
                <w:i/>
                <w:iCs/>
                <w:sz w:val="20"/>
                <w:szCs w:val="20"/>
                <w:bdr w:val="none" w:sz="0" w:space="0" w:color="auto" w:frame="1"/>
              </w:rPr>
            </w:pPr>
            <w:r w:rsidRPr="00395B70">
              <w:rPr>
                <w:rFonts w:ascii="Arial Narrow" w:hAnsi="Arial Narrow" w:cs="Open Sans"/>
                <w:i/>
                <w:iCs/>
                <w:sz w:val="20"/>
                <w:szCs w:val="20"/>
                <w:bdr w:val="none" w:sz="0" w:space="0" w:color="auto" w:frame="1"/>
              </w:rPr>
              <w:t>The histologic assessment should be conducted no later than 2 weeks prior to completing the PBS subsidised first continuing maintenance treatment course to avoid an interruption of supply for</w:t>
            </w:r>
            <w:r>
              <w:rPr>
                <w:rFonts w:ascii="Arial Narrow" w:hAnsi="Arial Narrow" w:cs="Open Sans"/>
                <w:i/>
                <w:iCs/>
                <w:sz w:val="20"/>
                <w:szCs w:val="20"/>
                <w:bdr w:val="none" w:sz="0" w:space="0" w:color="auto" w:frame="1"/>
              </w:rPr>
              <w:t xml:space="preserve"> </w:t>
            </w:r>
            <w:r w:rsidRPr="00395B70">
              <w:rPr>
                <w:rFonts w:ascii="Arial Narrow" w:hAnsi="Arial Narrow" w:cs="Open Sans"/>
                <w:i/>
                <w:iCs/>
                <w:sz w:val="20"/>
                <w:szCs w:val="20"/>
                <w:bdr w:val="none" w:sz="0" w:space="0" w:color="auto" w:frame="1"/>
              </w:rPr>
              <w:t>continuing therapy.</w:t>
            </w:r>
          </w:p>
        </w:tc>
      </w:tr>
    </w:tbl>
    <w:p w14:paraId="71C12129" w14:textId="77777777" w:rsidR="005F3049" w:rsidRPr="00D85CD0" w:rsidRDefault="005F3049" w:rsidP="005F3049">
      <w:pPr>
        <w:jc w:val="left"/>
        <w:rPr>
          <w:rFonts w:eastAsia="Calibr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492"/>
        <w:gridCol w:w="3307"/>
        <w:gridCol w:w="893"/>
        <w:gridCol w:w="1039"/>
        <w:gridCol w:w="857"/>
        <w:gridCol w:w="853"/>
        <w:gridCol w:w="939"/>
      </w:tblGrid>
      <w:tr w:rsidR="005F3049" w:rsidRPr="00D85CD0" w14:paraId="3E1D3D4F" w14:textId="77777777" w:rsidTr="00AD6C64">
        <w:trPr>
          <w:cantSplit/>
          <w:trHeight w:val="471"/>
        </w:trPr>
        <w:tc>
          <w:tcPr>
            <w:tcW w:w="2460" w:type="pct"/>
            <w:gridSpan w:val="3"/>
          </w:tcPr>
          <w:p w14:paraId="192219DC" w14:textId="77777777" w:rsidR="005F3049" w:rsidRPr="00D85CD0" w:rsidRDefault="005F3049" w:rsidP="00AD6C64">
            <w:pPr>
              <w:keepNext/>
              <w:ind w:left="-108"/>
              <w:rPr>
                <w:rFonts w:ascii="Arial Narrow" w:hAnsi="Arial Narrow" w:cs="Arial"/>
                <w:b/>
                <w:bCs/>
                <w:sz w:val="20"/>
                <w:szCs w:val="20"/>
              </w:rPr>
            </w:pPr>
            <w:r w:rsidRPr="00D85CD0">
              <w:rPr>
                <w:rFonts w:ascii="Arial Narrow" w:hAnsi="Arial Narrow" w:cs="Arial"/>
                <w:b/>
                <w:bCs/>
                <w:sz w:val="20"/>
                <w:szCs w:val="20"/>
              </w:rPr>
              <w:t>MEDICINAL PRODUCT</w:t>
            </w:r>
          </w:p>
          <w:p w14:paraId="4C46B90E" w14:textId="77777777" w:rsidR="005F3049" w:rsidRPr="00D85CD0" w:rsidRDefault="005F3049" w:rsidP="00AD6C64">
            <w:pPr>
              <w:keepNext/>
              <w:ind w:left="-108"/>
              <w:rPr>
                <w:rFonts w:ascii="Arial Narrow" w:hAnsi="Arial Narrow" w:cs="Arial"/>
                <w:b/>
                <w:sz w:val="20"/>
                <w:szCs w:val="20"/>
              </w:rPr>
            </w:pPr>
            <w:r w:rsidRPr="00D85CD0">
              <w:rPr>
                <w:rFonts w:ascii="Arial Narrow" w:hAnsi="Arial Narrow" w:cs="Arial"/>
                <w:b/>
                <w:bCs/>
                <w:sz w:val="20"/>
                <w:szCs w:val="20"/>
              </w:rPr>
              <w:t xml:space="preserve"> Medicinal Product Pack</w:t>
            </w:r>
          </w:p>
        </w:tc>
        <w:tc>
          <w:tcPr>
            <w:tcW w:w="495" w:type="pct"/>
          </w:tcPr>
          <w:p w14:paraId="50362766"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PBS item code</w:t>
            </w:r>
          </w:p>
        </w:tc>
        <w:tc>
          <w:tcPr>
            <w:tcW w:w="576" w:type="pct"/>
          </w:tcPr>
          <w:p w14:paraId="489261AD"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Max. qty packs</w:t>
            </w:r>
          </w:p>
        </w:tc>
        <w:tc>
          <w:tcPr>
            <w:tcW w:w="475" w:type="pct"/>
          </w:tcPr>
          <w:p w14:paraId="32B9F9B9"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Max. qty units</w:t>
            </w:r>
          </w:p>
        </w:tc>
        <w:tc>
          <w:tcPr>
            <w:tcW w:w="473" w:type="pct"/>
          </w:tcPr>
          <w:p w14:paraId="23ADF9D0"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№.of</w:t>
            </w:r>
          </w:p>
          <w:p w14:paraId="64555E9A"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Rpts</w:t>
            </w:r>
          </w:p>
        </w:tc>
        <w:tc>
          <w:tcPr>
            <w:tcW w:w="521" w:type="pct"/>
          </w:tcPr>
          <w:p w14:paraId="3A1B2312" w14:textId="77777777" w:rsidR="005F3049" w:rsidRPr="00C80B03" w:rsidRDefault="005F3049" w:rsidP="00AD6C64">
            <w:pPr>
              <w:keepNext/>
              <w:rPr>
                <w:rFonts w:ascii="Arial Narrow" w:hAnsi="Arial Narrow" w:cs="Arial"/>
                <w:b/>
                <w:sz w:val="20"/>
                <w:szCs w:val="20"/>
              </w:rPr>
            </w:pPr>
            <w:r w:rsidRPr="00D85CD0">
              <w:rPr>
                <w:rFonts w:ascii="Arial Narrow" w:hAnsi="Arial Narrow" w:cs="Arial"/>
                <w:b/>
                <w:sz w:val="20"/>
                <w:szCs w:val="20"/>
              </w:rPr>
              <w:t>Available brands</w:t>
            </w:r>
          </w:p>
        </w:tc>
      </w:tr>
      <w:tr w:rsidR="005F3049" w:rsidRPr="00D85CD0" w14:paraId="7BA48FE3" w14:textId="77777777" w:rsidTr="00AD6C64">
        <w:trPr>
          <w:cantSplit/>
          <w:trHeight w:val="103"/>
        </w:trPr>
        <w:tc>
          <w:tcPr>
            <w:tcW w:w="5000" w:type="pct"/>
            <w:gridSpan w:val="8"/>
            <w:tcBorders>
              <w:bottom w:val="single" w:sz="4" w:space="0" w:color="auto"/>
            </w:tcBorders>
            <w:vAlign w:val="center"/>
          </w:tcPr>
          <w:p w14:paraId="02C5DC64" w14:textId="77777777" w:rsidR="005F3049" w:rsidRPr="00D85CD0" w:rsidRDefault="005F3049" w:rsidP="00AD6C64">
            <w:pPr>
              <w:keepNext/>
              <w:rPr>
                <w:rFonts w:ascii="Arial Narrow" w:hAnsi="Arial Narrow" w:cs="Arial"/>
                <w:sz w:val="20"/>
                <w:szCs w:val="20"/>
              </w:rPr>
            </w:pPr>
            <w:r w:rsidRPr="00D85CD0">
              <w:rPr>
                <w:rFonts w:ascii="Arial Narrow" w:hAnsi="Arial Narrow" w:cs="Arial"/>
                <w:sz w:val="20"/>
                <w:szCs w:val="20"/>
              </w:rPr>
              <w:t>BUDESONIDE</w:t>
            </w:r>
          </w:p>
        </w:tc>
      </w:tr>
      <w:tr w:rsidR="005F3049" w:rsidRPr="00D85CD0" w14:paraId="6A0C342D" w14:textId="77777777" w:rsidTr="00AD6C64">
        <w:trPr>
          <w:cantSplit/>
          <w:trHeight w:val="291"/>
        </w:trPr>
        <w:tc>
          <w:tcPr>
            <w:tcW w:w="2460" w:type="pct"/>
            <w:gridSpan w:val="3"/>
            <w:tcBorders>
              <w:bottom w:val="single" w:sz="4" w:space="0" w:color="auto"/>
            </w:tcBorders>
            <w:vAlign w:val="center"/>
          </w:tcPr>
          <w:p w14:paraId="7330F412" w14:textId="77777777" w:rsidR="005F3049" w:rsidRPr="00D85CD0" w:rsidRDefault="005F3049" w:rsidP="00AD6C64">
            <w:pPr>
              <w:keepNext/>
              <w:ind w:left="-108"/>
              <w:rPr>
                <w:rFonts w:ascii="Arial Narrow" w:hAnsi="Arial Narrow" w:cs="Arial"/>
                <w:sz w:val="20"/>
                <w:szCs w:val="20"/>
              </w:rPr>
            </w:pPr>
            <w:r w:rsidRPr="00D85CD0">
              <w:rPr>
                <w:rFonts w:ascii="Arial Narrow" w:hAnsi="Arial Narrow" w:cs="Arial"/>
                <w:sz w:val="20"/>
                <w:szCs w:val="20"/>
              </w:rPr>
              <w:t>budesonide 500 microgram orally disintegrating tablet, 60</w:t>
            </w:r>
          </w:p>
        </w:tc>
        <w:tc>
          <w:tcPr>
            <w:tcW w:w="495" w:type="pct"/>
            <w:vAlign w:val="center"/>
          </w:tcPr>
          <w:p w14:paraId="38104A01" w14:textId="77777777" w:rsidR="005F3049" w:rsidRPr="00D85CD0" w:rsidRDefault="005F3049" w:rsidP="00AD6C64">
            <w:pPr>
              <w:keepNext/>
              <w:rPr>
                <w:rFonts w:ascii="Arial Narrow" w:hAnsi="Arial Narrow" w:cs="Arial"/>
                <w:sz w:val="20"/>
                <w:szCs w:val="20"/>
              </w:rPr>
            </w:pPr>
            <w:r w:rsidRPr="00D85CD0">
              <w:rPr>
                <w:rFonts w:ascii="Arial Narrow" w:hAnsi="Arial Narrow" w:cs="Arial"/>
                <w:sz w:val="20"/>
                <w:szCs w:val="20"/>
              </w:rPr>
              <w:t xml:space="preserve">  New</w:t>
            </w:r>
          </w:p>
        </w:tc>
        <w:tc>
          <w:tcPr>
            <w:tcW w:w="576" w:type="pct"/>
            <w:vAlign w:val="center"/>
          </w:tcPr>
          <w:p w14:paraId="63F3DEC1" w14:textId="77777777" w:rsidR="005F3049" w:rsidRPr="00D85CD0" w:rsidRDefault="005F3049" w:rsidP="00AD6C64">
            <w:pPr>
              <w:keepNext/>
              <w:jc w:val="center"/>
              <w:rPr>
                <w:rFonts w:ascii="Arial Narrow" w:hAnsi="Arial Narrow" w:cs="Arial"/>
                <w:sz w:val="20"/>
                <w:szCs w:val="20"/>
              </w:rPr>
            </w:pPr>
            <w:r w:rsidRPr="00D85CD0">
              <w:rPr>
                <w:rFonts w:ascii="Arial Narrow" w:hAnsi="Arial Narrow" w:cs="Arial"/>
                <w:sz w:val="20"/>
                <w:szCs w:val="20"/>
              </w:rPr>
              <w:t>1</w:t>
            </w:r>
          </w:p>
        </w:tc>
        <w:tc>
          <w:tcPr>
            <w:tcW w:w="475" w:type="pct"/>
            <w:vAlign w:val="center"/>
          </w:tcPr>
          <w:p w14:paraId="1DB57C84" w14:textId="77777777" w:rsidR="005F3049" w:rsidRPr="00D85CD0" w:rsidRDefault="005F3049" w:rsidP="00AD6C64">
            <w:pPr>
              <w:keepNext/>
              <w:ind w:left="-108"/>
              <w:jc w:val="center"/>
              <w:rPr>
                <w:rFonts w:ascii="Arial Narrow" w:hAnsi="Arial Narrow" w:cs="Arial"/>
                <w:sz w:val="20"/>
                <w:szCs w:val="20"/>
              </w:rPr>
            </w:pPr>
            <w:r w:rsidRPr="00D85CD0">
              <w:rPr>
                <w:rFonts w:ascii="Arial Narrow" w:hAnsi="Arial Narrow" w:cs="Arial"/>
                <w:sz w:val="20"/>
                <w:szCs w:val="20"/>
              </w:rPr>
              <w:t>60</w:t>
            </w:r>
          </w:p>
        </w:tc>
        <w:tc>
          <w:tcPr>
            <w:tcW w:w="473" w:type="pct"/>
            <w:vAlign w:val="center"/>
          </w:tcPr>
          <w:p w14:paraId="567684BB" w14:textId="77777777" w:rsidR="005F3049" w:rsidRPr="00D85CD0" w:rsidRDefault="005F3049" w:rsidP="00AD6C64">
            <w:pPr>
              <w:keepNext/>
              <w:jc w:val="center"/>
              <w:rPr>
                <w:rFonts w:ascii="Arial Narrow" w:hAnsi="Arial Narrow" w:cs="Arial"/>
                <w:i/>
                <w:iCs/>
                <w:sz w:val="20"/>
                <w:szCs w:val="20"/>
              </w:rPr>
            </w:pPr>
            <w:r w:rsidRPr="00D85CD0">
              <w:rPr>
                <w:rFonts w:ascii="Arial Narrow" w:hAnsi="Arial Narrow" w:cs="Arial"/>
                <w:strike/>
                <w:sz w:val="20"/>
                <w:szCs w:val="20"/>
              </w:rPr>
              <w:t>5</w:t>
            </w:r>
            <w:r w:rsidRPr="00D85CD0">
              <w:rPr>
                <w:rFonts w:ascii="Arial Narrow" w:hAnsi="Arial Narrow" w:cs="Arial"/>
                <w:i/>
                <w:iCs/>
                <w:sz w:val="20"/>
                <w:szCs w:val="20"/>
              </w:rPr>
              <w:t xml:space="preserve"> 8</w:t>
            </w:r>
          </w:p>
        </w:tc>
        <w:tc>
          <w:tcPr>
            <w:tcW w:w="521" w:type="pct"/>
            <w:vAlign w:val="center"/>
          </w:tcPr>
          <w:p w14:paraId="1BCEDD4B" w14:textId="77777777" w:rsidR="005F3049" w:rsidRPr="00D85CD0" w:rsidRDefault="005F3049" w:rsidP="00AD6C64">
            <w:pPr>
              <w:keepNext/>
              <w:jc w:val="center"/>
              <w:rPr>
                <w:rFonts w:ascii="Arial Narrow" w:hAnsi="Arial Narrow" w:cs="Arial"/>
                <w:sz w:val="20"/>
                <w:szCs w:val="20"/>
              </w:rPr>
            </w:pPr>
            <w:r w:rsidRPr="00D85CD0">
              <w:rPr>
                <w:rFonts w:ascii="Arial Narrow" w:hAnsi="Arial Narrow" w:cs="Arial"/>
                <w:sz w:val="20"/>
                <w:szCs w:val="20"/>
              </w:rPr>
              <w:t>Jorveza</w:t>
            </w:r>
          </w:p>
        </w:tc>
      </w:tr>
      <w:tr w:rsidR="005F3049" w:rsidRPr="00D85CD0" w14:paraId="27A62BD8" w14:textId="77777777" w:rsidTr="00AD6C64">
        <w:trPr>
          <w:cantSplit/>
          <w:trHeight w:val="241"/>
        </w:trPr>
        <w:tc>
          <w:tcPr>
            <w:tcW w:w="2460" w:type="pct"/>
            <w:gridSpan w:val="3"/>
            <w:tcBorders>
              <w:bottom w:val="nil"/>
            </w:tcBorders>
          </w:tcPr>
          <w:p w14:paraId="713A8972" w14:textId="77777777" w:rsidR="005F3049" w:rsidRPr="00D85CD0" w:rsidRDefault="005F3049" w:rsidP="00AD6C64">
            <w:pPr>
              <w:keepNext/>
              <w:ind w:left="-108"/>
              <w:rPr>
                <w:rFonts w:ascii="Arial Narrow" w:hAnsi="Arial Narrow" w:cs="Arial"/>
                <w:sz w:val="20"/>
                <w:szCs w:val="20"/>
              </w:rPr>
            </w:pPr>
            <w:r w:rsidRPr="00D85CD0">
              <w:rPr>
                <w:rFonts w:ascii="Arial Narrow" w:hAnsi="Arial Narrow" w:cs="Arial"/>
                <w:sz w:val="20"/>
                <w:szCs w:val="20"/>
              </w:rPr>
              <w:t>budesonide 1 mg orally disintegrating tablet, 60</w:t>
            </w:r>
          </w:p>
        </w:tc>
        <w:tc>
          <w:tcPr>
            <w:tcW w:w="495" w:type="pct"/>
            <w:vAlign w:val="center"/>
          </w:tcPr>
          <w:p w14:paraId="6DB7D837" w14:textId="77777777" w:rsidR="005F3049" w:rsidRPr="00D85CD0" w:rsidRDefault="005F3049" w:rsidP="00AD6C64">
            <w:pPr>
              <w:keepNext/>
              <w:ind w:left="-108"/>
              <w:jc w:val="center"/>
              <w:rPr>
                <w:rFonts w:ascii="Arial Narrow" w:hAnsi="Arial Narrow" w:cs="Arial"/>
                <w:sz w:val="20"/>
                <w:szCs w:val="20"/>
              </w:rPr>
            </w:pPr>
            <w:r w:rsidRPr="00D85CD0">
              <w:rPr>
                <w:rFonts w:ascii="Arial Narrow" w:hAnsi="Arial Narrow" w:cs="Arial"/>
                <w:sz w:val="20"/>
                <w:szCs w:val="20"/>
              </w:rPr>
              <w:t>New</w:t>
            </w:r>
          </w:p>
        </w:tc>
        <w:tc>
          <w:tcPr>
            <w:tcW w:w="576" w:type="pct"/>
            <w:vAlign w:val="center"/>
          </w:tcPr>
          <w:p w14:paraId="40EEB549" w14:textId="77777777" w:rsidR="005F3049" w:rsidRPr="00D85CD0" w:rsidRDefault="005F3049" w:rsidP="00AD6C64">
            <w:pPr>
              <w:keepNext/>
              <w:jc w:val="center"/>
              <w:rPr>
                <w:rFonts w:ascii="Arial Narrow" w:hAnsi="Arial Narrow" w:cs="Arial"/>
                <w:sz w:val="20"/>
                <w:szCs w:val="20"/>
              </w:rPr>
            </w:pPr>
            <w:r w:rsidRPr="00D85CD0">
              <w:rPr>
                <w:rFonts w:ascii="Arial Narrow" w:hAnsi="Arial Narrow" w:cs="Arial"/>
                <w:sz w:val="20"/>
                <w:szCs w:val="20"/>
              </w:rPr>
              <w:t>1</w:t>
            </w:r>
          </w:p>
        </w:tc>
        <w:tc>
          <w:tcPr>
            <w:tcW w:w="475" w:type="pct"/>
            <w:vAlign w:val="center"/>
          </w:tcPr>
          <w:p w14:paraId="20AD7C60" w14:textId="77777777" w:rsidR="005F3049" w:rsidRPr="00D85CD0" w:rsidRDefault="005F3049" w:rsidP="00AD6C64">
            <w:pPr>
              <w:keepNext/>
              <w:ind w:left="-108"/>
              <w:jc w:val="center"/>
              <w:rPr>
                <w:rFonts w:ascii="Arial Narrow" w:hAnsi="Arial Narrow" w:cs="Arial"/>
                <w:sz w:val="20"/>
                <w:szCs w:val="20"/>
              </w:rPr>
            </w:pPr>
            <w:r w:rsidRPr="00D85CD0">
              <w:rPr>
                <w:rFonts w:ascii="Arial Narrow" w:hAnsi="Arial Narrow" w:cs="Arial"/>
                <w:sz w:val="20"/>
                <w:szCs w:val="20"/>
              </w:rPr>
              <w:t>60</w:t>
            </w:r>
          </w:p>
        </w:tc>
        <w:tc>
          <w:tcPr>
            <w:tcW w:w="473" w:type="pct"/>
            <w:vAlign w:val="center"/>
          </w:tcPr>
          <w:p w14:paraId="3A8933F6" w14:textId="77777777" w:rsidR="005F3049" w:rsidRPr="00D85CD0" w:rsidRDefault="005F3049" w:rsidP="00AD6C64">
            <w:pPr>
              <w:keepNext/>
              <w:ind w:left="-108"/>
              <w:jc w:val="center"/>
              <w:rPr>
                <w:rFonts w:ascii="Arial Narrow" w:hAnsi="Arial Narrow" w:cs="Arial"/>
                <w:i/>
                <w:iCs/>
                <w:sz w:val="20"/>
                <w:szCs w:val="20"/>
              </w:rPr>
            </w:pPr>
            <w:r w:rsidRPr="00D85CD0">
              <w:rPr>
                <w:rFonts w:ascii="Arial Narrow" w:hAnsi="Arial Narrow" w:cs="Arial"/>
                <w:strike/>
                <w:sz w:val="20"/>
                <w:szCs w:val="20"/>
              </w:rPr>
              <w:t>5</w:t>
            </w:r>
            <w:r w:rsidRPr="00D85CD0">
              <w:rPr>
                <w:rFonts w:ascii="Arial Narrow" w:hAnsi="Arial Narrow" w:cs="Arial"/>
                <w:i/>
                <w:iCs/>
                <w:sz w:val="20"/>
                <w:szCs w:val="20"/>
              </w:rPr>
              <w:t xml:space="preserve"> 8</w:t>
            </w:r>
          </w:p>
        </w:tc>
        <w:tc>
          <w:tcPr>
            <w:tcW w:w="521" w:type="pct"/>
            <w:vAlign w:val="center"/>
          </w:tcPr>
          <w:p w14:paraId="3C9B29FA" w14:textId="77777777" w:rsidR="005F3049" w:rsidRPr="00D85CD0" w:rsidRDefault="005F3049" w:rsidP="00AD6C64">
            <w:pPr>
              <w:keepNext/>
              <w:jc w:val="center"/>
              <w:rPr>
                <w:rFonts w:ascii="Arial Narrow" w:hAnsi="Arial Narrow" w:cs="Arial"/>
                <w:sz w:val="20"/>
                <w:szCs w:val="20"/>
              </w:rPr>
            </w:pPr>
            <w:r w:rsidRPr="00D85CD0">
              <w:rPr>
                <w:rFonts w:ascii="Arial Narrow" w:hAnsi="Arial Narrow" w:cs="Arial"/>
                <w:sz w:val="20"/>
                <w:szCs w:val="20"/>
              </w:rPr>
              <w:t>Jorveza</w:t>
            </w:r>
          </w:p>
        </w:tc>
      </w:tr>
      <w:tr w:rsidR="005F3049" w:rsidRPr="00D85CD0" w14:paraId="150143E4" w14:textId="77777777" w:rsidTr="00AD6C64">
        <w:trPr>
          <w:cantSplit/>
          <w:trHeight w:val="241"/>
        </w:trPr>
        <w:tc>
          <w:tcPr>
            <w:tcW w:w="5000" w:type="pct"/>
            <w:gridSpan w:val="8"/>
            <w:tcBorders>
              <w:bottom w:val="nil"/>
            </w:tcBorders>
          </w:tcPr>
          <w:p w14:paraId="2CECD702" w14:textId="77777777" w:rsidR="005F3049" w:rsidRPr="00D85CD0" w:rsidRDefault="005F3049" w:rsidP="00AD6C64">
            <w:pPr>
              <w:keepNext/>
              <w:jc w:val="center"/>
              <w:rPr>
                <w:rFonts w:ascii="Arial Narrow" w:hAnsi="Arial Narrow" w:cs="Arial"/>
                <w:sz w:val="20"/>
                <w:szCs w:val="20"/>
              </w:rPr>
            </w:pPr>
          </w:p>
        </w:tc>
      </w:tr>
      <w:tr w:rsidR="005F3049" w:rsidRPr="00D85CD0" w14:paraId="5BEEE755" w14:textId="77777777" w:rsidTr="00AD6C64">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6C964556" w14:textId="2D76EFE1" w:rsidR="005F3049" w:rsidRPr="00D85CD0" w:rsidRDefault="005F3049" w:rsidP="00AD6C64">
            <w:pPr>
              <w:keepLines/>
              <w:rPr>
                <w:rFonts w:ascii="Arial Narrow" w:hAnsi="Arial Narrow" w:cs="Arial"/>
                <w:b/>
                <w:sz w:val="20"/>
                <w:szCs w:val="20"/>
              </w:rPr>
            </w:pPr>
            <w:r w:rsidRPr="00D85CD0">
              <w:rPr>
                <w:rFonts w:ascii="Arial Narrow" w:hAnsi="Arial Narrow"/>
                <w:b/>
                <w:sz w:val="20"/>
                <w:szCs w:val="20"/>
              </w:rPr>
              <w:t>Remove Restriction Summary  / Treatment of Concept:</w:t>
            </w:r>
          </w:p>
        </w:tc>
      </w:tr>
      <w:tr w:rsidR="005F3049" w:rsidRPr="00D85CD0" w14:paraId="619C3E7E" w14:textId="77777777" w:rsidTr="00A861E6">
        <w:tblPrEx>
          <w:tblCellMar>
            <w:top w:w="15" w:type="dxa"/>
            <w:bottom w:w="15" w:type="dxa"/>
          </w:tblCellMar>
        </w:tblPrEx>
        <w:trPr>
          <w:trHeight w:val="20"/>
        </w:trPr>
        <w:tc>
          <w:tcPr>
            <w:tcW w:w="626" w:type="pct"/>
            <w:gridSpan w:val="2"/>
            <w:vMerge w:val="restart"/>
            <w:tcBorders>
              <w:top w:val="single" w:sz="4" w:space="0" w:color="auto"/>
              <w:left w:val="single" w:sz="4" w:space="0" w:color="auto"/>
              <w:right w:val="single" w:sz="4" w:space="0" w:color="auto"/>
            </w:tcBorders>
          </w:tcPr>
          <w:p w14:paraId="772D81B7" w14:textId="46DD45C8" w:rsidR="005F3049" w:rsidRPr="00D85CD0" w:rsidRDefault="005F3049" w:rsidP="00AD6C64">
            <w:pPr>
              <w:rPr>
                <w:rFonts w:ascii="Arial Narrow" w:hAnsi="Arial Narrow" w:cs="Arial"/>
                <w:b/>
                <w:sz w:val="20"/>
                <w:szCs w:val="20"/>
              </w:rPr>
            </w:pPr>
            <w:r w:rsidRPr="00D85CD0">
              <w:rPr>
                <w:rFonts w:ascii="Arial Narrow" w:hAnsi="Arial Narrow" w:cs="Arial"/>
                <w:b/>
                <w:sz w:val="20"/>
                <w:szCs w:val="20"/>
              </w:rPr>
              <w:t>Concept ID</w:t>
            </w:r>
          </w:p>
        </w:tc>
        <w:tc>
          <w:tcPr>
            <w:tcW w:w="4374" w:type="pct"/>
            <w:gridSpan w:val="6"/>
            <w:tcBorders>
              <w:top w:val="single" w:sz="4" w:space="0" w:color="auto"/>
              <w:left w:val="single" w:sz="4" w:space="0" w:color="auto"/>
              <w:bottom w:val="single" w:sz="4" w:space="0" w:color="auto"/>
              <w:right w:val="single" w:sz="4" w:space="0" w:color="auto"/>
            </w:tcBorders>
            <w:vAlign w:val="center"/>
          </w:tcPr>
          <w:p w14:paraId="27D64184" w14:textId="77777777" w:rsidR="005F3049" w:rsidRPr="00D85CD0" w:rsidRDefault="005F3049" w:rsidP="00AD6C64">
            <w:pPr>
              <w:keepLines/>
              <w:rPr>
                <w:rFonts w:ascii="Arial Narrow" w:hAnsi="Arial Narrow" w:cs="Arial"/>
                <w:sz w:val="20"/>
                <w:szCs w:val="20"/>
              </w:rPr>
            </w:pPr>
            <w:r w:rsidRPr="00D85CD0">
              <w:rPr>
                <w:rFonts w:ascii="Arial Narrow" w:hAnsi="Arial Narrow" w:cs="Arial"/>
                <w:b/>
                <w:sz w:val="20"/>
                <w:szCs w:val="20"/>
              </w:rPr>
              <w:t xml:space="preserve">Category / Program: </w:t>
            </w:r>
            <w:r w:rsidRPr="00D85CD0">
              <w:rPr>
                <w:rFonts w:ascii="Arial Narrow" w:hAnsi="Arial Narrow" w:cs="Arial"/>
                <w:sz w:val="20"/>
                <w:szCs w:val="20"/>
              </w:rPr>
              <w:t>GENERAL – General Schedule (Code GE)</w:t>
            </w:r>
          </w:p>
        </w:tc>
      </w:tr>
      <w:tr w:rsidR="005F3049" w:rsidRPr="00D85CD0" w14:paraId="0768CCC2" w14:textId="77777777" w:rsidTr="00A861E6">
        <w:tblPrEx>
          <w:tblCellMar>
            <w:top w:w="15" w:type="dxa"/>
            <w:bottom w:w="15" w:type="dxa"/>
          </w:tblCellMar>
        </w:tblPrEx>
        <w:trPr>
          <w:trHeight w:val="20"/>
        </w:trPr>
        <w:tc>
          <w:tcPr>
            <w:tcW w:w="626" w:type="pct"/>
            <w:gridSpan w:val="2"/>
            <w:vMerge/>
            <w:tcBorders>
              <w:left w:val="single" w:sz="4" w:space="0" w:color="auto"/>
              <w:right w:val="single" w:sz="4" w:space="0" w:color="auto"/>
            </w:tcBorders>
          </w:tcPr>
          <w:p w14:paraId="421643EF" w14:textId="77777777" w:rsidR="005F3049" w:rsidRPr="00D85CD0" w:rsidRDefault="005F3049" w:rsidP="00AD6C64">
            <w:pPr>
              <w:rPr>
                <w:rFonts w:ascii="Arial Narrow" w:hAnsi="Arial Narrow" w:cs="Arial"/>
                <w:sz w:val="20"/>
                <w:szCs w:val="20"/>
              </w:rPr>
            </w:pPr>
          </w:p>
        </w:tc>
        <w:tc>
          <w:tcPr>
            <w:tcW w:w="4374" w:type="pct"/>
            <w:gridSpan w:val="6"/>
            <w:tcBorders>
              <w:top w:val="single" w:sz="4" w:space="0" w:color="auto"/>
              <w:left w:val="single" w:sz="4" w:space="0" w:color="auto"/>
              <w:bottom w:val="single" w:sz="4" w:space="0" w:color="auto"/>
              <w:right w:val="single" w:sz="4" w:space="0" w:color="auto"/>
            </w:tcBorders>
            <w:vAlign w:val="center"/>
          </w:tcPr>
          <w:p w14:paraId="6B3911B2" w14:textId="77777777" w:rsidR="005F3049" w:rsidRPr="00D85CD0" w:rsidRDefault="005F3049" w:rsidP="00AD6C64">
            <w:pPr>
              <w:keepLines/>
              <w:rPr>
                <w:rFonts w:ascii="Arial Narrow" w:hAnsi="Arial Narrow" w:cs="Arial"/>
                <w:b/>
                <w:sz w:val="20"/>
                <w:szCs w:val="20"/>
              </w:rPr>
            </w:pPr>
            <w:r w:rsidRPr="00D85CD0">
              <w:rPr>
                <w:rFonts w:ascii="Arial Narrow" w:hAnsi="Arial Narrow" w:cs="Arial"/>
                <w:b/>
                <w:sz w:val="20"/>
                <w:szCs w:val="20"/>
              </w:rPr>
              <w:t xml:space="preserve">Prescriber type: </w:t>
            </w:r>
            <w:r w:rsidRPr="003A22FA">
              <w:rPr>
                <w:rFonts w:ascii="Arial Narrow" w:hAnsi="Arial Narrow" w:cs="Arial"/>
                <w:sz w:val="20"/>
                <w:szCs w:val="20"/>
              </w:rPr>
              <w:fldChar w:fldCharType="begin" w:fldLock="1">
                <w:ffData>
                  <w:name w:val=""/>
                  <w:enabled/>
                  <w:calcOnExit w:val="0"/>
                  <w:checkBox>
                    <w:sizeAuto/>
                    <w:default w:val="1"/>
                  </w:checkBox>
                </w:ffData>
              </w:fldChar>
            </w:r>
            <w:r w:rsidRPr="00D85CD0">
              <w:rPr>
                <w:rFonts w:ascii="Arial Narrow" w:hAnsi="Arial Narrow" w:cs="Arial"/>
                <w:sz w:val="20"/>
                <w:szCs w:val="20"/>
              </w:rPr>
              <w:instrText xml:space="preserve"> FORMCHECKBOX </w:instrText>
            </w:r>
            <w:r w:rsidR="001579BE">
              <w:rPr>
                <w:rFonts w:ascii="Arial Narrow" w:hAnsi="Arial Narrow" w:cs="Arial"/>
                <w:sz w:val="20"/>
                <w:szCs w:val="20"/>
              </w:rPr>
            </w:r>
            <w:r w:rsidR="001579BE">
              <w:rPr>
                <w:rFonts w:ascii="Arial Narrow" w:hAnsi="Arial Narrow" w:cs="Arial"/>
                <w:sz w:val="20"/>
                <w:szCs w:val="20"/>
              </w:rPr>
              <w:fldChar w:fldCharType="separate"/>
            </w:r>
            <w:r w:rsidRPr="003A22FA">
              <w:rPr>
                <w:rFonts w:ascii="Arial Narrow" w:hAnsi="Arial Narrow" w:cs="Arial"/>
                <w:sz w:val="20"/>
                <w:szCs w:val="20"/>
              </w:rPr>
              <w:fldChar w:fldCharType="end"/>
            </w:r>
            <w:r w:rsidRPr="00D85CD0">
              <w:rPr>
                <w:rFonts w:ascii="Arial Narrow" w:hAnsi="Arial Narrow" w:cs="Arial"/>
                <w:sz w:val="20"/>
                <w:szCs w:val="20"/>
              </w:rPr>
              <w:t xml:space="preserve">Medical Practitioners </w:t>
            </w:r>
          </w:p>
        </w:tc>
      </w:tr>
      <w:tr w:rsidR="005F3049" w:rsidRPr="00D85CD0" w14:paraId="1E3E1974" w14:textId="77777777" w:rsidTr="00A861E6">
        <w:tblPrEx>
          <w:tblCellMar>
            <w:top w:w="15" w:type="dxa"/>
            <w:bottom w:w="15" w:type="dxa"/>
          </w:tblCellMar>
        </w:tblPrEx>
        <w:trPr>
          <w:trHeight w:val="20"/>
        </w:trPr>
        <w:tc>
          <w:tcPr>
            <w:tcW w:w="626" w:type="pct"/>
            <w:gridSpan w:val="2"/>
            <w:vMerge/>
            <w:tcBorders>
              <w:left w:val="single" w:sz="4" w:space="0" w:color="auto"/>
              <w:bottom w:val="single" w:sz="4" w:space="0" w:color="auto"/>
              <w:right w:val="single" w:sz="4" w:space="0" w:color="auto"/>
            </w:tcBorders>
          </w:tcPr>
          <w:p w14:paraId="5A83E1F3" w14:textId="77777777" w:rsidR="005F3049" w:rsidRPr="00D85CD0" w:rsidRDefault="005F3049" w:rsidP="00AD6C64">
            <w:pPr>
              <w:rPr>
                <w:rFonts w:ascii="Arial Narrow" w:hAnsi="Arial Narrow" w:cs="Arial"/>
                <w:sz w:val="20"/>
                <w:szCs w:val="20"/>
              </w:rPr>
            </w:pPr>
          </w:p>
        </w:tc>
        <w:tc>
          <w:tcPr>
            <w:tcW w:w="4374" w:type="pct"/>
            <w:gridSpan w:val="6"/>
            <w:tcBorders>
              <w:top w:val="single" w:sz="4" w:space="0" w:color="auto"/>
              <w:left w:val="single" w:sz="4" w:space="0" w:color="auto"/>
              <w:bottom w:val="single" w:sz="4" w:space="0" w:color="auto"/>
              <w:right w:val="single" w:sz="4" w:space="0" w:color="auto"/>
            </w:tcBorders>
            <w:vAlign w:val="center"/>
          </w:tcPr>
          <w:p w14:paraId="10801F51" w14:textId="77777777" w:rsidR="005F3049" w:rsidRPr="00D85CD0" w:rsidRDefault="005F3049" w:rsidP="00AD6C64">
            <w:pPr>
              <w:keepLines/>
              <w:jc w:val="left"/>
              <w:rPr>
                <w:rFonts w:ascii="Arial Narrow" w:eastAsia="Calibri" w:hAnsi="Arial Narrow" w:cs="Arial"/>
                <w:sz w:val="20"/>
                <w:szCs w:val="20"/>
              </w:rPr>
            </w:pPr>
            <w:r w:rsidRPr="00D85CD0">
              <w:rPr>
                <w:rFonts w:ascii="Arial Narrow" w:hAnsi="Arial Narrow" w:cs="Arial"/>
                <w:b/>
                <w:sz w:val="20"/>
                <w:szCs w:val="20"/>
              </w:rPr>
              <w:t xml:space="preserve">Restriction type: </w:t>
            </w:r>
            <w:r w:rsidRPr="00D85CD0">
              <w:rPr>
                <w:rFonts w:ascii="Arial Narrow" w:eastAsia="Calibri" w:hAnsi="Arial Narrow" w:cs="Arial"/>
                <w:sz w:val="20"/>
                <w:szCs w:val="20"/>
              </w:rPr>
              <w:br/>
            </w:r>
            <w:r w:rsidRPr="003A22FA">
              <w:rPr>
                <w:rFonts w:ascii="Arial Narrow" w:eastAsia="Calibri" w:hAnsi="Arial Narrow" w:cs="Arial"/>
                <w:sz w:val="20"/>
                <w:szCs w:val="20"/>
              </w:rPr>
              <w:fldChar w:fldCharType="begin" w:fldLock="1">
                <w:ffData>
                  <w:name w:val=""/>
                  <w:enabled/>
                  <w:calcOnExit w:val="0"/>
                  <w:checkBox>
                    <w:sizeAuto/>
                    <w:default w:val="1"/>
                  </w:checkBox>
                </w:ffData>
              </w:fldChar>
            </w:r>
            <w:r w:rsidRPr="00D85CD0">
              <w:rPr>
                <w:rFonts w:ascii="Arial Narrow" w:eastAsia="Calibri" w:hAnsi="Arial Narrow" w:cs="Arial"/>
                <w:sz w:val="20"/>
                <w:szCs w:val="20"/>
              </w:rPr>
              <w:instrText xml:space="preserve"> FORMCHECKBOX </w:instrText>
            </w:r>
            <w:r w:rsidR="001579BE">
              <w:rPr>
                <w:rFonts w:ascii="Arial Narrow" w:eastAsia="Calibri" w:hAnsi="Arial Narrow" w:cs="Arial"/>
                <w:sz w:val="20"/>
                <w:szCs w:val="20"/>
              </w:rPr>
            </w:r>
            <w:r w:rsidR="001579BE">
              <w:rPr>
                <w:rFonts w:ascii="Arial Narrow" w:eastAsia="Calibri" w:hAnsi="Arial Narrow" w:cs="Arial"/>
                <w:sz w:val="20"/>
                <w:szCs w:val="20"/>
              </w:rPr>
              <w:fldChar w:fldCharType="separate"/>
            </w:r>
            <w:r w:rsidRPr="003A22FA">
              <w:rPr>
                <w:rFonts w:ascii="Arial Narrow" w:eastAsia="Calibri" w:hAnsi="Arial Narrow" w:cs="Arial"/>
                <w:sz w:val="20"/>
                <w:szCs w:val="20"/>
              </w:rPr>
              <w:fldChar w:fldCharType="end"/>
            </w:r>
            <w:r w:rsidRPr="00D85CD0">
              <w:rPr>
                <w:rFonts w:ascii="Arial Narrow" w:eastAsia="Calibri" w:hAnsi="Arial Narrow" w:cs="Arial"/>
                <w:sz w:val="20"/>
                <w:szCs w:val="20"/>
              </w:rPr>
              <w:t xml:space="preserve">Authority Required (telephone/online PBS Authorities system) </w:t>
            </w:r>
          </w:p>
        </w:tc>
      </w:tr>
      <w:tr w:rsidR="005F3049" w:rsidRPr="00D85CD0" w14:paraId="077C026D" w14:textId="77777777" w:rsidTr="00A861E6">
        <w:tblPrEx>
          <w:tblCellMar>
            <w:top w:w="15" w:type="dxa"/>
            <w:bottom w:w="15" w:type="dxa"/>
          </w:tblCellMar>
        </w:tblPrEx>
        <w:trPr>
          <w:trHeight w:val="20"/>
        </w:trPr>
        <w:tc>
          <w:tcPr>
            <w:tcW w:w="353" w:type="pct"/>
            <w:vMerge w:val="restart"/>
            <w:tcBorders>
              <w:left w:val="single" w:sz="4" w:space="0" w:color="auto"/>
              <w:right w:val="single" w:sz="4" w:space="0" w:color="auto"/>
            </w:tcBorders>
            <w:textDirection w:val="btLr"/>
            <w:vAlign w:val="center"/>
          </w:tcPr>
          <w:p w14:paraId="4F63455D" w14:textId="049910A2" w:rsidR="005F3049" w:rsidRPr="00D85CD0" w:rsidRDefault="005F3049" w:rsidP="00AD6C64">
            <w:pPr>
              <w:jc w:val="center"/>
              <w:rPr>
                <w:rFonts w:ascii="Arial Narrow" w:hAnsi="Arial Narrow" w:cs="Arial"/>
                <w:sz w:val="20"/>
                <w:szCs w:val="20"/>
              </w:rPr>
            </w:pPr>
          </w:p>
        </w:tc>
        <w:tc>
          <w:tcPr>
            <w:tcW w:w="273" w:type="pct"/>
          </w:tcPr>
          <w:p w14:paraId="2E68F2E7" w14:textId="14D6842B" w:rsidR="005F3049" w:rsidRPr="00D85CD0" w:rsidRDefault="005F3049" w:rsidP="00AD6C64">
            <w:pPr>
              <w:rPr>
                <w:rFonts w:ascii="Arial Narrow" w:hAnsi="Arial Narrow"/>
                <w:sz w:val="20"/>
                <w:szCs w:val="20"/>
              </w:rPr>
            </w:pPr>
          </w:p>
        </w:tc>
        <w:tc>
          <w:tcPr>
            <w:tcW w:w="4374" w:type="pct"/>
            <w:gridSpan w:val="6"/>
          </w:tcPr>
          <w:p w14:paraId="0B3B53E6"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b/>
                <w:bCs/>
                <w:sz w:val="20"/>
                <w:szCs w:val="20"/>
                <w:bdr w:val="none" w:sz="0" w:space="0" w:color="auto" w:frame="1"/>
              </w:rPr>
              <w:t>Administrative Advice:</w:t>
            </w:r>
          </w:p>
          <w:p w14:paraId="7E0E5912" w14:textId="77777777" w:rsidR="005F3049" w:rsidRPr="00D85CD0" w:rsidRDefault="005F3049" w:rsidP="00AD6C64">
            <w:pPr>
              <w:rPr>
                <w:rFonts w:ascii="Arial Narrow" w:hAnsi="Arial Narrow"/>
                <w:sz w:val="20"/>
                <w:szCs w:val="20"/>
              </w:rPr>
            </w:pPr>
            <w:r w:rsidRPr="00D85CD0">
              <w:rPr>
                <w:rFonts w:ascii="Arial Narrow" w:hAnsi="Arial Narrow" w:cs="Open Sans"/>
                <w:sz w:val="20"/>
                <w:szCs w:val="20"/>
              </w:rPr>
              <w:t>No increase in the maximum number of repeats may be authorised.</w:t>
            </w:r>
          </w:p>
        </w:tc>
      </w:tr>
      <w:tr w:rsidR="005F3049" w:rsidRPr="00D85CD0" w14:paraId="4DA6198C" w14:textId="77777777" w:rsidTr="00A861E6">
        <w:tblPrEx>
          <w:tblCellMar>
            <w:top w:w="15" w:type="dxa"/>
            <w:bottom w:w="15" w:type="dxa"/>
          </w:tblCellMar>
        </w:tblPrEx>
        <w:trPr>
          <w:trHeight w:val="20"/>
        </w:trPr>
        <w:tc>
          <w:tcPr>
            <w:tcW w:w="353" w:type="pct"/>
            <w:vMerge/>
            <w:tcBorders>
              <w:left w:val="single" w:sz="4" w:space="0" w:color="auto"/>
              <w:right w:val="single" w:sz="4" w:space="0" w:color="auto"/>
            </w:tcBorders>
          </w:tcPr>
          <w:p w14:paraId="3B75BEE1" w14:textId="77777777" w:rsidR="005F3049" w:rsidRPr="00D85CD0" w:rsidRDefault="005F3049" w:rsidP="00AD6C64">
            <w:pPr>
              <w:rPr>
                <w:rFonts w:ascii="Arial Narrow" w:hAnsi="Arial Narrow" w:cs="Arial"/>
                <w:sz w:val="20"/>
                <w:szCs w:val="20"/>
              </w:rPr>
            </w:pPr>
          </w:p>
        </w:tc>
        <w:tc>
          <w:tcPr>
            <w:tcW w:w="273" w:type="pct"/>
          </w:tcPr>
          <w:p w14:paraId="2F2888D1" w14:textId="7F1FD45D" w:rsidR="005F3049" w:rsidRPr="00D85CD0" w:rsidRDefault="005F3049" w:rsidP="00AD6C64">
            <w:pPr>
              <w:rPr>
                <w:rFonts w:ascii="Arial Narrow" w:hAnsi="Arial Narrow"/>
                <w:sz w:val="20"/>
                <w:szCs w:val="20"/>
              </w:rPr>
            </w:pPr>
          </w:p>
        </w:tc>
        <w:tc>
          <w:tcPr>
            <w:tcW w:w="4374" w:type="pct"/>
            <w:gridSpan w:val="6"/>
          </w:tcPr>
          <w:p w14:paraId="411593EA"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b/>
                <w:bCs/>
                <w:sz w:val="20"/>
                <w:szCs w:val="20"/>
                <w:bdr w:val="none" w:sz="0" w:space="0" w:color="auto" w:frame="1"/>
              </w:rPr>
              <w:t>Administrative Advice:</w:t>
            </w:r>
          </w:p>
          <w:p w14:paraId="73D8579D"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No increase in the maximum quantity or number of units may be authorised.</w:t>
            </w:r>
          </w:p>
        </w:tc>
      </w:tr>
      <w:tr w:rsidR="005F3049" w:rsidRPr="00D85CD0" w14:paraId="189BCD7C" w14:textId="77777777" w:rsidTr="00A861E6">
        <w:tblPrEx>
          <w:tblCellMar>
            <w:top w:w="15" w:type="dxa"/>
            <w:bottom w:w="15" w:type="dxa"/>
          </w:tblCellMar>
        </w:tblPrEx>
        <w:trPr>
          <w:trHeight w:val="20"/>
        </w:trPr>
        <w:tc>
          <w:tcPr>
            <w:tcW w:w="353" w:type="pct"/>
            <w:vMerge/>
            <w:tcBorders>
              <w:left w:val="single" w:sz="4" w:space="0" w:color="auto"/>
              <w:right w:val="single" w:sz="4" w:space="0" w:color="auto"/>
            </w:tcBorders>
          </w:tcPr>
          <w:p w14:paraId="782EDEE8" w14:textId="77777777" w:rsidR="005F3049" w:rsidRPr="00D85CD0" w:rsidRDefault="005F3049" w:rsidP="00AD6C64">
            <w:pPr>
              <w:rPr>
                <w:rFonts w:ascii="Arial Narrow" w:hAnsi="Arial Narrow" w:cs="Arial"/>
                <w:sz w:val="20"/>
                <w:szCs w:val="20"/>
              </w:rPr>
            </w:pPr>
          </w:p>
        </w:tc>
        <w:tc>
          <w:tcPr>
            <w:tcW w:w="273" w:type="pct"/>
          </w:tcPr>
          <w:p w14:paraId="392A5C53" w14:textId="0322F8DD" w:rsidR="005F3049" w:rsidRPr="00D85CD0" w:rsidRDefault="005F3049" w:rsidP="00AD6C64">
            <w:pPr>
              <w:rPr>
                <w:rFonts w:ascii="Arial Narrow" w:hAnsi="Arial Narrow"/>
                <w:sz w:val="20"/>
                <w:szCs w:val="20"/>
              </w:rPr>
            </w:pPr>
          </w:p>
        </w:tc>
        <w:tc>
          <w:tcPr>
            <w:tcW w:w="4374" w:type="pct"/>
            <w:gridSpan w:val="6"/>
          </w:tcPr>
          <w:p w14:paraId="2924A150"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b/>
                <w:bCs/>
                <w:sz w:val="20"/>
                <w:szCs w:val="20"/>
                <w:bdr w:val="none" w:sz="0" w:space="0" w:color="auto" w:frame="1"/>
              </w:rPr>
              <w:t>Administrative Advice:</w:t>
            </w:r>
          </w:p>
          <w:p w14:paraId="7D4D46A3"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Applications for authorisation under this restriction may be made in real time using the Online PBS Authorities system (see www.servicesaustralia.gov.au/HPOS) or by telephone by contacting Services Australia on 1800 888 333.</w:t>
            </w:r>
          </w:p>
        </w:tc>
      </w:tr>
      <w:tr w:rsidR="005F3049" w:rsidRPr="00D85CD0" w14:paraId="54D6E5FC" w14:textId="77777777" w:rsidTr="00A861E6">
        <w:tblPrEx>
          <w:tblCellMar>
            <w:top w:w="15" w:type="dxa"/>
            <w:bottom w:w="15" w:type="dxa"/>
          </w:tblCellMar>
        </w:tblPrEx>
        <w:trPr>
          <w:trHeight w:val="20"/>
        </w:trPr>
        <w:tc>
          <w:tcPr>
            <w:tcW w:w="353" w:type="pct"/>
            <w:vMerge/>
            <w:tcBorders>
              <w:left w:val="single" w:sz="4" w:space="0" w:color="auto"/>
              <w:bottom w:val="single" w:sz="4" w:space="0" w:color="auto"/>
              <w:right w:val="single" w:sz="4" w:space="0" w:color="auto"/>
            </w:tcBorders>
          </w:tcPr>
          <w:p w14:paraId="2C26C1AD" w14:textId="77777777" w:rsidR="005F3049" w:rsidRPr="00D85CD0" w:rsidRDefault="005F3049" w:rsidP="00AD6C64">
            <w:pPr>
              <w:rPr>
                <w:rFonts w:ascii="Arial Narrow" w:hAnsi="Arial Narrow" w:cs="Arial"/>
                <w:sz w:val="20"/>
                <w:szCs w:val="20"/>
              </w:rPr>
            </w:pPr>
          </w:p>
        </w:tc>
        <w:tc>
          <w:tcPr>
            <w:tcW w:w="273" w:type="pct"/>
          </w:tcPr>
          <w:p w14:paraId="65E0C317" w14:textId="6FB1DA2C" w:rsidR="005F3049" w:rsidRPr="00D85CD0" w:rsidRDefault="005F3049" w:rsidP="00AD6C64">
            <w:pPr>
              <w:rPr>
                <w:rFonts w:ascii="Arial Narrow" w:hAnsi="Arial Narrow"/>
                <w:sz w:val="20"/>
                <w:szCs w:val="20"/>
              </w:rPr>
            </w:pPr>
          </w:p>
        </w:tc>
        <w:tc>
          <w:tcPr>
            <w:tcW w:w="4374" w:type="pct"/>
            <w:gridSpan w:val="6"/>
          </w:tcPr>
          <w:p w14:paraId="7AA940DD"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b/>
                <w:bCs/>
                <w:sz w:val="20"/>
                <w:szCs w:val="20"/>
                <w:bdr w:val="none" w:sz="0" w:space="0" w:color="auto" w:frame="1"/>
              </w:rPr>
              <w:t>Administrative Advice:</w:t>
            </w:r>
          </w:p>
          <w:p w14:paraId="4A2A539F"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Special Pricing Arrangements apply.</w:t>
            </w:r>
          </w:p>
        </w:tc>
      </w:tr>
      <w:tr w:rsidR="005F3049" w:rsidRPr="00D85CD0" w14:paraId="448E61A6" w14:textId="77777777" w:rsidTr="00A861E6">
        <w:tblPrEx>
          <w:tblCellMar>
            <w:top w:w="15" w:type="dxa"/>
            <w:bottom w:w="15" w:type="dxa"/>
          </w:tblCellMar>
        </w:tblPrEx>
        <w:trPr>
          <w:cantSplit/>
          <w:trHeight w:val="20"/>
        </w:trPr>
        <w:tc>
          <w:tcPr>
            <w:tcW w:w="626" w:type="pct"/>
            <w:gridSpan w:val="2"/>
            <w:vAlign w:val="center"/>
          </w:tcPr>
          <w:p w14:paraId="5341CB9D" w14:textId="77777777" w:rsidR="005F3049" w:rsidRPr="00D85CD0" w:rsidRDefault="005F3049" w:rsidP="00AD6C64">
            <w:pPr>
              <w:jc w:val="left"/>
              <w:textAlignment w:val="baseline"/>
              <w:rPr>
                <w:rFonts w:ascii="Arial Narrow" w:hAnsi="Arial Narrow" w:cs="Open Sans"/>
                <w:sz w:val="20"/>
                <w:szCs w:val="20"/>
              </w:rPr>
            </w:pPr>
          </w:p>
        </w:tc>
        <w:tc>
          <w:tcPr>
            <w:tcW w:w="4374" w:type="pct"/>
            <w:gridSpan w:val="6"/>
            <w:vAlign w:val="center"/>
          </w:tcPr>
          <w:p w14:paraId="1E2D226D" w14:textId="77777777" w:rsidR="005F3049" w:rsidRPr="00D85CD0" w:rsidRDefault="005F3049" w:rsidP="00AD6C64">
            <w:pPr>
              <w:keepLines/>
              <w:rPr>
                <w:rFonts w:ascii="Arial Narrow" w:hAnsi="Arial Narrow"/>
                <w:b/>
                <w:bCs/>
                <w:sz w:val="20"/>
                <w:szCs w:val="20"/>
              </w:rPr>
            </w:pPr>
          </w:p>
        </w:tc>
      </w:tr>
      <w:tr w:rsidR="005F3049" w:rsidRPr="00D85CD0" w14:paraId="385B0F1F" w14:textId="77777777" w:rsidTr="00A861E6">
        <w:tblPrEx>
          <w:tblCellMar>
            <w:top w:w="15" w:type="dxa"/>
            <w:bottom w:w="15" w:type="dxa"/>
          </w:tblCellMar>
        </w:tblPrEx>
        <w:trPr>
          <w:cantSplit/>
          <w:trHeight w:val="20"/>
        </w:trPr>
        <w:tc>
          <w:tcPr>
            <w:tcW w:w="626" w:type="pct"/>
            <w:gridSpan w:val="2"/>
            <w:vAlign w:val="center"/>
          </w:tcPr>
          <w:p w14:paraId="25450409" w14:textId="150BCA6B" w:rsidR="005F3049" w:rsidRPr="00D85CD0" w:rsidRDefault="005F3049" w:rsidP="00AD6C64">
            <w:pPr>
              <w:keepLines/>
              <w:rPr>
                <w:rFonts w:ascii="Arial Narrow" w:hAnsi="Arial Narrow"/>
                <w:sz w:val="20"/>
                <w:szCs w:val="20"/>
              </w:rPr>
            </w:pPr>
          </w:p>
        </w:tc>
        <w:tc>
          <w:tcPr>
            <w:tcW w:w="4374" w:type="pct"/>
            <w:gridSpan w:val="6"/>
            <w:vAlign w:val="center"/>
            <w:hideMark/>
          </w:tcPr>
          <w:p w14:paraId="63B881DE" w14:textId="77777777" w:rsidR="005F3049" w:rsidRPr="00D85CD0" w:rsidRDefault="005F3049" w:rsidP="00AD6C64">
            <w:pPr>
              <w:keepLines/>
              <w:rPr>
                <w:rFonts w:ascii="Arial Narrow" w:hAnsi="Arial Narrow"/>
                <w:sz w:val="20"/>
                <w:szCs w:val="20"/>
              </w:rPr>
            </w:pPr>
            <w:r w:rsidRPr="00D85CD0">
              <w:rPr>
                <w:rFonts w:ascii="Arial Narrow" w:hAnsi="Arial Narrow"/>
                <w:b/>
                <w:bCs/>
                <w:sz w:val="20"/>
                <w:szCs w:val="20"/>
              </w:rPr>
              <w:t>Indication:</w:t>
            </w:r>
            <w:r w:rsidRPr="00D85CD0">
              <w:rPr>
                <w:rFonts w:ascii="Arial Narrow" w:hAnsi="Arial Narrow"/>
                <w:sz w:val="20"/>
                <w:szCs w:val="20"/>
              </w:rPr>
              <w:t xml:space="preserve"> Eosinophilic oesophagitis</w:t>
            </w:r>
          </w:p>
        </w:tc>
      </w:tr>
      <w:tr w:rsidR="005F3049" w:rsidRPr="00D85CD0" w14:paraId="088EE22C" w14:textId="77777777" w:rsidTr="00A861E6">
        <w:tblPrEx>
          <w:tblCellMar>
            <w:top w:w="15" w:type="dxa"/>
            <w:bottom w:w="15" w:type="dxa"/>
          </w:tblCellMar>
        </w:tblPrEx>
        <w:trPr>
          <w:cantSplit/>
          <w:trHeight w:val="20"/>
        </w:trPr>
        <w:tc>
          <w:tcPr>
            <w:tcW w:w="626" w:type="pct"/>
            <w:gridSpan w:val="2"/>
            <w:vAlign w:val="center"/>
          </w:tcPr>
          <w:p w14:paraId="185FDA34" w14:textId="77777777" w:rsidR="005F3049" w:rsidRPr="00D85CD0" w:rsidRDefault="005F3049" w:rsidP="00AD6C64">
            <w:pPr>
              <w:rPr>
                <w:rFonts w:ascii="Arial Narrow" w:hAnsi="Arial Narrow"/>
                <w:sz w:val="20"/>
                <w:szCs w:val="20"/>
              </w:rPr>
            </w:pPr>
          </w:p>
        </w:tc>
        <w:tc>
          <w:tcPr>
            <w:tcW w:w="4374" w:type="pct"/>
            <w:gridSpan w:val="6"/>
            <w:vAlign w:val="center"/>
            <w:hideMark/>
          </w:tcPr>
          <w:p w14:paraId="3042AA60" w14:textId="77777777" w:rsidR="005F3049" w:rsidRPr="00D85CD0" w:rsidRDefault="005F3049" w:rsidP="00AD6C64">
            <w:pPr>
              <w:rPr>
                <w:rFonts w:ascii="Arial Narrow" w:hAnsi="Arial Narrow"/>
                <w:sz w:val="20"/>
                <w:szCs w:val="20"/>
              </w:rPr>
            </w:pPr>
            <w:r w:rsidRPr="00D85CD0">
              <w:rPr>
                <w:rFonts w:ascii="Arial Narrow" w:hAnsi="Arial Narrow"/>
                <w:b/>
                <w:bCs/>
                <w:sz w:val="20"/>
                <w:szCs w:val="20"/>
              </w:rPr>
              <w:t>Treatment Phase:</w:t>
            </w:r>
            <w:r w:rsidRPr="00D85CD0">
              <w:rPr>
                <w:rFonts w:ascii="Arial Narrow" w:hAnsi="Arial Narrow"/>
                <w:sz w:val="20"/>
                <w:szCs w:val="20"/>
              </w:rPr>
              <w:t xml:space="preserve"> First continuing treatment – </w:t>
            </w:r>
            <w:r>
              <w:rPr>
                <w:rFonts w:ascii="Arial Narrow" w:hAnsi="Arial Narrow"/>
                <w:sz w:val="20"/>
                <w:szCs w:val="20"/>
              </w:rPr>
              <w:t xml:space="preserve">until </w:t>
            </w:r>
            <w:r w:rsidRPr="00C80B03">
              <w:rPr>
                <w:rFonts w:ascii="Arial Narrow" w:hAnsi="Arial Narrow"/>
                <w:strike/>
                <w:sz w:val="20"/>
                <w:szCs w:val="20"/>
              </w:rPr>
              <w:t>confirmation of</w:t>
            </w:r>
            <w:r w:rsidRPr="00D85CD0">
              <w:rPr>
                <w:rFonts w:ascii="Arial Narrow" w:hAnsi="Arial Narrow"/>
                <w:sz w:val="20"/>
                <w:szCs w:val="20"/>
              </w:rPr>
              <w:t xml:space="preserve"> remission</w:t>
            </w:r>
            <w:r>
              <w:rPr>
                <w:rFonts w:ascii="Arial Narrow" w:hAnsi="Arial Narrow"/>
                <w:sz w:val="20"/>
                <w:szCs w:val="20"/>
              </w:rPr>
              <w:t xml:space="preserve"> is confirmed</w:t>
            </w:r>
          </w:p>
        </w:tc>
      </w:tr>
      <w:tr w:rsidR="005F3049" w:rsidRPr="00D85CD0" w14:paraId="5438CFEB" w14:textId="77777777" w:rsidTr="00A861E6">
        <w:tblPrEx>
          <w:tblCellMar>
            <w:top w:w="15" w:type="dxa"/>
            <w:bottom w:w="15" w:type="dxa"/>
          </w:tblCellMar>
        </w:tblPrEx>
        <w:trPr>
          <w:cantSplit/>
          <w:trHeight w:val="20"/>
        </w:trPr>
        <w:tc>
          <w:tcPr>
            <w:tcW w:w="626" w:type="pct"/>
            <w:gridSpan w:val="2"/>
            <w:vAlign w:val="center"/>
          </w:tcPr>
          <w:p w14:paraId="6C87556C" w14:textId="77777777" w:rsidR="005F3049" w:rsidRPr="00D85CD0" w:rsidRDefault="005F3049" w:rsidP="00AD6C64">
            <w:pPr>
              <w:rPr>
                <w:rFonts w:ascii="Arial Narrow" w:hAnsi="Arial Narrow"/>
                <w:sz w:val="20"/>
                <w:szCs w:val="20"/>
              </w:rPr>
            </w:pPr>
          </w:p>
        </w:tc>
        <w:tc>
          <w:tcPr>
            <w:tcW w:w="4374" w:type="pct"/>
            <w:gridSpan w:val="6"/>
            <w:vAlign w:val="center"/>
          </w:tcPr>
          <w:p w14:paraId="1EE50D38" w14:textId="77777777" w:rsidR="005F3049" w:rsidRPr="00D85CD0" w:rsidRDefault="005F3049" w:rsidP="00AD6C64">
            <w:pPr>
              <w:rPr>
                <w:rFonts w:ascii="Arial Narrow" w:hAnsi="Arial Narrow"/>
                <w:b/>
                <w:bCs/>
                <w:sz w:val="20"/>
                <w:szCs w:val="20"/>
              </w:rPr>
            </w:pPr>
          </w:p>
        </w:tc>
      </w:tr>
      <w:tr w:rsidR="005F3049" w:rsidRPr="00D85CD0" w14:paraId="2BEF9D45" w14:textId="77777777" w:rsidTr="00A861E6">
        <w:tblPrEx>
          <w:tblCellMar>
            <w:top w:w="15" w:type="dxa"/>
            <w:bottom w:w="15" w:type="dxa"/>
          </w:tblCellMar>
        </w:tblPrEx>
        <w:trPr>
          <w:cantSplit/>
          <w:trHeight w:val="20"/>
        </w:trPr>
        <w:tc>
          <w:tcPr>
            <w:tcW w:w="626" w:type="pct"/>
            <w:gridSpan w:val="2"/>
          </w:tcPr>
          <w:p w14:paraId="228D5B84" w14:textId="00611BCE" w:rsidR="005F3049" w:rsidRPr="00D85CD0" w:rsidRDefault="005F3049" w:rsidP="00AD6C64">
            <w:pPr>
              <w:rPr>
                <w:rFonts w:ascii="Arial Narrow" w:hAnsi="Arial Narrow"/>
                <w:sz w:val="20"/>
                <w:szCs w:val="20"/>
              </w:rPr>
            </w:pPr>
          </w:p>
        </w:tc>
        <w:tc>
          <w:tcPr>
            <w:tcW w:w="4374" w:type="pct"/>
            <w:gridSpan w:val="6"/>
          </w:tcPr>
          <w:p w14:paraId="23FC9512" w14:textId="77777777" w:rsidR="005F3049" w:rsidRPr="00D85CD0" w:rsidRDefault="005F3049" w:rsidP="00AD6C64">
            <w:pPr>
              <w:rPr>
                <w:rFonts w:ascii="Arial Narrow" w:hAnsi="Arial Narrow"/>
                <w:b/>
                <w:bCs/>
                <w:sz w:val="20"/>
                <w:szCs w:val="20"/>
              </w:rPr>
            </w:pPr>
            <w:r w:rsidRPr="00D85CD0">
              <w:rPr>
                <w:rFonts w:ascii="Arial Narrow" w:hAnsi="Arial Narrow" w:cs="Open Sans"/>
                <w:b/>
                <w:bCs/>
                <w:sz w:val="20"/>
                <w:szCs w:val="20"/>
                <w:bdr w:val="none" w:sz="0" w:space="0" w:color="auto" w:frame="1"/>
              </w:rPr>
              <w:t>Clinical criteria:</w:t>
            </w:r>
          </w:p>
        </w:tc>
      </w:tr>
      <w:tr w:rsidR="005F3049" w:rsidRPr="00D85CD0" w14:paraId="1F2B0AE7" w14:textId="77777777" w:rsidTr="00A861E6">
        <w:tblPrEx>
          <w:tblCellMar>
            <w:top w:w="15" w:type="dxa"/>
            <w:bottom w:w="15" w:type="dxa"/>
          </w:tblCellMar>
        </w:tblPrEx>
        <w:trPr>
          <w:cantSplit/>
          <w:trHeight w:val="20"/>
        </w:trPr>
        <w:tc>
          <w:tcPr>
            <w:tcW w:w="626" w:type="pct"/>
            <w:gridSpan w:val="2"/>
          </w:tcPr>
          <w:p w14:paraId="22712FB8" w14:textId="28745267" w:rsidR="005F3049" w:rsidRPr="00D85CD0" w:rsidRDefault="005F3049" w:rsidP="00AD6C64">
            <w:pPr>
              <w:rPr>
                <w:rFonts w:ascii="Arial Narrow" w:hAnsi="Arial Narrow"/>
                <w:sz w:val="20"/>
                <w:szCs w:val="20"/>
              </w:rPr>
            </w:pPr>
          </w:p>
        </w:tc>
        <w:tc>
          <w:tcPr>
            <w:tcW w:w="4374" w:type="pct"/>
            <w:gridSpan w:val="6"/>
          </w:tcPr>
          <w:p w14:paraId="6B405C8A"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 xml:space="preserve">Patient must have previously received PBS-subsidised initial treatment with this drug for this condition; </w:t>
            </w:r>
          </w:p>
        </w:tc>
      </w:tr>
      <w:tr w:rsidR="005F3049" w:rsidRPr="00D85CD0" w14:paraId="2257CF67" w14:textId="77777777" w:rsidTr="00A861E6">
        <w:tblPrEx>
          <w:tblCellMar>
            <w:top w:w="15" w:type="dxa"/>
            <w:bottom w:w="15" w:type="dxa"/>
          </w:tblCellMar>
        </w:tblPrEx>
        <w:trPr>
          <w:cantSplit/>
          <w:trHeight w:val="20"/>
        </w:trPr>
        <w:tc>
          <w:tcPr>
            <w:tcW w:w="626" w:type="pct"/>
            <w:gridSpan w:val="2"/>
          </w:tcPr>
          <w:p w14:paraId="514E01A1" w14:textId="77777777" w:rsidR="005F3049" w:rsidRPr="00D85CD0" w:rsidRDefault="005F3049" w:rsidP="00AD6C64">
            <w:pPr>
              <w:rPr>
                <w:rFonts w:ascii="Arial Narrow" w:hAnsi="Arial Narrow"/>
                <w:sz w:val="20"/>
                <w:szCs w:val="20"/>
              </w:rPr>
            </w:pPr>
          </w:p>
        </w:tc>
        <w:tc>
          <w:tcPr>
            <w:tcW w:w="4374" w:type="pct"/>
            <w:gridSpan w:val="6"/>
          </w:tcPr>
          <w:p w14:paraId="38A162CB" w14:textId="77777777" w:rsidR="005F3049" w:rsidRPr="00D85CD0" w:rsidRDefault="005F3049" w:rsidP="00AD6C64">
            <w:pPr>
              <w:rPr>
                <w:rFonts w:ascii="Arial Narrow" w:hAnsi="Arial Narrow"/>
                <w:b/>
                <w:bCs/>
                <w:sz w:val="20"/>
                <w:szCs w:val="20"/>
              </w:rPr>
            </w:pPr>
            <w:r w:rsidRPr="00D85CD0">
              <w:rPr>
                <w:rFonts w:ascii="Arial Narrow" w:hAnsi="Arial Narrow" w:cs="Open Sans"/>
                <w:b/>
                <w:bCs/>
                <w:sz w:val="20"/>
                <w:szCs w:val="20"/>
                <w:bdr w:val="none" w:sz="0" w:space="0" w:color="auto" w:frame="1"/>
              </w:rPr>
              <w:t>AND</w:t>
            </w:r>
          </w:p>
        </w:tc>
      </w:tr>
      <w:tr w:rsidR="005F3049" w:rsidRPr="00D85CD0" w14:paraId="30D01DBC" w14:textId="77777777" w:rsidTr="00A861E6">
        <w:tblPrEx>
          <w:tblCellMar>
            <w:top w:w="15" w:type="dxa"/>
            <w:bottom w:w="15" w:type="dxa"/>
          </w:tblCellMar>
        </w:tblPrEx>
        <w:trPr>
          <w:cantSplit/>
          <w:trHeight w:val="20"/>
        </w:trPr>
        <w:tc>
          <w:tcPr>
            <w:tcW w:w="626" w:type="pct"/>
            <w:gridSpan w:val="2"/>
          </w:tcPr>
          <w:p w14:paraId="1DBC6B1A" w14:textId="118A057A" w:rsidR="005F3049" w:rsidRPr="00D85CD0" w:rsidRDefault="005F3049" w:rsidP="00AD6C64">
            <w:pPr>
              <w:rPr>
                <w:rFonts w:ascii="Arial Narrow" w:hAnsi="Arial Narrow"/>
                <w:i/>
                <w:iCs/>
                <w:sz w:val="20"/>
                <w:szCs w:val="20"/>
              </w:rPr>
            </w:pPr>
          </w:p>
        </w:tc>
        <w:tc>
          <w:tcPr>
            <w:tcW w:w="4374" w:type="pct"/>
            <w:gridSpan w:val="6"/>
          </w:tcPr>
          <w:p w14:paraId="60657F43" w14:textId="77777777" w:rsidR="005F3049" w:rsidRPr="00D85CD0" w:rsidRDefault="005F3049" w:rsidP="00AD6C64">
            <w:pPr>
              <w:rPr>
                <w:rFonts w:ascii="Arial Narrow" w:hAnsi="Arial Narrow" w:cs="Open Sans"/>
                <w:b/>
                <w:bCs/>
                <w:i/>
                <w:iCs/>
                <w:sz w:val="20"/>
                <w:szCs w:val="20"/>
                <w:bdr w:val="none" w:sz="0" w:space="0" w:color="auto" w:frame="1"/>
              </w:rPr>
            </w:pPr>
            <w:r w:rsidRPr="00D85CD0">
              <w:rPr>
                <w:rFonts w:ascii="Arial Narrow" w:hAnsi="Arial Narrow" w:cs="Open Sans"/>
                <w:b/>
                <w:bCs/>
                <w:i/>
                <w:iCs/>
                <w:sz w:val="20"/>
                <w:szCs w:val="20"/>
                <w:bdr w:val="none" w:sz="0" w:space="0" w:color="auto" w:frame="1"/>
              </w:rPr>
              <w:t>Clinical criteria:</w:t>
            </w:r>
          </w:p>
        </w:tc>
      </w:tr>
      <w:tr w:rsidR="005F3049" w:rsidRPr="00D85CD0" w14:paraId="437D9C88" w14:textId="77777777" w:rsidTr="00A861E6">
        <w:tblPrEx>
          <w:tblCellMar>
            <w:top w:w="15" w:type="dxa"/>
            <w:bottom w:w="15" w:type="dxa"/>
          </w:tblCellMar>
        </w:tblPrEx>
        <w:trPr>
          <w:cantSplit/>
          <w:trHeight w:val="20"/>
        </w:trPr>
        <w:tc>
          <w:tcPr>
            <w:tcW w:w="626" w:type="pct"/>
            <w:gridSpan w:val="2"/>
          </w:tcPr>
          <w:p w14:paraId="3B117A75" w14:textId="7700C2D4" w:rsidR="005F3049" w:rsidRPr="00D85CD0" w:rsidRDefault="005F3049" w:rsidP="00AD6C64">
            <w:pPr>
              <w:rPr>
                <w:rFonts w:ascii="Arial Narrow" w:hAnsi="Arial Narrow" w:cs="Open Sans"/>
                <w:i/>
                <w:iCs/>
                <w:sz w:val="20"/>
                <w:szCs w:val="20"/>
              </w:rPr>
            </w:pPr>
          </w:p>
        </w:tc>
        <w:tc>
          <w:tcPr>
            <w:tcW w:w="4374" w:type="pct"/>
            <w:gridSpan w:val="6"/>
          </w:tcPr>
          <w:p w14:paraId="2893A715" w14:textId="77777777" w:rsidR="005F3049" w:rsidRPr="00D85CD0" w:rsidRDefault="005F3049" w:rsidP="00AD6C64">
            <w:pPr>
              <w:rPr>
                <w:rFonts w:ascii="Arial Narrow" w:hAnsi="Arial Narrow" w:cs="Open Sans"/>
                <w:i/>
                <w:iCs/>
                <w:sz w:val="20"/>
                <w:szCs w:val="20"/>
              </w:rPr>
            </w:pPr>
            <w:r w:rsidRPr="00D85CD0">
              <w:rPr>
                <w:rFonts w:ascii="Arial Narrow" w:hAnsi="Arial Narrow" w:cs="Open Sans"/>
                <w:i/>
                <w:iCs/>
                <w:sz w:val="20"/>
                <w:szCs w:val="20"/>
              </w:rPr>
              <w:t>Patient must have demonstrated an adequate response to treatment with this drug for this condition.</w:t>
            </w:r>
          </w:p>
        </w:tc>
      </w:tr>
      <w:tr w:rsidR="005F3049" w:rsidRPr="00D85CD0" w14:paraId="10450A3C" w14:textId="77777777" w:rsidTr="00A861E6">
        <w:tblPrEx>
          <w:tblCellMar>
            <w:top w:w="15" w:type="dxa"/>
            <w:bottom w:w="15" w:type="dxa"/>
          </w:tblCellMar>
        </w:tblPrEx>
        <w:trPr>
          <w:cantSplit/>
          <w:trHeight w:val="20"/>
        </w:trPr>
        <w:tc>
          <w:tcPr>
            <w:tcW w:w="626" w:type="pct"/>
            <w:gridSpan w:val="2"/>
          </w:tcPr>
          <w:p w14:paraId="44EAE752" w14:textId="733F30FB" w:rsidR="005F3049" w:rsidRPr="00D85CD0" w:rsidRDefault="005F3049" w:rsidP="00AD6C64">
            <w:pPr>
              <w:rPr>
                <w:rFonts w:ascii="Arial Narrow" w:hAnsi="Arial Narrow"/>
                <w:strike/>
                <w:sz w:val="20"/>
                <w:szCs w:val="20"/>
              </w:rPr>
            </w:pPr>
          </w:p>
        </w:tc>
        <w:tc>
          <w:tcPr>
            <w:tcW w:w="4374" w:type="pct"/>
            <w:gridSpan w:val="6"/>
          </w:tcPr>
          <w:p w14:paraId="02B90D6F" w14:textId="77777777" w:rsidR="005F3049" w:rsidRPr="00D85CD0" w:rsidRDefault="005F3049" w:rsidP="00AD6C64">
            <w:pPr>
              <w:rPr>
                <w:rFonts w:ascii="Arial Narrow" w:hAnsi="Arial Narrow"/>
                <w:b/>
                <w:bCs/>
                <w:strike/>
                <w:sz w:val="20"/>
                <w:szCs w:val="20"/>
              </w:rPr>
            </w:pPr>
            <w:r w:rsidRPr="00D85CD0">
              <w:rPr>
                <w:rFonts w:ascii="Arial Narrow" w:hAnsi="Arial Narrow" w:cs="Open Sans"/>
                <w:b/>
                <w:bCs/>
                <w:strike/>
                <w:sz w:val="20"/>
                <w:szCs w:val="20"/>
                <w:bdr w:val="none" w:sz="0" w:space="0" w:color="auto" w:frame="1"/>
              </w:rPr>
              <w:t>Clinical criteria:</w:t>
            </w:r>
          </w:p>
        </w:tc>
      </w:tr>
      <w:tr w:rsidR="005F3049" w:rsidRPr="00D85CD0" w14:paraId="24510989" w14:textId="77777777" w:rsidTr="00A861E6">
        <w:tblPrEx>
          <w:tblCellMar>
            <w:top w:w="15" w:type="dxa"/>
            <w:bottom w:w="15" w:type="dxa"/>
          </w:tblCellMar>
        </w:tblPrEx>
        <w:trPr>
          <w:cantSplit/>
          <w:trHeight w:val="20"/>
        </w:trPr>
        <w:tc>
          <w:tcPr>
            <w:tcW w:w="626" w:type="pct"/>
            <w:gridSpan w:val="2"/>
          </w:tcPr>
          <w:p w14:paraId="43A64809" w14:textId="77777777" w:rsidR="005F3049" w:rsidRPr="00D85CD0" w:rsidRDefault="005F3049" w:rsidP="00AD6C64">
            <w:pPr>
              <w:rPr>
                <w:rFonts w:ascii="Arial Narrow" w:hAnsi="Arial Narrow"/>
                <w:strike/>
                <w:sz w:val="20"/>
                <w:szCs w:val="20"/>
              </w:rPr>
            </w:pPr>
          </w:p>
        </w:tc>
        <w:tc>
          <w:tcPr>
            <w:tcW w:w="4374" w:type="pct"/>
            <w:gridSpan w:val="6"/>
          </w:tcPr>
          <w:p w14:paraId="5D266080" w14:textId="77777777" w:rsidR="005F3049" w:rsidRPr="00D85CD0" w:rsidRDefault="005F3049" w:rsidP="00AD6C64">
            <w:pPr>
              <w:rPr>
                <w:rFonts w:ascii="Arial Narrow" w:hAnsi="Arial Narrow"/>
                <w:b/>
                <w:bCs/>
                <w:strike/>
                <w:sz w:val="20"/>
                <w:szCs w:val="20"/>
              </w:rPr>
            </w:pPr>
            <w:r w:rsidRPr="00D85CD0">
              <w:rPr>
                <w:rFonts w:ascii="Arial Narrow" w:hAnsi="Arial Narrow" w:cs="Open Sans"/>
                <w:strike/>
                <w:sz w:val="20"/>
                <w:szCs w:val="20"/>
              </w:rPr>
              <w:t>Patient must have documented evidence of having achieved histologic remission while receiving initial PBS-subsidised treatment with this drug for this condition, defined as a peak eosinophil count of less than 5 eosinophils per high power field (hpf), corresponding to less than 16 eosinophils per mm</w:t>
            </w:r>
            <w:r w:rsidRPr="00D85CD0">
              <w:rPr>
                <w:rFonts w:ascii="Arial Narrow" w:hAnsi="Arial Narrow" w:cs="Open Sans"/>
                <w:strike/>
                <w:sz w:val="20"/>
                <w:szCs w:val="20"/>
                <w:vertAlign w:val="superscript"/>
              </w:rPr>
              <w:t>2</w:t>
            </w:r>
            <w:r w:rsidRPr="00D85CD0">
              <w:rPr>
                <w:rFonts w:ascii="Arial Narrow" w:hAnsi="Arial Narrow" w:cs="Open Sans"/>
                <w:strike/>
                <w:sz w:val="20"/>
                <w:szCs w:val="20"/>
              </w:rPr>
              <w:t xml:space="preserve"> hpf on oesophageal biopsy</w:t>
            </w:r>
          </w:p>
        </w:tc>
      </w:tr>
      <w:tr w:rsidR="005F3049" w:rsidRPr="00D85CD0" w14:paraId="0A098721" w14:textId="77777777" w:rsidTr="00A861E6">
        <w:tblPrEx>
          <w:tblCellMar>
            <w:top w:w="15" w:type="dxa"/>
            <w:bottom w:w="15" w:type="dxa"/>
          </w:tblCellMar>
        </w:tblPrEx>
        <w:trPr>
          <w:cantSplit/>
          <w:trHeight w:val="20"/>
        </w:trPr>
        <w:tc>
          <w:tcPr>
            <w:tcW w:w="626" w:type="pct"/>
            <w:gridSpan w:val="2"/>
          </w:tcPr>
          <w:p w14:paraId="53E789FC" w14:textId="77777777" w:rsidR="005F3049" w:rsidRPr="00D85CD0" w:rsidRDefault="005F3049" w:rsidP="00AD6C64">
            <w:pPr>
              <w:rPr>
                <w:rFonts w:ascii="Arial Narrow" w:hAnsi="Arial Narrow"/>
                <w:sz w:val="20"/>
                <w:szCs w:val="20"/>
              </w:rPr>
            </w:pPr>
          </w:p>
        </w:tc>
        <w:tc>
          <w:tcPr>
            <w:tcW w:w="4374" w:type="pct"/>
            <w:gridSpan w:val="6"/>
          </w:tcPr>
          <w:p w14:paraId="74A571BE" w14:textId="77777777" w:rsidR="005F3049" w:rsidRPr="00D85CD0" w:rsidRDefault="005F3049" w:rsidP="00AD6C64">
            <w:pPr>
              <w:rPr>
                <w:rFonts w:ascii="Arial Narrow" w:hAnsi="Arial Narrow"/>
                <w:b/>
                <w:bCs/>
                <w:sz w:val="20"/>
                <w:szCs w:val="20"/>
              </w:rPr>
            </w:pPr>
            <w:r w:rsidRPr="00D85CD0">
              <w:rPr>
                <w:rFonts w:ascii="Arial Narrow" w:hAnsi="Arial Narrow" w:cs="Open Sans"/>
                <w:b/>
                <w:bCs/>
                <w:sz w:val="20"/>
                <w:szCs w:val="20"/>
                <w:bdr w:val="none" w:sz="0" w:space="0" w:color="auto" w:frame="1"/>
              </w:rPr>
              <w:t>AND</w:t>
            </w:r>
          </w:p>
        </w:tc>
      </w:tr>
      <w:tr w:rsidR="005F3049" w:rsidRPr="00D85CD0" w14:paraId="68E2570E" w14:textId="77777777" w:rsidTr="00A861E6">
        <w:tblPrEx>
          <w:tblCellMar>
            <w:top w:w="15" w:type="dxa"/>
            <w:bottom w:w="15" w:type="dxa"/>
          </w:tblCellMar>
        </w:tblPrEx>
        <w:trPr>
          <w:cantSplit/>
          <w:trHeight w:val="20"/>
        </w:trPr>
        <w:tc>
          <w:tcPr>
            <w:tcW w:w="626" w:type="pct"/>
            <w:gridSpan w:val="2"/>
          </w:tcPr>
          <w:p w14:paraId="2A91AF44" w14:textId="5A46F1A9" w:rsidR="005F3049" w:rsidRPr="00395B70" w:rsidRDefault="005F3049" w:rsidP="00AD6C64">
            <w:pPr>
              <w:rPr>
                <w:rFonts w:ascii="Arial Narrow" w:hAnsi="Arial Narrow"/>
                <w:strike/>
                <w:sz w:val="20"/>
                <w:szCs w:val="20"/>
              </w:rPr>
            </w:pPr>
          </w:p>
        </w:tc>
        <w:tc>
          <w:tcPr>
            <w:tcW w:w="4374" w:type="pct"/>
            <w:gridSpan w:val="6"/>
          </w:tcPr>
          <w:p w14:paraId="31FD98F9" w14:textId="77777777" w:rsidR="005F3049" w:rsidRPr="00D85CD0" w:rsidRDefault="005F3049" w:rsidP="00AD6C64">
            <w:pPr>
              <w:rPr>
                <w:rFonts w:ascii="Arial Narrow" w:hAnsi="Arial Narrow"/>
                <w:b/>
                <w:bCs/>
                <w:sz w:val="20"/>
                <w:szCs w:val="20"/>
              </w:rPr>
            </w:pPr>
            <w:r w:rsidRPr="00D85CD0">
              <w:rPr>
                <w:rFonts w:ascii="Arial Narrow" w:hAnsi="Arial Narrow" w:cs="Open Sans"/>
                <w:b/>
                <w:bCs/>
                <w:sz w:val="20"/>
                <w:szCs w:val="20"/>
                <w:bdr w:val="none" w:sz="0" w:space="0" w:color="auto" w:frame="1"/>
              </w:rPr>
              <w:t>Clinical criteria:</w:t>
            </w:r>
          </w:p>
        </w:tc>
      </w:tr>
      <w:tr w:rsidR="005F3049" w:rsidRPr="00D85CD0" w14:paraId="655188AB" w14:textId="77777777" w:rsidTr="00A861E6">
        <w:tblPrEx>
          <w:tblCellMar>
            <w:top w:w="15" w:type="dxa"/>
            <w:bottom w:w="15" w:type="dxa"/>
          </w:tblCellMar>
        </w:tblPrEx>
        <w:trPr>
          <w:cantSplit/>
          <w:trHeight w:val="20"/>
        </w:trPr>
        <w:tc>
          <w:tcPr>
            <w:tcW w:w="626" w:type="pct"/>
            <w:gridSpan w:val="2"/>
          </w:tcPr>
          <w:p w14:paraId="4E32A2AE" w14:textId="6EB1D08F" w:rsidR="005F3049" w:rsidRPr="00D85CD0" w:rsidRDefault="005F3049" w:rsidP="00AD6C64">
            <w:pPr>
              <w:rPr>
                <w:rFonts w:ascii="Arial Narrow" w:hAnsi="Arial Narrow"/>
                <w:sz w:val="20"/>
                <w:szCs w:val="20"/>
              </w:rPr>
            </w:pPr>
          </w:p>
        </w:tc>
        <w:tc>
          <w:tcPr>
            <w:tcW w:w="4374" w:type="pct"/>
            <w:gridSpan w:val="6"/>
          </w:tcPr>
          <w:p w14:paraId="0797CAF3"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 xml:space="preserve">Patient must not receive more than </w:t>
            </w:r>
            <w:r w:rsidRPr="00D85CD0">
              <w:rPr>
                <w:rFonts w:ascii="Arial Narrow" w:hAnsi="Arial Narrow" w:cs="Open Sans"/>
                <w:strike/>
                <w:sz w:val="20"/>
                <w:szCs w:val="20"/>
              </w:rPr>
              <w:t xml:space="preserve">26 </w:t>
            </w:r>
            <w:r w:rsidRPr="009F550D">
              <w:rPr>
                <w:rFonts w:ascii="Arial Narrow" w:hAnsi="Arial Narrow" w:cs="Open Sans"/>
                <w:strike/>
                <w:sz w:val="20"/>
                <w:szCs w:val="20"/>
              </w:rPr>
              <w:t>weeks</w:t>
            </w:r>
            <w:r w:rsidRPr="009F550D">
              <w:rPr>
                <w:rFonts w:ascii="Arial Narrow" w:hAnsi="Arial Narrow" w:cs="Open Sans"/>
                <w:sz w:val="20"/>
                <w:szCs w:val="20"/>
              </w:rPr>
              <w:t xml:space="preserve"> </w:t>
            </w:r>
            <w:r w:rsidRPr="009F550D">
              <w:rPr>
                <w:rFonts w:ascii="Arial Narrow" w:hAnsi="Arial Narrow" w:cs="Open Sans"/>
                <w:i/>
                <w:iCs/>
                <w:sz w:val="20"/>
                <w:szCs w:val="20"/>
              </w:rPr>
              <w:t>36 weeks</w:t>
            </w:r>
            <w:r w:rsidRPr="00D85CD0">
              <w:rPr>
                <w:rFonts w:ascii="Arial Narrow" w:hAnsi="Arial Narrow" w:cs="Open Sans"/>
                <w:sz w:val="20"/>
                <w:szCs w:val="20"/>
              </w:rPr>
              <w:t xml:space="preserve"> of treatment under this restriction</w:t>
            </w:r>
          </w:p>
        </w:tc>
      </w:tr>
      <w:tr w:rsidR="005F3049" w:rsidRPr="00D85CD0" w14:paraId="27A85F2D" w14:textId="77777777" w:rsidTr="00A861E6">
        <w:tblPrEx>
          <w:tblCellMar>
            <w:top w:w="15" w:type="dxa"/>
            <w:bottom w:w="15" w:type="dxa"/>
          </w:tblCellMar>
        </w:tblPrEx>
        <w:trPr>
          <w:cantSplit/>
          <w:trHeight w:val="20"/>
        </w:trPr>
        <w:tc>
          <w:tcPr>
            <w:tcW w:w="626" w:type="pct"/>
            <w:gridSpan w:val="2"/>
          </w:tcPr>
          <w:p w14:paraId="66DD9165" w14:textId="369AFAEE" w:rsidR="005F3049" w:rsidRPr="00D85CD0" w:rsidRDefault="005F3049" w:rsidP="00AD6C64">
            <w:pPr>
              <w:rPr>
                <w:rFonts w:ascii="Arial Narrow" w:hAnsi="Arial Narrow"/>
                <w:strike/>
                <w:sz w:val="20"/>
                <w:szCs w:val="20"/>
              </w:rPr>
            </w:pPr>
          </w:p>
        </w:tc>
        <w:tc>
          <w:tcPr>
            <w:tcW w:w="4374" w:type="pct"/>
            <w:gridSpan w:val="6"/>
          </w:tcPr>
          <w:p w14:paraId="5D1FCA7F" w14:textId="77777777" w:rsidR="005F3049" w:rsidRPr="00D85CD0" w:rsidRDefault="005F3049" w:rsidP="00AD6C64">
            <w:pPr>
              <w:rPr>
                <w:rFonts w:ascii="Arial Narrow" w:hAnsi="Arial Narrow"/>
                <w:b/>
                <w:bCs/>
                <w:sz w:val="20"/>
                <w:szCs w:val="20"/>
              </w:rPr>
            </w:pPr>
            <w:r w:rsidRPr="00D85CD0">
              <w:rPr>
                <w:rFonts w:ascii="Arial Narrow" w:hAnsi="Arial Narrow" w:cs="Open Sans"/>
                <w:b/>
                <w:bCs/>
                <w:sz w:val="20"/>
                <w:szCs w:val="20"/>
                <w:bdr w:val="none" w:sz="0" w:space="0" w:color="auto" w:frame="1"/>
              </w:rPr>
              <w:t>Treatment criteria:</w:t>
            </w:r>
          </w:p>
        </w:tc>
      </w:tr>
      <w:tr w:rsidR="005F3049" w:rsidRPr="00D85CD0" w14:paraId="7DD59916" w14:textId="77777777" w:rsidTr="00A861E6">
        <w:tblPrEx>
          <w:tblCellMar>
            <w:top w:w="15" w:type="dxa"/>
            <w:bottom w:w="15" w:type="dxa"/>
          </w:tblCellMar>
        </w:tblPrEx>
        <w:trPr>
          <w:cantSplit/>
          <w:trHeight w:val="20"/>
        </w:trPr>
        <w:tc>
          <w:tcPr>
            <w:tcW w:w="626" w:type="pct"/>
            <w:gridSpan w:val="2"/>
          </w:tcPr>
          <w:p w14:paraId="0158108D" w14:textId="72995566" w:rsidR="005F3049" w:rsidRPr="00D85CD0" w:rsidRDefault="005F3049" w:rsidP="00AD6C64">
            <w:pPr>
              <w:rPr>
                <w:rFonts w:ascii="Arial Narrow" w:hAnsi="Arial Narrow"/>
                <w:sz w:val="20"/>
                <w:szCs w:val="20"/>
              </w:rPr>
            </w:pPr>
          </w:p>
        </w:tc>
        <w:tc>
          <w:tcPr>
            <w:tcW w:w="4374" w:type="pct"/>
            <w:gridSpan w:val="6"/>
          </w:tcPr>
          <w:p w14:paraId="2A7FA47A" w14:textId="77777777" w:rsidR="005F3049" w:rsidRPr="00395B70" w:rsidRDefault="005F3049" w:rsidP="00AD6C64">
            <w:pPr>
              <w:rPr>
                <w:rFonts w:ascii="Arial Narrow" w:hAnsi="Arial Narrow"/>
                <w:b/>
                <w:bCs/>
                <w:i/>
                <w:iCs/>
                <w:sz w:val="20"/>
                <w:szCs w:val="20"/>
              </w:rPr>
            </w:pPr>
            <w:r w:rsidRPr="00395B70">
              <w:rPr>
                <w:rFonts w:ascii="Arial Narrow" w:hAnsi="Arial Narrow" w:cs="Open Sans"/>
                <w:i/>
                <w:iCs/>
                <w:sz w:val="20"/>
                <w:szCs w:val="20"/>
              </w:rPr>
              <w:t>Must be treated by at least one of: (i) gastroenterologist, (ii) surgeon experienced in the management of patients with eosinophilic oesophagitis, (iii) physician experienced in the management of patients with eosinophilic oesophagitis, (iv) medical practitioner in consultation with one of these prescribers</w:t>
            </w:r>
          </w:p>
        </w:tc>
      </w:tr>
      <w:tr w:rsidR="005F3049" w:rsidRPr="00D85CD0" w14:paraId="710531E1" w14:textId="77777777" w:rsidTr="00A861E6">
        <w:tblPrEx>
          <w:tblCellMar>
            <w:top w:w="15" w:type="dxa"/>
            <w:bottom w:w="15" w:type="dxa"/>
          </w:tblCellMar>
        </w:tblPrEx>
        <w:trPr>
          <w:cantSplit/>
          <w:trHeight w:val="20"/>
        </w:trPr>
        <w:tc>
          <w:tcPr>
            <w:tcW w:w="626" w:type="pct"/>
            <w:gridSpan w:val="2"/>
          </w:tcPr>
          <w:p w14:paraId="065ED240" w14:textId="77777777" w:rsidR="005F3049" w:rsidRPr="00D85CD0" w:rsidRDefault="005F3049" w:rsidP="00AD6C64">
            <w:pPr>
              <w:rPr>
                <w:rFonts w:ascii="Arial Narrow" w:hAnsi="Arial Narrow" w:cs="Open Sans"/>
                <w:sz w:val="20"/>
                <w:szCs w:val="20"/>
              </w:rPr>
            </w:pPr>
          </w:p>
        </w:tc>
        <w:tc>
          <w:tcPr>
            <w:tcW w:w="4374" w:type="pct"/>
            <w:gridSpan w:val="6"/>
          </w:tcPr>
          <w:p w14:paraId="7EB496AC" w14:textId="77777777" w:rsidR="005F3049" w:rsidRPr="00D85CD0" w:rsidRDefault="005F3049" w:rsidP="00AD6C64">
            <w:pPr>
              <w:rPr>
                <w:rFonts w:ascii="Arial Narrow" w:hAnsi="Arial Narrow" w:cs="Open Sans"/>
                <w:sz w:val="20"/>
                <w:szCs w:val="20"/>
              </w:rPr>
            </w:pPr>
          </w:p>
        </w:tc>
      </w:tr>
      <w:tr w:rsidR="005F3049" w:rsidRPr="00D85CD0" w14:paraId="492A7E3C" w14:textId="77777777" w:rsidTr="00A861E6">
        <w:tblPrEx>
          <w:tblCellMar>
            <w:top w:w="15" w:type="dxa"/>
            <w:bottom w:w="15" w:type="dxa"/>
          </w:tblCellMar>
        </w:tblPrEx>
        <w:trPr>
          <w:cantSplit/>
          <w:trHeight w:val="20"/>
        </w:trPr>
        <w:tc>
          <w:tcPr>
            <w:tcW w:w="626" w:type="pct"/>
            <w:gridSpan w:val="2"/>
          </w:tcPr>
          <w:p w14:paraId="6F576611" w14:textId="7F6E1B31" w:rsidR="005F3049" w:rsidRPr="00D85CD0" w:rsidRDefault="005F3049" w:rsidP="00AD6C64">
            <w:pPr>
              <w:rPr>
                <w:rFonts w:ascii="Arial Narrow" w:hAnsi="Arial Narrow"/>
                <w:sz w:val="20"/>
                <w:szCs w:val="20"/>
              </w:rPr>
            </w:pPr>
          </w:p>
        </w:tc>
        <w:tc>
          <w:tcPr>
            <w:tcW w:w="4374" w:type="pct"/>
            <w:gridSpan w:val="6"/>
          </w:tcPr>
          <w:p w14:paraId="06F39895"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b/>
                <w:bCs/>
                <w:sz w:val="20"/>
                <w:szCs w:val="20"/>
                <w:bdr w:val="none" w:sz="0" w:space="0" w:color="auto" w:frame="1"/>
              </w:rPr>
              <w:t>Prescribing Instructions:</w:t>
            </w:r>
          </w:p>
          <w:p w14:paraId="4A315017"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sz w:val="20"/>
                <w:szCs w:val="20"/>
              </w:rPr>
              <w:t xml:space="preserve">Histologic assessment should be based on the peak eosinophils count derived, </w:t>
            </w:r>
            <w:r w:rsidRPr="009F550D">
              <w:rPr>
                <w:rFonts w:ascii="Arial Narrow" w:hAnsi="Arial Narrow" w:cs="Open Sans"/>
                <w:i/>
                <w:iCs/>
                <w:sz w:val="20"/>
                <w:szCs w:val="20"/>
              </w:rPr>
              <w:t>where necessary,</w:t>
            </w:r>
            <w:r w:rsidRPr="00D85CD0">
              <w:rPr>
                <w:rFonts w:ascii="Arial Narrow" w:hAnsi="Arial Narrow" w:cs="Open Sans"/>
                <w:sz w:val="20"/>
                <w:szCs w:val="20"/>
              </w:rPr>
              <w:t xml:space="preserve"> from the evaluation of at least eight oesophageal biopsies (minimum of four collected from each of the mid and distal segments, with the distal segment biopsies taken at least 5 cm above the gastroesophageal junction).</w:t>
            </w:r>
          </w:p>
          <w:p w14:paraId="60DA5287" w14:textId="77777777" w:rsidR="005F3049" w:rsidRPr="00D85CD0" w:rsidRDefault="005F3049" w:rsidP="00AD6C64">
            <w:pPr>
              <w:rPr>
                <w:rFonts w:ascii="Arial Narrow" w:hAnsi="Arial Narrow" w:cs="Open Sans"/>
                <w:sz w:val="20"/>
                <w:szCs w:val="20"/>
              </w:rPr>
            </w:pPr>
            <w:r w:rsidRPr="00D85CD0">
              <w:rPr>
                <w:rFonts w:ascii="Arial Narrow" w:hAnsi="Arial Narrow" w:cs="Open Sans"/>
                <w:sz w:val="20"/>
                <w:szCs w:val="20"/>
              </w:rPr>
              <w:t xml:space="preserve">The histologic assessment should, where possible, be performed by </w:t>
            </w:r>
            <w:r w:rsidRPr="00D85CD0">
              <w:rPr>
                <w:rFonts w:ascii="Arial Narrow" w:hAnsi="Arial Narrow" w:cs="Open Sans"/>
                <w:i/>
                <w:iCs/>
                <w:sz w:val="20"/>
                <w:szCs w:val="20"/>
              </w:rPr>
              <w:t>or in consultation with</w:t>
            </w:r>
            <w:r w:rsidRPr="00D85CD0">
              <w:rPr>
                <w:rFonts w:ascii="Arial Narrow" w:hAnsi="Arial Narrow" w:cs="Open Sans"/>
                <w:sz w:val="20"/>
                <w:szCs w:val="20"/>
              </w:rPr>
              <w:t xml:space="preserve"> the same physician </w:t>
            </w:r>
            <w:r w:rsidRPr="00D85CD0">
              <w:rPr>
                <w:rFonts w:ascii="Arial Narrow" w:hAnsi="Arial Narrow" w:cs="Open Sans"/>
                <w:i/>
                <w:iCs/>
                <w:sz w:val="20"/>
                <w:szCs w:val="20"/>
              </w:rPr>
              <w:t>or surgeon</w:t>
            </w:r>
            <w:r w:rsidRPr="00D85CD0">
              <w:rPr>
                <w:rFonts w:ascii="Arial Narrow" w:hAnsi="Arial Narrow" w:cs="Open Sans"/>
                <w:sz w:val="20"/>
                <w:szCs w:val="20"/>
              </w:rPr>
              <w:t xml:space="preserve"> who confirmed the </w:t>
            </w:r>
            <w:r w:rsidRPr="009F550D">
              <w:rPr>
                <w:rFonts w:ascii="Arial Narrow" w:hAnsi="Arial Narrow" w:cs="Open Sans"/>
                <w:i/>
                <w:iCs/>
                <w:sz w:val="20"/>
                <w:szCs w:val="20"/>
              </w:rPr>
              <w:t>patient’s</w:t>
            </w:r>
            <w:r>
              <w:rPr>
                <w:rFonts w:ascii="Arial Narrow" w:hAnsi="Arial Narrow" w:cs="Open Sans"/>
                <w:sz w:val="20"/>
                <w:szCs w:val="20"/>
              </w:rPr>
              <w:t xml:space="preserve"> </w:t>
            </w:r>
            <w:r w:rsidRPr="00D85CD0">
              <w:rPr>
                <w:rFonts w:ascii="Arial Narrow" w:hAnsi="Arial Narrow" w:cs="Open Sans"/>
                <w:sz w:val="20"/>
                <w:szCs w:val="20"/>
              </w:rPr>
              <w:t>diagnosis of eosinophilic oesophagitis</w:t>
            </w:r>
            <w:r>
              <w:rPr>
                <w:rFonts w:ascii="Arial Narrow" w:hAnsi="Arial Narrow" w:cs="Open Sans"/>
                <w:sz w:val="20"/>
                <w:szCs w:val="20"/>
              </w:rPr>
              <w:t>.</w:t>
            </w:r>
            <w:r w:rsidRPr="00D85CD0">
              <w:rPr>
                <w:rFonts w:ascii="Arial Narrow" w:hAnsi="Arial Narrow" w:cs="Open Sans"/>
                <w:sz w:val="20"/>
                <w:szCs w:val="20"/>
              </w:rPr>
              <w:t xml:space="preserve"> </w:t>
            </w:r>
            <w:r w:rsidRPr="009F550D">
              <w:rPr>
                <w:rFonts w:ascii="Arial Narrow" w:hAnsi="Arial Narrow" w:cs="Open Sans"/>
                <w:strike/>
                <w:sz w:val="20"/>
                <w:szCs w:val="20"/>
              </w:rPr>
              <w:t>in the patient</w:t>
            </w:r>
            <w:r w:rsidRPr="00D85CD0">
              <w:rPr>
                <w:rFonts w:ascii="Arial Narrow" w:hAnsi="Arial Narrow" w:cs="Open Sans"/>
                <w:sz w:val="20"/>
                <w:szCs w:val="20"/>
              </w:rPr>
              <w:t xml:space="preserve">. This assessment, </w:t>
            </w:r>
            <w:r w:rsidRPr="00D85CD0">
              <w:rPr>
                <w:rFonts w:ascii="Arial Narrow" w:hAnsi="Arial Narrow" w:cs="Open Sans"/>
                <w:strike/>
                <w:sz w:val="20"/>
                <w:szCs w:val="20"/>
              </w:rPr>
              <w:t xml:space="preserve">which will be used to determine eligibility for continuing treatment, </w:t>
            </w:r>
            <w:proofErr w:type="gramStart"/>
            <w:r w:rsidRPr="00D85CD0">
              <w:rPr>
                <w:rFonts w:ascii="Arial Narrow" w:hAnsi="Arial Narrow" w:cs="Open Sans"/>
                <w:strike/>
                <w:sz w:val="20"/>
                <w:szCs w:val="20"/>
              </w:rPr>
              <w:t>should</w:t>
            </w:r>
            <w:r w:rsidRPr="00D85CD0">
              <w:rPr>
                <w:rFonts w:ascii="Arial Narrow" w:hAnsi="Arial Narrow" w:cs="Open Sans"/>
                <w:sz w:val="20"/>
                <w:szCs w:val="20"/>
              </w:rPr>
              <w:t xml:space="preserve"> must</w:t>
            </w:r>
            <w:proofErr w:type="gramEnd"/>
            <w:r w:rsidRPr="00D85CD0">
              <w:rPr>
                <w:rFonts w:ascii="Arial Narrow" w:hAnsi="Arial Narrow" w:cs="Open Sans"/>
                <w:sz w:val="20"/>
                <w:szCs w:val="20"/>
              </w:rPr>
              <w:t xml:space="preserve"> be conducted </w:t>
            </w:r>
            <w:r w:rsidRPr="00D85CD0">
              <w:rPr>
                <w:rFonts w:ascii="Arial Narrow" w:hAnsi="Arial Narrow" w:cs="Open Sans"/>
                <w:strike/>
                <w:sz w:val="20"/>
                <w:szCs w:val="20"/>
              </w:rPr>
              <w:t>and submitted after the patient has completed 8 weeks of the initial treatment course and</w:t>
            </w:r>
            <w:r w:rsidRPr="00D85CD0">
              <w:rPr>
                <w:rFonts w:ascii="Arial Narrow" w:hAnsi="Arial Narrow" w:cs="Open Sans"/>
                <w:sz w:val="20"/>
                <w:szCs w:val="20"/>
              </w:rPr>
              <w:t xml:space="preserve"> </w:t>
            </w:r>
            <w:r w:rsidRPr="009F550D">
              <w:rPr>
                <w:rFonts w:ascii="Arial Narrow" w:hAnsi="Arial Narrow" w:cs="Open Sans"/>
                <w:i/>
                <w:iCs/>
                <w:sz w:val="20"/>
                <w:szCs w:val="20"/>
              </w:rPr>
              <w:t xml:space="preserve">within 48 weeks of initiating </w:t>
            </w:r>
            <w:r w:rsidRPr="00D85CD0">
              <w:rPr>
                <w:rFonts w:ascii="Arial Narrow" w:hAnsi="Arial Narrow" w:cs="Open Sans"/>
                <w:i/>
                <w:iCs/>
                <w:sz w:val="20"/>
                <w:szCs w:val="20"/>
              </w:rPr>
              <w:t>treatment, to determine the patient’s eligibility for continuing treatment</w:t>
            </w:r>
            <w:r w:rsidRPr="00D85CD0">
              <w:rPr>
                <w:rFonts w:ascii="Arial Narrow" w:hAnsi="Arial Narrow" w:cs="Open Sans"/>
                <w:sz w:val="20"/>
                <w:szCs w:val="20"/>
              </w:rPr>
              <w:t xml:space="preserve">. </w:t>
            </w:r>
            <w:r w:rsidRPr="00D85CD0">
              <w:rPr>
                <w:rFonts w:ascii="Arial Narrow" w:hAnsi="Arial Narrow" w:cs="Open Sans"/>
                <w:strike/>
                <w:sz w:val="20"/>
                <w:szCs w:val="20"/>
              </w:rPr>
              <w:t>and no later than 2 weeks prior to the patient completing the PBS-subsidised initial treatment course, to avoid an interruption to supply</w:t>
            </w:r>
            <w:r w:rsidRPr="00D85CD0">
              <w:rPr>
                <w:rFonts w:ascii="Arial Narrow" w:hAnsi="Arial Narrow" w:cs="Open Sans"/>
                <w:sz w:val="20"/>
                <w:szCs w:val="20"/>
              </w:rPr>
              <w:t xml:space="preserve">. </w:t>
            </w:r>
            <w:r w:rsidRPr="009F550D">
              <w:rPr>
                <w:rFonts w:ascii="Arial Narrow" w:hAnsi="Arial Narrow" w:cs="Open Sans"/>
                <w:i/>
                <w:iCs/>
                <w:sz w:val="20"/>
                <w:szCs w:val="20"/>
                <w:bdr w:val="none" w:sz="0" w:space="0" w:color="auto" w:frame="1"/>
              </w:rPr>
              <w:t>The histologic assessment should be conducted no later than 2 weeks prior to the patient completing the PBS subsidised first continuing treatment course to avoid an interruption of supply for continuing therapy</w:t>
            </w:r>
            <w:r w:rsidRPr="00D85CD0">
              <w:rPr>
                <w:rFonts w:ascii="Arial Narrow" w:hAnsi="Arial Narrow" w:cs="Open Sans"/>
                <w:b/>
                <w:bCs/>
                <w:i/>
                <w:iCs/>
                <w:sz w:val="20"/>
                <w:szCs w:val="20"/>
                <w:bdr w:val="none" w:sz="0" w:space="0" w:color="auto" w:frame="1"/>
              </w:rPr>
              <w:t>.</w:t>
            </w:r>
            <w:r w:rsidRPr="00D85CD0">
              <w:rPr>
                <w:rFonts w:ascii="Arial Narrow" w:hAnsi="Arial Narrow" w:cs="Open Sans"/>
                <w:sz w:val="20"/>
                <w:szCs w:val="20"/>
              </w:rPr>
              <w:t xml:space="preserve"> Where a histologic assessment is not undertaken </w:t>
            </w:r>
            <w:r w:rsidRPr="00D85CD0">
              <w:rPr>
                <w:rFonts w:ascii="Arial Narrow" w:hAnsi="Arial Narrow" w:cs="Open Sans"/>
                <w:strike/>
                <w:sz w:val="20"/>
                <w:szCs w:val="20"/>
              </w:rPr>
              <w:t>and the results submitted,</w:t>
            </w:r>
            <w:r w:rsidRPr="00D85CD0">
              <w:rPr>
                <w:rFonts w:ascii="Arial Narrow" w:hAnsi="Arial Narrow" w:cs="Open Sans"/>
                <w:sz w:val="20"/>
                <w:szCs w:val="20"/>
              </w:rPr>
              <w:t xml:space="preserve"> the patient will </w:t>
            </w:r>
            <w:r w:rsidRPr="00D85CD0">
              <w:rPr>
                <w:rFonts w:ascii="Arial Narrow" w:hAnsi="Arial Narrow" w:cs="Open Sans"/>
                <w:strike/>
                <w:sz w:val="20"/>
                <w:szCs w:val="20"/>
              </w:rPr>
              <w:t>be</w:t>
            </w:r>
            <w:r w:rsidRPr="00D85CD0">
              <w:rPr>
                <w:rFonts w:ascii="Arial Narrow" w:hAnsi="Arial Narrow" w:cs="Open Sans"/>
                <w:sz w:val="20"/>
                <w:szCs w:val="20"/>
              </w:rPr>
              <w:t xml:space="preserve"> not be eligible for ongoing treatment.</w:t>
            </w:r>
          </w:p>
          <w:p w14:paraId="329CEC85" w14:textId="77777777" w:rsidR="005F3049" w:rsidRPr="00D85CD0" w:rsidRDefault="005F3049" w:rsidP="00AD6C64">
            <w:pPr>
              <w:rPr>
                <w:rFonts w:ascii="Arial Narrow" w:hAnsi="Arial Narrow"/>
                <w:i/>
                <w:iCs/>
                <w:sz w:val="20"/>
                <w:szCs w:val="20"/>
              </w:rPr>
            </w:pPr>
            <w:r w:rsidRPr="00D85CD0">
              <w:rPr>
                <w:rFonts w:ascii="Arial Narrow" w:hAnsi="Arial Narrow"/>
                <w:i/>
                <w:iCs/>
                <w:sz w:val="20"/>
                <w:szCs w:val="20"/>
              </w:rPr>
              <w:t xml:space="preserve">The result of the histological assessment must be documented in the patient’s medical records. </w:t>
            </w:r>
          </w:p>
        </w:tc>
      </w:tr>
      <w:tr w:rsidR="005F3049" w:rsidRPr="00D85CD0" w14:paraId="449994F2" w14:textId="77777777" w:rsidTr="00A861E6">
        <w:tblPrEx>
          <w:tblCellMar>
            <w:top w:w="15" w:type="dxa"/>
            <w:bottom w:w="15" w:type="dxa"/>
          </w:tblCellMar>
        </w:tblPrEx>
        <w:trPr>
          <w:cantSplit/>
          <w:trHeight w:val="20"/>
        </w:trPr>
        <w:tc>
          <w:tcPr>
            <w:tcW w:w="626" w:type="pct"/>
            <w:gridSpan w:val="2"/>
          </w:tcPr>
          <w:p w14:paraId="7E39AE6B" w14:textId="3E1631CB" w:rsidR="005F3049" w:rsidRPr="001E36F1" w:rsidRDefault="005F3049" w:rsidP="00AD6C64">
            <w:pPr>
              <w:rPr>
                <w:rFonts w:ascii="Arial Narrow" w:hAnsi="Arial Narrow" w:cs="Open Sans"/>
                <w:i/>
                <w:iCs/>
                <w:sz w:val="20"/>
                <w:szCs w:val="20"/>
              </w:rPr>
            </w:pPr>
          </w:p>
        </w:tc>
        <w:tc>
          <w:tcPr>
            <w:tcW w:w="4374" w:type="pct"/>
            <w:gridSpan w:val="6"/>
          </w:tcPr>
          <w:p w14:paraId="05E52AEC" w14:textId="77777777" w:rsidR="005F3049" w:rsidRPr="001E36F1" w:rsidRDefault="005F3049" w:rsidP="00AD6C64">
            <w:pPr>
              <w:jc w:val="left"/>
              <w:textAlignment w:val="baseline"/>
              <w:rPr>
                <w:rFonts w:ascii="Arial Narrow" w:hAnsi="Arial Narrow" w:cs="Open Sans"/>
                <w:i/>
                <w:iCs/>
                <w:sz w:val="20"/>
                <w:szCs w:val="20"/>
              </w:rPr>
            </w:pPr>
            <w:r w:rsidRPr="001E36F1">
              <w:rPr>
                <w:rFonts w:ascii="Arial Narrow" w:hAnsi="Arial Narrow" w:cs="Open Sans"/>
                <w:b/>
                <w:bCs/>
                <w:i/>
                <w:iCs/>
                <w:sz w:val="20"/>
                <w:szCs w:val="20"/>
                <w:bdr w:val="none" w:sz="0" w:space="0" w:color="auto" w:frame="1"/>
              </w:rPr>
              <w:t>Prescribing Instructions:</w:t>
            </w:r>
          </w:p>
          <w:p w14:paraId="43AC5083" w14:textId="77777777" w:rsidR="005F3049" w:rsidRPr="001E36F1" w:rsidRDefault="005F3049" w:rsidP="00AD6C64">
            <w:pPr>
              <w:jc w:val="left"/>
              <w:textAlignment w:val="baseline"/>
              <w:rPr>
                <w:rFonts w:ascii="Arial Narrow" w:hAnsi="Arial Narrow" w:cs="Open Sans"/>
                <w:b/>
                <w:bCs/>
                <w:i/>
                <w:iCs/>
                <w:sz w:val="20"/>
                <w:szCs w:val="20"/>
                <w:bdr w:val="none" w:sz="0" w:space="0" w:color="auto" w:frame="1"/>
              </w:rPr>
            </w:pPr>
            <w:r w:rsidRPr="001E36F1">
              <w:rPr>
                <w:rFonts w:ascii="Arial Narrow" w:hAnsi="Arial Narrow" w:cs="Open Sans"/>
                <w:i/>
                <w:iCs/>
                <w:sz w:val="20"/>
                <w:szCs w:val="20"/>
              </w:rPr>
              <w:t>First applications for the subsequent continuing treatment of this condition, must be received within 12 weeks of the histologic assessment</w:t>
            </w:r>
            <w:r>
              <w:rPr>
                <w:rFonts w:ascii="Arial Narrow" w:hAnsi="Arial Narrow" w:cs="Open Sans"/>
                <w:i/>
                <w:iCs/>
                <w:sz w:val="20"/>
                <w:szCs w:val="20"/>
              </w:rPr>
              <w:t>.</w:t>
            </w:r>
          </w:p>
        </w:tc>
      </w:tr>
    </w:tbl>
    <w:p w14:paraId="52F3DC35" w14:textId="77777777" w:rsidR="005F3049" w:rsidRPr="00D85CD0" w:rsidRDefault="005F3049" w:rsidP="005F30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496"/>
        <w:gridCol w:w="635"/>
        <w:gridCol w:w="2268"/>
        <w:gridCol w:w="1134"/>
        <w:gridCol w:w="710"/>
        <w:gridCol w:w="709"/>
        <w:gridCol w:w="1706"/>
        <w:gridCol w:w="1358"/>
      </w:tblGrid>
      <w:tr w:rsidR="005F3049" w:rsidRPr="00D85CD0" w14:paraId="17D7ACC3" w14:textId="77777777" w:rsidTr="00AD6C64">
        <w:trPr>
          <w:cantSplit/>
          <w:trHeight w:val="20"/>
        </w:trPr>
        <w:tc>
          <w:tcPr>
            <w:tcW w:w="1885" w:type="pct"/>
            <w:gridSpan w:val="3"/>
            <w:tcBorders>
              <w:top w:val="single" w:sz="4" w:space="0" w:color="auto"/>
              <w:left w:val="single" w:sz="4" w:space="0" w:color="auto"/>
              <w:bottom w:val="single" w:sz="4" w:space="0" w:color="auto"/>
              <w:right w:val="single" w:sz="4" w:space="0" w:color="auto"/>
            </w:tcBorders>
          </w:tcPr>
          <w:p w14:paraId="7053C45A" w14:textId="77777777" w:rsidR="005F3049" w:rsidRPr="00D85CD0" w:rsidRDefault="005F3049" w:rsidP="00AD6C64">
            <w:pPr>
              <w:keepNext/>
              <w:ind w:left="-108"/>
              <w:rPr>
                <w:rFonts w:ascii="Arial Narrow" w:hAnsi="Arial Narrow" w:cs="Arial"/>
                <w:b/>
                <w:bCs/>
                <w:sz w:val="20"/>
                <w:szCs w:val="20"/>
              </w:rPr>
            </w:pPr>
            <w:r w:rsidRPr="00D85CD0">
              <w:rPr>
                <w:rFonts w:ascii="Arial Narrow" w:hAnsi="Arial Narrow" w:cs="Arial"/>
                <w:b/>
                <w:bCs/>
                <w:sz w:val="20"/>
                <w:szCs w:val="20"/>
              </w:rPr>
              <w:t>MEDICINAL PRODUCT</w:t>
            </w:r>
          </w:p>
          <w:p w14:paraId="58A0AE80" w14:textId="77777777" w:rsidR="005F3049" w:rsidRPr="00D85CD0" w:rsidRDefault="005F3049" w:rsidP="00AD6C64">
            <w:pPr>
              <w:jc w:val="left"/>
              <w:textAlignment w:val="baseline"/>
              <w:rPr>
                <w:rFonts w:ascii="Arial Narrow" w:hAnsi="Arial Narrow"/>
                <w:b/>
                <w:sz w:val="20"/>
                <w:szCs w:val="20"/>
              </w:rPr>
            </w:pPr>
            <w:r w:rsidRPr="00D85CD0">
              <w:rPr>
                <w:rFonts w:ascii="Arial Narrow" w:hAnsi="Arial Narrow" w:cs="Arial"/>
                <w:b/>
                <w:bCs/>
                <w:sz w:val="20"/>
                <w:szCs w:val="20"/>
              </w:rPr>
              <w:t xml:space="preserve"> Medicinal Product Pack</w:t>
            </w:r>
          </w:p>
        </w:tc>
        <w:tc>
          <w:tcPr>
            <w:tcW w:w="629" w:type="pct"/>
            <w:tcBorders>
              <w:top w:val="single" w:sz="4" w:space="0" w:color="auto"/>
              <w:left w:val="single" w:sz="4" w:space="0" w:color="auto"/>
              <w:bottom w:val="single" w:sz="4" w:space="0" w:color="auto"/>
              <w:right w:val="single" w:sz="4" w:space="0" w:color="auto"/>
            </w:tcBorders>
          </w:tcPr>
          <w:p w14:paraId="27533D71" w14:textId="77777777" w:rsidR="005F3049" w:rsidRPr="00D85CD0" w:rsidRDefault="005F3049" w:rsidP="00AD6C64">
            <w:pPr>
              <w:jc w:val="left"/>
              <w:textAlignment w:val="baseline"/>
              <w:rPr>
                <w:rFonts w:ascii="Arial Narrow" w:hAnsi="Arial Narrow"/>
                <w:b/>
                <w:sz w:val="20"/>
                <w:szCs w:val="20"/>
              </w:rPr>
            </w:pPr>
            <w:r w:rsidRPr="00D85CD0">
              <w:rPr>
                <w:rFonts w:ascii="Arial Narrow" w:hAnsi="Arial Narrow" w:cs="Arial"/>
                <w:b/>
                <w:sz w:val="20"/>
                <w:szCs w:val="20"/>
              </w:rPr>
              <w:t>PBS item code</w:t>
            </w:r>
          </w:p>
        </w:tc>
        <w:tc>
          <w:tcPr>
            <w:tcW w:w="394" w:type="pct"/>
            <w:tcBorders>
              <w:top w:val="single" w:sz="4" w:space="0" w:color="auto"/>
              <w:left w:val="single" w:sz="4" w:space="0" w:color="auto"/>
              <w:bottom w:val="single" w:sz="4" w:space="0" w:color="auto"/>
              <w:right w:val="single" w:sz="4" w:space="0" w:color="auto"/>
            </w:tcBorders>
          </w:tcPr>
          <w:p w14:paraId="3F68E2D4" w14:textId="77777777" w:rsidR="005F3049" w:rsidRPr="00D85CD0" w:rsidRDefault="005F3049" w:rsidP="00AD6C64">
            <w:pPr>
              <w:jc w:val="left"/>
              <w:textAlignment w:val="baseline"/>
              <w:rPr>
                <w:rFonts w:ascii="Arial Narrow" w:hAnsi="Arial Narrow"/>
                <w:b/>
                <w:sz w:val="20"/>
                <w:szCs w:val="20"/>
              </w:rPr>
            </w:pPr>
            <w:r w:rsidRPr="00D85CD0">
              <w:rPr>
                <w:rFonts w:ascii="Arial Narrow" w:hAnsi="Arial Narrow" w:cs="Arial"/>
                <w:b/>
                <w:sz w:val="20"/>
                <w:szCs w:val="20"/>
              </w:rPr>
              <w:t>Max. qty packs</w:t>
            </w:r>
          </w:p>
        </w:tc>
        <w:tc>
          <w:tcPr>
            <w:tcW w:w="393" w:type="pct"/>
            <w:tcBorders>
              <w:top w:val="single" w:sz="4" w:space="0" w:color="auto"/>
              <w:left w:val="single" w:sz="4" w:space="0" w:color="auto"/>
              <w:bottom w:val="single" w:sz="4" w:space="0" w:color="auto"/>
              <w:right w:val="single" w:sz="4" w:space="0" w:color="auto"/>
            </w:tcBorders>
          </w:tcPr>
          <w:p w14:paraId="35D2C37F" w14:textId="77777777" w:rsidR="005F3049" w:rsidRPr="00D85CD0" w:rsidRDefault="005F3049" w:rsidP="00AD6C64">
            <w:pPr>
              <w:jc w:val="left"/>
              <w:textAlignment w:val="baseline"/>
              <w:rPr>
                <w:rFonts w:ascii="Arial Narrow" w:hAnsi="Arial Narrow"/>
                <w:b/>
                <w:sz w:val="20"/>
                <w:szCs w:val="20"/>
              </w:rPr>
            </w:pPr>
            <w:r w:rsidRPr="00D85CD0">
              <w:rPr>
                <w:rFonts w:ascii="Arial Narrow" w:hAnsi="Arial Narrow" w:cs="Arial"/>
                <w:b/>
                <w:sz w:val="20"/>
                <w:szCs w:val="20"/>
              </w:rPr>
              <w:t>Max. qty units</w:t>
            </w:r>
          </w:p>
        </w:tc>
        <w:tc>
          <w:tcPr>
            <w:tcW w:w="946" w:type="pct"/>
            <w:tcBorders>
              <w:top w:val="single" w:sz="4" w:space="0" w:color="auto"/>
              <w:left w:val="single" w:sz="4" w:space="0" w:color="auto"/>
              <w:bottom w:val="single" w:sz="4" w:space="0" w:color="auto"/>
              <w:right w:val="single" w:sz="4" w:space="0" w:color="auto"/>
            </w:tcBorders>
          </w:tcPr>
          <w:p w14:paraId="71A2A8DD" w14:textId="77777777" w:rsidR="005F3049" w:rsidRPr="00D85CD0" w:rsidRDefault="005F3049" w:rsidP="00AD6C64">
            <w:pPr>
              <w:keepNext/>
              <w:ind w:left="-108"/>
              <w:jc w:val="center"/>
              <w:rPr>
                <w:rFonts w:ascii="Arial Narrow" w:hAnsi="Arial Narrow" w:cs="Arial"/>
                <w:b/>
                <w:sz w:val="20"/>
                <w:szCs w:val="20"/>
              </w:rPr>
            </w:pPr>
            <w:r w:rsidRPr="00D85CD0">
              <w:rPr>
                <w:rFonts w:ascii="Arial Narrow" w:hAnsi="Arial Narrow" w:cs="Arial"/>
                <w:b/>
                <w:sz w:val="20"/>
                <w:szCs w:val="20"/>
              </w:rPr>
              <w:t>№.of</w:t>
            </w:r>
          </w:p>
          <w:p w14:paraId="08351C4D" w14:textId="77777777" w:rsidR="005F3049" w:rsidRPr="00D85CD0" w:rsidRDefault="005F3049" w:rsidP="00AD6C64">
            <w:pPr>
              <w:jc w:val="center"/>
              <w:textAlignment w:val="baseline"/>
              <w:rPr>
                <w:rFonts w:ascii="Arial Narrow" w:hAnsi="Arial Narrow"/>
                <w:b/>
                <w:sz w:val="20"/>
                <w:szCs w:val="20"/>
              </w:rPr>
            </w:pPr>
            <w:r w:rsidRPr="00D85CD0">
              <w:rPr>
                <w:rFonts w:ascii="Arial Narrow" w:hAnsi="Arial Narrow" w:cs="Arial"/>
                <w:b/>
                <w:sz w:val="20"/>
                <w:szCs w:val="20"/>
              </w:rPr>
              <w:t>Rpts</w:t>
            </w:r>
          </w:p>
        </w:tc>
        <w:tc>
          <w:tcPr>
            <w:tcW w:w="753" w:type="pct"/>
            <w:tcBorders>
              <w:top w:val="single" w:sz="4" w:space="0" w:color="auto"/>
              <w:left w:val="single" w:sz="4" w:space="0" w:color="auto"/>
              <w:bottom w:val="single" w:sz="4" w:space="0" w:color="auto"/>
              <w:right w:val="single" w:sz="4" w:space="0" w:color="auto"/>
            </w:tcBorders>
          </w:tcPr>
          <w:p w14:paraId="788B6CBE" w14:textId="77777777" w:rsidR="005F3049" w:rsidRPr="00D85CD0" w:rsidRDefault="005F3049" w:rsidP="00AD6C64">
            <w:pPr>
              <w:jc w:val="left"/>
              <w:textAlignment w:val="baseline"/>
              <w:rPr>
                <w:rFonts w:ascii="Arial Narrow" w:hAnsi="Arial Narrow"/>
                <w:b/>
                <w:sz w:val="20"/>
                <w:szCs w:val="20"/>
              </w:rPr>
            </w:pPr>
            <w:r w:rsidRPr="00D85CD0">
              <w:rPr>
                <w:rFonts w:ascii="Arial Narrow" w:hAnsi="Arial Narrow" w:cs="Arial"/>
                <w:b/>
                <w:sz w:val="20"/>
                <w:szCs w:val="20"/>
              </w:rPr>
              <w:t>Available brands</w:t>
            </w:r>
          </w:p>
        </w:tc>
      </w:tr>
      <w:tr w:rsidR="005F3049" w:rsidRPr="00D85CD0" w14:paraId="7A34AB82" w14:textId="77777777" w:rsidTr="00AD6C64">
        <w:trPr>
          <w:cantSplit/>
          <w:trHeight w:val="2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480B7281" w14:textId="77777777" w:rsidR="005F3049" w:rsidRPr="00D85CD0" w:rsidRDefault="005F3049" w:rsidP="00AD6C64">
            <w:pPr>
              <w:jc w:val="left"/>
              <w:textAlignment w:val="baseline"/>
              <w:rPr>
                <w:rFonts w:ascii="Arial Narrow" w:hAnsi="Arial Narrow"/>
                <w:b/>
                <w:sz w:val="20"/>
                <w:szCs w:val="20"/>
              </w:rPr>
            </w:pPr>
            <w:r w:rsidRPr="00D85CD0">
              <w:rPr>
                <w:rFonts w:ascii="Arial Narrow" w:hAnsi="Arial Narrow" w:cs="Arial"/>
                <w:sz w:val="20"/>
                <w:szCs w:val="20"/>
              </w:rPr>
              <w:t>BUDESONIDE</w:t>
            </w:r>
          </w:p>
        </w:tc>
      </w:tr>
      <w:tr w:rsidR="005F3049" w:rsidRPr="00D85CD0" w14:paraId="2A250EC7" w14:textId="77777777" w:rsidTr="00AD6C64">
        <w:trPr>
          <w:cantSplit/>
          <w:trHeight w:val="20"/>
        </w:trPr>
        <w:tc>
          <w:tcPr>
            <w:tcW w:w="1885" w:type="pct"/>
            <w:gridSpan w:val="3"/>
            <w:tcBorders>
              <w:top w:val="single" w:sz="4" w:space="0" w:color="auto"/>
              <w:left w:val="single" w:sz="4" w:space="0" w:color="auto"/>
              <w:bottom w:val="single" w:sz="4" w:space="0" w:color="auto"/>
              <w:right w:val="single" w:sz="4" w:space="0" w:color="auto"/>
            </w:tcBorders>
            <w:vAlign w:val="center"/>
          </w:tcPr>
          <w:p w14:paraId="51A4829A" w14:textId="77777777" w:rsidR="005F3049" w:rsidRPr="00D85CD0" w:rsidRDefault="005F3049" w:rsidP="00AD6C64">
            <w:pPr>
              <w:jc w:val="left"/>
              <w:textAlignment w:val="baseline"/>
              <w:rPr>
                <w:rFonts w:ascii="Arial Narrow" w:hAnsi="Arial Narrow"/>
                <w:b/>
                <w:sz w:val="20"/>
                <w:szCs w:val="20"/>
              </w:rPr>
            </w:pPr>
            <w:r w:rsidRPr="00D85CD0">
              <w:rPr>
                <w:rFonts w:ascii="Arial Narrow" w:hAnsi="Arial Narrow" w:cs="Arial"/>
                <w:sz w:val="20"/>
                <w:szCs w:val="20"/>
              </w:rPr>
              <w:t>budesonide 500 microgram orally disintegrating tablet, 60</w:t>
            </w:r>
          </w:p>
        </w:tc>
        <w:tc>
          <w:tcPr>
            <w:tcW w:w="629" w:type="pct"/>
            <w:tcBorders>
              <w:top w:val="single" w:sz="4" w:space="0" w:color="auto"/>
              <w:left w:val="single" w:sz="4" w:space="0" w:color="auto"/>
              <w:bottom w:val="single" w:sz="4" w:space="0" w:color="auto"/>
              <w:right w:val="single" w:sz="4" w:space="0" w:color="auto"/>
            </w:tcBorders>
            <w:vAlign w:val="center"/>
          </w:tcPr>
          <w:p w14:paraId="2F3328D6" w14:textId="77777777" w:rsidR="005F3049" w:rsidRPr="00D85CD0" w:rsidRDefault="005F3049" w:rsidP="00AD6C64">
            <w:pPr>
              <w:jc w:val="left"/>
              <w:textAlignment w:val="baseline"/>
              <w:rPr>
                <w:rFonts w:ascii="Arial Narrow" w:hAnsi="Arial Narrow"/>
                <w:b/>
                <w:sz w:val="20"/>
                <w:szCs w:val="20"/>
              </w:rPr>
            </w:pPr>
            <w:r w:rsidRPr="00D85CD0">
              <w:rPr>
                <w:rFonts w:ascii="Arial Narrow" w:hAnsi="Arial Narrow" w:cs="Arial"/>
                <w:sz w:val="20"/>
                <w:szCs w:val="20"/>
              </w:rPr>
              <w:t>12987M</w:t>
            </w:r>
          </w:p>
        </w:tc>
        <w:tc>
          <w:tcPr>
            <w:tcW w:w="394" w:type="pct"/>
            <w:tcBorders>
              <w:top w:val="single" w:sz="4" w:space="0" w:color="auto"/>
              <w:left w:val="single" w:sz="4" w:space="0" w:color="auto"/>
              <w:bottom w:val="single" w:sz="4" w:space="0" w:color="auto"/>
              <w:right w:val="single" w:sz="4" w:space="0" w:color="auto"/>
            </w:tcBorders>
            <w:vAlign w:val="center"/>
          </w:tcPr>
          <w:p w14:paraId="58B259E1" w14:textId="77777777" w:rsidR="005F3049" w:rsidRPr="00D85CD0" w:rsidRDefault="005F3049" w:rsidP="00AD6C64">
            <w:pPr>
              <w:jc w:val="left"/>
              <w:textAlignment w:val="baseline"/>
              <w:rPr>
                <w:rFonts w:ascii="Arial Narrow" w:hAnsi="Arial Narrow"/>
                <w:b/>
                <w:sz w:val="20"/>
                <w:szCs w:val="20"/>
              </w:rPr>
            </w:pPr>
            <w:r w:rsidRPr="00D85CD0">
              <w:rPr>
                <w:rFonts w:ascii="Arial Narrow" w:hAnsi="Arial Narrow" w:cs="Arial"/>
                <w:sz w:val="20"/>
                <w:szCs w:val="20"/>
              </w:rPr>
              <w:t>1</w:t>
            </w:r>
          </w:p>
        </w:tc>
        <w:tc>
          <w:tcPr>
            <w:tcW w:w="393" w:type="pct"/>
            <w:tcBorders>
              <w:top w:val="single" w:sz="4" w:space="0" w:color="auto"/>
              <w:left w:val="single" w:sz="4" w:space="0" w:color="auto"/>
              <w:bottom w:val="single" w:sz="4" w:space="0" w:color="auto"/>
              <w:right w:val="single" w:sz="4" w:space="0" w:color="auto"/>
            </w:tcBorders>
            <w:vAlign w:val="center"/>
          </w:tcPr>
          <w:p w14:paraId="4D2EF929" w14:textId="77777777" w:rsidR="005F3049" w:rsidRPr="00D85CD0" w:rsidRDefault="005F3049" w:rsidP="00AD6C64">
            <w:pPr>
              <w:jc w:val="left"/>
              <w:textAlignment w:val="baseline"/>
              <w:rPr>
                <w:rFonts w:ascii="Arial Narrow" w:hAnsi="Arial Narrow"/>
                <w:b/>
                <w:sz w:val="20"/>
                <w:szCs w:val="20"/>
              </w:rPr>
            </w:pPr>
            <w:r w:rsidRPr="00D85CD0">
              <w:rPr>
                <w:rFonts w:ascii="Arial Narrow" w:hAnsi="Arial Narrow" w:cs="Arial"/>
                <w:sz w:val="20"/>
                <w:szCs w:val="20"/>
              </w:rPr>
              <w:t>60</w:t>
            </w:r>
          </w:p>
        </w:tc>
        <w:tc>
          <w:tcPr>
            <w:tcW w:w="946" w:type="pct"/>
            <w:tcBorders>
              <w:top w:val="single" w:sz="4" w:space="0" w:color="auto"/>
              <w:left w:val="single" w:sz="4" w:space="0" w:color="auto"/>
              <w:bottom w:val="single" w:sz="4" w:space="0" w:color="auto"/>
              <w:right w:val="single" w:sz="4" w:space="0" w:color="auto"/>
            </w:tcBorders>
            <w:vAlign w:val="center"/>
          </w:tcPr>
          <w:p w14:paraId="1E196D5E" w14:textId="77777777" w:rsidR="005F3049" w:rsidRPr="00D85CD0" w:rsidRDefault="005F3049" w:rsidP="00AD6C64">
            <w:pPr>
              <w:jc w:val="left"/>
              <w:textAlignment w:val="baseline"/>
              <w:rPr>
                <w:rFonts w:ascii="Arial Narrow" w:hAnsi="Arial Narrow"/>
                <w:b/>
                <w:sz w:val="20"/>
                <w:szCs w:val="20"/>
              </w:rPr>
            </w:pPr>
            <w:r w:rsidRPr="00D85CD0">
              <w:rPr>
                <w:rFonts w:ascii="Arial Narrow" w:hAnsi="Arial Narrow" w:cs="Arial"/>
                <w:sz w:val="20"/>
                <w:szCs w:val="20"/>
              </w:rPr>
              <w:t>5</w:t>
            </w:r>
          </w:p>
        </w:tc>
        <w:tc>
          <w:tcPr>
            <w:tcW w:w="753" w:type="pct"/>
            <w:tcBorders>
              <w:top w:val="single" w:sz="4" w:space="0" w:color="auto"/>
              <w:left w:val="single" w:sz="4" w:space="0" w:color="auto"/>
              <w:bottom w:val="single" w:sz="4" w:space="0" w:color="auto"/>
              <w:right w:val="single" w:sz="4" w:space="0" w:color="auto"/>
            </w:tcBorders>
            <w:vAlign w:val="center"/>
          </w:tcPr>
          <w:p w14:paraId="50856FF6" w14:textId="77777777" w:rsidR="005F3049" w:rsidRPr="00D85CD0" w:rsidRDefault="005F3049" w:rsidP="00AD6C64">
            <w:pPr>
              <w:jc w:val="left"/>
              <w:textAlignment w:val="baseline"/>
              <w:rPr>
                <w:rFonts w:ascii="Arial Narrow" w:hAnsi="Arial Narrow"/>
                <w:b/>
                <w:sz w:val="20"/>
                <w:szCs w:val="20"/>
              </w:rPr>
            </w:pPr>
            <w:r w:rsidRPr="00D85CD0">
              <w:rPr>
                <w:rFonts w:ascii="Arial Narrow" w:hAnsi="Arial Narrow" w:cs="Arial"/>
                <w:sz w:val="20"/>
                <w:szCs w:val="20"/>
              </w:rPr>
              <w:t>Jorveza</w:t>
            </w:r>
          </w:p>
        </w:tc>
      </w:tr>
      <w:tr w:rsidR="005F3049" w:rsidRPr="00D85CD0" w14:paraId="375C9310" w14:textId="77777777" w:rsidTr="00AD6C64">
        <w:trPr>
          <w:cantSplit/>
          <w:trHeight w:val="20"/>
        </w:trPr>
        <w:tc>
          <w:tcPr>
            <w:tcW w:w="1885" w:type="pct"/>
            <w:gridSpan w:val="3"/>
            <w:tcBorders>
              <w:top w:val="single" w:sz="4" w:space="0" w:color="auto"/>
              <w:left w:val="single" w:sz="4" w:space="0" w:color="auto"/>
              <w:bottom w:val="single" w:sz="4" w:space="0" w:color="auto"/>
              <w:right w:val="single" w:sz="4" w:space="0" w:color="auto"/>
            </w:tcBorders>
          </w:tcPr>
          <w:p w14:paraId="6AB4BD09" w14:textId="77777777" w:rsidR="005F3049" w:rsidRPr="00D85CD0" w:rsidRDefault="005F3049" w:rsidP="00AD6C64">
            <w:pPr>
              <w:jc w:val="left"/>
              <w:textAlignment w:val="baseline"/>
              <w:rPr>
                <w:rFonts w:ascii="Arial Narrow" w:hAnsi="Arial Narrow"/>
                <w:b/>
                <w:sz w:val="20"/>
                <w:szCs w:val="20"/>
              </w:rPr>
            </w:pPr>
            <w:r w:rsidRPr="00D85CD0">
              <w:rPr>
                <w:rFonts w:ascii="Arial Narrow" w:hAnsi="Arial Narrow" w:cs="Arial"/>
                <w:sz w:val="20"/>
                <w:szCs w:val="20"/>
              </w:rPr>
              <w:t>budesonide 1 mg orally disintegrating tablet, 60</w:t>
            </w:r>
          </w:p>
        </w:tc>
        <w:tc>
          <w:tcPr>
            <w:tcW w:w="629" w:type="pct"/>
            <w:tcBorders>
              <w:top w:val="single" w:sz="4" w:space="0" w:color="auto"/>
              <w:left w:val="single" w:sz="4" w:space="0" w:color="auto"/>
              <w:bottom w:val="single" w:sz="4" w:space="0" w:color="auto"/>
              <w:right w:val="single" w:sz="4" w:space="0" w:color="auto"/>
            </w:tcBorders>
            <w:vAlign w:val="center"/>
          </w:tcPr>
          <w:p w14:paraId="32C4ECD2" w14:textId="77777777" w:rsidR="005F3049" w:rsidRPr="00D85CD0" w:rsidRDefault="005F3049" w:rsidP="00AD6C64">
            <w:pPr>
              <w:jc w:val="left"/>
              <w:textAlignment w:val="baseline"/>
              <w:rPr>
                <w:rFonts w:ascii="Arial Narrow" w:hAnsi="Arial Narrow"/>
                <w:b/>
                <w:sz w:val="20"/>
                <w:szCs w:val="20"/>
              </w:rPr>
            </w:pPr>
            <w:r w:rsidRPr="00D85CD0">
              <w:rPr>
                <w:rFonts w:ascii="Arial Narrow" w:hAnsi="Arial Narrow" w:cs="Arial"/>
                <w:sz w:val="20"/>
                <w:szCs w:val="20"/>
              </w:rPr>
              <w:t>12982G</w:t>
            </w:r>
          </w:p>
        </w:tc>
        <w:tc>
          <w:tcPr>
            <w:tcW w:w="394" w:type="pct"/>
            <w:tcBorders>
              <w:top w:val="single" w:sz="4" w:space="0" w:color="auto"/>
              <w:left w:val="single" w:sz="4" w:space="0" w:color="auto"/>
              <w:bottom w:val="single" w:sz="4" w:space="0" w:color="auto"/>
              <w:right w:val="single" w:sz="4" w:space="0" w:color="auto"/>
            </w:tcBorders>
            <w:vAlign w:val="center"/>
          </w:tcPr>
          <w:p w14:paraId="47BDF301" w14:textId="77777777" w:rsidR="005F3049" w:rsidRPr="00D85CD0" w:rsidRDefault="005F3049" w:rsidP="00AD6C64">
            <w:pPr>
              <w:jc w:val="left"/>
              <w:textAlignment w:val="baseline"/>
              <w:rPr>
                <w:rFonts w:ascii="Arial Narrow" w:hAnsi="Arial Narrow"/>
                <w:b/>
                <w:sz w:val="20"/>
                <w:szCs w:val="20"/>
              </w:rPr>
            </w:pPr>
            <w:r w:rsidRPr="00D85CD0">
              <w:rPr>
                <w:rFonts w:ascii="Arial Narrow" w:hAnsi="Arial Narrow" w:cs="Arial"/>
                <w:sz w:val="20"/>
                <w:szCs w:val="20"/>
              </w:rPr>
              <w:t>1</w:t>
            </w:r>
          </w:p>
        </w:tc>
        <w:tc>
          <w:tcPr>
            <w:tcW w:w="393" w:type="pct"/>
            <w:tcBorders>
              <w:top w:val="single" w:sz="4" w:space="0" w:color="auto"/>
              <w:left w:val="single" w:sz="4" w:space="0" w:color="auto"/>
              <w:bottom w:val="single" w:sz="4" w:space="0" w:color="auto"/>
              <w:right w:val="single" w:sz="4" w:space="0" w:color="auto"/>
            </w:tcBorders>
            <w:vAlign w:val="center"/>
          </w:tcPr>
          <w:p w14:paraId="5D20487A" w14:textId="77777777" w:rsidR="005F3049" w:rsidRPr="00D85CD0" w:rsidRDefault="005F3049" w:rsidP="00AD6C64">
            <w:pPr>
              <w:jc w:val="left"/>
              <w:textAlignment w:val="baseline"/>
              <w:rPr>
                <w:rFonts w:ascii="Arial Narrow" w:hAnsi="Arial Narrow"/>
                <w:b/>
                <w:sz w:val="20"/>
                <w:szCs w:val="20"/>
              </w:rPr>
            </w:pPr>
            <w:r w:rsidRPr="00D85CD0">
              <w:rPr>
                <w:rFonts w:ascii="Arial Narrow" w:hAnsi="Arial Narrow" w:cs="Arial"/>
                <w:sz w:val="20"/>
                <w:szCs w:val="20"/>
              </w:rPr>
              <w:t>60</w:t>
            </w:r>
          </w:p>
        </w:tc>
        <w:tc>
          <w:tcPr>
            <w:tcW w:w="946" w:type="pct"/>
            <w:tcBorders>
              <w:top w:val="single" w:sz="4" w:space="0" w:color="auto"/>
              <w:left w:val="single" w:sz="4" w:space="0" w:color="auto"/>
              <w:bottom w:val="single" w:sz="4" w:space="0" w:color="auto"/>
              <w:right w:val="single" w:sz="4" w:space="0" w:color="auto"/>
            </w:tcBorders>
            <w:vAlign w:val="center"/>
          </w:tcPr>
          <w:p w14:paraId="3A89455D" w14:textId="77777777" w:rsidR="005F3049" w:rsidRPr="00D85CD0" w:rsidRDefault="005F3049" w:rsidP="00AD6C64">
            <w:pPr>
              <w:jc w:val="left"/>
              <w:textAlignment w:val="baseline"/>
              <w:rPr>
                <w:rFonts w:ascii="Arial Narrow" w:hAnsi="Arial Narrow"/>
                <w:b/>
                <w:sz w:val="20"/>
                <w:szCs w:val="20"/>
              </w:rPr>
            </w:pPr>
            <w:r w:rsidRPr="00D85CD0">
              <w:rPr>
                <w:rFonts w:ascii="Arial Narrow" w:hAnsi="Arial Narrow" w:cs="Arial"/>
                <w:sz w:val="20"/>
                <w:szCs w:val="20"/>
              </w:rPr>
              <w:t>5</w:t>
            </w:r>
          </w:p>
        </w:tc>
        <w:tc>
          <w:tcPr>
            <w:tcW w:w="753" w:type="pct"/>
            <w:tcBorders>
              <w:top w:val="single" w:sz="4" w:space="0" w:color="auto"/>
              <w:left w:val="single" w:sz="4" w:space="0" w:color="auto"/>
              <w:bottom w:val="single" w:sz="4" w:space="0" w:color="auto"/>
              <w:right w:val="single" w:sz="4" w:space="0" w:color="auto"/>
            </w:tcBorders>
            <w:vAlign w:val="center"/>
          </w:tcPr>
          <w:p w14:paraId="3F36E0D8" w14:textId="77777777" w:rsidR="005F3049" w:rsidRPr="005F62EB" w:rsidRDefault="005F3049" w:rsidP="00AD6C64">
            <w:pPr>
              <w:jc w:val="left"/>
              <w:textAlignment w:val="baseline"/>
              <w:rPr>
                <w:rFonts w:ascii="Arial Narrow" w:hAnsi="Arial Narrow"/>
                <w:b/>
                <w:sz w:val="20"/>
                <w:szCs w:val="20"/>
              </w:rPr>
            </w:pPr>
            <w:r w:rsidRPr="005F62EB">
              <w:rPr>
                <w:rFonts w:ascii="Arial Narrow" w:hAnsi="Arial Narrow" w:cs="Arial"/>
                <w:sz w:val="20"/>
                <w:szCs w:val="20"/>
              </w:rPr>
              <w:t>Jorveza</w:t>
            </w:r>
          </w:p>
        </w:tc>
      </w:tr>
      <w:tr w:rsidR="005F3049" w:rsidRPr="00D85CD0" w14:paraId="30AA818E" w14:textId="77777777" w:rsidTr="00AD6C64">
        <w:trPr>
          <w:cantSplit/>
          <w:trHeight w:val="20"/>
        </w:trPr>
        <w:tc>
          <w:tcPr>
            <w:tcW w:w="5000" w:type="pct"/>
            <w:gridSpan w:val="8"/>
            <w:tcBorders>
              <w:top w:val="single" w:sz="4" w:space="0" w:color="auto"/>
              <w:left w:val="single" w:sz="4" w:space="0" w:color="auto"/>
              <w:bottom w:val="single" w:sz="4" w:space="0" w:color="auto"/>
              <w:right w:val="single" w:sz="4" w:space="0" w:color="auto"/>
            </w:tcBorders>
          </w:tcPr>
          <w:p w14:paraId="7582A96C" w14:textId="77777777" w:rsidR="005F3049" w:rsidRPr="00D85CD0" w:rsidRDefault="005F3049" w:rsidP="00AD6C64">
            <w:pPr>
              <w:jc w:val="left"/>
              <w:textAlignment w:val="baseline"/>
              <w:rPr>
                <w:rFonts w:ascii="Arial Narrow" w:hAnsi="Arial Narrow"/>
                <w:b/>
                <w:sz w:val="20"/>
                <w:szCs w:val="20"/>
              </w:rPr>
            </w:pPr>
          </w:p>
        </w:tc>
      </w:tr>
      <w:tr w:rsidR="005F3049" w:rsidRPr="00D85CD0" w14:paraId="54F11895" w14:textId="77777777" w:rsidTr="00A861E6">
        <w:trPr>
          <w:trHeight w:val="20"/>
        </w:trPr>
        <w:tc>
          <w:tcPr>
            <w:tcW w:w="626" w:type="pct"/>
            <w:gridSpan w:val="2"/>
            <w:vMerge w:val="restart"/>
            <w:tcBorders>
              <w:top w:val="single" w:sz="4" w:space="0" w:color="auto"/>
              <w:left w:val="single" w:sz="4" w:space="0" w:color="auto"/>
              <w:right w:val="single" w:sz="4" w:space="0" w:color="auto"/>
            </w:tcBorders>
          </w:tcPr>
          <w:p w14:paraId="1838FF07" w14:textId="31CAE897" w:rsidR="005F3049" w:rsidRPr="00D85CD0" w:rsidRDefault="005F3049" w:rsidP="00AD6C64">
            <w:pPr>
              <w:rPr>
                <w:rFonts w:ascii="Arial Narrow" w:hAnsi="Arial Narrow" w:cs="Arial"/>
                <w:b/>
                <w:sz w:val="20"/>
                <w:szCs w:val="20"/>
              </w:rPr>
            </w:pPr>
            <w:r w:rsidRPr="00D85CD0">
              <w:rPr>
                <w:rFonts w:ascii="Arial Narrow" w:hAnsi="Arial Narrow" w:cs="Arial"/>
                <w:b/>
                <w:sz w:val="20"/>
                <w:szCs w:val="20"/>
              </w:rPr>
              <w:t>Concept ID</w:t>
            </w:r>
          </w:p>
        </w:tc>
        <w:tc>
          <w:tcPr>
            <w:tcW w:w="4374" w:type="pct"/>
            <w:gridSpan w:val="6"/>
            <w:tcBorders>
              <w:top w:val="single" w:sz="4" w:space="0" w:color="auto"/>
              <w:left w:val="single" w:sz="4" w:space="0" w:color="auto"/>
              <w:bottom w:val="single" w:sz="4" w:space="0" w:color="auto"/>
              <w:right w:val="single" w:sz="4" w:space="0" w:color="auto"/>
            </w:tcBorders>
            <w:vAlign w:val="center"/>
          </w:tcPr>
          <w:p w14:paraId="5D9C6C3C" w14:textId="77777777" w:rsidR="005F3049" w:rsidRPr="00D85CD0" w:rsidRDefault="005F3049" w:rsidP="00AD6C64">
            <w:pPr>
              <w:keepLines/>
              <w:rPr>
                <w:rFonts w:ascii="Arial Narrow" w:hAnsi="Arial Narrow" w:cs="Arial"/>
                <w:sz w:val="20"/>
                <w:szCs w:val="20"/>
              </w:rPr>
            </w:pPr>
            <w:r w:rsidRPr="00D85CD0">
              <w:rPr>
                <w:rFonts w:ascii="Arial Narrow" w:hAnsi="Arial Narrow" w:cs="Arial"/>
                <w:b/>
                <w:sz w:val="20"/>
                <w:szCs w:val="20"/>
              </w:rPr>
              <w:t xml:space="preserve">Category / Program: </w:t>
            </w:r>
            <w:r w:rsidRPr="00D85CD0">
              <w:rPr>
                <w:rFonts w:ascii="Arial Narrow" w:hAnsi="Arial Narrow" w:cs="Arial"/>
                <w:sz w:val="20"/>
                <w:szCs w:val="20"/>
              </w:rPr>
              <w:t>GENERAL – General Schedule (Code GE)</w:t>
            </w:r>
          </w:p>
        </w:tc>
      </w:tr>
      <w:tr w:rsidR="005F3049" w:rsidRPr="00D85CD0" w14:paraId="033FA32C" w14:textId="77777777" w:rsidTr="00A861E6">
        <w:trPr>
          <w:trHeight w:val="20"/>
        </w:trPr>
        <w:tc>
          <w:tcPr>
            <w:tcW w:w="626" w:type="pct"/>
            <w:gridSpan w:val="2"/>
            <w:vMerge/>
            <w:tcBorders>
              <w:left w:val="single" w:sz="4" w:space="0" w:color="auto"/>
              <w:right w:val="single" w:sz="4" w:space="0" w:color="auto"/>
            </w:tcBorders>
          </w:tcPr>
          <w:p w14:paraId="4048DD5A" w14:textId="77777777" w:rsidR="005F3049" w:rsidRPr="00D85CD0" w:rsidRDefault="005F3049" w:rsidP="00AD6C64">
            <w:pPr>
              <w:rPr>
                <w:rFonts w:ascii="Arial Narrow" w:hAnsi="Arial Narrow" w:cs="Arial"/>
                <w:sz w:val="20"/>
                <w:szCs w:val="20"/>
              </w:rPr>
            </w:pPr>
          </w:p>
        </w:tc>
        <w:tc>
          <w:tcPr>
            <w:tcW w:w="4374" w:type="pct"/>
            <w:gridSpan w:val="6"/>
            <w:tcBorders>
              <w:top w:val="single" w:sz="4" w:space="0" w:color="auto"/>
              <w:left w:val="single" w:sz="4" w:space="0" w:color="auto"/>
              <w:bottom w:val="single" w:sz="4" w:space="0" w:color="auto"/>
              <w:right w:val="single" w:sz="4" w:space="0" w:color="auto"/>
            </w:tcBorders>
            <w:vAlign w:val="center"/>
          </w:tcPr>
          <w:p w14:paraId="46609BA3" w14:textId="77777777" w:rsidR="005F3049" w:rsidRPr="00D85CD0" w:rsidRDefault="005F3049" w:rsidP="00AD6C64">
            <w:pPr>
              <w:keepLines/>
              <w:rPr>
                <w:rFonts w:ascii="Arial Narrow" w:hAnsi="Arial Narrow" w:cs="Arial"/>
                <w:b/>
                <w:sz w:val="20"/>
                <w:szCs w:val="20"/>
              </w:rPr>
            </w:pPr>
            <w:r w:rsidRPr="00D85CD0">
              <w:rPr>
                <w:rFonts w:ascii="Arial Narrow" w:hAnsi="Arial Narrow" w:cs="Arial"/>
                <w:b/>
                <w:sz w:val="20"/>
                <w:szCs w:val="20"/>
              </w:rPr>
              <w:t xml:space="preserve">Prescriber type: </w:t>
            </w:r>
            <w:r w:rsidRPr="003A22FA">
              <w:rPr>
                <w:rFonts w:ascii="Arial Narrow" w:hAnsi="Arial Narrow" w:cs="Arial"/>
                <w:sz w:val="20"/>
                <w:szCs w:val="20"/>
              </w:rPr>
              <w:fldChar w:fldCharType="begin" w:fldLock="1">
                <w:ffData>
                  <w:name w:val=""/>
                  <w:enabled/>
                  <w:calcOnExit w:val="0"/>
                  <w:checkBox>
                    <w:sizeAuto/>
                    <w:default w:val="1"/>
                  </w:checkBox>
                </w:ffData>
              </w:fldChar>
            </w:r>
            <w:r w:rsidRPr="00D85CD0">
              <w:rPr>
                <w:rFonts w:ascii="Arial Narrow" w:hAnsi="Arial Narrow" w:cs="Arial"/>
                <w:sz w:val="20"/>
                <w:szCs w:val="20"/>
              </w:rPr>
              <w:instrText xml:space="preserve"> FORMCHECKBOX </w:instrText>
            </w:r>
            <w:r w:rsidR="001579BE">
              <w:rPr>
                <w:rFonts w:ascii="Arial Narrow" w:hAnsi="Arial Narrow" w:cs="Arial"/>
                <w:sz w:val="20"/>
                <w:szCs w:val="20"/>
              </w:rPr>
            </w:r>
            <w:r w:rsidR="001579BE">
              <w:rPr>
                <w:rFonts w:ascii="Arial Narrow" w:hAnsi="Arial Narrow" w:cs="Arial"/>
                <w:sz w:val="20"/>
                <w:szCs w:val="20"/>
              </w:rPr>
              <w:fldChar w:fldCharType="separate"/>
            </w:r>
            <w:r w:rsidRPr="003A22FA">
              <w:rPr>
                <w:rFonts w:ascii="Arial Narrow" w:hAnsi="Arial Narrow" w:cs="Arial"/>
                <w:sz w:val="20"/>
                <w:szCs w:val="20"/>
              </w:rPr>
              <w:fldChar w:fldCharType="end"/>
            </w:r>
            <w:r w:rsidRPr="00D85CD0">
              <w:rPr>
                <w:rFonts w:ascii="Arial Narrow" w:hAnsi="Arial Narrow" w:cs="Arial"/>
                <w:sz w:val="20"/>
                <w:szCs w:val="20"/>
              </w:rPr>
              <w:t xml:space="preserve">Medical Practitioners </w:t>
            </w:r>
          </w:p>
        </w:tc>
      </w:tr>
      <w:tr w:rsidR="005F3049" w:rsidRPr="00D85CD0" w14:paraId="2A5B045D" w14:textId="77777777" w:rsidTr="00A861E6">
        <w:trPr>
          <w:trHeight w:val="20"/>
        </w:trPr>
        <w:tc>
          <w:tcPr>
            <w:tcW w:w="626" w:type="pct"/>
            <w:gridSpan w:val="2"/>
            <w:vMerge/>
            <w:tcBorders>
              <w:left w:val="single" w:sz="4" w:space="0" w:color="auto"/>
              <w:bottom w:val="single" w:sz="4" w:space="0" w:color="auto"/>
              <w:right w:val="single" w:sz="4" w:space="0" w:color="auto"/>
            </w:tcBorders>
          </w:tcPr>
          <w:p w14:paraId="3B637220" w14:textId="77777777" w:rsidR="005F3049" w:rsidRPr="00D85CD0" w:rsidRDefault="005F3049" w:rsidP="00AD6C64">
            <w:pPr>
              <w:rPr>
                <w:rFonts w:ascii="Arial Narrow" w:hAnsi="Arial Narrow" w:cs="Arial"/>
                <w:sz w:val="20"/>
                <w:szCs w:val="20"/>
              </w:rPr>
            </w:pPr>
          </w:p>
        </w:tc>
        <w:tc>
          <w:tcPr>
            <w:tcW w:w="4374" w:type="pct"/>
            <w:gridSpan w:val="6"/>
            <w:tcBorders>
              <w:top w:val="single" w:sz="4" w:space="0" w:color="auto"/>
              <w:left w:val="single" w:sz="4" w:space="0" w:color="auto"/>
              <w:bottom w:val="single" w:sz="4" w:space="0" w:color="auto"/>
              <w:right w:val="single" w:sz="4" w:space="0" w:color="auto"/>
            </w:tcBorders>
            <w:vAlign w:val="center"/>
          </w:tcPr>
          <w:p w14:paraId="711E16BB" w14:textId="77777777" w:rsidR="005F3049" w:rsidRPr="00D85CD0" w:rsidRDefault="005F3049" w:rsidP="00AD6C64">
            <w:pPr>
              <w:keepLines/>
              <w:jc w:val="left"/>
              <w:rPr>
                <w:rFonts w:ascii="Arial Narrow" w:eastAsia="Calibri" w:hAnsi="Arial Narrow" w:cs="Arial"/>
                <w:sz w:val="20"/>
                <w:szCs w:val="20"/>
              </w:rPr>
            </w:pPr>
            <w:r w:rsidRPr="00D85CD0">
              <w:rPr>
                <w:rFonts w:ascii="Arial Narrow" w:hAnsi="Arial Narrow" w:cs="Arial"/>
                <w:b/>
                <w:sz w:val="20"/>
                <w:szCs w:val="20"/>
              </w:rPr>
              <w:t xml:space="preserve">Restriction type: </w:t>
            </w:r>
            <w:r w:rsidRPr="00D85CD0">
              <w:rPr>
                <w:rFonts w:ascii="Arial Narrow" w:eastAsia="Calibri" w:hAnsi="Arial Narrow" w:cs="Arial"/>
                <w:sz w:val="20"/>
                <w:szCs w:val="20"/>
              </w:rPr>
              <w:br/>
            </w:r>
            <w:r w:rsidRPr="003A22FA">
              <w:rPr>
                <w:rFonts w:ascii="Arial Narrow" w:eastAsia="Calibri" w:hAnsi="Arial Narrow" w:cs="Arial"/>
                <w:sz w:val="20"/>
                <w:szCs w:val="20"/>
              </w:rPr>
              <w:fldChar w:fldCharType="begin" w:fldLock="1">
                <w:ffData>
                  <w:name w:val=""/>
                  <w:enabled/>
                  <w:calcOnExit w:val="0"/>
                  <w:checkBox>
                    <w:sizeAuto/>
                    <w:default w:val="1"/>
                  </w:checkBox>
                </w:ffData>
              </w:fldChar>
            </w:r>
            <w:r w:rsidRPr="00D85CD0">
              <w:rPr>
                <w:rFonts w:ascii="Arial Narrow" w:eastAsia="Calibri" w:hAnsi="Arial Narrow" w:cs="Arial"/>
                <w:sz w:val="20"/>
                <w:szCs w:val="20"/>
              </w:rPr>
              <w:instrText xml:space="preserve"> FORMCHECKBOX </w:instrText>
            </w:r>
            <w:r w:rsidR="001579BE">
              <w:rPr>
                <w:rFonts w:ascii="Arial Narrow" w:eastAsia="Calibri" w:hAnsi="Arial Narrow" w:cs="Arial"/>
                <w:sz w:val="20"/>
                <w:szCs w:val="20"/>
              </w:rPr>
            </w:r>
            <w:r w:rsidR="001579BE">
              <w:rPr>
                <w:rFonts w:ascii="Arial Narrow" w:eastAsia="Calibri" w:hAnsi="Arial Narrow" w:cs="Arial"/>
                <w:sz w:val="20"/>
                <w:szCs w:val="20"/>
              </w:rPr>
              <w:fldChar w:fldCharType="separate"/>
            </w:r>
            <w:r w:rsidRPr="003A22FA">
              <w:rPr>
                <w:rFonts w:ascii="Arial Narrow" w:eastAsia="Calibri" w:hAnsi="Arial Narrow" w:cs="Arial"/>
                <w:sz w:val="20"/>
                <w:szCs w:val="20"/>
              </w:rPr>
              <w:fldChar w:fldCharType="end"/>
            </w:r>
            <w:r w:rsidRPr="00D85CD0">
              <w:rPr>
                <w:rFonts w:ascii="Arial Narrow" w:eastAsia="Calibri" w:hAnsi="Arial Narrow" w:cs="Arial"/>
                <w:sz w:val="20"/>
                <w:szCs w:val="20"/>
              </w:rPr>
              <w:t xml:space="preserve">Authority Required (telephone/online PBS Authorities system) </w:t>
            </w:r>
          </w:p>
        </w:tc>
      </w:tr>
      <w:tr w:rsidR="005F3049" w:rsidRPr="00D85CD0" w14:paraId="059EC115" w14:textId="77777777" w:rsidTr="00A861E6">
        <w:tblPrEx>
          <w:tblLook w:val="0000" w:firstRow="0" w:lastRow="0" w:firstColumn="0" w:lastColumn="0" w:noHBand="0" w:noVBand="0"/>
        </w:tblPrEx>
        <w:trPr>
          <w:trHeight w:val="20"/>
        </w:trPr>
        <w:tc>
          <w:tcPr>
            <w:tcW w:w="275" w:type="pct"/>
            <w:vMerge w:val="restart"/>
            <w:tcBorders>
              <w:left w:val="single" w:sz="4" w:space="0" w:color="auto"/>
              <w:right w:val="single" w:sz="4" w:space="0" w:color="auto"/>
            </w:tcBorders>
            <w:textDirection w:val="btLr"/>
            <w:vAlign w:val="center"/>
          </w:tcPr>
          <w:p w14:paraId="00C32427" w14:textId="561B4DDC" w:rsidR="005F3049" w:rsidRPr="00D85CD0" w:rsidRDefault="005F3049" w:rsidP="00AD6C64">
            <w:pPr>
              <w:jc w:val="center"/>
              <w:rPr>
                <w:rFonts w:ascii="Arial Narrow" w:hAnsi="Arial Narrow" w:cs="Arial"/>
                <w:sz w:val="20"/>
                <w:szCs w:val="20"/>
              </w:rPr>
            </w:pPr>
          </w:p>
        </w:tc>
        <w:tc>
          <w:tcPr>
            <w:tcW w:w="352" w:type="pct"/>
          </w:tcPr>
          <w:p w14:paraId="594EA0C4" w14:textId="166259CA" w:rsidR="005F3049" w:rsidRPr="00D85CD0" w:rsidRDefault="005F3049" w:rsidP="00AD6C64">
            <w:pPr>
              <w:rPr>
                <w:rFonts w:ascii="Arial Narrow" w:hAnsi="Arial Narrow"/>
                <w:sz w:val="20"/>
                <w:szCs w:val="20"/>
              </w:rPr>
            </w:pPr>
          </w:p>
        </w:tc>
        <w:tc>
          <w:tcPr>
            <w:tcW w:w="4374" w:type="pct"/>
            <w:gridSpan w:val="6"/>
          </w:tcPr>
          <w:p w14:paraId="387A6CAD"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b/>
                <w:bCs/>
                <w:sz w:val="20"/>
                <w:szCs w:val="20"/>
                <w:bdr w:val="none" w:sz="0" w:space="0" w:color="auto" w:frame="1"/>
              </w:rPr>
              <w:t>Administrative Advice:</w:t>
            </w:r>
          </w:p>
          <w:p w14:paraId="4BA7F640" w14:textId="77777777" w:rsidR="005F3049" w:rsidRPr="00D85CD0" w:rsidRDefault="005F3049" w:rsidP="00AD6C64">
            <w:pPr>
              <w:rPr>
                <w:rFonts w:ascii="Arial Narrow" w:hAnsi="Arial Narrow"/>
                <w:sz w:val="20"/>
                <w:szCs w:val="20"/>
              </w:rPr>
            </w:pPr>
            <w:r w:rsidRPr="00D85CD0">
              <w:rPr>
                <w:rFonts w:ascii="Arial Narrow" w:hAnsi="Arial Narrow" w:cs="Open Sans"/>
                <w:sz w:val="20"/>
                <w:szCs w:val="20"/>
              </w:rPr>
              <w:t>No increase in the maximum number of repeats may be authorised.</w:t>
            </w:r>
          </w:p>
        </w:tc>
      </w:tr>
      <w:tr w:rsidR="005F3049" w:rsidRPr="00D85CD0" w14:paraId="6765B1CB" w14:textId="77777777" w:rsidTr="00A861E6">
        <w:tblPrEx>
          <w:tblLook w:val="0000" w:firstRow="0" w:lastRow="0" w:firstColumn="0" w:lastColumn="0" w:noHBand="0" w:noVBand="0"/>
        </w:tblPrEx>
        <w:trPr>
          <w:trHeight w:val="20"/>
        </w:trPr>
        <w:tc>
          <w:tcPr>
            <w:tcW w:w="275" w:type="pct"/>
            <w:vMerge/>
            <w:tcBorders>
              <w:left w:val="single" w:sz="4" w:space="0" w:color="auto"/>
              <w:right w:val="single" w:sz="4" w:space="0" w:color="auto"/>
            </w:tcBorders>
          </w:tcPr>
          <w:p w14:paraId="3661EF36" w14:textId="77777777" w:rsidR="005F3049" w:rsidRPr="00D85CD0" w:rsidRDefault="005F3049" w:rsidP="00AD6C64">
            <w:pPr>
              <w:rPr>
                <w:rFonts w:ascii="Arial Narrow" w:hAnsi="Arial Narrow" w:cs="Arial"/>
                <w:sz w:val="20"/>
                <w:szCs w:val="20"/>
              </w:rPr>
            </w:pPr>
          </w:p>
        </w:tc>
        <w:tc>
          <w:tcPr>
            <w:tcW w:w="352" w:type="pct"/>
          </w:tcPr>
          <w:p w14:paraId="6622C760" w14:textId="7086C297" w:rsidR="005F3049" w:rsidRPr="00D85CD0" w:rsidRDefault="005F3049" w:rsidP="00AD6C64">
            <w:pPr>
              <w:rPr>
                <w:rFonts w:ascii="Arial Narrow" w:hAnsi="Arial Narrow"/>
                <w:sz w:val="20"/>
                <w:szCs w:val="20"/>
              </w:rPr>
            </w:pPr>
          </w:p>
        </w:tc>
        <w:tc>
          <w:tcPr>
            <w:tcW w:w="4374" w:type="pct"/>
            <w:gridSpan w:val="6"/>
          </w:tcPr>
          <w:p w14:paraId="5F47A921"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b/>
                <w:bCs/>
                <w:sz w:val="20"/>
                <w:szCs w:val="20"/>
                <w:bdr w:val="none" w:sz="0" w:space="0" w:color="auto" w:frame="1"/>
              </w:rPr>
              <w:t>Administrative Advice:</w:t>
            </w:r>
          </w:p>
          <w:p w14:paraId="5B304F79"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No increase in the maximum quantity or number of units may be authorised.</w:t>
            </w:r>
          </w:p>
        </w:tc>
      </w:tr>
      <w:tr w:rsidR="005F3049" w:rsidRPr="00D85CD0" w14:paraId="2D7F0C33" w14:textId="77777777" w:rsidTr="00A861E6">
        <w:tblPrEx>
          <w:tblLook w:val="0000" w:firstRow="0" w:lastRow="0" w:firstColumn="0" w:lastColumn="0" w:noHBand="0" w:noVBand="0"/>
        </w:tblPrEx>
        <w:trPr>
          <w:trHeight w:val="20"/>
        </w:trPr>
        <w:tc>
          <w:tcPr>
            <w:tcW w:w="275" w:type="pct"/>
            <w:vMerge/>
            <w:tcBorders>
              <w:left w:val="single" w:sz="4" w:space="0" w:color="auto"/>
              <w:right w:val="single" w:sz="4" w:space="0" w:color="auto"/>
            </w:tcBorders>
          </w:tcPr>
          <w:p w14:paraId="4362949C" w14:textId="77777777" w:rsidR="005F3049" w:rsidRPr="00D85CD0" w:rsidRDefault="005F3049" w:rsidP="00AD6C64">
            <w:pPr>
              <w:rPr>
                <w:rFonts w:ascii="Arial Narrow" w:hAnsi="Arial Narrow" w:cs="Arial"/>
                <w:sz w:val="20"/>
                <w:szCs w:val="20"/>
              </w:rPr>
            </w:pPr>
          </w:p>
        </w:tc>
        <w:tc>
          <w:tcPr>
            <w:tcW w:w="352" w:type="pct"/>
          </w:tcPr>
          <w:p w14:paraId="37EBF2AC" w14:textId="7CE41A9B" w:rsidR="005F3049" w:rsidRPr="00D85CD0" w:rsidRDefault="005F3049" w:rsidP="00AD6C64">
            <w:pPr>
              <w:rPr>
                <w:rFonts w:ascii="Arial Narrow" w:hAnsi="Arial Narrow"/>
                <w:sz w:val="20"/>
                <w:szCs w:val="20"/>
              </w:rPr>
            </w:pPr>
          </w:p>
        </w:tc>
        <w:tc>
          <w:tcPr>
            <w:tcW w:w="4374" w:type="pct"/>
            <w:gridSpan w:val="6"/>
          </w:tcPr>
          <w:p w14:paraId="71C98DB1"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b/>
                <w:bCs/>
                <w:sz w:val="20"/>
                <w:szCs w:val="20"/>
                <w:bdr w:val="none" w:sz="0" w:space="0" w:color="auto" w:frame="1"/>
              </w:rPr>
              <w:t>Administrative Advice:</w:t>
            </w:r>
          </w:p>
          <w:p w14:paraId="5C4DBE01"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Applications for authorisation under this restriction may be made in real time using the Online PBS Authorities system (see www.servicesaustralia.gov.au/HPOS) or by telephone by contacting Services Australia on 1800 888 333.</w:t>
            </w:r>
          </w:p>
        </w:tc>
      </w:tr>
      <w:tr w:rsidR="005F3049" w:rsidRPr="00D85CD0" w14:paraId="3E19156C" w14:textId="77777777" w:rsidTr="00A861E6">
        <w:tblPrEx>
          <w:tblLook w:val="0000" w:firstRow="0" w:lastRow="0" w:firstColumn="0" w:lastColumn="0" w:noHBand="0" w:noVBand="0"/>
        </w:tblPrEx>
        <w:trPr>
          <w:trHeight w:val="20"/>
        </w:trPr>
        <w:tc>
          <w:tcPr>
            <w:tcW w:w="275" w:type="pct"/>
            <w:vMerge/>
            <w:tcBorders>
              <w:left w:val="single" w:sz="4" w:space="0" w:color="auto"/>
              <w:bottom w:val="single" w:sz="4" w:space="0" w:color="auto"/>
              <w:right w:val="single" w:sz="4" w:space="0" w:color="auto"/>
            </w:tcBorders>
          </w:tcPr>
          <w:p w14:paraId="7E03C037" w14:textId="77777777" w:rsidR="005F3049" w:rsidRPr="00D85CD0" w:rsidRDefault="005F3049" w:rsidP="00AD6C64">
            <w:pPr>
              <w:rPr>
                <w:rFonts w:ascii="Arial Narrow" w:hAnsi="Arial Narrow" w:cs="Arial"/>
                <w:sz w:val="20"/>
                <w:szCs w:val="20"/>
              </w:rPr>
            </w:pPr>
          </w:p>
        </w:tc>
        <w:tc>
          <w:tcPr>
            <w:tcW w:w="352" w:type="pct"/>
          </w:tcPr>
          <w:p w14:paraId="70F1E6F4" w14:textId="55DDA0F9" w:rsidR="005F3049" w:rsidRPr="00D85CD0" w:rsidRDefault="005F3049" w:rsidP="00AD6C64">
            <w:pPr>
              <w:rPr>
                <w:rFonts w:ascii="Arial Narrow" w:hAnsi="Arial Narrow"/>
                <w:sz w:val="20"/>
                <w:szCs w:val="20"/>
              </w:rPr>
            </w:pPr>
          </w:p>
        </w:tc>
        <w:tc>
          <w:tcPr>
            <w:tcW w:w="4374" w:type="pct"/>
            <w:gridSpan w:val="6"/>
          </w:tcPr>
          <w:p w14:paraId="0B360AEA"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b/>
                <w:bCs/>
                <w:sz w:val="20"/>
                <w:szCs w:val="20"/>
                <w:bdr w:val="none" w:sz="0" w:space="0" w:color="auto" w:frame="1"/>
              </w:rPr>
              <w:t>Administrative Advice:</w:t>
            </w:r>
          </w:p>
          <w:p w14:paraId="334D789E" w14:textId="77777777" w:rsidR="005F3049" w:rsidRPr="00D85CD0" w:rsidRDefault="005F3049" w:rsidP="00AD6C64">
            <w:pPr>
              <w:rPr>
                <w:rFonts w:ascii="Arial Narrow" w:hAnsi="Arial Narrow"/>
                <w:b/>
                <w:bCs/>
                <w:sz w:val="20"/>
                <w:szCs w:val="20"/>
              </w:rPr>
            </w:pPr>
            <w:r w:rsidRPr="00D85CD0">
              <w:rPr>
                <w:rFonts w:ascii="Arial Narrow" w:hAnsi="Arial Narrow" w:cs="Open Sans"/>
                <w:sz w:val="20"/>
                <w:szCs w:val="20"/>
              </w:rPr>
              <w:t>Special Pricing Arrangements apply.</w:t>
            </w:r>
          </w:p>
        </w:tc>
      </w:tr>
      <w:tr w:rsidR="005F3049" w:rsidRPr="00D85CD0" w14:paraId="3518ED18" w14:textId="77777777" w:rsidTr="00AD6C64">
        <w:trPr>
          <w:cantSplit/>
          <w:trHeight w:val="20"/>
        </w:trPr>
        <w:tc>
          <w:tcPr>
            <w:tcW w:w="5000" w:type="pct"/>
            <w:gridSpan w:val="8"/>
            <w:tcBorders>
              <w:top w:val="single" w:sz="4" w:space="0" w:color="auto"/>
              <w:left w:val="single" w:sz="4" w:space="0" w:color="auto"/>
              <w:bottom w:val="single" w:sz="4" w:space="0" w:color="auto"/>
              <w:right w:val="single" w:sz="4" w:space="0" w:color="auto"/>
            </w:tcBorders>
          </w:tcPr>
          <w:p w14:paraId="6357A9C6" w14:textId="398B0F28" w:rsidR="005F3049" w:rsidRPr="00D85CD0" w:rsidRDefault="005F3049" w:rsidP="00AD6C64">
            <w:pPr>
              <w:jc w:val="left"/>
              <w:textAlignment w:val="baseline"/>
              <w:rPr>
                <w:rFonts w:ascii="Arial Narrow" w:hAnsi="Arial Narrow" w:cs="Open Sans"/>
                <w:b/>
                <w:bCs/>
                <w:sz w:val="20"/>
                <w:szCs w:val="20"/>
                <w:bdr w:val="none" w:sz="0" w:space="0" w:color="auto" w:frame="1"/>
              </w:rPr>
            </w:pPr>
            <w:r w:rsidRPr="00D85CD0">
              <w:rPr>
                <w:rFonts w:ascii="Arial Narrow" w:hAnsi="Arial Narrow"/>
                <w:b/>
                <w:sz w:val="20"/>
                <w:szCs w:val="20"/>
              </w:rPr>
              <w:t>Restriction Summary / Treatment of Concept:</w:t>
            </w:r>
          </w:p>
        </w:tc>
      </w:tr>
      <w:tr w:rsidR="005F3049" w:rsidRPr="00D85CD0" w14:paraId="79B06FBB"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184C753B" w14:textId="32754341"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483A2529" w14:textId="77777777" w:rsidR="005F3049" w:rsidRPr="00D85CD0" w:rsidRDefault="005F3049" w:rsidP="00AD6C64">
            <w:pPr>
              <w:jc w:val="left"/>
              <w:textAlignment w:val="baseline"/>
              <w:rPr>
                <w:rFonts w:ascii="Arial Narrow" w:hAnsi="Arial Narrow" w:cs="Open Sans"/>
                <w:b/>
                <w:bCs/>
                <w:sz w:val="20"/>
                <w:szCs w:val="20"/>
                <w:bdr w:val="none" w:sz="0" w:space="0" w:color="auto" w:frame="1"/>
              </w:rPr>
            </w:pPr>
            <w:r w:rsidRPr="00D85CD0">
              <w:rPr>
                <w:rFonts w:ascii="Arial Narrow" w:hAnsi="Arial Narrow" w:cs="Open Sans"/>
                <w:b/>
                <w:bCs/>
                <w:sz w:val="20"/>
                <w:szCs w:val="20"/>
                <w:bdr w:val="none" w:sz="0" w:space="0" w:color="auto" w:frame="1"/>
              </w:rPr>
              <w:t xml:space="preserve">Indication: </w:t>
            </w:r>
            <w:r w:rsidRPr="00D85CD0">
              <w:rPr>
                <w:rFonts w:ascii="Arial Narrow" w:hAnsi="Arial Narrow" w:cs="Open Sans"/>
                <w:sz w:val="20"/>
                <w:szCs w:val="20"/>
                <w:bdr w:val="none" w:sz="0" w:space="0" w:color="auto" w:frame="1"/>
              </w:rPr>
              <w:t>Eosinophilic oesophagitis</w:t>
            </w:r>
          </w:p>
        </w:tc>
      </w:tr>
      <w:tr w:rsidR="005F3049" w:rsidRPr="00D85CD0" w14:paraId="75E40A03"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00BB50F9" w14:textId="77777777"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2D1E13A2" w14:textId="77777777" w:rsidR="005F3049" w:rsidRPr="00D85CD0" w:rsidRDefault="005F3049" w:rsidP="00AD6C64">
            <w:pPr>
              <w:jc w:val="left"/>
              <w:textAlignment w:val="baseline"/>
              <w:rPr>
                <w:rFonts w:ascii="Arial Narrow" w:hAnsi="Arial Narrow" w:cs="Open Sans"/>
                <w:b/>
                <w:bCs/>
                <w:sz w:val="20"/>
                <w:szCs w:val="20"/>
                <w:bdr w:val="none" w:sz="0" w:space="0" w:color="auto" w:frame="1"/>
              </w:rPr>
            </w:pPr>
            <w:r w:rsidRPr="00D85CD0">
              <w:rPr>
                <w:rFonts w:ascii="Arial Narrow" w:hAnsi="Arial Narrow" w:cs="Open Sans"/>
                <w:b/>
                <w:bCs/>
                <w:sz w:val="20"/>
                <w:szCs w:val="20"/>
                <w:bdr w:val="none" w:sz="0" w:space="0" w:color="auto" w:frame="1"/>
              </w:rPr>
              <w:t xml:space="preserve">Treatment Phase: </w:t>
            </w:r>
            <w:r w:rsidRPr="00D85CD0">
              <w:rPr>
                <w:rFonts w:ascii="Arial Narrow" w:hAnsi="Arial Narrow" w:cs="Open Sans"/>
                <w:sz w:val="20"/>
                <w:szCs w:val="20"/>
                <w:bdr w:val="none" w:sz="0" w:space="0" w:color="auto" w:frame="1"/>
              </w:rPr>
              <w:t>Subsequent continuing treatment - Maintenance of remission</w:t>
            </w:r>
          </w:p>
        </w:tc>
      </w:tr>
      <w:tr w:rsidR="005F3049" w:rsidRPr="00D85CD0" w14:paraId="72012E5D"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48610A77" w14:textId="57A1E370"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4DDB52B8" w14:textId="77777777" w:rsidR="005F3049" w:rsidRPr="00D85CD0" w:rsidRDefault="005F3049" w:rsidP="00AD6C64">
            <w:pPr>
              <w:jc w:val="left"/>
              <w:textAlignment w:val="baseline"/>
              <w:rPr>
                <w:rFonts w:ascii="Arial Narrow" w:hAnsi="Arial Narrow" w:cs="Open Sans"/>
                <w:b/>
                <w:bCs/>
                <w:sz w:val="20"/>
                <w:szCs w:val="20"/>
                <w:bdr w:val="none" w:sz="0" w:space="0" w:color="auto" w:frame="1"/>
              </w:rPr>
            </w:pPr>
            <w:r w:rsidRPr="00D85CD0">
              <w:rPr>
                <w:rFonts w:ascii="Arial Narrow" w:hAnsi="Arial Narrow" w:cs="Open Sans"/>
                <w:b/>
                <w:bCs/>
                <w:sz w:val="20"/>
                <w:szCs w:val="20"/>
                <w:bdr w:val="none" w:sz="0" w:space="0" w:color="auto" w:frame="1"/>
              </w:rPr>
              <w:t>Clinical criteria:</w:t>
            </w:r>
          </w:p>
        </w:tc>
      </w:tr>
      <w:tr w:rsidR="005F3049" w:rsidRPr="00D85CD0" w14:paraId="5B151E61"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325C979A" w14:textId="789F1CD2"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2530C57D" w14:textId="77777777" w:rsidR="005F3049" w:rsidRPr="00D85CD0" w:rsidRDefault="005F3049" w:rsidP="00AD6C64">
            <w:pPr>
              <w:jc w:val="left"/>
              <w:textAlignment w:val="baseline"/>
              <w:rPr>
                <w:rFonts w:ascii="Arial Narrow" w:hAnsi="Arial Narrow" w:cs="Open Sans"/>
                <w:b/>
                <w:bCs/>
                <w:sz w:val="20"/>
                <w:szCs w:val="20"/>
                <w:bdr w:val="none" w:sz="0" w:space="0" w:color="auto" w:frame="1"/>
              </w:rPr>
            </w:pPr>
            <w:r w:rsidRPr="00D85CD0">
              <w:rPr>
                <w:rFonts w:ascii="Arial Narrow" w:hAnsi="Arial Narrow" w:cs="Open Sans"/>
                <w:sz w:val="20"/>
                <w:szCs w:val="20"/>
              </w:rPr>
              <w:t xml:space="preserve">Patient must have previously received PBS-subsidised treatment with this drug for this condition under the First continuing treatment restriction </w:t>
            </w:r>
          </w:p>
        </w:tc>
      </w:tr>
      <w:tr w:rsidR="005F3049" w:rsidRPr="00D85CD0" w14:paraId="4FEC158F"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543B6480" w14:textId="77777777"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058B669C"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b/>
                <w:bCs/>
                <w:sz w:val="20"/>
                <w:szCs w:val="20"/>
                <w:bdr w:val="none" w:sz="0" w:space="0" w:color="auto" w:frame="1"/>
              </w:rPr>
              <w:t>AND</w:t>
            </w:r>
          </w:p>
        </w:tc>
      </w:tr>
      <w:tr w:rsidR="005F3049" w:rsidRPr="00D85CD0" w14:paraId="23B4F448"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2F03F334" w14:textId="0B219C07"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4595ED14"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b/>
                <w:bCs/>
                <w:sz w:val="20"/>
                <w:szCs w:val="20"/>
                <w:bdr w:val="none" w:sz="0" w:space="0" w:color="auto" w:frame="1"/>
              </w:rPr>
              <w:t>Clinical criteria:</w:t>
            </w:r>
          </w:p>
        </w:tc>
      </w:tr>
      <w:tr w:rsidR="005F3049" w:rsidRPr="00D85CD0" w14:paraId="15C12429"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700C23BA" w14:textId="236B7636" w:rsidR="005F3049" w:rsidRPr="00D85CD0" w:rsidRDefault="005F3049" w:rsidP="00AD6C64">
            <w:pPr>
              <w:rPr>
                <w:rFonts w:ascii="Arial Narrow" w:hAnsi="Arial Narrow" w:cs="Open Sans"/>
                <w:i/>
                <w:iC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1CC391E8" w14:textId="77777777" w:rsidR="005F3049" w:rsidRPr="00D85CD0" w:rsidRDefault="005F3049" w:rsidP="00AD6C64">
            <w:pPr>
              <w:jc w:val="left"/>
              <w:textAlignment w:val="baseline"/>
              <w:rPr>
                <w:rFonts w:ascii="Arial Narrow" w:hAnsi="Arial Narrow" w:cs="Open Sans"/>
                <w:i/>
                <w:iCs/>
                <w:sz w:val="20"/>
                <w:szCs w:val="20"/>
              </w:rPr>
            </w:pPr>
            <w:r w:rsidRPr="00D85CD0">
              <w:rPr>
                <w:rFonts w:ascii="Arial Narrow" w:hAnsi="Arial Narrow" w:cs="Open Sans"/>
                <w:i/>
                <w:iCs/>
                <w:sz w:val="20"/>
                <w:szCs w:val="20"/>
              </w:rPr>
              <w:t xml:space="preserve">Patient must have documented evidence of having achieved histologic remission while receiving </w:t>
            </w:r>
            <w:r w:rsidRPr="009F550D">
              <w:rPr>
                <w:rFonts w:ascii="Arial Narrow" w:hAnsi="Arial Narrow" w:cs="Open Sans"/>
                <w:i/>
                <w:iCs/>
                <w:sz w:val="20"/>
                <w:szCs w:val="20"/>
              </w:rPr>
              <w:t>initial and first</w:t>
            </w:r>
            <w:r w:rsidRPr="00D85CD0">
              <w:rPr>
                <w:rFonts w:ascii="Arial Narrow" w:hAnsi="Arial Narrow" w:cs="Open Sans"/>
                <w:i/>
                <w:iCs/>
                <w:sz w:val="20"/>
                <w:szCs w:val="20"/>
              </w:rPr>
              <w:t xml:space="preserve"> continuing PBS-subsidised treatment with this drug for this condition, defined as a peak eosinophil count of less than 5 eosinophils per high power field (hpf), corresponding to less than 16 eosinophils per mm</w:t>
            </w:r>
            <w:r w:rsidRPr="00D85CD0">
              <w:rPr>
                <w:rFonts w:ascii="Arial Narrow" w:hAnsi="Arial Narrow" w:cs="Open Sans"/>
                <w:i/>
                <w:iCs/>
                <w:sz w:val="20"/>
                <w:szCs w:val="20"/>
                <w:vertAlign w:val="superscript"/>
              </w:rPr>
              <w:t>2</w:t>
            </w:r>
            <w:r w:rsidRPr="00D85CD0">
              <w:rPr>
                <w:rFonts w:ascii="Arial Narrow" w:hAnsi="Arial Narrow" w:cs="Open Sans"/>
                <w:i/>
                <w:iCs/>
                <w:sz w:val="20"/>
                <w:szCs w:val="20"/>
              </w:rPr>
              <w:t xml:space="preserve"> hpf on oesophageal biopsy</w:t>
            </w:r>
          </w:p>
        </w:tc>
      </w:tr>
      <w:tr w:rsidR="005F3049" w:rsidRPr="00D85CD0" w14:paraId="712E01C4"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2D94F92F" w14:textId="77777777"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47285412" w14:textId="77777777" w:rsidR="005F3049" w:rsidRPr="00D85CD0" w:rsidRDefault="005F3049" w:rsidP="00AD6C64">
            <w:pPr>
              <w:jc w:val="left"/>
              <w:textAlignment w:val="baseline"/>
              <w:rPr>
                <w:rFonts w:ascii="Arial Narrow" w:hAnsi="Arial Narrow" w:cs="Open Sans"/>
                <w:b/>
                <w:bCs/>
                <w:sz w:val="20"/>
                <w:szCs w:val="20"/>
                <w:bdr w:val="none" w:sz="0" w:space="0" w:color="auto" w:frame="1"/>
              </w:rPr>
            </w:pPr>
            <w:r w:rsidRPr="00D85CD0">
              <w:rPr>
                <w:rFonts w:ascii="Arial Narrow" w:hAnsi="Arial Narrow" w:cs="Open Sans"/>
                <w:b/>
                <w:bCs/>
                <w:sz w:val="20"/>
                <w:szCs w:val="20"/>
                <w:bdr w:val="none" w:sz="0" w:space="0" w:color="auto" w:frame="1"/>
              </w:rPr>
              <w:t>AND</w:t>
            </w:r>
          </w:p>
        </w:tc>
      </w:tr>
      <w:tr w:rsidR="005F3049" w:rsidRPr="00D85CD0" w14:paraId="11B41DD4"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0D06A422" w14:textId="6CA2BBE6" w:rsidR="005F3049" w:rsidRPr="009F550D"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52D35D6E" w14:textId="77777777" w:rsidR="005F3049" w:rsidRPr="00D85CD0" w:rsidRDefault="005F3049" w:rsidP="00AD6C64">
            <w:pPr>
              <w:jc w:val="left"/>
              <w:textAlignment w:val="baseline"/>
              <w:rPr>
                <w:rFonts w:ascii="Arial Narrow" w:hAnsi="Arial Narrow" w:cs="Open Sans"/>
                <w:b/>
                <w:bCs/>
                <w:sz w:val="20"/>
                <w:szCs w:val="20"/>
                <w:bdr w:val="none" w:sz="0" w:space="0" w:color="auto" w:frame="1"/>
              </w:rPr>
            </w:pPr>
            <w:r w:rsidRPr="00D85CD0">
              <w:rPr>
                <w:rFonts w:ascii="Arial Narrow" w:hAnsi="Arial Narrow" w:cs="Open Sans"/>
                <w:b/>
                <w:bCs/>
                <w:sz w:val="20"/>
                <w:szCs w:val="20"/>
                <w:bdr w:val="none" w:sz="0" w:space="0" w:color="auto" w:frame="1"/>
              </w:rPr>
              <w:t>Clinical criteria:</w:t>
            </w:r>
          </w:p>
        </w:tc>
      </w:tr>
      <w:tr w:rsidR="005F3049" w:rsidRPr="00D85CD0" w14:paraId="3AD8EAF8"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45E911D3" w14:textId="3A0F4EEE"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195DB441" w14:textId="77777777" w:rsidR="005F3049" w:rsidRPr="00D85CD0" w:rsidRDefault="005F3049" w:rsidP="00AD6C64">
            <w:pPr>
              <w:jc w:val="left"/>
              <w:textAlignment w:val="baseline"/>
              <w:rPr>
                <w:rFonts w:ascii="Arial Narrow" w:hAnsi="Arial Narrow" w:cs="Open Sans"/>
                <w:b/>
                <w:bCs/>
                <w:sz w:val="20"/>
                <w:szCs w:val="20"/>
                <w:bdr w:val="none" w:sz="0" w:space="0" w:color="auto" w:frame="1"/>
              </w:rPr>
            </w:pPr>
            <w:r w:rsidRPr="00D85CD0">
              <w:rPr>
                <w:rFonts w:ascii="Arial Narrow" w:hAnsi="Arial Narrow" w:cs="Open Sans"/>
                <w:sz w:val="20"/>
                <w:szCs w:val="20"/>
              </w:rPr>
              <w:t>The condition must not have progressed while being treated with this drug</w:t>
            </w:r>
            <w:r>
              <w:rPr>
                <w:rFonts w:ascii="Arial Narrow" w:hAnsi="Arial Narrow" w:cs="Open Sans"/>
                <w:sz w:val="20"/>
                <w:szCs w:val="20"/>
              </w:rPr>
              <w:t>.</w:t>
            </w:r>
          </w:p>
        </w:tc>
      </w:tr>
      <w:tr w:rsidR="005F3049" w:rsidRPr="00D85CD0" w14:paraId="5BE3D841"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2EBAFF44" w14:textId="77777777"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56DF9F01" w14:textId="77777777" w:rsidR="005F3049" w:rsidRPr="00D85CD0" w:rsidRDefault="005F3049" w:rsidP="00AD6C64">
            <w:pPr>
              <w:jc w:val="left"/>
              <w:textAlignment w:val="baseline"/>
              <w:rPr>
                <w:rFonts w:ascii="Arial Narrow" w:hAnsi="Arial Narrow" w:cs="Open Sans"/>
                <w:sz w:val="20"/>
                <w:szCs w:val="20"/>
              </w:rPr>
            </w:pPr>
          </w:p>
        </w:tc>
      </w:tr>
      <w:tr w:rsidR="005F3049" w:rsidRPr="00D85CD0" w14:paraId="0C294CDC"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55DC6FFA" w14:textId="7853DB59"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04C0B499" w14:textId="77777777" w:rsidR="005F3049" w:rsidRPr="00D85CD0" w:rsidRDefault="005F3049" w:rsidP="00AD6C64">
            <w:pPr>
              <w:jc w:val="left"/>
              <w:textAlignment w:val="baseline"/>
              <w:rPr>
                <w:rFonts w:ascii="Arial Narrow" w:hAnsi="Arial Narrow" w:cs="Open Sans"/>
                <w:b/>
                <w:bCs/>
                <w:sz w:val="20"/>
                <w:szCs w:val="20"/>
                <w:bdr w:val="none" w:sz="0" w:space="0" w:color="auto" w:frame="1"/>
              </w:rPr>
            </w:pPr>
            <w:r w:rsidRPr="00D85CD0">
              <w:rPr>
                <w:rFonts w:ascii="Arial Narrow" w:hAnsi="Arial Narrow" w:cs="Open Sans"/>
                <w:b/>
                <w:bCs/>
                <w:sz w:val="20"/>
                <w:szCs w:val="20"/>
                <w:bdr w:val="none" w:sz="0" w:space="0" w:color="auto" w:frame="1"/>
              </w:rPr>
              <w:t>Treatment criteria:</w:t>
            </w:r>
          </w:p>
          <w:p w14:paraId="6FDCFED6" w14:textId="77777777" w:rsidR="005F3049" w:rsidRPr="00D85CD0" w:rsidRDefault="005F3049" w:rsidP="00AD6C64">
            <w:pPr>
              <w:jc w:val="left"/>
              <w:textAlignment w:val="baseline"/>
              <w:rPr>
                <w:rFonts w:ascii="Arial Narrow" w:hAnsi="Arial Narrow" w:cs="Open Sans"/>
                <w:b/>
                <w:bCs/>
                <w:sz w:val="20"/>
                <w:szCs w:val="20"/>
                <w:bdr w:val="none" w:sz="0" w:space="0" w:color="auto" w:frame="1"/>
              </w:rPr>
            </w:pPr>
          </w:p>
        </w:tc>
      </w:tr>
      <w:tr w:rsidR="005F3049" w:rsidRPr="00D85CD0" w14:paraId="060746F0"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7F13EBEE" w14:textId="77777777" w:rsidR="005F3049" w:rsidRPr="00D85CD0" w:rsidRDefault="005F3049" w:rsidP="00AD6C64">
            <w:pPr>
              <w:rPr>
                <w:rFonts w:ascii="Arial Narrow" w:hAnsi="Arial Narrow" w:cs="Open San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3A4F0F35" w14:textId="77777777" w:rsidR="005F3049" w:rsidRPr="009F550D" w:rsidRDefault="005F3049" w:rsidP="00AD6C64">
            <w:pPr>
              <w:jc w:val="left"/>
              <w:textAlignment w:val="baseline"/>
              <w:rPr>
                <w:rFonts w:ascii="Arial Narrow" w:hAnsi="Arial Narrow" w:cs="Open Sans"/>
                <w:b/>
                <w:bCs/>
                <w:i/>
                <w:iCs/>
                <w:sz w:val="20"/>
                <w:szCs w:val="20"/>
                <w:bdr w:val="none" w:sz="0" w:space="0" w:color="auto" w:frame="1"/>
              </w:rPr>
            </w:pPr>
            <w:r w:rsidRPr="009F550D">
              <w:rPr>
                <w:rFonts w:ascii="Arial Narrow" w:hAnsi="Arial Narrow" w:cs="Open Sans"/>
                <w:i/>
                <w:iCs/>
                <w:sz w:val="20"/>
                <w:szCs w:val="20"/>
              </w:rPr>
              <w:t>Must be treated by at least one of: (i) gastroenterologist, (ii) surgeon experienced in the management of patients with eosinophilic oesophagitis, (iii) physician experienced in the management of patients with eosinophilic oesophagitis, (iv) medical practitioner in consultation with one of these prescribers.</w:t>
            </w:r>
          </w:p>
        </w:tc>
      </w:tr>
      <w:tr w:rsidR="005F3049" w:rsidRPr="00D85CD0" w14:paraId="43070AB0"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60392121" w14:textId="4412CBD6" w:rsidR="005F3049" w:rsidRPr="00D85CD0" w:rsidRDefault="005F3049" w:rsidP="00AD6C64">
            <w:pPr>
              <w:rPr>
                <w:rFonts w:ascii="Arial Narrow" w:hAnsi="Arial Narrow" w:cs="Open Sans"/>
                <w:sz w:val="20"/>
                <w:szCs w:val="20"/>
                <w:highlight w:val="yellow"/>
              </w:rPr>
            </w:pPr>
          </w:p>
        </w:tc>
        <w:tc>
          <w:tcPr>
            <w:tcW w:w="4374" w:type="pct"/>
            <w:gridSpan w:val="6"/>
            <w:tcBorders>
              <w:top w:val="single" w:sz="4" w:space="0" w:color="auto"/>
              <w:left w:val="single" w:sz="4" w:space="0" w:color="auto"/>
              <w:bottom w:val="single" w:sz="4" w:space="0" w:color="auto"/>
              <w:right w:val="single" w:sz="4" w:space="0" w:color="auto"/>
            </w:tcBorders>
          </w:tcPr>
          <w:p w14:paraId="0AB8D4D2"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b/>
                <w:bCs/>
                <w:sz w:val="20"/>
                <w:szCs w:val="20"/>
                <w:bdr w:val="none" w:sz="0" w:space="0" w:color="auto" w:frame="1"/>
              </w:rPr>
              <w:t>Prescribing Instructions:</w:t>
            </w:r>
          </w:p>
          <w:p w14:paraId="6FC929FE" w14:textId="77777777" w:rsidR="005F3049" w:rsidRPr="00D85CD0" w:rsidRDefault="005F3049" w:rsidP="00AD6C64">
            <w:pPr>
              <w:jc w:val="left"/>
              <w:textAlignment w:val="baseline"/>
              <w:rPr>
                <w:rFonts w:ascii="Arial Narrow" w:hAnsi="Arial Narrow" w:cs="Open Sans"/>
                <w:sz w:val="20"/>
                <w:szCs w:val="20"/>
              </w:rPr>
            </w:pPr>
            <w:r w:rsidRPr="00D85CD0">
              <w:rPr>
                <w:rFonts w:ascii="Arial Narrow" w:hAnsi="Arial Narrow" w:cs="Open Sans"/>
                <w:sz w:val="20"/>
                <w:szCs w:val="20"/>
              </w:rPr>
              <w:t xml:space="preserve">Histologic assessment should be based on the peak eosinophils count derived, </w:t>
            </w:r>
            <w:r w:rsidRPr="006E2D19">
              <w:rPr>
                <w:rFonts w:ascii="Arial Narrow" w:hAnsi="Arial Narrow" w:cs="Open Sans"/>
                <w:i/>
                <w:iCs/>
                <w:sz w:val="20"/>
                <w:szCs w:val="20"/>
              </w:rPr>
              <w:t>where necessary</w:t>
            </w:r>
            <w:r w:rsidRPr="00D85CD0">
              <w:rPr>
                <w:rFonts w:ascii="Arial Narrow" w:hAnsi="Arial Narrow" w:cs="Open Sans"/>
                <w:sz w:val="20"/>
                <w:szCs w:val="20"/>
              </w:rPr>
              <w:t>, from the evaluation of at least eight oesophageal biopsies (minimum of four collected from each of the mid and distal segments, with the distal segment biopsies taken at least 5 cm above the gastroesophageal junction).</w:t>
            </w:r>
          </w:p>
          <w:p w14:paraId="135CEDD6" w14:textId="77777777" w:rsidR="005F3049" w:rsidRPr="00D85CD0" w:rsidRDefault="005F3049" w:rsidP="00AD6C64">
            <w:pPr>
              <w:rPr>
                <w:rFonts w:ascii="Arial Narrow" w:hAnsi="Arial Narrow" w:cs="Open Sans"/>
                <w:sz w:val="20"/>
                <w:szCs w:val="20"/>
              </w:rPr>
            </w:pPr>
            <w:r w:rsidRPr="00D85CD0">
              <w:rPr>
                <w:rFonts w:ascii="Arial Narrow" w:hAnsi="Arial Narrow" w:cs="Open Sans"/>
                <w:sz w:val="20"/>
                <w:szCs w:val="20"/>
              </w:rPr>
              <w:t xml:space="preserve">The histologic assessment should, where possible, be performed by </w:t>
            </w:r>
            <w:r w:rsidRPr="00D85CD0">
              <w:rPr>
                <w:rFonts w:ascii="Arial Narrow" w:hAnsi="Arial Narrow" w:cs="Open Sans"/>
                <w:i/>
                <w:iCs/>
                <w:sz w:val="20"/>
                <w:szCs w:val="20"/>
              </w:rPr>
              <w:t>or in consultation with</w:t>
            </w:r>
            <w:r w:rsidRPr="00D85CD0">
              <w:rPr>
                <w:rFonts w:ascii="Arial Narrow" w:hAnsi="Arial Narrow" w:cs="Open Sans"/>
                <w:sz w:val="20"/>
                <w:szCs w:val="20"/>
              </w:rPr>
              <w:t xml:space="preserve"> the same physician </w:t>
            </w:r>
            <w:r w:rsidRPr="00D85CD0">
              <w:rPr>
                <w:rFonts w:ascii="Arial Narrow" w:hAnsi="Arial Narrow" w:cs="Open Sans"/>
                <w:i/>
                <w:iCs/>
                <w:sz w:val="20"/>
                <w:szCs w:val="20"/>
              </w:rPr>
              <w:t>or surgeon</w:t>
            </w:r>
            <w:r w:rsidRPr="00D85CD0">
              <w:rPr>
                <w:rFonts w:ascii="Arial Narrow" w:hAnsi="Arial Narrow" w:cs="Open Sans"/>
                <w:sz w:val="20"/>
                <w:szCs w:val="20"/>
              </w:rPr>
              <w:t xml:space="preserve"> who confirmed the </w:t>
            </w:r>
            <w:r>
              <w:rPr>
                <w:rFonts w:ascii="Arial Narrow" w:hAnsi="Arial Narrow" w:cs="Open Sans"/>
                <w:sz w:val="20"/>
                <w:szCs w:val="20"/>
              </w:rPr>
              <w:t xml:space="preserve">patient’s </w:t>
            </w:r>
            <w:r w:rsidRPr="00D85CD0">
              <w:rPr>
                <w:rFonts w:ascii="Arial Narrow" w:hAnsi="Arial Narrow" w:cs="Open Sans"/>
                <w:sz w:val="20"/>
                <w:szCs w:val="20"/>
              </w:rPr>
              <w:t xml:space="preserve">diagnosis of eosinophilic oesophagitis </w:t>
            </w:r>
            <w:r w:rsidRPr="001945B4">
              <w:rPr>
                <w:rFonts w:ascii="Arial Narrow" w:hAnsi="Arial Narrow" w:cs="Open Sans"/>
                <w:strike/>
                <w:sz w:val="20"/>
                <w:szCs w:val="20"/>
              </w:rPr>
              <w:t>in the patient</w:t>
            </w:r>
            <w:r w:rsidRPr="00D85CD0">
              <w:rPr>
                <w:rFonts w:ascii="Arial Narrow" w:hAnsi="Arial Narrow" w:cs="Open Sans"/>
                <w:sz w:val="20"/>
                <w:szCs w:val="20"/>
              </w:rPr>
              <w:t xml:space="preserve">. This assessment, </w:t>
            </w:r>
            <w:r w:rsidRPr="00D85CD0">
              <w:rPr>
                <w:rFonts w:ascii="Arial Narrow" w:hAnsi="Arial Narrow" w:cs="Open Sans"/>
                <w:strike/>
                <w:sz w:val="20"/>
                <w:szCs w:val="20"/>
              </w:rPr>
              <w:t>which will be used to determine eligibility for continuing treatment,</w:t>
            </w:r>
            <w:r w:rsidRPr="00D85CD0">
              <w:rPr>
                <w:rFonts w:ascii="Arial Narrow" w:hAnsi="Arial Narrow" w:cs="Open Sans"/>
                <w:sz w:val="20"/>
                <w:szCs w:val="20"/>
              </w:rPr>
              <w:t xml:space="preserve"> </w:t>
            </w:r>
            <w:proofErr w:type="gramStart"/>
            <w:r w:rsidRPr="00D85CD0">
              <w:rPr>
                <w:rFonts w:ascii="Arial Narrow" w:hAnsi="Arial Narrow" w:cs="Open Sans"/>
                <w:strike/>
                <w:sz w:val="20"/>
                <w:szCs w:val="20"/>
              </w:rPr>
              <w:t>should</w:t>
            </w:r>
            <w:r w:rsidRPr="00D85CD0">
              <w:rPr>
                <w:rFonts w:ascii="Arial Narrow" w:hAnsi="Arial Narrow" w:cs="Open Sans"/>
                <w:sz w:val="20"/>
                <w:szCs w:val="20"/>
              </w:rPr>
              <w:t xml:space="preserve"> </w:t>
            </w:r>
            <w:r w:rsidRPr="00D85CD0">
              <w:rPr>
                <w:rFonts w:ascii="Arial Narrow" w:hAnsi="Arial Narrow" w:cs="Open Sans"/>
                <w:i/>
                <w:iCs/>
                <w:sz w:val="20"/>
                <w:szCs w:val="20"/>
              </w:rPr>
              <w:t>must</w:t>
            </w:r>
            <w:proofErr w:type="gramEnd"/>
            <w:r w:rsidRPr="00D85CD0">
              <w:rPr>
                <w:rFonts w:ascii="Arial Narrow" w:hAnsi="Arial Narrow" w:cs="Open Sans"/>
                <w:i/>
                <w:iCs/>
                <w:sz w:val="20"/>
                <w:szCs w:val="20"/>
              </w:rPr>
              <w:t xml:space="preserve"> </w:t>
            </w:r>
            <w:r w:rsidRPr="00D85CD0">
              <w:rPr>
                <w:rFonts w:ascii="Arial Narrow" w:hAnsi="Arial Narrow" w:cs="Open Sans"/>
                <w:sz w:val="20"/>
                <w:szCs w:val="20"/>
              </w:rPr>
              <w:t xml:space="preserve">be conducted </w:t>
            </w:r>
            <w:r w:rsidRPr="00D85CD0">
              <w:rPr>
                <w:rFonts w:ascii="Arial Narrow" w:hAnsi="Arial Narrow" w:cs="Open Sans"/>
                <w:strike/>
                <w:sz w:val="20"/>
                <w:szCs w:val="20"/>
              </w:rPr>
              <w:t>and submitted after the patient has completed 8 weeks of the initial treatment course and</w:t>
            </w:r>
            <w:r w:rsidRPr="00D85CD0">
              <w:rPr>
                <w:rFonts w:ascii="Arial Narrow" w:hAnsi="Arial Narrow" w:cs="Open Sans"/>
                <w:sz w:val="20"/>
                <w:szCs w:val="20"/>
              </w:rPr>
              <w:t xml:space="preserve"> </w:t>
            </w:r>
            <w:r w:rsidRPr="003A22FA">
              <w:rPr>
                <w:rFonts w:ascii="Arial Narrow" w:hAnsi="Arial Narrow" w:cs="Open Sans"/>
                <w:i/>
                <w:iCs/>
                <w:sz w:val="20"/>
                <w:szCs w:val="20"/>
              </w:rPr>
              <w:t xml:space="preserve">within 48 weeks of initiating </w:t>
            </w:r>
            <w:r w:rsidRPr="00D85CD0">
              <w:rPr>
                <w:rFonts w:ascii="Arial Narrow" w:hAnsi="Arial Narrow" w:cs="Open Sans"/>
                <w:i/>
                <w:iCs/>
                <w:sz w:val="20"/>
                <w:szCs w:val="20"/>
              </w:rPr>
              <w:t>treatment, to determine the patient’s eligibility for continuing treatment</w:t>
            </w:r>
            <w:r w:rsidRPr="00D85CD0">
              <w:rPr>
                <w:rFonts w:ascii="Arial Narrow" w:hAnsi="Arial Narrow" w:cs="Open Sans"/>
                <w:sz w:val="20"/>
                <w:szCs w:val="20"/>
              </w:rPr>
              <w:t xml:space="preserve">. </w:t>
            </w:r>
            <w:r w:rsidRPr="00D85CD0">
              <w:rPr>
                <w:rFonts w:ascii="Arial Narrow" w:hAnsi="Arial Narrow" w:cs="Open Sans"/>
                <w:strike/>
                <w:sz w:val="20"/>
                <w:szCs w:val="20"/>
              </w:rPr>
              <w:t>and no later than 2 weeks prior to the patient completing the PBS-subsidised initial treatment course, to avoid an interruption to supply</w:t>
            </w:r>
            <w:r w:rsidRPr="00D85CD0">
              <w:rPr>
                <w:rFonts w:ascii="Arial Narrow" w:hAnsi="Arial Narrow" w:cs="Open Sans"/>
                <w:sz w:val="20"/>
                <w:szCs w:val="20"/>
              </w:rPr>
              <w:t xml:space="preserve">. </w:t>
            </w:r>
            <w:r w:rsidRPr="006E2D19">
              <w:rPr>
                <w:rFonts w:ascii="Arial Narrow" w:hAnsi="Arial Narrow" w:cs="Open Sans"/>
                <w:i/>
                <w:iCs/>
                <w:sz w:val="20"/>
                <w:szCs w:val="20"/>
                <w:bdr w:val="none" w:sz="0" w:space="0" w:color="auto" w:frame="1"/>
              </w:rPr>
              <w:t>The histologic assessment should be conducted no later than 2 weeks prior to the patient</w:t>
            </w:r>
            <w:r w:rsidRPr="006E2D19">
              <w:rPr>
                <w:rFonts w:ascii="Arial Narrow" w:hAnsi="Arial Narrow" w:cs="Open Sans"/>
                <w:i/>
                <w:iCs/>
                <w:bdr w:val="none" w:sz="0" w:space="0" w:color="auto" w:frame="1"/>
              </w:rPr>
              <w:t xml:space="preserve"> </w:t>
            </w:r>
            <w:r w:rsidRPr="006E2D19">
              <w:rPr>
                <w:rFonts w:ascii="Arial Narrow" w:hAnsi="Arial Narrow" w:cs="Open Sans"/>
                <w:i/>
                <w:iCs/>
                <w:sz w:val="20"/>
                <w:szCs w:val="20"/>
                <w:bdr w:val="none" w:sz="0" w:space="0" w:color="auto" w:frame="1"/>
              </w:rPr>
              <w:t>completing the PBS subsidised first continuing treatment course to avoid an interruption of supply for continuing therapy.</w:t>
            </w:r>
            <w:r w:rsidRPr="00D85CD0">
              <w:rPr>
                <w:rFonts w:ascii="Arial Narrow" w:hAnsi="Arial Narrow" w:cs="Open Sans"/>
                <w:sz w:val="20"/>
                <w:szCs w:val="20"/>
              </w:rPr>
              <w:t xml:space="preserve"> Where a histologic assessment is not undertaken </w:t>
            </w:r>
            <w:r w:rsidRPr="00D85CD0">
              <w:rPr>
                <w:rFonts w:ascii="Arial Narrow" w:hAnsi="Arial Narrow" w:cs="Open Sans"/>
                <w:strike/>
                <w:sz w:val="20"/>
                <w:szCs w:val="20"/>
              </w:rPr>
              <w:t>and the results submitted,</w:t>
            </w:r>
            <w:r w:rsidRPr="00D85CD0">
              <w:rPr>
                <w:rFonts w:ascii="Arial Narrow" w:hAnsi="Arial Narrow" w:cs="Open Sans"/>
                <w:sz w:val="20"/>
                <w:szCs w:val="20"/>
              </w:rPr>
              <w:t xml:space="preserve"> the patient will </w:t>
            </w:r>
            <w:r w:rsidRPr="00D85CD0">
              <w:rPr>
                <w:rFonts w:ascii="Arial Narrow" w:hAnsi="Arial Narrow" w:cs="Open Sans"/>
                <w:strike/>
                <w:sz w:val="20"/>
                <w:szCs w:val="20"/>
              </w:rPr>
              <w:t>be</w:t>
            </w:r>
            <w:r w:rsidRPr="00D85CD0">
              <w:rPr>
                <w:rFonts w:ascii="Arial Narrow" w:hAnsi="Arial Narrow" w:cs="Open Sans"/>
                <w:sz w:val="20"/>
                <w:szCs w:val="20"/>
              </w:rPr>
              <w:t xml:space="preserve"> not be eligible for ongoing treatment.</w:t>
            </w:r>
          </w:p>
          <w:p w14:paraId="6F1CE841" w14:textId="77777777" w:rsidR="005F3049" w:rsidRPr="00C65D81" w:rsidRDefault="005F3049" w:rsidP="00AD6C64">
            <w:pPr>
              <w:jc w:val="left"/>
              <w:textAlignment w:val="baseline"/>
              <w:rPr>
                <w:rFonts w:ascii="Arial Narrow" w:hAnsi="Arial Narrow"/>
                <w:i/>
                <w:iCs/>
                <w:sz w:val="20"/>
                <w:szCs w:val="20"/>
              </w:rPr>
            </w:pPr>
            <w:r w:rsidRPr="00D85CD0">
              <w:rPr>
                <w:rFonts w:ascii="Arial Narrow" w:hAnsi="Arial Narrow"/>
                <w:i/>
                <w:iCs/>
                <w:sz w:val="20"/>
                <w:szCs w:val="20"/>
              </w:rPr>
              <w:t xml:space="preserve">The result of the histological assessment must be documented in the patient’s medical records. </w:t>
            </w:r>
          </w:p>
        </w:tc>
      </w:tr>
      <w:tr w:rsidR="005F3049" w:rsidRPr="00D85CD0" w14:paraId="15DDE2AF" w14:textId="77777777" w:rsidTr="00A861E6">
        <w:trPr>
          <w:cantSplit/>
          <w:trHeight w:val="20"/>
        </w:trPr>
        <w:tc>
          <w:tcPr>
            <w:tcW w:w="626" w:type="pct"/>
            <w:gridSpan w:val="2"/>
            <w:tcBorders>
              <w:top w:val="single" w:sz="4" w:space="0" w:color="auto"/>
              <w:left w:val="single" w:sz="4" w:space="0" w:color="auto"/>
              <w:bottom w:val="single" w:sz="4" w:space="0" w:color="auto"/>
              <w:right w:val="single" w:sz="4" w:space="0" w:color="auto"/>
            </w:tcBorders>
          </w:tcPr>
          <w:p w14:paraId="0031CC32" w14:textId="202296CD" w:rsidR="005F3049" w:rsidRPr="001E36F1" w:rsidRDefault="005F3049" w:rsidP="00AD6C64">
            <w:pPr>
              <w:rPr>
                <w:rFonts w:ascii="Arial Narrow" w:hAnsi="Arial Narrow" w:cs="Open Sans"/>
                <w:i/>
                <w:iCs/>
                <w:sz w:val="20"/>
                <w:szCs w:val="20"/>
              </w:rPr>
            </w:pPr>
          </w:p>
        </w:tc>
        <w:tc>
          <w:tcPr>
            <w:tcW w:w="4374" w:type="pct"/>
            <w:gridSpan w:val="6"/>
            <w:tcBorders>
              <w:top w:val="single" w:sz="4" w:space="0" w:color="auto"/>
              <w:left w:val="single" w:sz="4" w:space="0" w:color="auto"/>
              <w:bottom w:val="single" w:sz="4" w:space="0" w:color="auto"/>
              <w:right w:val="single" w:sz="4" w:space="0" w:color="auto"/>
            </w:tcBorders>
          </w:tcPr>
          <w:p w14:paraId="11734DDE" w14:textId="77777777" w:rsidR="005F3049" w:rsidRPr="001E36F1" w:rsidRDefault="005F3049" w:rsidP="00AD6C64">
            <w:pPr>
              <w:jc w:val="left"/>
              <w:textAlignment w:val="baseline"/>
              <w:rPr>
                <w:rFonts w:ascii="Arial Narrow" w:hAnsi="Arial Narrow" w:cs="Open Sans"/>
                <w:i/>
                <w:iCs/>
                <w:sz w:val="20"/>
                <w:szCs w:val="20"/>
              </w:rPr>
            </w:pPr>
            <w:r w:rsidRPr="001E36F1">
              <w:rPr>
                <w:rFonts w:ascii="Arial Narrow" w:hAnsi="Arial Narrow" w:cs="Open Sans"/>
                <w:b/>
                <w:bCs/>
                <w:i/>
                <w:iCs/>
                <w:sz w:val="20"/>
                <w:szCs w:val="20"/>
                <w:bdr w:val="none" w:sz="0" w:space="0" w:color="auto" w:frame="1"/>
              </w:rPr>
              <w:t>Prescribing Instructions:</w:t>
            </w:r>
          </w:p>
          <w:p w14:paraId="0F7EFDDE" w14:textId="77777777" w:rsidR="005F3049" w:rsidRPr="001E36F1" w:rsidRDefault="005F3049" w:rsidP="00AD6C64">
            <w:pPr>
              <w:jc w:val="left"/>
              <w:textAlignment w:val="baseline"/>
              <w:rPr>
                <w:rFonts w:ascii="Arial Narrow" w:hAnsi="Arial Narrow" w:cs="Open Sans"/>
                <w:b/>
                <w:bCs/>
                <w:i/>
                <w:iCs/>
                <w:sz w:val="20"/>
                <w:szCs w:val="20"/>
                <w:bdr w:val="none" w:sz="0" w:space="0" w:color="auto" w:frame="1"/>
              </w:rPr>
            </w:pPr>
            <w:r w:rsidRPr="001E36F1">
              <w:rPr>
                <w:rFonts w:ascii="Arial Narrow" w:hAnsi="Arial Narrow" w:cs="Open Sans"/>
                <w:i/>
                <w:iCs/>
                <w:sz w:val="20"/>
                <w:szCs w:val="20"/>
              </w:rPr>
              <w:t>First applications for the subsequent continuing treatment of this condition, must be received within 12 weeks of the histologic assessment</w:t>
            </w:r>
            <w:r>
              <w:rPr>
                <w:rFonts w:ascii="Arial Narrow" w:hAnsi="Arial Narrow" w:cs="Open Sans"/>
                <w:i/>
                <w:iCs/>
                <w:sz w:val="20"/>
                <w:szCs w:val="20"/>
              </w:rPr>
              <w:t>.</w:t>
            </w:r>
          </w:p>
        </w:tc>
      </w:tr>
    </w:tbl>
    <w:p w14:paraId="753FF5E0" w14:textId="77777777" w:rsidR="00EE3B3A" w:rsidRDefault="00EE3B3A" w:rsidP="005F3049">
      <w:pPr>
        <w:pStyle w:val="ListBullet"/>
        <w:numPr>
          <w:ilvl w:val="0"/>
          <w:numId w:val="0"/>
        </w:numPr>
        <w:rPr>
          <w:b/>
          <w:bCs/>
          <w:i/>
          <w:iCs/>
        </w:rPr>
      </w:pPr>
    </w:p>
    <w:p w14:paraId="7C4DFF9C" w14:textId="630295F6" w:rsidR="005F3049" w:rsidRPr="00C65D81" w:rsidRDefault="005F3049" w:rsidP="005F3049">
      <w:pPr>
        <w:pStyle w:val="ListBullet"/>
        <w:numPr>
          <w:ilvl w:val="0"/>
          <w:numId w:val="0"/>
        </w:numPr>
        <w:rPr>
          <w:b/>
          <w:bCs/>
          <w:i/>
          <w:iCs/>
        </w:rPr>
      </w:pPr>
      <w:r w:rsidRPr="00D85CD0">
        <w:rPr>
          <w:b/>
          <w:bCs/>
          <w:i/>
          <w:iCs/>
        </w:rPr>
        <w:t>This restriction may be subject to further review. Should there be any changes made to the restriction the sponsor will be informed.</w:t>
      </w:r>
    </w:p>
    <w:p w14:paraId="03200C04" w14:textId="77777777" w:rsidR="004B01D0" w:rsidRPr="00696EC0" w:rsidRDefault="004B01D0" w:rsidP="004B01D0">
      <w:pPr>
        <w:pStyle w:val="2-SectionHeading"/>
      </w:pPr>
      <w:r w:rsidRPr="00C07617">
        <w:t>Context for Decision</w:t>
      </w:r>
    </w:p>
    <w:p w14:paraId="7F79AAA6" w14:textId="77777777" w:rsidR="004B01D0" w:rsidRPr="007129F2" w:rsidRDefault="004B01D0" w:rsidP="004B01D0">
      <w:pPr>
        <w:spacing w:after="120"/>
        <w:ind w:left="720"/>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7129F2">
        <w:rPr>
          <w:rFonts w:asciiTheme="minorHAnsi" w:hAnsiTheme="minorHAnsi" w:cs="Arial"/>
          <w:bCs/>
          <w:lang w:val="en-GB"/>
        </w:rPr>
        <w:t>be made</w:t>
      </w:r>
      <w:proofErr w:type="gramEnd"/>
      <w:r w:rsidRPr="007129F2">
        <w:rPr>
          <w:rFonts w:asciiTheme="minorHAnsi" w:hAnsiTheme="minorHAnsi" w:cs="Arial"/>
          <w:bCs/>
          <w:lang w:val="en-GB"/>
        </w:rPr>
        <w:t xml:space="preserve"> available through the PBS. The PBAC welcomes applications containing </w:t>
      </w:r>
      <w:proofErr w:type="gramStart"/>
      <w:r w:rsidRPr="007129F2">
        <w:rPr>
          <w:rFonts w:asciiTheme="minorHAnsi" w:hAnsiTheme="minorHAnsi" w:cs="Arial"/>
          <w:bCs/>
          <w:lang w:val="en-GB"/>
        </w:rPr>
        <w:t>new information</w:t>
      </w:r>
      <w:proofErr w:type="gramEnd"/>
      <w:r w:rsidRPr="007129F2">
        <w:rPr>
          <w:rFonts w:asciiTheme="minorHAnsi" w:hAnsiTheme="minorHAnsi" w:cs="Arial"/>
          <w:bCs/>
          <w:lang w:val="en-GB"/>
        </w:rPr>
        <w:t xml:space="preserve"> at any time.</w:t>
      </w:r>
    </w:p>
    <w:p w14:paraId="7994A128" w14:textId="77777777" w:rsidR="004B01D0" w:rsidRPr="00696EC0" w:rsidRDefault="004B01D0" w:rsidP="004B01D0">
      <w:pPr>
        <w:pStyle w:val="2-SectionHeading"/>
      </w:pPr>
      <w:r>
        <w:t>Sponsor’s Comment</w:t>
      </w:r>
    </w:p>
    <w:p w14:paraId="3299BF2B" w14:textId="1272F699" w:rsidR="00102C19" w:rsidRPr="00102C19" w:rsidRDefault="00020E09" w:rsidP="00A861E6">
      <w:pPr>
        <w:pStyle w:val="ListBullet"/>
        <w:numPr>
          <w:ilvl w:val="0"/>
          <w:numId w:val="0"/>
        </w:numPr>
        <w:ind w:left="720"/>
      </w:pPr>
      <w:r>
        <w:rPr>
          <w:rFonts w:asciiTheme="minorHAnsi" w:hAnsiTheme="minorHAnsi" w:cs="Arial"/>
          <w:bCs/>
          <w:lang w:val="en-GB"/>
        </w:rPr>
        <w:t>T</w:t>
      </w:r>
      <w:r w:rsidRPr="00A861E6">
        <w:rPr>
          <w:rFonts w:asciiTheme="minorHAnsi" w:hAnsiTheme="minorHAnsi" w:cs="Arial"/>
          <w:bCs/>
          <w:lang w:val="en-GB"/>
        </w:rPr>
        <w:t xml:space="preserve">he Sponsor welcomes the PBAC positive recommendation to extend the time allowed for the repeat endoscopy/ histologic assessment to confirm treatment response. This change recognises the difficulties faced by </w:t>
      </w:r>
      <w:proofErr w:type="gramStart"/>
      <w:r w:rsidRPr="00A861E6">
        <w:rPr>
          <w:rFonts w:asciiTheme="minorHAnsi" w:hAnsiTheme="minorHAnsi" w:cs="Arial"/>
          <w:bCs/>
          <w:lang w:val="en-GB"/>
        </w:rPr>
        <w:t>some</w:t>
      </w:r>
      <w:proofErr w:type="gramEnd"/>
      <w:r w:rsidRPr="00A861E6">
        <w:rPr>
          <w:rFonts w:asciiTheme="minorHAnsi" w:hAnsiTheme="minorHAnsi" w:cs="Arial"/>
          <w:bCs/>
          <w:lang w:val="en-GB"/>
        </w:rPr>
        <w:t xml:space="preserve"> Doctors and their patients in scheduling the repeat endoscopy and now increases the probability that patients with confirmed eosinophilic oesophagitis (EoE) will have continuing access to treatment with Jorveza – the only TGA approved, and PBS reimbursed, treatment for this condition.</w:t>
      </w:r>
    </w:p>
    <w:sectPr w:rsidR="00102C19" w:rsidRPr="00102C19"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4A30" w14:textId="77777777" w:rsidR="0059645C" w:rsidRDefault="0059645C">
      <w:r>
        <w:separator/>
      </w:r>
    </w:p>
    <w:p w14:paraId="48D7C74A" w14:textId="77777777" w:rsidR="0059645C" w:rsidRDefault="0059645C"/>
  </w:endnote>
  <w:endnote w:type="continuationSeparator" w:id="0">
    <w:p w14:paraId="77108E0D" w14:textId="77777777" w:rsidR="0059645C" w:rsidRDefault="0059645C">
      <w:r>
        <w:continuationSeparator/>
      </w:r>
    </w:p>
    <w:p w14:paraId="51267F2F" w14:textId="77777777" w:rsidR="0059645C" w:rsidRDefault="0059645C"/>
  </w:endnote>
  <w:endnote w:type="continuationNotice" w:id="1">
    <w:p w14:paraId="4A41220A" w14:textId="77777777" w:rsidR="0059645C" w:rsidRDefault="00596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TimesNewRoman">
    <w:altName w:val="Yu Gothic"/>
    <w:panose1 w:val="00000000000000000000"/>
    <w:charset w:val="80"/>
    <w:family w:val="auto"/>
    <w:notTrueType/>
    <w:pitch w:val="default"/>
    <w:sig w:usb0="00000001" w:usb1="09070000" w:usb2="00000010" w:usb3="00000000" w:csb0="000A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3715"/>
      <w:docPartObj>
        <w:docPartGallery w:val="Page Numbers (Bottom of Page)"/>
        <w:docPartUnique/>
      </w:docPartObj>
    </w:sdtPr>
    <w:sdtEndPr>
      <w:rPr>
        <w:b/>
        <w:bCs/>
        <w:noProof/>
      </w:rPr>
    </w:sdtEndPr>
    <w:sdtContent>
      <w:p w14:paraId="4F48C976" w14:textId="77777777" w:rsidR="007E5513" w:rsidRDefault="007E5513">
        <w:pPr>
          <w:pStyle w:val="Footer"/>
          <w:jc w:val="center"/>
        </w:pPr>
      </w:p>
      <w:p w14:paraId="355827FE" w14:textId="6F8ECDB9" w:rsidR="009C26AA" w:rsidRPr="005830D9" w:rsidRDefault="007E5513" w:rsidP="005830D9">
        <w:pPr>
          <w:pStyle w:val="Footer"/>
          <w:jc w:val="center"/>
          <w:rPr>
            <w:b/>
            <w:bCs/>
          </w:rPr>
        </w:pPr>
        <w:r w:rsidRPr="005830D9">
          <w:rPr>
            <w:b/>
            <w:bCs/>
          </w:rPr>
          <w:fldChar w:fldCharType="begin"/>
        </w:r>
        <w:r w:rsidRPr="005830D9">
          <w:rPr>
            <w:b/>
            <w:bCs/>
          </w:rPr>
          <w:instrText xml:space="preserve"> PAGE   \* MERGEFORMAT </w:instrText>
        </w:r>
        <w:r w:rsidRPr="005830D9">
          <w:rPr>
            <w:b/>
            <w:bCs/>
          </w:rPr>
          <w:fldChar w:fldCharType="separate"/>
        </w:r>
        <w:r w:rsidRPr="005830D9">
          <w:rPr>
            <w:b/>
            <w:bCs/>
            <w:noProof/>
          </w:rPr>
          <w:t>2</w:t>
        </w:r>
        <w:r w:rsidRPr="005830D9">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362F" w14:textId="77777777" w:rsidR="0059645C" w:rsidRDefault="0059645C">
      <w:r>
        <w:separator/>
      </w:r>
    </w:p>
    <w:p w14:paraId="7F0E8E00" w14:textId="77777777" w:rsidR="0059645C" w:rsidRDefault="0059645C"/>
  </w:footnote>
  <w:footnote w:type="continuationSeparator" w:id="0">
    <w:p w14:paraId="4E2B5091" w14:textId="77777777" w:rsidR="0059645C" w:rsidRDefault="0059645C">
      <w:r>
        <w:continuationSeparator/>
      </w:r>
    </w:p>
    <w:p w14:paraId="6EBEB7FE" w14:textId="77777777" w:rsidR="0059645C" w:rsidRDefault="0059645C"/>
  </w:footnote>
  <w:footnote w:type="continuationNotice" w:id="1">
    <w:p w14:paraId="5AF8B83C" w14:textId="77777777" w:rsidR="0059645C" w:rsidRDefault="0059645C"/>
  </w:footnote>
  <w:footnote w:id="2">
    <w:p w14:paraId="6B86D52A" w14:textId="0E841C18" w:rsidR="00860A8E" w:rsidRDefault="00860A8E" w:rsidP="006B4320">
      <w:r>
        <w:rPr>
          <w:rStyle w:val="FootnoteReference"/>
        </w:rPr>
        <w:footnoteRef/>
      </w:r>
      <w:r>
        <w:t xml:space="preserve"> </w:t>
      </w:r>
      <w:r w:rsidRPr="006B4320">
        <w:rPr>
          <w:rFonts w:ascii="Arial Narrow" w:hAnsi="Arial Narrow"/>
          <w:sz w:val="18"/>
          <w:szCs w:val="18"/>
        </w:rPr>
        <w:t xml:space="preserve">Miehlke S, Lucendo AJ, Straumann A, </w:t>
      </w:r>
      <w:r>
        <w:rPr>
          <w:rFonts w:ascii="Arial Narrow" w:hAnsi="Arial Narrow"/>
          <w:sz w:val="18"/>
          <w:szCs w:val="18"/>
        </w:rPr>
        <w:t>et al</w:t>
      </w:r>
      <w:r w:rsidR="00ED1761">
        <w:rPr>
          <w:rFonts w:ascii="Arial Narrow" w:hAnsi="Arial Narrow"/>
          <w:sz w:val="18"/>
          <w:szCs w:val="18"/>
        </w:rPr>
        <w:t xml:space="preserve"> (2020)</w:t>
      </w:r>
      <w:r w:rsidRPr="006B4320">
        <w:rPr>
          <w:rFonts w:ascii="Arial Narrow" w:hAnsi="Arial Narrow"/>
          <w:sz w:val="18"/>
          <w:szCs w:val="18"/>
        </w:rPr>
        <w:t xml:space="preserve"> </w:t>
      </w:r>
      <w:r w:rsidR="00ED1761">
        <w:rPr>
          <w:rFonts w:ascii="Arial Narrow" w:hAnsi="Arial Narrow"/>
          <w:sz w:val="18"/>
          <w:szCs w:val="18"/>
        </w:rPr>
        <w:t>‘</w:t>
      </w:r>
      <w:r w:rsidRPr="006B4320">
        <w:rPr>
          <w:rFonts w:ascii="Arial Narrow" w:hAnsi="Arial Narrow"/>
          <w:sz w:val="18"/>
          <w:szCs w:val="18"/>
        </w:rPr>
        <w:t>Orodispersible budesonide tablets for the treatment of eosinophilic esophagitis: a review of the latest evidence</w:t>
      </w:r>
      <w:r w:rsidR="00ED1761">
        <w:rPr>
          <w:rFonts w:ascii="Arial Narrow" w:hAnsi="Arial Narrow"/>
          <w:sz w:val="18"/>
          <w:szCs w:val="18"/>
        </w:rPr>
        <w:t>’,</w:t>
      </w:r>
      <w:r w:rsidRPr="006B4320">
        <w:rPr>
          <w:rFonts w:ascii="Arial Narrow" w:hAnsi="Arial Narrow"/>
          <w:sz w:val="18"/>
          <w:szCs w:val="18"/>
        </w:rPr>
        <w:t xml:space="preserve"> </w:t>
      </w:r>
      <w:r w:rsidRPr="005830D9">
        <w:rPr>
          <w:rFonts w:ascii="Arial Narrow" w:hAnsi="Arial Narrow"/>
          <w:i/>
          <w:iCs/>
          <w:sz w:val="18"/>
          <w:szCs w:val="18"/>
        </w:rPr>
        <w:t>Therapeutic Advances in Gastroenterology</w:t>
      </w:r>
      <w:r w:rsidR="00ED1761">
        <w:rPr>
          <w:rFonts w:ascii="Arial Narrow" w:hAnsi="Arial Narrow"/>
          <w:sz w:val="18"/>
          <w:szCs w:val="18"/>
        </w:rPr>
        <w:t>, 13:175628482092782</w:t>
      </w:r>
      <w:r w:rsidR="0078404C">
        <w:rPr>
          <w:rFonts w:ascii="Arial Narrow" w:hAnsi="Arial Narrow"/>
          <w:sz w:val="18"/>
          <w:szCs w:val="18"/>
        </w:rPr>
        <w:t>,</w:t>
      </w:r>
      <w:r w:rsidRPr="006B4320">
        <w:rPr>
          <w:rFonts w:ascii="Arial Narrow" w:hAnsi="Arial Narrow"/>
          <w:sz w:val="18"/>
          <w:szCs w:val="18"/>
        </w:rPr>
        <w:t xml:space="preserve"> doi:10.1177/1756284820927282</w:t>
      </w:r>
    </w:p>
  </w:footnote>
  <w:footnote w:id="3">
    <w:p w14:paraId="3F20CB37" w14:textId="52FA17EF" w:rsidR="009C23EC" w:rsidRDefault="009C23EC">
      <w:pPr>
        <w:pStyle w:val="FootnoteText"/>
      </w:pPr>
      <w:r>
        <w:rPr>
          <w:rStyle w:val="FootnoteReference"/>
        </w:rPr>
        <w:footnoteRef/>
      </w:r>
      <w:r>
        <w:t xml:space="preserve"> </w:t>
      </w:r>
      <w:r w:rsidRPr="006B4320">
        <w:rPr>
          <w:rFonts w:ascii="Arial Narrow" w:hAnsi="Arial Narrow"/>
          <w:sz w:val="18"/>
          <w:szCs w:val="18"/>
        </w:rPr>
        <w:t>Economics Sub-Committee</w:t>
      </w:r>
    </w:p>
  </w:footnote>
  <w:footnote w:id="4">
    <w:p w14:paraId="0ED038BE" w14:textId="449B9685" w:rsidR="009C23EC" w:rsidRDefault="009C23EC">
      <w:pPr>
        <w:pStyle w:val="FootnoteText"/>
      </w:pPr>
      <w:r>
        <w:rPr>
          <w:rStyle w:val="FootnoteReference"/>
        </w:rPr>
        <w:footnoteRef/>
      </w:r>
      <w:r>
        <w:t xml:space="preserve"> </w:t>
      </w:r>
      <w:r w:rsidRPr="006B4320">
        <w:rPr>
          <w:rFonts w:ascii="Arial Narrow" w:hAnsi="Arial Narrow"/>
          <w:sz w:val="18"/>
          <w:szCs w:val="18"/>
        </w:rPr>
        <w:t>Therapeutic Goods Administration</w:t>
      </w:r>
    </w:p>
  </w:footnote>
  <w:footnote w:id="5">
    <w:p w14:paraId="4A04D088" w14:textId="7EF1EBC9" w:rsidR="000021D5" w:rsidRPr="006B4320" w:rsidRDefault="000021D5" w:rsidP="006B4320">
      <w:pPr>
        <w:rPr>
          <w:rFonts w:ascii="Arial Narrow" w:hAnsi="Arial Narrow"/>
          <w:sz w:val="18"/>
          <w:szCs w:val="18"/>
        </w:rPr>
      </w:pPr>
      <w:r w:rsidRPr="006B4320">
        <w:rPr>
          <w:rStyle w:val="FootnoteReference"/>
          <w:rFonts w:ascii="Arial Narrow" w:hAnsi="Arial Narrow"/>
          <w:sz w:val="18"/>
          <w:szCs w:val="18"/>
        </w:rPr>
        <w:footnoteRef/>
      </w:r>
      <w:r w:rsidRPr="006B4320">
        <w:rPr>
          <w:rFonts w:ascii="Arial Narrow" w:hAnsi="Arial Narrow"/>
          <w:sz w:val="18"/>
          <w:szCs w:val="18"/>
        </w:rPr>
        <w:t xml:space="preserve"> Lucendo AJ, Molina-Infante J, Arias Á,</w:t>
      </w:r>
      <w:r w:rsidR="00E35687">
        <w:rPr>
          <w:rFonts w:ascii="Arial Narrow" w:hAnsi="Arial Narrow"/>
          <w:sz w:val="18"/>
          <w:szCs w:val="18"/>
        </w:rPr>
        <w:t xml:space="preserve"> et al</w:t>
      </w:r>
      <w:r w:rsidR="0078404C">
        <w:rPr>
          <w:rFonts w:ascii="Arial Narrow" w:hAnsi="Arial Narrow"/>
          <w:sz w:val="18"/>
          <w:szCs w:val="18"/>
        </w:rPr>
        <w:t xml:space="preserve"> (2017)</w:t>
      </w:r>
      <w:r w:rsidRPr="006B4320">
        <w:rPr>
          <w:rFonts w:ascii="Arial Narrow" w:hAnsi="Arial Narrow"/>
          <w:sz w:val="18"/>
          <w:szCs w:val="18"/>
        </w:rPr>
        <w:t xml:space="preserve"> </w:t>
      </w:r>
      <w:r w:rsidR="0078404C">
        <w:rPr>
          <w:rFonts w:ascii="Arial Narrow" w:hAnsi="Arial Narrow"/>
          <w:sz w:val="18"/>
          <w:szCs w:val="18"/>
        </w:rPr>
        <w:t>‘</w:t>
      </w:r>
      <w:r w:rsidRPr="006B4320">
        <w:rPr>
          <w:rFonts w:ascii="Arial Narrow" w:hAnsi="Arial Narrow"/>
          <w:sz w:val="18"/>
          <w:szCs w:val="18"/>
        </w:rPr>
        <w:t>Guidelines on eosinophilic esophagitis: evidence-based statements and recommendations for diagnosis and management in children and adults</w:t>
      </w:r>
      <w:r w:rsidR="0078404C">
        <w:rPr>
          <w:rFonts w:ascii="Arial Narrow" w:hAnsi="Arial Narrow"/>
          <w:sz w:val="18"/>
          <w:szCs w:val="18"/>
        </w:rPr>
        <w:t>’,</w:t>
      </w:r>
      <w:r w:rsidRPr="006B4320">
        <w:rPr>
          <w:rFonts w:ascii="Arial Narrow" w:hAnsi="Arial Narrow"/>
          <w:sz w:val="18"/>
          <w:szCs w:val="18"/>
        </w:rPr>
        <w:t xml:space="preserve"> </w:t>
      </w:r>
      <w:r w:rsidRPr="005830D9">
        <w:rPr>
          <w:rFonts w:ascii="Arial Narrow" w:hAnsi="Arial Narrow"/>
          <w:i/>
          <w:iCs/>
          <w:sz w:val="18"/>
          <w:szCs w:val="18"/>
        </w:rPr>
        <w:t>United European gastroenterology journal</w:t>
      </w:r>
      <w:r w:rsidR="0078404C">
        <w:rPr>
          <w:rFonts w:ascii="Arial Narrow" w:hAnsi="Arial Narrow"/>
          <w:i/>
          <w:iCs/>
          <w:sz w:val="18"/>
          <w:szCs w:val="18"/>
        </w:rPr>
        <w:t>,</w:t>
      </w:r>
      <w:r w:rsidRPr="006B4320">
        <w:rPr>
          <w:rFonts w:ascii="Arial Narrow" w:hAnsi="Arial Narrow"/>
          <w:sz w:val="18"/>
          <w:szCs w:val="18"/>
        </w:rPr>
        <w:t xml:space="preserve"> 5(3):335-58</w:t>
      </w:r>
      <w:r w:rsidR="0078404C">
        <w:rPr>
          <w:rFonts w:ascii="Arial Narrow" w:hAnsi="Arial Narrow"/>
          <w:sz w:val="18"/>
          <w:szCs w:val="18"/>
        </w:rPr>
        <w:t xml:space="preserve">, </w:t>
      </w:r>
      <w:r w:rsidR="0078404C" w:rsidRPr="0078404C">
        <w:rPr>
          <w:rFonts w:ascii="Arial Narrow" w:hAnsi="Arial Narrow"/>
          <w:sz w:val="18"/>
          <w:szCs w:val="18"/>
        </w:rPr>
        <w:t>doi: 10.1177/2050640616689525.</w:t>
      </w:r>
    </w:p>
  </w:footnote>
  <w:footnote w:id="6">
    <w:p w14:paraId="4D62922D" w14:textId="3ED9B0E8" w:rsidR="000021D5" w:rsidRPr="006B4320" w:rsidRDefault="000021D5" w:rsidP="006B4320">
      <w:pPr>
        <w:rPr>
          <w:rFonts w:ascii="Arial Narrow" w:hAnsi="Arial Narrow"/>
          <w:sz w:val="18"/>
          <w:szCs w:val="18"/>
        </w:rPr>
      </w:pPr>
      <w:r w:rsidRPr="006B4320">
        <w:rPr>
          <w:rStyle w:val="FootnoteReference"/>
          <w:rFonts w:ascii="Arial Narrow" w:hAnsi="Arial Narrow"/>
          <w:sz w:val="18"/>
          <w:szCs w:val="18"/>
        </w:rPr>
        <w:footnoteRef/>
      </w:r>
      <w:r w:rsidRPr="006B4320">
        <w:rPr>
          <w:rFonts w:ascii="Arial Narrow" w:hAnsi="Arial Narrow"/>
          <w:sz w:val="18"/>
          <w:szCs w:val="18"/>
        </w:rPr>
        <w:t xml:space="preserve"> Straumann A, Katzka DA</w:t>
      </w:r>
      <w:r w:rsidR="00B56C7C">
        <w:rPr>
          <w:rFonts w:ascii="Arial Narrow" w:hAnsi="Arial Narrow"/>
          <w:sz w:val="18"/>
          <w:szCs w:val="18"/>
        </w:rPr>
        <w:t xml:space="preserve"> (2018)</w:t>
      </w:r>
      <w:r w:rsidRPr="006B4320">
        <w:rPr>
          <w:rFonts w:ascii="Arial Narrow" w:hAnsi="Arial Narrow"/>
          <w:sz w:val="18"/>
          <w:szCs w:val="18"/>
        </w:rPr>
        <w:t xml:space="preserve"> </w:t>
      </w:r>
      <w:r w:rsidR="00B56C7C">
        <w:rPr>
          <w:rFonts w:ascii="Arial Narrow" w:hAnsi="Arial Narrow"/>
          <w:sz w:val="18"/>
          <w:szCs w:val="18"/>
        </w:rPr>
        <w:t>‘</w:t>
      </w:r>
      <w:r w:rsidRPr="006B4320">
        <w:rPr>
          <w:rFonts w:ascii="Arial Narrow" w:hAnsi="Arial Narrow"/>
          <w:sz w:val="18"/>
          <w:szCs w:val="18"/>
        </w:rPr>
        <w:t>Diagnosis and Treatment of Eosinophilic Esophagitis</w:t>
      </w:r>
      <w:r w:rsidR="00B56C7C">
        <w:rPr>
          <w:rFonts w:ascii="Arial Narrow" w:hAnsi="Arial Narrow"/>
          <w:sz w:val="18"/>
          <w:szCs w:val="18"/>
        </w:rPr>
        <w:t>’,</w:t>
      </w:r>
      <w:r w:rsidRPr="006B4320">
        <w:rPr>
          <w:rFonts w:ascii="Arial Narrow" w:hAnsi="Arial Narrow"/>
          <w:sz w:val="18"/>
          <w:szCs w:val="18"/>
        </w:rPr>
        <w:t xml:space="preserve"> </w:t>
      </w:r>
      <w:r w:rsidRPr="005830D9">
        <w:rPr>
          <w:rFonts w:ascii="Arial Narrow" w:hAnsi="Arial Narrow"/>
          <w:i/>
          <w:iCs/>
          <w:sz w:val="18"/>
          <w:szCs w:val="18"/>
        </w:rPr>
        <w:t>Gastroenterology</w:t>
      </w:r>
      <w:r w:rsidR="00B56C7C">
        <w:rPr>
          <w:rFonts w:ascii="Arial Narrow" w:hAnsi="Arial Narrow"/>
          <w:sz w:val="18"/>
          <w:szCs w:val="18"/>
        </w:rPr>
        <w:t>,</w:t>
      </w:r>
      <w:r w:rsidRPr="006B4320">
        <w:rPr>
          <w:rFonts w:ascii="Arial Narrow" w:hAnsi="Arial Narrow"/>
          <w:sz w:val="18"/>
          <w:szCs w:val="18"/>
        </w:rPr>
        <w:t xml:space="preserve"> 154</w:t>
      </w:r>
      <w:r w:rsidR="00B56C7C">
        <w:rPr>
          <w:rFonts w:ascii="Arial Narrow" w:hAnsi="Arial Narrow"/>
          <w:sz w:val="18"/>
          <w:szCs w:val="18"/>
        </w:rPr>
        <w:t>(2)</w:t>
      </w:r>
      <w:r w:rsidRPr="006B4320">
        <w:rPr>
          <w:rFonts w:ascii="Arial Narrow" w:hAnsi="Arial Narrow"/>
          <w:sz w:val="18"/>
          <w:szCs w:val="18"/>
        </w:rPr>
        <w:t>:346-359</w:t>
      </w:r>
      <w:r w:rsidR="00B56C7C">
        <w:rPr>
          <w:rFonts w:ascii="Arial Narrow" w:hAnsi="Arial Narrow"/>
          <w:sz w:val="18"/>
          <w:szCs w:val="18"/>
        </w:rPr>
        <w:t xml:space="preserve">, </w:t>
      </w:r>
      <w:r w:rsidR="00B56C7C" w:rsidRPr="00B56C7C">
        <w:rPr>
          <w:rFonts w:ascii="Arial Narrow" w:hAnsi="Arial Narrow"/>
          <w:sz w:val="18"/>
          <w:szCs w:val="18"/>
        </w:rPr>
        <w:t>doi: 10.1053/j.gastro.2017.05.066.</w:t>
      </w:r>
    </w:p>
  </w:footnote>
  <w:footnote w:id="7">
    <w:p w14:paraId="4FFAB873" w14:textId="2627AF5F" w:rsidR="00E35687" w:rsidRPr="006B4320" w:rsidRDefault="00E35687" w:rsidP="006B4320">
      <w:pPr>
        <w:rPr>
          <w:rFonts w:ascii="Arial Narrow" w:hAnsi="Arial Narrow"/>
          <w:sz w:val="18"/>
          <w:szCs w:val="18"/>
        </w:rPr>
      </w:pPr>
      <w:r w:rsidRPr="006B4320">
        <w:rPr>
          <w:rStyle w:val="FootnoteReference"/>
          <w:rFonts w:ascii="Arial Narrow" w:hAnsi="Arial Narrow"/>
          <w:sz w:val="18"/>
          <w:szCs w:val="18"/>
        </w:rPr>
        <w:footnoteRef/>
      </w:r>
      <w:r w:rsidRPr="006B4320">
        <w:rPr>
          <w:rFonts w:ascii="Arial Narrow" w:hAnsi="Arial Narrow"/>
          <w:sz w:val="18"/>
          <w:szCs w:val="18"/>
        </w:rPr>
        <w:t xml:space="preserve"> Dellon ES, Liacouras CA, Molina-Infante J, et al</w:t>
      </w:r>
      <w:r w:rsidR="00B56C7C">
        <w:rPr>
          <w:rFonts w:ascii="Arial Narrow" w:hAnsi="Arial Narrow"/>
          <w:sz w:val="18"/>
          <w:szCs w:val="18"/>
        </w:rPr>
        <w:t xml:space="preserve"> (2018)</w:t>
      </w:r>
      <w:r w:rsidRPr="006B4320">
        <w:rPr>
          <w:rFonts w:ascii="Arial Narrow" w:hAnsi="Arial Narrow"/>
          <w:sz w:val="18"/>
          <w:szCs w:val="18"/>
        </w:rPr>
        <w:t xml:space="preserve"> </w:t>
      </w:r>
      <w:r w:rsidR="00B56C7C">
        <w:rPr>
          <w:rFonts w:ascii="Arial Narrow" w:hAnsi="Arial Narrow"/>
          <w:sz w:val="18"/>
          <w:szCs w:val="18"/>
        </w:rPr>
        <w:t>‘</w:t>
      </w:r>
      <w:r w:rsidRPr="006B4320">
        <w:rPr>
          <w:rFonts w:ascii="Arial Narrow" w:hAnsi="Arial Narrow"/>
          <w:sz w:val="18"/>
          <w:szCs w:val="18"/>
        </w:rPr>
        <w:t>Updated International Consensus Diagnostic Criteria for Eosinophilic Esophagitis: Proceedings of the AGREE Conference</w:t>
      </w:r>
      <w:r w:rsidR="00B56C7C">
        <w:rPr>
          <w:rFonts w:ascii="Arial Narrow" w:hAnsi="Arial Narrow"/>
          <w:sz w:val="18"/>
          <w:szCs w:val="18"/>
        </w:rPr>
        <w:t>’,</w:t>
      </w:r>
      <w:r w:rsidRPr="006B4320">
        <w:rPr>
          <w:rFonts w:ascii="Arial Narrow" w:hAnsi="Arial Narrow"/>
          <w:sz w:val="18"/>
          <w:szCs w:val="18"/>
        </w:rPr>
        <w:t xml:space="preserve"> </w:t>
      </w:r>
      <w:r w:rsidRPr="005830D9">
        <w:rPr>
          <w:rFonts w:ascii="Arial Narrow" w:hAnsi="Arial Narrow"/>
          <w:i/>
          <w:iCs/>
          <w:sz w:val="18"/>
          <w:szCs w:val="18"/>
        </w:rPr>
        <w:t>Gastroenterology</w:t>
      </w:r>
      <w:r w:rsidR="00B56C7C">
        <w:rPr>
          <w:rFonts w:ascii="Arial Narrow" w:hAnsi="Arial Narrow"/>
          <w:i/>
          <w:iCs/>
          <w:sz w:val="18"/>
          <w:szCs w:val="18"/>
        </w:rPr>
        <w:t>,</w:t>
      </w:r>
      <w:r w:rsidRPr="006B4320">
        <w:rPr>
          <w:rFonts w:ascii="Arial Narrow" w:hAnsi="Arial Narrow"/>
          <w:sz w:val="18"/>
          <w:szCs w:val="18"/>
        </w:rPr>
        <w:t xml:space="preserve"> 155(4):1022-1033.e10</w:t>
      </w:r>
      <w:r w:rsidR="00B56C7C">
        <w:rPr>
          <w:rFonts w:ascii="Arial Narrow" w:hAnsi="Arial Narrow"/>
          <w:sz w:val="18"/>
          <w:szCs w:val="18"/>
        </w:rPr>
        <w:t xml:space="preserve">, </w:t>
      </w:r>
      <w:r w:rsidR="00B56C7C" w:rsidRPr="00B56C7C">
        <w:rPr>
          <w:rFonts w:ascii="Arial Narrow" w:hAnsi="Arial Narrow"/>
          <w:sz w:val="18"/>
          <w:szCs w:val="18"/>
        </w:rPr>
        <w:t>doi: 10.1053/j.gastro.2018.07.009.</w:t>
      </w:r>
    </w:p>
  </w:footnote>
  <w:footnote w:id="8">
    <w:p w14:paraId="3482930E" w14:textId="1EDC1A2F" w:rsidR="00E35687" w:rsidRPr="00A849D1" w:rsidRDefault="00E35687" w:rsidP="00E35687">
      <w:r w:rsidRPr="006B4320">
        <w:rPr>
          <w:rStyle w:val="FootnoteReference"/>
          <w:rFonts w:ascii="Arial Narrow" w:hAnsi="Arial Narrow"/>
          <w:sz w:val="18"/>
          <w:szCs w:val="18"/>
        </w:rPr>
        <w:footnoteRef/>
      </w:r>
      <w:r w:rsidRPr="006B4320">
        <w:rPr>
          <w:rFonts w:ascii="Arial Narrow" w:hAnsi="Arial Narrow"/>
          <w:sz w:val="18"/>
          <w:szCs w:val="18"/>
        </w:rPr>
        <w:t xml:space="preserve"> Dhar A, Haboubi HN, Attwood SE, </w:t>
      </w:r>
      <w:r>
        <w:rPr>
          <w:rFonts w:ascii="Arial Narrow" w:hAnsi="Arial Narrow"/>
          <w:sz w:val="18"/>
          <w:szCs w:val="18"/>
        </w:rPr>
        <w:t>et al</w:t>
      </w:r>
      <w:r w:rsidR="00B56C7C">
        <w:rPr>
          <w:rFonts w:ascii="Arial Narrow" w:hAnsi="Arial Narrow"/>
          <w:sz w:val="18"/>
          <w:szCs w:val="18"/>
        </w:rPr>
        <w:t xml:space="preserve"> (2022)</w:t>
      </w:r>
      <w:r w:rsidRPr="006B4320">
        <w:rPr>
          <w:rFonts w:ascii="Arial Narrow" w:hAnsi="Arial Narrow"/>
          <w:sz w:val="18"/>
          <w:szCs w:val="18"/>
        </w:rPr>
        <w:t xml:space="preserve"> </w:t>
      </w:r>
      <w:r w:rsidR="00B56C7C">
        <w:rPr>
          <w:rFonts w:ascii="Arial Narrow" w:hAnsi="Arial Narrow"/>
          <w:sz w:val="18"/>
          <w:szCs w:val="18"/>
        </w:rPr>
        <w:t>‘</w:t>
      </w:r>
      <w:r w:rsidRPr="006B4320">
        <w:rPr>
          <w:rFonts w:ascii="Arial Narrow" w:hAnsi="Arial Narrow"/>
          <w:sz w:val="18"/>
          <w:szCs w:val="18"/>
        </w:rPr>
        <w:t>British Society of Gastroenterology (BSG) and British Society of Paediatric Gastroenterology, Hepatology and Nutrition (BSPGHAN) joint consensus guidelines on the diagnosis and management of eosinophilic oesophagitis in children and adults</w:t>
      </w:r>
      <w:r w:rsidR="00B56C7C">
        <w:rPr>
          <w:rFonts w:ascii="Arial Narrow" w:hAnsi="Arial Narrow"/>
          <w:sz w:val="18"/>
          <w:szCs w:val="18"/>
        </w:rPr>
        <w:t>’,</w:t>
      </w:r>
      <w:r w:rsidRPr="006B4320">
        <w:rPr>
          <w:rFonts w:ascii="Arial Narrow" w:hAnsi="Arial Narrow"/>
          <w:sz w:val="18"/>
          <w:szCs w:val="18"/>
        </w:rPr>
        <w:t xml:space="preserve"> </w:t>
      </w:r>
      <w:r w:rsidRPr="005830D9">
        <w:rPr>
          <w:rFonts w:ascii="Arial Narrow" w:hAnsi="Arial Narrow"/>
          <w:i/>
          <w:iCs/>
          <w:sz w:val="18"/>
          <w:szCs w:val="18"/>
        </w:rPr>
        <w:t>Gut</w:t>
      </w:r>
      <w:r w:rsidR="00B56C7C">
        <w:rPr>
          <w:rFonts w:ascii="Arial Narrow" w:hAnsi="Arial Narrow"/>
          <w:sz w:val="18"/>
          <w:szCs w:val="18"/>
        </w:rPr>
        <w:t>,</w:t>
      </w:r>
      <w:r w:rsidRPr="006B4320">
        <w:rPr>
          <w:rFonts w:ascii="Arial Narrow" w:hAnsi="Arial Narrow"/>
          <w:sz w:val="18"/>
          <w:szCs w:val="18"/>
        </w:rPr>
        <w:t xml:space="preserve"> 71(8):1459-1487</w:t>
      </w:r>
      <w:r w:rsidR="00B56C7C">
        <w:rPr>
          <w:rFonts w:ascii="Arial Narrow" w:hAnsi="Arial Narrow"/>
          <w:sz w:val="18"/>
          <w:szCs w:val="18"/>
        </w:rPr>
        <w:t xml:space="preserve">, </w:t>
      </w:r>
      <w:r w:rsidR="00B56C7C" w:rsidRPr="00B56C7C">
        <w:rPr>
          <w:rFonts w:ascii="Arial Narrow" w:hAnsi="Arial Narrow"/>
          <w:sz w:val="18"/>
          <w:szCs w:val="18"/>
        </w:rPr>
        <w:t>doi: 10.1136/gutjnl-2022-327326.</w:t>
      </w:r>
    </w:p>
    <w:p w14:paraId="3C0C5EC2" w14:textId="10504BFE" w:rsidR="00E35687" w:rsidRDefault="00E3568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B663" w14:textId="3FAEC32C" w:rsidR="00C666C3" w:rsidRPr="00A861E6" w:rsidRDefault="00696EC0" w:rsidP="00C666C3">
    <w:pPr>
      <w:keepNext/>
      <w:tabs>
        <w:tab w:val="center" w:pos="4513"/>
        <w:tab w:val="right" w:pos="9026"/>
      </w:tabs>
      <w:jc w:val="center"/>
      <w:rPr>
        <w:rFonts w:asciiTheme="minorHAnsi" w:eastAsiaTheme="minorEastAsia" w:hAnsiTheme="minorHAnsi" w:cstheme="minorHAnsi"/>
        <w:i/>
      </w:rPr>
    </w:pPr>
    <w:r w:rsidRPr="00A861E6">
      <w:rPr>
        <w:rFonts w:asciiTheme="minorHAnsi" w:eastAsiaTheme="minorEastAsia" w:hAnsiTheme="minorHAnsi" w:cstheme="minorHAnsi"/>
        <w:i/>
      </w:rPr>
      <w:t>Public Summary Document</w:t>
    </w:r>
    <w:r w:rsidR="007E5513" w:rsidRPr="00A861E6">
      <w:rPr>
        <w:rFonts w:asciiTheme="minorHAnsi" w:eastAsiaTheme="minorEastAsia" w:hAnsiTheme="minorHAnsi" w:cstheme="minorHAnsi"/>
        <w:i/>
      </w:rPr>
      <w:t xml:space="preserve"> – </w:t>
    </w:r>
    <w:r w:rsidR="00C666C3" w:rsidRPr="00A861E6">
      <w:rPr>
        <w:rFonts w:asciiTheme="minorHAnsi" w:eastAsiaTheme="minorEastAsia" w:hAnsiTheme="minorHAnsi" w:cstheme="minorHAnsi"/>
        <w:i/>
      </w:rPr>
      <w:t>Marc</w:t>
    </w:r>
    <w:r w:rsidR="00052483" w:rsidRPr="00A861E6">
      <w:rPr>
        <w:rFonts w:asciiTheme="minorHAnsi" w:eastAsiaTheme="minorEastAsia" w:hAnsiTheme="minorHAnsi" w:cstheme="minorHAnsi"/>
        <w:i/>
      </w:rPr>
      <w:t>h</w:t>
    </w:r>
    <w:r w:rsidR="00C666C3" w:rsidRPr="00A861E6">
      <w:rPr>
        <w:rFonts w:asciiTheme="minorHAnsi" w:eastAsiaTheme="minorEastAsia" w:hAnsiTheme="minorHAnsi" w:cstheme="minorHAnsi"/>
        <w:i/>
      </w:rPr>
      <w:t xml:space="preserve"> 2023 PBAC Meeting</w:t>
    </w:r>
    <w:r w:rsidR="005F3049" w:rsidRPr="00A861E6">
      <w:rPr>
        <w:rFonts w:asciiTheme="minorHAnsi" w:eastAsiaTheme="minorEastAsia" w:hAnsiTheme="minorHAnsi" w:cstheme="minorHAnsi"/>
        <w:i/>
      </w:rPr>
      <w:t xml:space="preserve"> with July 2023 Addendum</w:t>
    </w:r>
  </w:p>
  <w:p w14:paraId="49E1B9F5" w14:textId="77777777" w:rsidR="009C26AA" w:rsidRPr="005830D9" w:rsidRDefault="009C26AA" w:rsidP="00A128E6">
    <w:pPr>
      <w:pStyle w:val="NoSpacing"/>
      <w:rPr>
        <w:rFonts w:asciiTheme="minorHAnsi" w:hAnsiTheme="minorHAnsi" w:cstheme="minorHAns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0E84" w14:textId="77777777" w:rsidR="00A861E6" w:rsidRDefault="00A86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DA418E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2"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3"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5" w15:restartNumberingAfterBreak="0">
    <w:nsid w:val="07B72279"/>
    <w:multiLevelType w:val="hybridMultilevel"/>
    <w:tmpl w:val="64D22F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F6C4E"/>
    <w:multiLevelType w:val="hybridMultilevel"/>
    <w:tmpl w:val="0CAC74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852C48"/>
    <w:multiLevelType w:val="hybridMultilevel"/>
    <w:tmpl w:val="0DEA3D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890E9A"/>
    <w:multiLevelType w:val="hybridMultilevel"/>
    <w:tmpl w:val="7F4E55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0450117"/>
    <w:multiLevelType w:val="hybridMultilevel"/>
    <w:tmpl w:val="E6DE7E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0B67E46"/>
    <w:multiLevelType w:val="hybridMultilevel"/>
    <w:tmpl w:val="3D2656D0"/>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9" w15:restartNumberingAfterBreak="0">
    <w:nsid w:val="355A7B97"/>
    <w:multiLevelType w:val="hybridMultilevel"/>
    <w:tmpl w:val="54D605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6244933"/>
    <w:multiLevelType w:val="hybridMultilevel"/>
    <w:tmpl w:val="D6C62BD2"/>
    <w:lvl w:ilvl="0" w:tplc="99E2153C">
      <w:start w:val="1"/>
      <w:numFmt w:val="upperLetter"/>
      <w:lvlText w:val="%1."/>
      <w:lvlJc w:val="left"/>
      <w:pPr>
        <w:ind w:left="720" w:hanging="360"/>
      </w:pPr>
      <w:rPr>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1"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2" w15:restartNumberingAfterBreak="0">
    <w:nsid w:val="3F881777"/>
    <w:multiLevelType w:val="hybridMultilevel"/>
    <w:tmpl w:val="E67A58B2"/>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3" w15:restartNumberingAfterBreak="0">
    <w:nsid w:val="47B76FE2"/>
    <w:multiLevelType w:val="multilevel"/>
    <w:tmpl w:val="0C32239A"/>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5B115D"/>
    <w:multiLevelType w:val="hybridMultilevel"/>
    <w:tmpl w:val="9146A8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04E74AD"/>
    <w:multiLevelType w:val="hybridMultilevel"/>
    <w:tmpl w:val="DE9EFB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A174041"/>
    <w:multiLevelType w:val="hybridMultilevel"/>
    <w:tmpl w:val="4B288F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A9F31E4"/>
    <w:multiLevelType w:val="hybridMultilevel"/>
    <w:tmpl w:val="7EDC2600"/>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EC02A8"/>
    <w:multiLevelType w:val="hybridMultilevel"/>
    <w:tmpl w:val="C526CE10"/>
    <w:lvl w:ilvl="0" w:tplc="B36E259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2" w15:restartNumberingAfterBreak="0">
    <w:nsid w:val="784D033C"/>
    <w:multiLevelType w:val="multilevel"/>
    <w:tmpl w:val="91D4D6FA"/>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BBB7FF1"/>
    <w:multiLevelType w:val="hybridMultilevel"/>
    <w:tmpl w:val="DC0AE8C2"/>
    <w:lvl w:ilvl="0" w:tplc="1DB06ED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0022750">
    <w:abstractNumId w:val="20"/>
  </w:num>
  <w:num w:numId="2" w16cid:durableId="1702780593">
    <w:abstractNumId w:val="42"/>
  </w:num>
  <w:num w:numId="3" w16cid:durableId="943877399">
    <w:abstractNumId w:val="1"/>
  </w:num>
  <w:num w:numId="4" w16cid:durableId="271401367">
    <w:abstractNumId w:val="32"/>
  </w:num>
  <w:num w:numId="5" w16cid:durableId="1070032606">
    <w:abstractNumId w:val="44"/>
  </w:num>
  <w:num w:numId="6" w16cid:durableId="1152216130">
    <w:abstractNumId w:val="40"/>
  </w:num>
  <w:num w:numId="7" w16cid:durableId="198932553">
    <w:abstractNumId w:val="25"/>
  </w:num>
  <w:num w:numId="8" w16cid:durableId="1126922724">
    <w:abstractNumId w:val="21"/>
  </w:num>
  <w:num w:numId="9" w16cid:durableId="518812947">
    <w:abstractNumId w:val="2"/>
  </w:num>
  <w:num w:numId="10" w16cid:durableId="1063992664">
    <w:abstractNumId w:val="42"/>
  </w:num>
  <w:num w:numId="11" w16cid:durableId="1012680269">
    <w:abstractNumId w:val="36"/>
  </w:num>
  <w:num w:numId="12" w16cid:durableId="1659382918">
    <w:abstractNumId w:val="41"/>
  </w:num>
  <w:num w:numId="13" w16cid:durableId="930161488">
    <w:abstractNumId w:val="16"/>
  </w:num>
  <w:num w:numId="14" w16cid:durableId="1464613264">
    <w:abstractNumId w:val="10"/>
  </w:num>
  <w:num w:numId="15" w16cid:durableId="1666320606">
    <w:abstractNumId w:val="34"/>
  </w:num>
  <w:num w:numId="16" w16cid:durableId="409355749">
    <w:abstractNumId w:val="4"/>
  </w:num>
  <w:num w:numId="17" w16cid:durableId="13230415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0764680">
    <w:abstractNumId w:val="43"/>
  </w:num>
  <w:num w:numId="19" w16cid:durableId="1025523926">
    <w:abstractNumId w:val="31"/>
  </w:num>
  <w:num w:numId="20" w16cid:durableId="1980575960">
    <w:abstractNumId w:val="8"/>
  </w:num>
  <w:num w:numId="21" w16cid:durableId="360322320">
    <w:abstractNumId w:val="7"/>
  </w:num>
  <w:num w:numId="22" w16cid:durableId="1143811340">
    <w:abstractNumId w:val="24"/>
  </w:num>
  <w:num w:numId="23" w16cid:durableId="1592812395">
    <w:abstractNumId w:val="22"/>
  </w:num>
  <w:num w:numId="24" w16cid:durableId="62535313">
    <w:abstractNumId w:val="42"/>
  </w:num>
  <w:num w:numId="25" w16cid:durableId="610016789">
    <w:abstractNumId w:val="42"/>
  </w:num>
  <w:num w:numId="26" w16cid:durableId="183401493">
    <w:abstractNumId w:val="0"/>
  </w:num>
  <w:num w:numId="27" w16cid:durableId="328600857">
    <w:abstractNumId w:val="9"/>
  </w:num>
  <w:num w:numId="28" w16cid:durableId="907960008">
    <w:abstractNumId w:val="18"/>
  </w:num>
  <w:num w:numId="29" w16cid:durableId="645400092">
    <w:abstractNumId w:val="37"/>
  </w:num>
  <w:num w:numId="30" w16cid:durableId="1484157948">
    <w:abstractNumId w:val="19"/>
  </w:num>
  <w:num w:numId="31" w16cid:durableId="541984318">
    <w:abstractNumId w:val="38"/>
  </w:num>
  <w:num w:numId="32" w16cid:durableId="1741176155">
    <w:abstractNumId w:val="17"/>
  </w:num>
  <w:num w:numId="33" w16cid:durableId="577401570">
    <w:abstractNumId w:val="26"/>
  </w:num>
  <w:num w:numId="34" w16cid:durableId="1116145033">
    <w:abstractNumId w:val="13"/>
  </w:num>
  <w:num w:numId="35" w16cid:durableId="1489053711">
    <w:abstractNumId w:val="27"/>
  </w:num>
  <w:num w:numId="36" w16cid:durableId="1120877905">
    <w:abstractNumId w:val="15"/>
  </w:num>
  <w:num w:numId="37" w16cid:durableId="1304580275">
    <w:abstractNumId w:val="29"/>
  </w:num>
  <w:num w:numId="38" w16cid:durableId="1838157298">
    <w:abstractNumId w:val="6"/>
  </w:num>
  <w:num w:numId="39" w16cid:durableId="797189749">
    <w:abstractNumId w:val="3"/>
  </w:num>
  <w:num w:numId="40" w16cid:durableId="502935488">
    <w:abstractNumId w:val="12"/>
  </w:num>
  <w:num w:numId="41" w16cid:durableId="1332832896">
    <w:abstractNumId w:val="14"/>
  </w:num>
  <w:num w:numId="42" w16cid:durableId="1893272678">
    <w:abstractNumId w:val="11"/>
  </w:num>
  <w:num w:numId="43" w16cid:durableId="33700328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435863">
    <w:abstractNumId w:val="39"/>
  </w:num>
  <w:num w:numId="45" w16cid:durableId="1107191784">
    <w:abstractNumId w:val="42"/>
  </w:num>
  <w:num w:numId="46" w16cid:durableId="1290746423">
    <w:abstractNumId w:val="42"/>
  </w:num>
  <w:num w:numId="47" w16cid:durableId="2098744676">
    <w:abstractNumId w:val="30"/>
  </w:num>
  <w:num w:numId="48" w16cid:durableId="887764642">
    <w:abstractNumId w:val="23"/>
  </w:num>
  <w:num w:numId="49" w16cid:durableId="412243850">
    <w:abstractNumId w:val="28"/>
  </w:num>
  <w:num w:numId="50" w16cid:durableId="24603967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72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1D5"/>
    <w:rsid w:val="000025AD"/>
    <w:rsid w:val="0000335D"/>
    <w:rsid w:val="00006782"/>
    <w:rsid w:val="00007089"/>
    <w:rsid w:val="0001179A"/>
    <w:rsid w:val="00011A59"/>
    <w:rsid w:val="000126FC"/>
    <w:rsid w:val="00012B72"/>
    <w:rsid w:val="00013D83"/>
    <w:rsid w:val="00014D69"/>
    <w:rsid w:val="00016A41"/>
    <w:rsid w:val="00020E09"/>
    <w:rsid w:val="000214D1"/>
    <w:rsid w:val="00021F20"/>
    <w:rsid w:val="0002464A"/>
    <w:rsid w:val="00025A04"/>
    <w:rsid w:val="0002693D"/>
    <w:rsid w:val="0003050E"/>
    <w:rsid w:val="0003106B"/>
    <w:rsid w:val="00032AB9"/>
    <w:rsid w:val="000335B9"/>
    <w:rsid w:val="00034905"/>
    <w:rsid w:val="000361E4"/>
    <w:rsid w:val="00040A30"/>
    <w:rsid w:val="000421A1"/>
    <w:rsid w:val="0004240E"/>
    <w:rsid w:val="00043924"/>
    <w:rsid w:val="00044EC4"/>
    <w:rsid w:val="00045E26"/>
    <w:rsid w:val="00046903"/>
    <w:rsid w:val="00051213"/>
    <w:rsid w:val="000514B5"/>
    <w:rsid w:val="000523DC"/>
    <w:rsid w:val="00052483"/>
    <w:rsid w:val="0005322E"/>
    <w:rsid w:val="00054E2B"/>
    <w:rsid w:val="00057600"/>
    <w:rsid w:val="00060E64"/>
    <w:rsid w:val="000621AB"/>
    <w:rsid w:val="00062E88"/>
    <w:rsid w:val="00066193"/>
    <w:rsid w:val="00066755"/>
    <w:rsid w:val="00071A5B"/>
    <w:rsid w:val="00072730"/>
    <w:rsid w:val="0007337F"/>
    <w:rsid w:val="00074320"/>
    <w:rsid w:val="000763D5"/>
    <w:rsid w:val="00076C38"/>
    <w:rsid w:val="00077143"/>
    <w:rsid w:val="00077DF7"/>
    <w:rsid w:val="000803B2"/>
    <w:rsid w:val="0008050C"/>
    <w:rsid w:val="00082169"/>
    <w:rsid w:val="000834BE"/>
    <w:rsid w:val="00083F01"/>
    <w:rsid w:val="00087C4C"/>
    <w:rsid w:val="00087D3A"/>
    <w:rsid w:val="000918CB"/>
    <w:rsid w:val="00091B06"/>
    <w:rsid w:val="00094D56"/>
    <w:rsid w:val="000951C4"/>
    <w:rsid w:val="00095ADA"/>
    <w:rsid w:val="00095F3A"/>
    <w:rsid w:val="000969AD"/>
    <w:rsid w:val="000975FB"/>
    <w:rsid w:val="000A02F8"/>
    <w:rsid w:val="000A3AA2"/>
    <w:rsid w:val="000A42EF"/>
    <w:rsid w:val="000A44B2"/>
    <w:rsid w:val="000A52F6"/>
    <w:rsid w:val="000A58B8"/>
    <w:rsid w:val="000A69DF"/>
    <w:rsid w:val="000B05B5"/>
    <w:rsid w:val="000B1CD2"/>
    <w:rsid w:val="000B44C3"/>
    <w:rsid w:val="000B558D"/>
    <w:rsid w:val="000B5A89"/>
    <w:rsid w:val="000B5B80"/>
    <w:rsid w:val="000B65F6"/>
    <w:rsid w:val="000B7767"/>
    <w:rsid w:val="000C016C"/>
    <w:rsid w:val="000C1AFF"/>
    <w:rsid w:val="000C24B7"/>
    <w:rsid w:val="000C5F95"/>
    <w:rsid w:val="000C6996"/>
    <w:rsid w:val="000C7C46"/>
    <w:rsid w:val="000D09E9"/>
    <w:rsid w:val="000D0E73"/>
    <w:rsid w:val="000D113F"/>
    <w:rsid w:val="000D1674"/>
    <w:rsid w:val="000D23BA"/>
    <w:rsid w:val="000D6998"/>
    <w:rsid w:val="000D768D"/>
    <w:rsid w:val="000E19B7"/>
    <w:rsid w:val="000E20FC"/>
    <w:rsid w:val="000E26BF"/>
    <w:rsid w:val="000E3DFB"/>
    <w:rsid w:val="000E5357"/>
    <w:rsid w:val="000E5948"/>
    <w:rsid w:val="000E5EA1"/>
    <w:rsid w:val="000E60C1"/>
    <w:rsid w:val="000E681E"/>
    <w:rsid w:val="000E696B"/>
    <w:rsid w:val="000E7E52"/>
    <w:rsid w:val="000E7E90"/>
    <w:rsid w:val="000EE1C7"/>
    <w:rsid w:val="000F0003"/>
    <w:rsid w:val="000F3384"/>
    <w:rsid w:val="000F4E6A"/>
    <w:rsid w:val="000F6921"/>
    <w:rsid w:val="000F6ABB"/>
    <w:rsid w:val="000F7354"/>
    <w:rsid w:val="000F7C27"/>
    <w:rsid w:val="00101ABE"/>
    <w:rsid w:val="00102202"/>
    <w:rsid w:val="00102700"/>
    <w:rsid w:val="00102A78"/>
    <w:rsid w:val="00102C19"/>
    <w:rsid w:val="00103118"/>
    <w:rsid w:val="001036D9"/>
    <w:rsid w:val="00103F1B"/>
    <w:rsid w:val="00104227"/>
    <w:rsid w:val="001053D5"/>
    <w:rsid w:val="00107503"/>
    <w:rsid w:val="001107BF"/>
    <w:rsid w:val="00113649"/>
    <w:rsid w:val="00113D5C"/>
    <w:rsid w:val="0011546F"/>
    <w:rsid w:val="00116B03"/>
    <w:rsid w:val="00116BC9"/>
    <w:rsid w:val="00120AA6"/>
    <w:rsid w:val="0012134C"/>
    <w:rsid w:val="001239DB"/>
    <w:rsid w:val="0012417C"/>
    <w:rsid w:val="00124BF2"/>
    <w:rsid w:val="00125837"/>
    <w:rsid w:val="0012597F"/>
    <w:rsid w:val="00126B19"/>
    <w:rsid w:val="00126D3A"/>
    <w:rsid w:val="0012749D"/>
    <w:rsid w:val="0012775B"/>
    <w:rsid w:val="00127A23"/>
    <w:rsid w:val="001306A5"/>
    <w:rsid w:val="00130918"/>
    <w:rsid w:val="001311AE"/>
    <w:rsid w:val="001325E1"/>
    <w:rsid w:val="001366C2"/>
    <w:rsid w:val="00136C17"/>
    <w:rsid w:val="00140B74"/>
    <w:rsid w:val="00140D94"/>
    <w:rsid w:val="00142395"/>
    <w:rsid w:val="00142714"/>
    <w:rsid w:val="00144D09"/>
    <w:rsid w:val="001452ED"/>
    <w:rsid w:val="001472A9"/>
    <w:rsid w:val="00147D84"/>
    <w:rsid w:val="00151CBD"/>
    <w:rsid w:val="001533C3"/>
    <w:rsid w:val="001549C1"/>
    <w:rsid w:val="00156C8D"/>
    <w:rsid w:val="001579BE"/>
    <w:rsid w:val="00160198"/>
    <w:rsid w:val="00160F4D"/>
    <w:rsid w:val="00160F7E"/>
    <w:rsid w:val="00162BDD"/>
    <w:rsid w:val="00162D4E"/>
    <w:rsid w:val="00162DFC"/>
    <w:rsid w:val="00163329"/>
    <w:rsid w:val="00164623"/>
    <w:rsid w:val="001652DE"/>
    <w:rsid w:val="001653EC"/>
    <w:rsid w:val="001654F9"/>
    <w:rsid w:val="00165B64"/>
    <w:rsid w:val="00167C39"/>
    <w:rsid w:val="00172BD0"/>
    <w:rsid w:val="00173437"/>
    <w:rsid w:val="001738E6"/>
    <w:rsid w:val="00174253"/>
    <w:rsid w:val="001753B2"/>
    <w:rsid w:val="00176B9D"/>
    <w:rsid w:val="0017739C"/>
    <w:rsid w:val="0018044E"/>
    <w:rsid w:val="00180713"/>
    <w:rsid w:val="00180720"/>
    <w:rsid w:val="001830CE"/>
    <w:rsid w:val="001836E3"/>
    <w:rsid w:val="00183AFE"/>
    <w:rsid w:val="00183E0B"/>
    <w:rsid w:val="00184659"/>
    <w:rsid w:val="001860E5"/>
    <w:rsid w:val="0018643B"/>
    <w:rsid w:val="00186D42"/>
    <w:rsid w:val="00195E73"/>
    <w:rsid w:val="00196307"/>
    <w:rsid w:val="001964D1"/>
    <w:rsid w:val="00197C70"/>
    <w:rsid w:val="00197F03"/>
    <w:rsid w:val="001A0D10"/>
    <w:rsid w:val="001A33EA"/>
    <w:rsid w:val="001A4413"/>
    <w:rsid w:val="001A4C4F"/>
    <w:rsid w:val="001A5A2B"/>
    <w:rsid w:val="001A66AC"/>
    <w:rsid w:val="001A76FB"/>
    <w:rsid w:val="001B017F"/>
    <w:rsid w:val="001B0225"/>
    <w:rsid w:val="001B0B79"/>
    <w:rsid w:val="001B2BBC"/>
    <w:rsid w:val="001B2BCD"/>
    <w:rsid w:val="001B3A40"/>
    <w:rsid w:val="001B3FFE"/>
    <w:rsid w:val="001B5129"/>
    <w:rsid w:val="001C0B4C"/>
    <w:rsid w:val="001C0EC4"/>
    <w:rsid w:val="001C1195"/>
    <w:rsid w:val="001C12AE"/>
    <w:rsid w:val="001C1E84"/>
    <w:rsid w:val="001C20E1"/>
    <w:rsid w:val="001C2A0F"/>
    <w:rsid w:val="001C2E42"/>
    <w:rsid w:val="001C709E"/>
    <w:rsid w:val="001D1F5F"/>
    <w:rsid w:val="001E06D2"/>
    <w:rsid w:val="001E17C4"/>
    <w:rsid w:val="001E1990"/>
    <w:rsid w:val="001E2D65"/>
    <w:rsid w:val="001E37BF"/>
    <w:rsid w:val="001E6764"/>
    <w:rsid w:val="001F005B"/>
    <w:rsid w:val="001F1850"/>
    <w:rsid w:val="001F1FBF"/>
    <w:rsid w:val="001F2311"/>
    <w:rsid w:val="001F2B80"/>
    <w:rsid w:val="001F2F1C"/>
    <w:rsid w:val="001F3189"/>
    <w:rsid w:val="001F482B"/>
    <w:rsid w:val="00200BEA"/>
    <w:rsid w:val="00201FB8"/>
    <w:rsid w:val="00203FAC"/>
    <w:rsid w:val="00206741"/>
    <w:rsid w:val="00210BA8"/>
    <w:rsid w:val="002130C0"/>
    <w:rsid w:val="002133FB"/>
    <w:rsid w:val="00213CFB"/>
    <w:rsid w:val="0021553C"/>
    <w:rsid w:val="0021557B"/>
    <w:rsid w:val="00216B87"/>
    <w:rsid w:val="002174FD"/>
    <w:rsid w:val="00217BE1"/>
    <w:rsid w:val="002214B9"/>
    <w:rsid w:val="00222680"/>
    <w:rsid w:val="00223370"/>
    <w:rsid w:val="00223831"/>
    <w:rsid w:val="00225633"/>
    <w:rsid w:val="00226611"/>
    <w:rsid w:val="00226F2E"/>
    <w:rsid w:val="00227BC5"/>
    <w:rsid w:val="00230F63"/>
    <w:rsid w:val="00234252"/>
    <w:rsid w:val="0023466E"/>
    <w:rsid w:val="00237AC6"/>
    <w:rsid w:val="00242BFD"/>
    <w:rsid w:val="00244139"/>
    <w:rsid w:val="00244490"/>
    <w:rsid w:val="00244BEC"/>
    <w:rsid w:val="00245B9C"/>
    <w:rsid w:val="00246841"/>
    <w:rsid w:val="00252587"/>
    <w:rsid w:val="00253499"/>
    <w:rsid w:val="002551A4"/>
    <w:rsid w:val="00257664"/>
    <w:rsid w:val="00260165"/>
    <w:rsid w:val="00263D6A"/>
    <w:rsid w:val="00264902"/>
    <w:rsid w:val="00265151"/>
    <w:rsid w:val="00265C2C"/>
    <w:rsid w:val="00266509"/>
    <w:rsid w:val="00267605"/>
    <w:rsid w:val="00271BA1"/>
    <w:rsid w:val="0027346C"/>
    <w:rsid w:val="00273AC5"/>
    <w:rsid w:val="0027598E"/>
    <w:rsid w:val="002762FA"/>
    <w:rsid w:val="00277505"/>
    <w:rsid w:val="00277569"/>
    <w:rsid w:val="00277873"/>
    <w:rsid w:val="0028158C"/>
    <w:rsid w:val="002823B6"/>
    <w:rsid w:val="002904D3"/>
    <w:rsid w:val="00290C03"/>
    <w:rsid w:val="00292E3B"/>
    <w:rsid w:val="002933A8"/>
    <w:rsid w:val="00294274"/>
    <w:rsid w:val="0029458F"/>
    <w:rsid w:val="00295B12"/>
    <w:rsid w:val="00297A63"/>
    <w:rsid w:val="002A018F"/>
    <w:rsid w:val="002A0E04"/>
    <w:rsid w:val="002A104C"/>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5596"/>
    <w:rsid w:val="002B5FE7"/>
    <w:rsid w:val="002B77D7"/>
    <w:rsid w:val="002C0882"/>
    <w:rsid w:val="002C212F"/>
    <w:rsid w:val="002C2F35"/>
    <w:rsid w:val="002C4891"/>
    <w:rsid w:val="002C5050"/>
    <w:rsid w:val="002C6AA9"/>
    <w:rsid w:val="002C7485"/>
    <w:rsid w:val="002D0774"/>
    <w:rsid w:val="002D2641"/>
    <w:rsid w:val="002D283A"/>
    <w:rsid w:val="002D4543"/>
    <w:rsid w:val="002D715F"/>
    <w:rsid w:val="002E022A"/>
    <w:rsid w:val="002E08A7"/>
    <w:rsid w:val="002E3153"/>
    <w:rsid w:val="002E4A02"/>
    <w:rsid w:val="002E5292"/>
    <w:rsid w:val="002E72CA"/>
    <w:rsid w:val="002E75DD"/>
    <w:rsid w:val="002F1D07"/>
    <w:rsid w:val="002F4719"/>
    <w:rsid w:val="002F5C5B"/>
    <w:rsid w:val="002F600D"/>
    <w:rsid w:val="002F6F0F"/>
    <w:rsid w:val="002F7E47"/>
    <w:rsid w:val="00300AD6"/>
    <w:rsid w:val="00300B1B"/>
    <w:rsid w:val="003019D0"/>
    <w:rsid w:val="003019DE"/>
    <w:rsid w:val="0030311E"/>
    <w:rsid w:val="003064AF"/>
    <w:rsid w:val="00307DC6"/>
    <w:rsid w:val="00310A8B"/>
    <w:rsid w:val="00310B68"/>
    <w:rsid w:val="003160D2"/>
    <w:rsid w:val="003173FC"/>
    <w:rsid w:val="00317C6C"/>
    <w:rsid w:val="00320B80"/>
    <w:rsid w:val="00320CD3"/>
    <w:rsid w:val="003215FF"/>
    <w:rsid w:val="003220CB"/>
    <w:rsid w:val="00322667"/>
    <w:rsid w:val="00322AD3"/>
    <w:rsid w:val="00325F10"/>
    <w:rsid w:val="0032607C"/>
    <w:rsid w:val="00326E79"/>
    <w:rsid w:val="0032748A"/>
    <w:rsid w:val="003301B1"/>
    <w:rsid w:val="00331189"/>
    <w:rsid w:val="003318DC"/>
    <w:rsid w:val="0033263D"/>
    <w:rsid w:val="00332E0B"/>
    <w:rsid w:val="00334E69"/>
    <w:rsid w:val="0033518A"/>
    <w:rsid w:val="00335535"/>
    <w:rsid w:val="0033618B"/>
    <w:rsid w:val="003367EF"/>
    <w:rsid w:val="00340055"/>
    <w:rsid w:val="00341AE4"/>
    <w:rsid w:val="003425CA"/>
    <w:rsid w:val="003434D8"/>
    <w:rsid w:val="00343FB7"/>
    <w:rsid w:val="003444AB"/>
    <w:rsid w:val="003453E8"/>
    <w:rsid w:val="003476EE"/>
    <w:rsid w:val="00353688"/>
    <w:rsid w:val="003539E7"/>
    <w:rsid w:val="003541DD"/>
    <w:rsid w:val="003560B4"/>
    <w:rsid w:val="00356E5B"/>
    <w:rsid w:val="00360887"/>
    <w:rsid w:val="0036249F"/>
    <w:rsid w:val="00363761"/>
    <w:rsid w:val="003702ED"/>
    <w:rsid w:val="00371246"/>
    <w:rsid w:val="00371626"/>
    <w:rsid w:val="00372A90"/>
    <w:rsid w:val="003736C9"/>
    <w:rsid w:val="00375A0C"/>
    <w:rsid w:val="00383B77"/>
    <w:rsid w:val="00384988"/>
    <w:rsid w:val="003872CF"/>
    <w:rsid w:val="003874CB"/>
    <w:rsid w:val="00387B21"/>
    <w:rsid w:val="00390526"/>
    <w:rsid w:val="003963DF"/>
    <w:rsid w:val="00396E08"/>
    <w:rsid w:val="003970DD"/>
    <w:rsid w:val="0039782C"/>
    <w:rsid w:val="003A13A6"/>
    <w:rsid w:val="003A2165"/>
    <w:rsid w:val="003A3AF3"/>
    <w:rsid w:val="003A3FD4"/>
    <w:rsid w:val="003A5B4A"/>
    <w:rsid w:val="003A5D95"/>
    <w:rsid w:val="003A6510"/>
    <w:rsid w:val="003A74E2"/>
    <w:rsid w:val="003B0D3A"/>
    <w:rsid w:val="003B2302"/>
    <w:rsid w:val="003B23C5"/>
    <w:rsid w:val="003B2A75"/>
    <w:rsid w:val="003B3B50"/>
    <w:rsid w:val="003B49B2"/>
    <w:rsid w:val="003B6124"/>
    <w:rsid w:val="003B7960"/>
    <w:rsid w:val="003C0908"/>
    <w:rsid w:val="003C093A"/>
    <w:rsid w:val="003C1ECF"/>
    <w:rsid w:val="003C2FB5"/>
    <w:rsid w:val="003C5A42"/>
    <w:rsid w:val="003D096B"/>
    <w:rsid w:val="003D24C5"/>
    <w:rsid w:val="003D4594"/>
    <w:rsid w:val="003D4AC4"/>
    <w:rsid w:val="003D5433"/>
    <w:rsid w:val="003D63B7"/>
    <w:rsid w:val="003D6811"/>
    <w:rsid w:val="003D72AC"/>
    <w:rsid w:val="003D74C5"/>
    <w:rsid w:val="003E427F"/>
    <w:rsid w:val="003E4374"/>
    <w:rsid w:val="003E464F"/>
    <w:rsid w:val="003E468B"/>
    <w:rsid w:val="003E62BD"/>
    <w:rsid w:val="003E658D"/>
    <w:rsid w:val="003F044F"/>
    <w:rsid w:val="003F0C3A"/>
    <w:rsid w:val="003F15F0"/>
    <w:rsid w:val="003F2AC8"/>
    <w:rsid w:val="003F2AD9"/>
    <w:rsid w:val="003F3228"/>
    <w:rsid w:val="003F351F"/>
    <w:rsid w:val="003F5C8C"/>
    <w:rsid w:val="003F63CE"/>
    <w:rsid w:val="003F775A"/>
    <w:rsid w:val="00400E55"/>
    <w:rsid w:val="0040128E"/>
    <w:rsid w:val="0040167F"/>
    <w:rsid w:val="0040216B"/>
    <w:rsid w:val="0040243E"/>
    <w:rsid w:val="00404852"/>
    <w:rsid w:val="00404B7F"/>
    <w:rsid w:val="0040590E"/>
    <w:rsid w:val="0040727D"/>
    <w:rsid w:val="00407CC8"/>
    <w:rsid w:val="004149EB"/>
    <w:rsid w:val="00414F0C"/>
    <w:rsid w:val="004159DF"/>
    <w:rsid w:val="00420400"/>
    <w:rsid w:val="00423E78"/>
    <w:rsid w:val="004252EC"/>
    <w:rsid w:val="00425C8E"/>
    <w:rsid w:val="00430D39"/>
    <w:rsid w:val="00442433"/>
    <w:rsid w:val="00442C91"/>
    <w:rsid w:val="00445ADF"/>
    <w:rsid w:val="004465BD"/>
    <w:rsid w:val="00446938"/>
    <w:rsid w:val="00451A20"/>
    <w:rsid w:val="004528FA"/>
    <w:rsid w:val="00461A44"/>
    <w:rsid w:val="004628D4"/>
    <w:rsid w:val="00462D26"/>
    <w:rsid w:val="0046368B"/>
    <w:rsid w:val="0046385A"/>
    <w:rsid w:val="00464039"/>
    <w:rsid w:val="00466ADA"/>
    <w:rsid w:val="004702BB"/>
    <w:rsid w:val="00472C7D"/>
    <w:rsid w:val="00474315"/>
    <w:rsid w:val="00474382"/>
    <w:rsid w:val="0047494B"/>
    <w:rsid w:val="00476245"/>
    <w:rsid w:val="00477A9B"/>
    <w:rsid w:val="00482AE4"/>
    <w:rsid w:val="00483035"/>
    <w:rsid w:val="00483DC1"/>
    <w:rsid w:val="00485940"/>
    <w:rsid w:val="00486540"/>
    <w:rsid w:val="00486C95"/>
    <w:rsid w:val="004877C2"/>
    <w:rsid w:val="004904B9"/>
    <w:rsid w:val="00491629"/>
    <w:rsid w:val="004928E1"/>
    <w:rsid w:val="00492D8D"/>
    <w:rsid w:val="004965CF"/>
    <w:rsid w:val="00496662"/>
    <w:rsid w:val="00497ADD"/>
    <w:rsid w:val="004A07AC"/>
    <w:rsid w:val="004A0D00"/>
    <w:rsid w:val="004A1431"/>
    <w:rsid w:val="004A2484"/>
    <w:rsid w:val="004A2E45"/>
    <w:rsid w:val="004A4780"/>
    <w:rsid w:val="004A5A85"/>
    <w:rsid w:val="004A71D1"/>
    <w:rsid w:val="004A7C5B"/>
    <w:rsid w:val="004B01D0"/>
    <w:rsid w:val="004B13C8"/>
    <w:rsid w:val="004B1845"/>
    <w:rsid w:val="004B2348"/>
    <w:rsid w:val="004B2E01"/>
    <w:rsid w:val="004B2E98"/>
    <w:rsid w:val="004B5640"/>
    <w:rsid w:val="004B6084"/>
    <w:rsid w:val="004BCF29"/>
    <w:rsid w:val="004C0206"/>
    <w:rsid w:val="004C03D0"/>
    <w:rsid w:val="004C1BD7"/>
    <w:rsid w:val="004C239C"/>
    <w:rsid w:val="004C2ED9"/>
    <w:rsid w:val="004C31FE"/>
    <w:rsid w:val="004C524C"/>
    <w:rsid w:val="004C5EDD"/>
    <w:rsid w:val="004C5FFA"/>
    <w:rsid w:val="004C691D"/>
    <w:rsid w:val="004C6C07"/>
    <w:rsid w:val="004C7E15"/>
    <w:rsid w:val="004D20E2"/>
    <w:rsid w:val="004D2CD1"/>
    <w:rsid w:val="004D4FF6"/>
    <w:rsid w:val="004D5ADD"/>
    <w:rsid w:val="004E0CC3"/>
    <w:rsid w:val="004E520B"/>
    <w:rsid w:val="004E692D"/>
    <w:rsid w:val="004E7230"/>
    <w:rsid w:val="004E7D87"/>
    <w:rsid w:val="004F1DFB"/>
    <w:rsid w:val="004F2553"/>
    <w:rsid w:val="004F27C4"/>
    <w:rsid w:val="004F306A"/>
    <w:rsid w:val="004F4C77"/>
    <w:rsid w:val="00501554"/>
    <w:rsid w:val="00502AFE"/>
    <w:rsid w:val="00502E64"/>
    <w:rsid w:val="00503AD7"/>
    <w:rsid w:val="00503E89"/>
    <w:rsid w:val="00504E0C"/>
    <w:rsid w:val="00504E13"/>
    <w:rsid w:val="005109D4"/>
    <w:rsid w:val="0051230A"/>
    <w:rsid w:val="00513DEC"/>
    <w:rsid w:val="00514CD7"/>
    <w:rsid w:val="005167EC"/>
    <w:rsid w:val="005170DA"/>
    <w:rsid w:val="00520B92"/>
    <w:rsid w:val="00520D6A"/>
    <w:rsid w:val="00522DB6"/>
    <w:rsid w:val="005255A5"/>
    <w:rsid w:val="005264A7"/>
    <w:rsid w:val="0052792D"/>
    <w:rsid w:val="00531463"/>
    <w:rsid w:val="005319B2"/>
    <w:rsid w:val="00532402"/>
    <w:rsid w:val="00532C74"/>
    <w:rsid w:val="00533239"/>
    <w:rsid w:val="005333E0"/>
    <w:rsid w:val="00534E2E"/>
    <w:rsid w:val="00535133"/>
    <w:rsid w:val="0054064C"/>
    <w:rsid w:val="005424DF"/>
    <w:rsid w:val="00542F2A"/>
    <w:rsid w:val="00544552"/>
    <w:rsid w:val="00545130"/>
    <w:rsid w:val="00546B36"/>
    <w:rsid w:val="00546E09"/>
    <w:rsid w:val="00551C9F"/>
    <w:rsid w:val="0055286A"/>
    <w:rsid w:val="005530BD"/>
    <w:rsid w:val="00555745"/>
    <w:rsid w:val="00557D4F"/>
    <w:rsid w:val="0056122E"/>
    <w:rsid w:val="00561724"/>
    <w:rsid w:val="00561E4B"/>
    <w:rsid w:val="0056484E"/>
    <w:rsid w:val="00565999"/>
    <w:rsid w:val="00567D8A"/>
    <w:rsid w:val="00570231"/>
    <w:rsid w:val="00574A3A"/>
    <w:rsid w:val="005764CD"/>
    <w:rsid w:val="00577665"/>
    <w:rsid w:val="00577C4D"/>
    <w:rsid w:val="00580532"/>
    <w:rsid w:val="00581932"/>
    <w:rsid w:val="00583002"/>
    <w:rsid w:val="005830D9"/>
    <w:rsid w:val="005873A2"/>
    <w:rsid w:val="0058748B"/>
    <w:rsid w:val="005903BB"/>
    <w:rsid w:val="00593893"/>
    <w:rsid w:val="005963BB"/>
    <w:rsid w:val="0059645C"/>
    <w:rsid w:val="00596D37"/>
    <w:rsid w:val="005A15D2"/>
    <w:rsid w:val="005A30FC"/>
    <w:rsid w:val="005A3173"/>
    <w:rsid w:val="005A3223"/>
    <w:rsid w:val="005A3DA3"/>
    <w:rsid w:val="005A52C4"/>
    <w:rsid w:val="005A63A1"/>
    <w:rsid w:val="005B0486"/>
    <w:rsid w:val="005B1032"/>
    <w:rsid w:val="005B1473"/>
    <w:rsid w:val="005B36FA"/>
    <w:rsid w:val="005C1FFF"/>
    <w:rsid w:val="005C44E0"/>
    <w:rsid w:val="005C4F73"/>
    <w:rsid w:val="005C5321"/>
    <w:rsid w:val="005C6C4D"/>
    <w:rsid w:val="005D03AB"/>
    <w:rsid w:val="005D401D"/>
    <w:rsid w:val="005D5017"/>
    <w:rsid w:val="005D5708"/>
    <w:rsid w:val="005D63FA"/>
    <w:rsid w:val="005D7009"/>
    <w:rsid w:val="005D73C7"/>
    <w:rsid w:val="005E0C2D"/>
    <w:rsid w:val="005E0D82"/>
    <w:rsid w:val="005E0F59"/>
    <w:rsid w:val="005E1333"/>
    <w:rsid w:val="005E3136"/>
    <w:rsid w:val="005E507D"/>
    <w:rsid w:val="005E5470"/>
    <w:rsid w:val="005E5960"/>
    <w:rsid w:val="005F0AD0"/>
    <w:rsid w:val="005F3049"/>
    <w:rsid w:val="00601A91"/>
    <w:rsid w:val="00602BA3"/>
    <w:rsid w:val="00605B63"/>
    <w:rsid w:val="00605F9A"/>
    <w:rsid w:val="00606442"/>
    <w:rsid w:val="00606EED"/>
    <w:rsid w:val="00607722"/>
    <w:rsid w:val="00607AE8"/>
    <w:rsid w:val="00610A8D"/>
    <w:rsid w:val="006112FD"/>
    <w:rsid w:val="00612A95"/>
    <w:rsid w:val="00612E34"/>
    <w:rsid w:val="00614159"/>
    <w:rsid w:val="006158A3"/>
    <w:rsid w:val="00616C5F"/>
    <w:rsid w:val="00616DAC"/>
    <w:rsid w:val="00617725"/>
    <w:rsid w:val="00617C00"/>
    <w:rsid w:val="00620683"/>
    <w:rsid w:val="006238E3"/>
    <w:rsid w:val="00625F6A"/>
    <w:rsid w:val="006263BF"/>
    <w:rsid w:val="0062748A"/>
    <w:rsid w:val="00630259"/>
    <w:rsid w:val="00630546"/>
    <w:rsid w:val="00630A2C"/>
    <w:rsid w:val="00634A75"/>
    <w:rsid w:val="00634ACD"/>
    <w:rsid w:val="0063682E"/>
    <w:rsid w:val="00640088"/>
    <w:rsid w:val="006404B5"/>
    <w:rsid w:val="00642672"/>
    <w:rsid w:val="00642DA8"/>
    <w:rsid w:val="006436CD"/>
    <w:rsid w:val="00651169"/>
    <w:rsid w:val="00653D69"/>
    <w:rsid w:val="006552E6"/>
    <w:rsid w:val="00655794"/>
    <w:rsid w:val="006569A4"/>
    <w:rsid w:val="00656F2F"/>
    <w:rsid w:val="00657C63"/>
    <w:rsid w:val="00661CBC"/>
    <w:rsid w:val="00662AA7"/>
    <w:rsid w:val="00662B85"/>
    <w:rsid w:val="00666B56"/>
    <w:rsid w:val="006670B3"/>
    <w:rsid w:val="006670BE"/>
    <w:rsid w:val="006708AA"/>
    <w:rsid w:val="00670A76"/>
    <w:rsid w:val="006711AA"/>
    <w:rsid w:val="006717C0"/>
    <w:rsid w:val="00672B57"/>
    <w:rsid w:val="0067332E"/>
    <w:rsid w:val="00673F1F"/>
    <w:rsid w:val="00675263"/>
    <w:rsid w:val="00675622"/>
    <w:rsid w:val="00675DEB"/>
    <w:rsid w:val="0067747D"/>
    <w:rsid w:val="006818D5"/>
    <w:rsid w:val="00681CA4"/>
    <w:rsid w:val="00686559"/>
    <w:rsid w:val="0069039D"/>
    <w:rsid w:val="006906DB"/>
    <w:rsid w:val="00691900"/>
    <w:rsid w:val="00691E6C"/>
    <w:rsid w:val="0069342D"/>
    <w:rsid w:val="00693DFB"/>
    <w:rsid w:val="00694FD5"/>
    <w:rsid w:val="0069501D"/>
    <w:rsid w:val="00696129"/>
    <w:rsid w:val="00696EC0"/>
    <w:rsid w:val="00697CF2"/>
    <w:rsid w:val="006A0A6B"/>
    <w:rsid w:val="006A12A5"/>
    <w:rsid w:val="006A2236"/>
    <w:rsid w:val="006A2515"/>
    <w:rsid w:val="006A572D"/>
    <w:rsid w:val="006A5E20"/>
    <w:rsid w:val="006A6562"/>
    <w:rsid w:val="006A7311"/>
    <w:rsid w:val="006B083D"/>
    <w:rsid w:val="006B0D94"/>
    <w:rsid w:val="006B16B6"/>
    <w:rsid w:val="006B4320"/>
    <w:rsid w:val="006B485D"/>
    <w:rsid w:val="006B6F62"/>
    <w:rsid w:val="006B7DDA"/>
    <w:rsid w:val="006C0C45"/>
    <w:rsid w:val="006C2806"/>
    <w:rsid w:val="006C28C5"/>
    <w:rsid w:val="006C334C"/>
    <w:rsid w:val="006C6C10"/>
    <w:rsid w:val="006C708E"/>
    <w:rsid w:val="006D0B9A"/>
    <w:rsid w:val="006D14E7"/>
    <w:rsid w:val="006D4444"/>
    <w:rsid w:val="006D6493"/>
    <w:rsid w:val="006D6EC7"/>
    <w:rsid w:val="006D7B05"/>
    <w:rsid w:val="006D7E45"/>
    <w:rsid w:val="006E0B00"/>
    <w:rsid w:val="006E1143"/>
    <w:rsid w:val="006E1BCD"/>
    <w:rsid w:val="006E2732"/>
    <w:rsid w:val="006E3EEC"/>
    <w:rsid w:val="006E59CD"/>
    <w:rsid w:val="006E5C3E"/>
    <w:rsid w:val="006F0A71"/>
    <w:rsid w:val="006F1C6B"/>
    <w:rsid w:val="006F40C2"/>
    <w:rsid w:val="006F5125"/>
    <w:rsid w:val="006F733D"/>
    <w:rsid w:val="00700765"/>
    <w:rsid w:val="00702959"/>
    <w:rsid w:val="00702B6F"/>
    <w:rsid w:val="007030B4"/>
    <w:rsid w:val="00703B86"/>
    <w:rsid w:val="00704069"/>
    <w:rsid w:val="007049C7"/>
    <w:rsid w:val="00706A2F"/>
    <w:rsid w:val="0070718E"/>
    <w:rsid w:val="00707E52"/>
    <w:rsid w:val="00710259"/>
    <w:rsid w:val="0071031F"/>
    <w:rsid w:val="00710737"/>
    <w:rsid w:val="0071340B"/>
    <w:rsid w:val="00713C50"/>
    <w:rsid w:val="0071436D"/>
    <w:rsid w:val="00715BBB"/>
    <w:rsid w:val="007174BB"/>
    <w:rsid w:val="007178A3"/>
    <w:rsid w:val="0072025D"/>
    <w:rsid w:val="00723328"/>
    <w:rsid w:val="007237DE"/>
    <w:rsid w:val="0072502E"/>
    <w:rsid w:val="0073137C"/>
    <w:rsid w:val="007340B9"/>
    <w:rsid w:val="007353D3"/>
    <w:rsid w:val="007354F6"/>
    <w:rsid w:val="00740648"/>
    <w:rsid w:val="0074156B"/>
    <w:rsid w:val="00741619"/>
    <w:rsid w:val="00741BFA"/>
    <w:rsid w:val="00742885"/>
    <w:rsid w:val="00746D06"/>
    <w:rsid w:val="00747092"/>
    <w:rsid w:val="007526E6"/>
    <w:rsid w:val="00752FBF"/>
    <w:rsid w:val="00754DF9"/>
    <w:rsid w:val="007555E8"/>
    <w:rsid w:val="00755CC5"/>
    <w:rsid w:val="00762862"/>
    <w:rsid w:val="00762CE2"/>
    <w:rsid w:val="0076420C"/>
    <w:rsid w:val="0076482D"/>
    <w:rsid w:val="00771B04"/>
    <w:rsid w:val="00771D07"/>
    <w:rsid w:val="00772649"/>
    <w:rsid w:val="00773BE3"/>
    <w:rsid w:val="007743DD"/>
    <w:rsid w:val="00774E2C"/>
    <w:rsid w:val="0077503C"/>
    <w:rsid w:val="0077518D"/>
    <w:rsid w:val="007753C2"/>
    <w:rsid w:val="00776068"/>
    <w:rsid w:val="007838B8"/>
    <w:rsid w:val="0078404C"/>
    <w:rsid w:val="00785779"/>
    <w:rsid w:val="00787FD8"/>
    <w:rsid w:val="007915BA"/>
    <w:rsid w:val="00791844"/>
    <w:rsid w:val="00793CE9"/>
    <w:rsid w:val="00794679"/>
    <w:rsid w:val="00795C4B"/>
    <w:rsid w:val="00796667"/>
    <w:rsid w:val="00797068"/>
    <w:rsid w:val="007979BD"/>
    <w:rsid w:val="007A1357"/>
    <w:rsid w:val="007A1884"/>
    <w:rsid w:val="007A34B0"/>
    <w:rsid w:val="007A3D8E"/>
    <w:rsid w:val="007A5C88"/>
    <w:rsid w:val="007A6A2F"/>
    <w:rsid w:val="007B024E"/>
    <w:rsid w:val="007B2ADD"/>
    <w:rsid w:val="007B3BAF"/>
    <w:rsid w:val="007B3DDC"/>
    <w:rsid w:val="007B72A6"/>
    <w:rsid w:val="007C06D2"/>
    <w:rsid w:val="007C08E0"/>
    <w:rsid w:val="007C0F57"/>
    <w:rsid w:val="007C2F4B"/>
    <w:rsid w:val="007C40B6"/>
    <w:rsid w:val="007C5975"/>
    <w:rsid w:val="007C679F"/>
    <w:rsid w:val="007C6B24"/>
    <w:rsid w:val="007C729F"/>
    <w:rsid w:val="007C72AD"/>
    <w:rsid w:val="007D503D"/>
    <w:rsid w:val="007D59E7"/>
    <w:rsid w:val="007D5F2A"/>
    <w:rsid w:val="007E07AC"/>
    <w:rsid w:val="007E1014"/>
    <w:rsid w:val="007E1230"/>
    <w:rsid w:val="007E12F8"/>
    <w:rsid w:val="007E158B"/>
    <w:rsid w:val="007E1D28"/>
    <w:rsid w:val="007E4564"/>
    <w:rsid w:val="007E490F"/>
    <w:rsid w:val="007E5513"/>
    <w:rsid w:val="007F0021"/>
    <w:rsid w:val="007F2641"/>
    <w:rsid w:val="007F679D"/>
    <w:rsid w:val="007F7C36"/>
    <w:rsid w:val="007F7EF2"/>
    <w:rsid w:val="007F7F45"/>
    <w:rsid w:val="0080001F"/>
    <w:rsid w:val="0080022E"/>
    <w:rsid w:val="00801958"/>
    <w:rsid w:val="008055AF"/>
    <w:rsid w:val="008057CD"/>
    <w:rsid w:val="008066B8"/>
    <w:rsid w:val="00806796"/>
    <w:rsid w:val="00810167"/>
    <w:rsid w:val="008104D0"/>
    <w:rsid w:val="00811CC0"/>
    <w:rsid w:val="00814276"/>
    <w:rsid w:val="008151D6"/>
    <w:rsid w:val="00817D77"/>
    <w:rsid w:val="00820803"/>
    <w:rsid w:val="00821527"/>
    <w:rsid w:val="00822696"/>
    <w:rsid w:val="00825A6C"/>
    <w:rsid w:val="0082617E"/>
    <w:rsid w:val="00826346"/>
    <w:rsid w:val="008268BB"/>
    <w:rsid w:val="00826F6D"/>
    <w:rsid w:val="008306F3"/>
    <w:rsid w:val="00830E40"/>
    <w:rsid w:val="00832D9A"/>
    <w:rsid w:val="00835C62"/>
    <w:rsid w:val="008368A1"/>
    <w:rsid w:val="00837A7A"/>
    <w:rsid w:val="00840EF7"/>
    <w:rsid w:val="008416E5"/>
    <w:rsid w:val="00842172"/>
    <w:rsid w:val="0084250B"/>
    <w:rsid w:val="00844C0A"/>
    <w:rsid w:val="00845F37"/>
    <w:rsid w:val="00846056"/>
    <w:rsid w:val="0084681F"/>
    <w:rsid w:val="00847D08"/>
    <w:rsid w:val="00847EC0"/>
    <w:rsid w:val="00854506"/>
    <w:rsid w:val="00855F91"/>
    <w:rsid w:val="00855FD6"/>
    <w:rsid w:val="00856DDD"/>
    <w:rsid w:val="00860233"/>
    <w:rsid w:val="00860A8E"/>
    <w:rsid w:val="00862B45"/>
    <w:rsid w:val="00863E68"/>
    <w:rsid w:val="008647B5"/>
    <w:rsid w:val="00867D64"/>
    <w:rsid w:val="00872E8F"/>
    <w:rsid w:val="00875DCB"/>
    <w:rsid w:val="00876FBF"/>
    <w:rsid w:val="0087721E"/>
    <w:rsid w:val="0087755A"/>
    <w:rsid w:val="008819C7"/>
    <w:rsid w:val="00882085"/>
    <w:rsid w:val="00883188"/>
    <w:rsid w:val="00884A0C"/>
    <w:rsid w:val="00886ACA"/>
    <w:rsid w:val="00886B01"/>
    <w:rsid w:val="0089031E"/>
    <w:rsid w:val="0089109A"/>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A7F0C"/>
    <w:rsid w:val="008B007A"/>
    <w:rsid w:val="008B2BB7"/>
    <w:rsid w:val="008B2EC0"/>
    <w:rsid w:val="008B6DCF"/>
    <w:rsid w:val="008D0945"/>
    <w:rsid w:val="008D1409"/>
    <w:rsid w:val="008D14E1"/>
    <w:rsid w:val="008D15CC"/>
    <w:rsid w:val="008D1729"/>
    <w:rsid w:val="008D1B5C"/>
    <w:rsid w:val="008D3C82"/>
    <w:rsid w:val="008D4296"/>
    <w:rsid w:val="008D447E"/>
    <w:rsid w:val="008D6211"/>
    <w:rsid w:val="008D6ACF"/>
    <w:rsid w:val="008D7A41"/>
    <w:rsid w:val="008E2C72"/>
    <w:rsid w:val="008E3680"/>
    <w:rsid w:val="008E4403"/>
    <w:rsid w:val="008E4F87"/>
    <w:rsid w:val="008E5870"/>
    <w:rsid w:val="008E77E4"/>
    <w:rsid w:val="008F0213"/>
    <w:rsid w:val="008F07ED"/>
    <w:rsid w:val="008F11F8"/>
    <w:rsid w:val="008F1434"/>
    <w:rsid w:val="008F2BB9"/>
    <w:rsid w:val="008F3D6A"/>
    <w:rsid w:val="008F54C3"/>
    <w:rsid w:val="008F5D0F"/>
    <w:rsid w:val="008F7355"/>
    <w:rsid w:val="009023DC"/>
    <w:rsid w:val="009027C5"/>
    <w:rsid w:val="0090392E"/>
    <w:rsid w:val="00904413"/>
    <w:rsid w:val="009067B7"/>
    <w:rsid w:val="00906E7A"/>
    <w:rsid w:val="0090775A"/>
    <w:rsid w:val="009079BC"/>
    <w:rsid w:val="00907DFD"/>
    <w:rsid w:val="00911E63"/>
    <w:rsid w:val="00913C99"/>
    <w:rsid w:val="009159FA"/>
    <w:rsid w:val="00916A22"/>
    <w:rsid w:val="00917D69"/>
    <w:rsid w:val="00920B6D"/>
    <w:rsid w:val="009220C7"/>
    <w:rsid w:val="00925227"/>
    <w:rsid w:val="00926560"/>
    <w:rsid w:val="00926B15"/>
    <w:rsid w:val="00930291"/>
    <w:rsid w:val="00930937"/>
    <w:rsid w:val="009322AA"/>
    <w:rsid w:val="009324A6"/>
    <w:rsid w:val="00933B7D"/>
    <w:rsid w:val="00933E6C"/>
    <w:rsid w:val="00935A6E"/>
    <w:rsid w:val="00936E83"/>
    <w:rsid w:val="00937958"/>
    <w:rsid w:val="009406E5"/>
    <w:rsid w:val="0094080E"/>
    <w:rsid w:val="00941602"/>
    <w:rsid w:val="00942160"/>
    <w:rsid w:val="00942B1E"/>
    <w:rsid w:val="00946921"/>
    <w:rsid w:val="00947343"/>
    <w:rsid w:val="00947D1E"/>
    <w:rsid w:val="0095146F"/>
    <w:rsid w:val="009526A4"/>
    <w:rsid w:val="009534C7"/>
    <w:rsid w:val="0095662A"/>
    <w:rsid w:val="00957944"/>
    <w:rsid w:val="009602C5"/>
    <w:rsid w:val="0096103A"/>
    <w:rsid w:val="00962223"/>
    <w:rsid w:val="0096252B"/>
    <w:rsid w:val="00962D11"/>
    <w:rsid w:val="009644D9"/>
    <w:rsid w:val="00964A9F"/>
    <w:rsid w:val="00966D0D"/>
    <w:rsid w:val="00967732"/>
    <w:rsid w:val="0096783C"/>
    <w:rsid w:val="00970023"/>
    <w:rsid w:val="00971B37"/>
    <w:rsid w:val="009722B3"/>
    <w:rsid w:val="00973E24"/>
    <w:rsid w:val="00974C21"/>
    <w:rsid w:val="00975948"/>
    <w:rsid w:val="009772FD"/>
    <w:rsid w:val="00977BF3"/>
    <w:rsid w:val="009803E4"/>
    <w:rsid w:val="00980B0E"/>
    <w:rsid w:val="00982B39"/>
    <w:rsid w:val="009836A3"/>
    <w:rsid w:val="00984510"/>
    <w:rsid w:val="00984C58"/>
    <w:rsid w:val="009855A8"/>
    <w:rsid w:val="00985CBE"/>
    <w:rsid w:val="00985D1A"/>
    <w:rsid w:val="00985F0F"/>
    <w:rsid w:val="00990CF8"/>
    <w:rsid w:val="009913F4"/>
    <w:rsid w:val="00991782"/>
    <w:rsid w:val="009937F7"/>
    <w:rsid w:val="009941D7"/>
    <w:rsid w:val="0099465B"/>
    <w:rsid w:val="009951A1"/>
    <w:rsid w:val="00997A44"/>
    <w:rsid w:val="009A0CDD"/>
    <w:rsid w:val="009A3168"/>
    <w:rsid w:val="009A4621"/>
    <w:rsid w:val="009A4BDF"/>
    <w:rsid w:val="009A5D04"/>
    <w:rsid w:val="009A61CA"/>
    <w:rsid w:val="009B0C64"/>
    <w:rsid w:val="009B0F67"/>
    <w:rsid w:val="009B208A"/>
    <w:rsid w:val="009B2756"/>
    <w:rsid w:val="009B380B"/>
    <w:rsid w:val="009B3D56"/>
    <w:rsid w:val="009B3F8C"/>
    <w:rsid w:val="009B4016"/>
    <w:rsid w:val="009B533B"/>
    <w:rsid w:val="009C0ADF"/>
    <w:rsid w:val="009C23EC"/>
    <w:rsid w:val="009C26AA"/>
    <w:rsid w:val="009C591F"/>
    <w:rsid w:val="009C703C"/>
    <w:rsid w:val="009D0C29"/>
    <w:rsid w:val="009D1E80"/>
    <w:rsid w:val="009D206E"/>
    <w:rsid w:val="009D220A"/>
    <w:rsid w:val="009D3CAA"/>
    <w:rsid w:val="009D507A"/>
    <w:rsid w:val="009D6532"/>
    <w:rsid w:val="009D672B"/>
    <w:rsid w:val="009D71FD"/>
    <w:rsid w:val="009E06F0"/>
    <w:rsid w:val="009E0755"/>
    <w:rsid w:val="009E10AD"/>
    <w:rsid w:val="009E2588"/>
    <w:rsid w:val="009E2E8E"/>
    <w:rsid w:val="009E2F36"/>
    <w:rsid w:val="009E40E1"/>
    <w:rsid w:val="009F0EFA"/>
    <w:rsid w:val="009F4E46"/>
    <w:rsid w:val="009F5B65"/>
    <w:rsid w:val="009F5F2E"/>
    <w:rsid w:val="00A01432"/>
    <w:rsid w:val="00A01B09"/>
    <w:rsid w:val="00A06225"/>
    <w:rsid w:val="00A06410"/>
    <w:rsid w:val="00A066E6"/>
    <w:rsid w:val="00A076E2"/>
    <w:rsid w:val="00A110D1"/>
    <w:rsid w:val="00A12587"/>
    <w:rsid w:val="00A128E6"/>
    <w:rsid w:val="00A14333"/>
    <w:rsid w:val="00A144D3"/>
    <w:rsid w:val="00A16240"/>
    <w:rsid w:val="00A17EA7"/>
    <w:rsid w:val="00A213B3"/>
    <w:rsid w:val="00A21D7D"/>
    <w:rsid w:val="00A22AC3"/>
    <w:rsid w:val="00A2351E"/>
    <w:rsid w:val="00A23F3F"/>
    <w:rsid w:val="00A24067"/>
    <w:rsid w:val="00A24A4B"/>
    <w:rsid w:val="00A2744D"/>
    <w:rsid w:val="00A27592"/>
    <w:rsid w:val="00A30D16"/>
    <w:rsid w:val="00A335FF"/>
    <w:rsid w:val="00A33EB7"/>
    <w:rsid w:val="00A34E6C"/>
    <w:rsid w:val="00A34FD0"/>
    <w:rsid w:val="00A36287"/>
    <w:rsid w:val="00A36398"/>
    <w:rsid w:val="00A37C8D"/>
    <w:rsid w:val="00A4020E"/>
    <w:rsid w:val="00A40493"/>
    <w:rsid w:val="00A408E8"/>
    <w:rsid w:val="00A40FB5"/>
    <w:rsid w:val="00A42826"/>
    <w:rsid w:val="00A429B3"/>
    <w:rsid w:val="00A440D9"/>
    <w:rsid w:val="00A44A24"/>
    <w:rsid w:val="00A44EC1"/>
    <w:rsid w:val="00A47827"/>
    <w:rsid w:val="00A50098"/>
    <w:rsid w:val="00A510E4"/>
    <w:rsid w:val="00A526F7"/>
    <w:rsid w:val="00A5273B"/>
    <w:rsid w:val="00A53A9D"/>
    <w:rsid w:val="00A55FEE"/>
    <w:rsid w:val="00A57422"/>
    <w:rsid w:val="00A62C1A"/>
    <w:rsid w:val="00A63CA2"/>
    <w:rsid w:val="00A63F02"/>
    <w:rsid w:val="00A6426D"/>
    <w:rsid w:val="00A664DE"/>
    <w:rsid w:val="00A665C1"/>
    <w:rsid w:val="00A673A4"/>
    <w:rsid w:val="00A67BC6"/>
    <w:rsid w:val="00A7001A"/>
    <w:rsid w:val="00A70622"/>
    <w:rsid w:val="00A70977"/>
    <w:rsid w:val="00A70D58"/>
    <w:rsid w:val="00A718C0"/>
    <w:rsid w:val="00A73549"/>
    <w:rsid w:val="00A744F9"/>
    <w:rsid w:val="00A7751B"/>
    <w:rsid w:val="00A77613"/>
    <w:rsid w:val="00A77B87"/>
    <w:rsid w:val="00A801AD"/>
    <w:rsid w:val="00A81851"/>
    <w:rsid w:val="00A8390C"/>
    <w:rsid w:val="00A861E6"/>
    <w:rsid w:val="00A86AE0"/>
    <w:rsid w:val="00A91362"/>
    <w:rsid w:val="00A9151C"/>
    <w:rsid w:val="00A919C6"/>
    <w:rsid w:val="00A928BD"/>
    <w:rsid w:val="00A97DE9"/>
    <w:rsid w:val="00AA0254"/>
    <w:rsid w:val="00AA12CD"/>
    <w:rsid w:val="00AA2390"/>
    <w:rsid w:val="00AA4D1C"/>
    <w:rsid w:val="00AA52FD"/>
    <w:rsid w:val="00AA7006"/>
    <w:rsid w:val="00AB4684"/>
    <w:rsid w:val="00AB5856"/>
    <w:rsid w:val="00AC032C"/>
    <w:rsid w:val="00AC081D"/>
    <w:rsid w:val="00AC0C6F"/>
    <w:rsid w:val="00AC1266"/>
    <w:rsid w:val="00AC193C"/>
    <w:rsid w:val="00AC30C1"/>
    <w:rsid w:val="00AC4DE5"/>
    <w:rsid w:val="00AC5206"/>
    <w:rsid w:val="00AC67FA"/>
    <w:rsid w:val="00AD095B"/>
    <w:rsid w:val="00AD1ADA"/>
    <w:rsid w:val="00AD3106"/>
    <w:rsid w:val="00AD4322"/>
    <w:rsid w:val="00AD49C6"/>
    <w:rsid w:val="00AE0195"/>
    <w:rsid w:val="00AE0A4F"/>
    <w:rsid w:val="00AE11A5"/>
    <w:rsid w:val="00AE13E2"/>
    <w:rsid w:val="00AE22D3"/>
    <w:rsid w:val="00AE5A49"/>
    <w:rsid w:val="00AF11D8"/>
    <w:rsid w:val="00AF5867"/>
    <w:rsid w:val="00AF62DF"/>
    <w:rsid w:val="00AF68CC"/>
    <w:rsid w:val="00AF70D7"/>
    <w:rsid w:val="00AF7325"/>
    <w:rsid w:val="00B00086"/>
    <w:rsid w:val="00B00CD0"/>
    <w:rsid w:val="00B00E7F"/>
    <w:rsid w:val="00B01FF4"/>
    <w:rsid w:val="00B0326D"/>
    <w:rsid w:val="00B06037"/>
    <w:rsid w:val="00B06478"/>
    <w:rsid w:val="00B07533"/>
    <w:rsid w:val="00B07CFB"/>
    <w:rsid w:val="00B1059E"/>
    <w:rsid w:val="00B11ABD"/>
    <w:rsid w:val="00B12FF5"/>
    <w:rsid w:val="00B14A36"/>
    <w:rsid w:val="00B16273"/>
    <w:rsid w:val="00B170A5"/>
    <w:rsid w:val="00B1725F"/>
    <w:rsid w:val="00B176C8"/>
    <w:rsid w:val="00B176EA"/>
    <w:rsid w:val="00B17EE5"/>
    <w:rsid w:val="00B205AA"/>
    <w:rsid w:val="00B209AF"/>
    <w:rsid w:val="00B21A91"/>
    <w:rsid w:val="00B2289D"/>
    <w:rsid w:val="00B22E84"/>
    <w:rsid w:val="00B23202"/>
    <w:rsid w:val="00B233AD"/>
    <w:rsid w:val="00B23E25"/>
    <w:rsid w:val="00B25E62"/>
    <w:rsid w:val="00B25F75"/>
    <w:rsid w:val="00B26B3F"/>
    <w:rsid w:val="00B2778F"/>
    <w:rsid w:val="00B327E2"/>
    <w:rsid w:val="00B33635"/>
    <w:rsid w:val="00B363CA"/>
    <w:rsid w:val="00B36F4C"/>
    <w:rsid w:val="00B37A23"/>
    <w:rsid w:val="00B37CF8"/>
    <w:rsid w:val="00B42AF4"/>
    <w:rsid w:val="00B43E90"/>
    <w:rsid w:val="00B44308"/>
    <w:rsid w:val="00B45722"/>
    <w:rsid w:val="00B45C68"/>
    <w:rsid w:val="00B467DC"/>
    <w:rsid w:val="00B47A88"/>
    <w:rsid w:val="00B52303"/>
    <w:rsid w:val="00B5392A"/>
    <w:rsid w:val="00B539EF"/>
    <w:rsid w:val="00B56118"/>
    <w:rsid w:val="00B566E1"/>
    <w:rsid w:val="00B56727"/>
    <w:rsid w:val="00B56AFB"/>
    <w:rsid w:val="00B56C7C"/>
    <w:rsid w:val="00B602F6"/>
    <w:rsid w:val="00B61C24"/>
    <w:rsid w:val="00B62EC1"/>
    <w:rsid w:val="00B64A96"/>
    <w:rsid w:val="00B655ED"/>
    <w:rsid w:val="00B662A3"/>
    <w:rsid w:val="00B6773F"/>
    <w:rsid w:val="00B70EB3"/>
    <w:rsid w:val="00B72906"/>
    <w:rsid w:val="00B73441"/>
    <w:rsid w:val="00B74F48"/>
    <w:rsid w:val="00B7525E"/>
    <w:rsid w:val="00B75433"/>
    <w:rsid w:val="00B75A06"/>
    <w:rsid w:val="00B760FB"/>
    <w:rsid w:val="00B76765"/>
    <w:rsid w:val="00B767AB"/>
    <w:rsid w:val="00B801BA"/>
    <w:rsid w:val="00B812D6"/>
    <w:rsid w:val="00B84D5C"/>
    <w:rsid w:val="00B85785"/>
    <w:rsid w:val="00B85AF6"/>
    <w:rsid w:val="00B953E1"/>
    <w:rsid w:val="00B956ED"/>
    <w:rsid w:val="00BA29E1"/>
    <w:rsid w:val="00BA2DA8"/>
    <w:rsid w:val="00BA347C"/>
    <w:rsid w:val="00BA4B24"/>
    <w:rsid w:val="00BA4C79"/>
    <w:rsid w:val="00BA67D3"/>
    <w:rsid w:val="00BA6B16"/>
    <w:rsid w:val="00BB298A"/>
    <w:rsid w:val="00BB3469"/>
    <w:rsid w:val="00BB5C49"/>
    <w:rsid w:val="00BB6240"/>
    <w:rsid w:val="00BB6285"/>
    <w:rsid w:val="00BB69F5"/>
    <w:rsid w:val="00BB6F28"/>
    <w:rsid w:val="00BB7EC3"/>
    <w:rsid w:val="00BC04B1"/>
    <w:rsid w:val="00BC24B8"/>
    <w:rsid w:val="00BC470E"/>
    <w:rsid w:val="00BC4B9A"/>
    <w:rsid w:val="00BC70E2"/>
    <w:rsid w:val="00BD02C3"/>
    <w:rsid w:val="00BD0B95"/>
    <w:rsid w:val="00BD3418"/>
    <w:rsid w:val="00BD56CB"/>
    <w:rsid w:val="00BD5B85"/>
    <w:rsid w:val="00BD7483"/>
    <w:rsid w:val="00BD784C"/>
    <w:rsid w:val="00BE020A"/>
    <w:rsid w:val="00BE13DF"/>
    <w:rsid w:val="00BE1B85"/>
    <w:rsid w:val="00BE1BB5"/>
    <w:rsid w:val="00BE1EF0"/>
    <w:rsid w:val="00BE25D7"/>
    <w:rsid w:val="00BE3243"/>
    <w:rsid w:val="00BF092C"/>
    <w:rsid w:val="00BF27A0"/>
    <w:rsid w:val="00BF4CB6"/>
    <w:rsid w:val="00BF51E1"/>
    <w:rsid w:val="00BF65DF"/>
    <w:rsid w:val="00BF6CBD"/>
    <w:rsid w:val="00C00DA7"/>
    <w:rsid w:val="00C034FB"/>
    <w:rsid w:val="00C04CDE"/>
    <w:rsid w:val="00C05730"/>
    <w:rsid w:val="00C059D5"/>
    <w:rsid w:val="00C068A6"/>
    <w:rsid w:val="00C10ACB"/>
    <w:rsid w:val="00C12768"/>
    <w:rsid w:val="00C12D70"/>
    <w:rsid w:val="00C16724"/>
    <w:rsid w:val="00C21B09"/>
    <w:rsid w:val="00C224E0"/>
    <w:rsid w:val="00C23539"/>
    <w:rsid w:val="00C25EFF"/>
    <w:rsid w:val="00C2673A"/>
    <w:rsid w:val="00C278CD"/>
    <w:rsid w:val="00C27B58"/>
    <w:rsid w:val="00C27C1C"/>
    <w:rsid w:val="00C3166C"/>
    <w:rsid w:val="00C33186"/>
    <w:rsid w:val="00C35996"/>
    <w:rsid w:val="00C42BCD"/>
    <w:rsid w:val="00C4485F"/>
    <w:rsid w:val="00C44EDD"/>
    <w:rsid w:val="00C46C13"/>
    <w:rsid w:val="00C473D6"/>
    <w:rsid w:val="00C4747E"/>
    <w:rsid w:val="00C502F0"/>
    <w:rsid w:val="00C50A14"/>
    <w:rsid w:val="00C5151E"/>
    <w:rsid w:val="00C52256"/>
    <w:rsid w:val="00C5342C"/>
    <w:rsid w:val="00C539CE"/>
    <w:rsid w:val="00C53B2B"/>
    <w:rsid w:val="00C5424A"/>
    <w:rsid w:val="00C55D47"/>
    <w:rsid w:val="00C57465"/>
    <w:rsid w:val="00C60272"/>
    <w:rsid w:val="00C603D4"/>
    <w:rsid w:val="00C6256A"/>
    <w:rsid w:val="00C63FDA"/>
    <w:rsid w:val="00C64EBC"/>
    <w:rsid w:val="00C664D2"/>
    <w:rsid w:val="00C666C3"/>
    <w:rsid w:val="00C677E1"/>
    <w:rsid w:val="00C70E6E"/>
    <w:rsid w:val="00C710E2"/>
    <w:rsid w:val="00C71C3F"/>
    <w:rsid w:val="00C72B18"/>
    <w:rsid w:val="00C7409E"/>
    <w:rsid w:val="00C7441D"/>
    <w:rsid w:val="00C74D6D"/>
    <w:rsid w:val="00C76E76"/>
    <w:rsid w:val="00C77891"/>
    <w:rsid w:val="00C77B74"/>
    <w:rsid w:val="00C82062"/>
    <w:rsid w:val="00C829A9"/>
    <w:rsid w:val="00C84FF9"/>
    <w:rsid w:val="00C8605E"/>
    <w:rsid w:val="00C86EC7"/>
    <w:rsid w:val="00C87B80"/>
    <w:rsid w:val="00C90330"/>
    <w:rsid w:val="00C91449"/>
    <w:rsid w:val="00C92D10"/>
    <w:rsid w:val="00C92F79"/>
    <w:rsid w:val="00C95200"/>
    <w:rsid w:val="00C96EC0"/>
    <w:rsid w:val="00CA06F9"/>
    <w:rsid w:val="00CA2FBB"/>
    <w:rsid w:val="00CA3696"/>
    <w:rsid w:val="00CA48D9"/>
    <w:rsid w:val="00CA582C"/>
    <w:rsid w:val="00CA6DD9"/>
    <w:rsid w:val="00CB1193"/>
    <w:rsid w:val="00CB1707"/>
    <w:rsid w:val="00CB4767"/>
    <w:rsid w:val="00CB493D"/>
    <w:rsid w:val="00CB5E78"/>
    <w:rsid w:val="00CC0A6E"/>
    <w:rsid w:val="00CC3B97"/>
    <w:rsid w:val="00CC5B87"/>
    <w:rsid w:val="00CD6257"/>
    <w:rsid w:val="00CD6835"/>
    <w:rsid w:val="00CD7C0B"/>
    <w:rsid w:val="00CE10C4"/>
    <w:rsid w:val="00CE2343"/>
    <w:rsid w:val="00CE27B5"/>
    <w:rsid w:val="00CE2BDF"/>
    <w:rsid w:val="00CE4F2F"/>
    <w:rsid w:val="00CE6825"/>
    <w:rsid w:val="00CE6D24"/>
    <w:rsid w:val="00CE6DAF"/>
    <w:rsid w:val="00CF410A"/>
    <w:rsid w:val="00CF6484"/>
    <w:rsid w:val="00CF7528"/>
    <w:rsid w:val="00CF7FDE"/>
    <w:rsid w:val="00D012AF"/>
    <w:rsid w:val="00D01CD7"/>
    <w:rsid w:val="00D0321E"/>
    <w:rsid w:val="00D03403"/>
    <w:rsid w:val="00D05457"/>
    <w:rsid w:val="00D069EB"/>
    <w:rsid w:val="00D07A8A"/>
    <w:rsid w:val="00D10095"/>
    <w:rsid w:val="00D10E31"/>
    <w:rsid w:val="00D11199"/>
    <w:rsid w:val="00D13B3A"/>
    <w:rsid w:val="00D1455A"/>
    <w:rsid w:val="00D14573"/>
    <w:rsid w:val="00D14A70"/>
    <w:rsid w:val="00D154BD"/>
    <w:rsid w:val="00D15F32"/>
    <w:rsid w:val="00D207EA"/>
    <w:rsid w:val="00D22093"/>
    <w:rsid w:val="00D31150"/>
    <w:rsid w:val="00D3138B"/>
    <w:rsid w:val="00D31FCE"/>
    <w:rsid w:val="00D3280C"/>
    <w:rsid w:val="00D3406A"/>
    <w:rsid w:val="00D343B3"/>
    <w:rsid w:val="00D34D24"/>
    <w:rsid w:val="00D40B11"/>
    <w:rsid w:val="00D4195E"/>
    <w:rsid w:val="00D42864"/>
    <w:rsid w:val="00D429EC"/>
    <w:rsid w:val="00D441F1"/>
    <w:rsid w:val="00D4572C"/>
    <w:rsid w:val="00D469B2"/>
    <w:rsid w:val="00D51794"/>
    <w:rsid w:val="00D52B24"/>
    <w:rsid w:val="00D52ECF"/>
    <w:rsid w:val="00D54B09"/>
    <w:rsid w:val="00D56963"/>
    <w:rsid w:val="00D57894"/>
    <w:rsid w:val="00D60FBA"/>
    <w:rsid w:val="00D6243E"/>
    <w:rsid w:val="00D65658"/>
    <w:rsid w:val="00D67EB2"/>
    <w:rsid w:val="00D70349"/>
    <w:rsid w:val="00D722B8"/>
    <w:rsid w:val="00D72B6F"/>
    <w:rsid w:val="00D741EB"/>
    <w:rsid w:val="00D7679C"/>
    <w:rsid w:val="00D805D1"/>
    <w:rsid w:val="00D820F3"/>
    <w:rsid w:val="00D83605"/>
    <w:rsid w:val="00D84934"/>
    <w:rsid w:val="00D866EB"/>
    <w:rsid w:val="00D87D1A"/>
    <w:rsid w:val="00D906DA"/>
    <w:rsid w:val="00D91271"/>
    <w:rsid w:val="00D919F5"/>
    <w:rsid w:val="00D945F6"/>
    <w:rsid w:val="00D94F03"/>
    <w:rsid w:val="00D95161"/>
    <w:rsid w:val="00D95C23"/>
    <w:rsid w:val="00D97621"/>
    <w:rsid w:val="00DA0A82"/>
    <w:rsid w:val="00DA0D14"/>
    <w:rsid w:val="00DA1FC9"/>
    <w:rsid w:val="00DA2CB5"/>
    <w:rsid w:val="00DA383E"/>
    <w:rsid w:val="00DA49D8"/>
    <w:rsid w:val="00DA4BAC"/>
    <w:rsid w:val="00DA722E"/>
    <w:rsid w:val="00DA792A"/>
    <w:rsid w:val="00DB0151"/>
    <w:rsid w:val="00DB04D7"/>
    <w:rsid w:val="00DB3526"/>
    <w:rsid w:val="00DB50E1"/>
    <w:rsid w:val="00DC0566"/>
    <w:rsid w:val="00DC05E1"/>
    <w:rsid w:val="00DC0895"/>
    <w:rsid w:val="00DC1499"/>
    <w:rsid w:val="00DC16CF"/>
    <w:rsid w:val="00DC2C3E"/>
    <w:rsid w:val="00DC3137"/>
    <w:rsid w:val="00DC4880"/>
    <w:rsid w:val="00DC5555"/>
    <w:rsid w:val="00DC5E90"/>
    <w:rsid w:val="00DD0BE9"/>
    <w:rsid w:val="00DD26F9"/>
    <w:rsid w:val="00DD42AB"/>
    <w:rsid w:val="00DD5E0C"/>
    <w:rsid w:val="00DD6DE0"/>
    <w:rsid w:val="00DE06AF"/>
    <w:rsid w:val="00DE6D27"/>
    <w:rsid w:val="00DE76EA"/>
    <w:rsid w:val="00DE7C28"/>
    <w:rsid w:val="00DF01F8"/>
    <w:rsid w:val="00DF021D"/>
    <w:rsid w:val="00DF14EE"/>
    <w:rsid w:val="00DF217D"/>
    <w:rsid w:val="00DF26A7"/>
    <w:rsid w:val="00DF3277"/>
    <w:rsid w:val="00DF520B"/>
    <w:rsid w:val="00DF6A31"/>
    <w:rsid w:val="00DF77A1"/>
    <w:rsid w:val="00DF7919"/>
    <w:rsid w:val="00E01917"/>
    <w:rsid w:val="00E0207E"/>
    <w:rsid w:val="00E02AE6"/>
    <w:rsid w:val="00E03376"/>
    <w:rsid w:val="00E03912"/>
    <w:rsid w:val="00E04748"/>
    <w:rsid w:val="00E078D9"/>
    <w:rsid w:val="00E10293"/>
    <w:rsid w:val="00E103A0"/>
    <w:rsid w:val="00E1043F"/>
    <w:rsid w:val="00E11F44"/>
    <w:rsid w:val="00E13E60"/>
    <w:rsid w:val="00E15627"/>
    <w:rsid w:val="00E164B3"/>
    <w:rsid w:val="00E16910"/>
    <w:rsid w:val="00E21164"/>
    <w:rsid w:val="00E239E2"/>
    <w:rsid w:val="00E24E09"/>
    <w:rsid w:val="00E27234"/>
    <w:rsid w:val="00E3495C"/>
    <w:rsid w:val="00E35687"/>
    <w:rsid w:val="00E3623F"/>
    <w:rsid w:val="00E408B8"/>
    <w:rsid w:val="00E42BDB"/>
    <w:rsid w:val="00E45055"/>
    <w:rsid w:val="00E507FB"/>
    <w:rsid w:val="00E53F1A"/>
    <w:rsid w:val="00E5726D"/>
    <w:rsid w:val="00E57EEB"/>
    <w:rsid w:val="00E6056F"/>
    <w:rsid w:val="00E6220F"/>
    <w:rsid w:val="00E62D94"/>
    <w:rsid w:val="00E62ECC"/>
    <w:rsid w:val="00E64F37"/>
    <w:rsid w:val="00E65091"/>
    <w:rsid w:val="00E65393"/>
    <w:rsid w:val="00E65E54"/>
    <w:rsid w:val="00E661C7"/>
    <w:rsid w:val="00E66679"/>
    <w:rsid w:val="00E732C4"/>
    <w:rsid w:val="00E74E41"/>
    <w:rsid w:val="00E76B16"/>
    <w:rsid w:val="00E76EA6"/>
    <w:rsid w:val="00E80155"/>
    <w:rsid w:val="00E8134B"/>
    <w:rsid w:val="00E81E0D"/>
    <w:rsid w:val="00E81F28"/>
    <w:rsid w:val="00E848C0"/>
    <w:rsid w:val="00E84BB8"/>
    <w:rsid w:val="00E86F92"/>
    <w:rsid w:val="00E91B96"/>
    <w:rsid w:val="00E92F2E"/>
    <w:rsid w:val="00E935DA"/>
    <w:rsid w:val="00E93D1E"/>
    <w:rsid w:val="00E941A1"/>
    <w:rsid w:val="00E95CE3"/>
    <w:rsid w:val="00E95F9A"/>
    <w:rsid w:val="00E9687F"/>
    <w:rsid w:val="00EA0856"/>
    <w:rsid w:val="00EA1A01"/>
    <w:rsid w:val="00EA1DC4"/>
    <w:rsid w:val="00EA252F"/>
    <w:rsid w:val="00EA2825"/>
    <w:rsid w:val="00EA5027"/>
    <w:rsid w:val="00EA6435"/>
    <w:rsid w:val="00EA64C2"/>
    <w:rsid w:val="00EA6518"/>
    <w:rsid w:val="00EA71A2"/>
    <w:rsid w:val="00EA7466"/>
    <w:rsid w:val="00EA7EDE"/>
    <w:rsid w:val="00EB09D3"/>
    <w:rsid w:val="00EB0B63"/>
    <w:rsid w:val="00EB1936"/>
    <w:rsid w:val="00EB3545"/>
    <w:rsid w:val="00EB37BE"/>
    <w:rsid w:val="00EB4BAE"/>
    <w:rsid w:val="00EB5088"/>
    <w:rsid w:val="00EB7210"/>
    <w:rsid w:val="00EC00AE"/>
    <w:rsid w:val="00EC242B"/>
    <w:rsid w:val="00EC2726"/>
    <w:rsid w:val="00EC681C"/>
    <w:rsid w:val="00EC6FD8"/>
    <w:rsid w:val="00EC7306"/>
    <w:rsid w:val="00EC7785"/>
    <w:rsid w:val="00EC7B87"/>
    <w:rsid w:val="00ED1644"/>
    <w:rsid w:val="00ED1761"/>
    <w:rsid w:val="00ED2593"/>
    <w:rsid w:val="00ED3709"/>
    <w:rsid w:val="00ED7D55"/>
    <w:rsid w:val="00ED7D9C"/>
    <w:rsid w:val="00EE00A7"/>
    <w:rsid w:val="00EE207C"/>
    <w:rsid w:val="00EE31A2"/>
    <w:rsid w:val="00EE3B3A"/>
    <w:rsid w:val="00EE4329"/>
    <w:rsid w:val="00EE489D"/>
    <w:rsid w:val="00EE6203"/>
    <w:rsid w:val="00EF0069"/>
    <w:rsid w:val="00EF0497"/>
    <w:rsid w:val="00EF44A0"/>
    <w:rsid w:val="00EF4580"/>
    <w:rsid w:val="00EF4FED"/>
    <w:rsid w:val="00EF5F45"/>
    <w:rsid w:val="00EF5FC5"/>
    <w:rsid w:val="00EF6843"/>
    <w:rsid w:val="00EF6941"/>
    <w:rsid w:val="00EF6FB3"/>
    <w:rsid w:val="00EF7D64"/>
    <w:rsid w:val="00F0068B"/>
    <w:rsid w:val="00F007C6"/>
    <w:rsid w:val="00F0172E"/>
    <w:rsid w:val="00F050BD"/>
    <w:rsid w:val="00F05657"/>
    <w:rsid w:val="00F05AB0"/>
    <w:rsid w:val="00F12C74"/>
    <w:rsid w:val="00F13214"/>
    <w:rsid w:val="00F1559A"/>
    <w:rsid w:val="00F1590E"/>
    <w:rsid w:val="00F15B60"/>
    <w:rsid w:val="00F17ED6"/>
    <w:rsid w:val="00F20676"/>
    <w:rsid w:val="00F2094D"/>
    <w:rsid w:val="00F209E2"/>
    <w:rsid w:val="00F2398F"/>
    <w:rsid w:val="00F248F3"/>
    <w:rsid w:val="00F25578"/>
    <w:rsid w:val="00F258E5"/>
    <w:rsid w:val="00F25B9C"/>
    <w:rsid w:val="00F2675A"/>
    <w:rsid w:val="00F26CC6"/>
    <w:rsid w:val="00F300BC"/>
    <w:rsid w:val="00F305FA"/>
    <w:rsid w:val="00F3263C"/>
    <w:rsid w:val="00F3334E"/>
    <w:rsid w:val="00F3573A"/>
    <w:rsid w:val="00F36CCB"/>
    <w:rsid w:val="00F374E5"/>
    <w:rsid w:val="00F37B93"/>
    <w:rsid w:val="00F37BAD"/>
    <w:rsid w:val="00F37ECA"/>
    <w:rsid w:val="00F40A1C"/>
    <w:rsid w:val="00F427B2"/>
    <w:rsid w:val="00F43AF2"/>
    <w:rsid w:val="00F45216"/>
    <w:rsid w:val="00F5007E"/>
    <w:rsid w:val="00F508F6"/>
    <w:rsid w:val="00F50EC4"/>
    <w:rsid w:val="00F52232"/>
    <w:rsid w:val="00F527B1"/>
    <w:rsid w:val="00F52DC2"/>
    <w:rsid w:val="00F54AF9"/>
    <w:rsid w:val="00F550CF"/>
    <w:rsid w:val="00F553D2"/>
    <w:rsid w:val="00F56A2D"/>
    <w:rsid w:val="00F57A6D"/>
    <w:rsid w:val="00F6044B"/>
    <w:rsid w:val="00F62F19"/>
    <w:rsid w:val="00F638CC"/>
    <w:rsid w:val="00F64C9E"/>
    <w:rsid w:val="00F64CC1"/>
    <w:rsid w:val="00F708B1"/>
    <w:rsid w:val="00F72317"/>
    <w:rsid w:val="00F73DC1"/>
    <w:rsid w:val="00F75BB8"/>
    <w:rsid w:val="00F77714"/>
    <w:rsid w:val="00F80475"/>
    <w:rsid w:val="00F80E6E"/>
    <w:rsid w:val="00F81390"/>
    <w:rsid w:val="00F81910"/>
    <w:rsid w:val="00F81F7A"/>
    <w:rsid w:val="00F8247A"/>
    <w:rsid w:val="00F82E5C"/>
    <w:rsid w:val="00F83E86"/>
    <w:rsid w:val="00F83F58"/>
    <w:rsid w:val="00F85206"/>
    <w:rsid w:val="00F87CEA"/>
    <w:rsid w:val="00F9265D"/>
    <w:rsid w:val="00F95587"/>
    <w:rsid w:val="00F96026"/>
    <w:rsid w:val="00F9629A"/>
    <w:rsid w:val="00F97EFC"/>
    <w:rsid w:val="00FA0B04"/>
    <w:rsid w:val="00FA0C7C"/>
    <w:rsid w:val="00FA1BDD"/>
    <w:rsid w:val="00FA305C"/>
    <w:rsid w:val="00FA462E"/>
    <w:rsid w:val="00FA4DD5"/>
    <w:rsid w:val="00FA5883"/>
    <w:rsid w:val="00FA6055"/>
    <w:rsid w:val="00FB0B39"/>
    <w:rsid w:val="00FB322F"/>
    <w:rsid w:val="00FB415E"/>
    <w:rsid w:val="00FB442F"/>
    <w:rsid w:val="00FB620D"/>
    <w:rsid w:val="00FC01B6"/>
    <w:rsid w:val="00FC118C"/>
    <w:rsid w:val="00FC1929"/>
    <w:rsid w:val="00FC5B46"/>
    <w:rsid w:val="00FD1D4F"/>
    <w:rsid w:val="00FD24BF"/>
    <w:rsid w:val="00FD3B6E"/>
    <w:rsid w:val="00FD4140"/>
    <w:rsid w:val="00FD57EB"/>
    <w:rsid w:val="00FD6D8E"/>
    <w:rsid w:val="00FE0663"/>
    <w:rsid w:val="00FE0E94"/>
    <w:rsid w:val="00FE369C"/>
    <w:rsid w:val="00FE3A51"/>
    <w:rsid w:val="00FE3CD9"/>
    <w:rsid w:val="00FE73CF"/>
    <w:rsid w:val="00FF00BD"/>
    <w:rsid w:val="00FF0B13"/>
    <w:rsid w:val="00FF1ED4"/>
    <w:rsid w:val="00FF2801"/>
    <w:rsid w:val="00FF4D55"/>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Summary box,ASD Table,new sty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uiPriority w:val="2"/>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uiPriority w:val="2"/>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NormalWeb">
    <w:name w:val="Normal (Web)"/>
    <w:basedOn w:val="Normal"/>
    <w:uiPriority w:val="99"/>
    <w:unhideWhenUsed/>
    <w:rsid w:val="00057600"/>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057600"/>
    <w:rPr>
      <w:b/>
      <w:bCs/>
    </w:rPr>
  </w:style>
  <w:style w:type="paragraph" w:customStyle="1" w:styleId="EndNoteBibliography">
    <w:name w:val="EndNote Bibliography"/>
    <w:basedOn w:val="Normal"/>
    <w:link w:val="EndNoteBibliographyChar"/>
    <w:rsid w:val="003434D8"/>
    <w:pPr>
      <w:spacing w:after="200"/>
    </w:pPr>
    <w:rPr>
      <w:rFonts w:eastAsiaTheme="minorHAnsi" w:cs="Arial"/>
      <w:noProof/>
      <w:sz w:val="22"/>
      <w:szCs w:val="22"/>
      <w:lang w:val="en-US" w:eastAsia="en-US"/>
    </w:rPr>
  </w:style>
  <w:style w:type="character" w:customStyle="1" w:styleId="EndNoteBibliographyChar">
    <w:name w:val="EndNote Bibliography Char"/>
    <w:basedOn w:val="DefaultParagraphFont"/>
    <w:link w:val="EndNoteBibliography"/>
    <w:rsid w:val="003434D8"/>
    <w:rPr>
      <w:rFonts w:ascii="Calibri" w:eastAsiaTheme="minorHAnsi" w:hAnsi="Calibri" w:cs="Arial"/>
      <w:noProof/>
      <w:sz w:val="22"/>
      <w:szCs w:val="22"/>
      <w:lang w:val="en-US" w:eastAsia="en-US"/>
    </w:rPr>
  </w:style>
  <w:style w:type="paragraph" w:customStyle="1" w:styleId="Table">
    <w:name w:val="Table"/>
    <w:basedOn w:val="Normal"/>
    <w:link w:val="TableChar"/>
    <w:qFormat/>
    <w:rsid w:val="003434D8"/>
    <w:pPr>
      <w:keepLines/>
      <w:jc w:val="left"/>
    </w:pPr>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3434D8"/>
    <w:rPr>
      <w:rFonts w:ascii="Candara" w:eastAsiaTheme="majorEastAsia" w:hAnsi="Candara" w:cstheme="majorBidi"/>
      <w:szCs w:val="22"/>
      <w:lang w:eastAsia="en-US" w:bidi="en-US"/>
    </w:rPr>
  </w:style>
  <w:style w:type="paragraph" w:styleId="ListBullet2">
    <w:name w:val="List Bullet 2"/>
    <w:basedOn w:val="Normal"/>
    <w:autoRedefine/>
    <w:semiHidden/>
    <w:rsid w:val="003434D8"/>
    <w:pPr>
      <w:numPr>
        <w:numId w:val="26"/>
      </w:numPr>
      <w:tabs>
        <w:tab w:val="left" w:pos="416"/>
        <w:tab w:val="left" w:pos="582"/>
      </w:tabs>
      <w:spacing w:before="360" w:after="200" w:line="276" w:lineRule="auto"/>
      <w:jc w:val="left"/>
    </w:pPr>
    <w:rPr>
      <w:rFonts w:ascii="Arial" w:hAnsi="Arial"/>
      <w:lang w:eastAsia="en-US"/>
    </w:rPr>
  </w:style>
  <w:style w:type="paragraph" w:styleId="TOC2">
    <w:name w:val="toc 2"/>
    <w:basedOn w:val="Normal"/>
    <w:next w:val="Normal"/>
    <w:autoRedefine/>
    <w:uiPriority w:val="39"/>
    <w:unhideWhenUsed/>
    <w:qFormat/>
    <w:rsid w:val="00AC032C"/>
    <w:pPr>
      <w:tabs>
        <w:tab w:val="left" w:pos="880"/>
        <w:tab w:val="right" w:leader="dot" w:pos="9016"/>
      </w:tabs>
      <w:spacing w:before="40" w:after="200"/>
      <w:ind w:left="221"/>
    </w:pPr>
    <w:rPr>
      <w:rFonts w:eastAsiaTheme="minorHAnsi" w:cstheme="minorBidi"/>
      <w:noProof/>
      <w:sz w:val="20"/>
      <w:szCs w:val="22"/>
      <w:lang w:eastAsia="en-US"/>
    </w:rPr>
  </w:style>
  <w:style w:type="paragraph" w:customStyle="1" w:styleId="Tablenotes0">
    <w:name w:val="Table notes"/>
    <w:basedOn w:val="Normal"/>
    <w:link w:val="TablenotesCharChar"/>
    <w:qFormat/>
    <w:rsid w:val="00BF65DF"/>
    <w:pPr>
      <w:keepNext/>
      <w:keepLines/>
      <w:spacing w:after="360"/>
      <w:contextualSpacing/>
      <w:jc w:val="left"/>
    </w:pPr>
    <w:rPr>
      <w:rFonts w:ascii="Arial Narrow" w:hAnsi="Arial Narrow"/>
      <w:sz w:val="16"/>
      <w:szCs w:val="22"/>
      <w:lang w:eastAsia="en-GB"/>
    </w:rPr>
  </w:style>
  <w:style w:type="character" w:customStyle="1" w:styleId="TablenotesCharChar">
    <w:name w:val="Table notes Char Char"/>
    <w:link w:val="Tablenotes0"/>
    <w:locked/>
    <w:rsid w:val="00BF65DF"/>
    <w:rPr>
      <w:rFonts w:ascii="Arial Narrow" w:hAnsi="Arial Narrow"/>
      <w:sz w:val="16"/>
      <w:szCs w:val="22"/>
      <w:lang w:eastAsia="en-GB"/>
    </w:rPr>
  </w:style>
  <w:style w:type="paragraph" w:styleId="EndnoteText">
    <w:name w:val="endnote text"/>
    <w:basedOn w:val="Normal"/>
    <w:link w:val="EndnoteTextChar"/>
    <w:semiHidden/>
    <w:unhideWhenUsed/>
    <w:rsid w:val="00574A3A"/>
    <w:pPr>
      <w:spacing w:after="200"/>
    </w:pPr>
    <w:rPr>
      <w:rFonts w:eastAsiaTheme="minorHAnsi" w:cstheme="minorBidi"/>
      <w:sz w:val="20"/>
      <w:szCs w:val="20"/>
      <w:lang w:eastAsia="en-US"/>
    </w:rPr>
  </w:style>
  <w:style w:type="character" w:customStyle="1" w:styleId="EndnoteTextChar">
    <w:name w:val="Endnote Text Char"/>
    <w:basedOn w:val="DefaultParagraphFont"/>
    <w:link w:val="EndnoteText"/>
    <w:semiHidden/>
    <w:rsid w:val="00574A3A"/>
    <w:rPr>
      <w:rFonts w:ascii="Calibri" w:eastAsiaTheme="minorHAnsi" w:hAnsi="Calibri" w:cstheme="minorBidi"/>
      <w:lang w:eastAsia="en-US"/>
    </w:rPr>
  </w:style>
  <w:style w:type="table" w:customStyle="1" w:styleId="TableGrid151">
    <w:name w:val="Table Grid151"/>
    <w:basedOn w:val="TableNormal"/>
    <w:next w:val="TableGrid"/>
    <w:rsid w:val="00574A3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FootnoteText">
    <w:name w:val="footnote text"/>
    <w:basedOn w:val="Normal"/>
    <w:link w:val="FootnoteTextChar"/>
    <w:semiHidden/>
    <w:unhideWhenUsed/>
    <w:rsid w:val="00860A8E"/>
    <w:rPr>
      <w:sz w:val="20"/>
      <w:szCs w:val="20"/>
    </w:rPr>
  </w:style>
  <w:style w:type="character" w:customStyle="1" w:styleId="FootnoteTextChar">
    <w:name w:val="Footnote Text Char"/>
    <w:basedOn w:val="DefaultParagraphFont"/>
    <w:link w:val="FootnoteText"/>
    <w:semiHidden/>
    <w:rsid w:val="00860A8E"/>
    <w:rPr>
      <w:rFonts w:ascii="Calibri" w:hAnsi="Calibri"/>
    </w:rPr>
  </w:style>
  <w:style w:type="character" w:styleId="FootnoteReference">
    <w:name w:val="footnote reference"/>
    <w:basedOn w:val="DefaultParagraphFont"/>
    <w:semiHidden/>
    <w:unhideWhenUsed/>
    <w:rsid w:val="00860A8E"/>
    <w:rPr>
      <w:vertAlign w:val="superscript"/>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basedOn w:val="DefaultParagraphFont"/>
    <w:link w:val="Caption"/>
    <w:uiPriority w:val="99"/>
    <w:rsid w:val="005F3049"/>
    <w:rPr>
      <w:rFonts w:ascii="Calibri" w:hAnsi="Calibri"/>
      <w:i/>
      <w:iCs/>
      <w:color w:val="000000" w:themeColor="text1"/>
      <w:sz w:val="18"/>
      <w:szCs w:val="18"/>
    </w:rPr>
  </w:style>
  <w:style w:type="character" w:customStyle="1" w:styleId="cf01">
    <w:name w:val="cf01"/>
    <w:basedOn w:val="DefaultParagraphFont"/>
    <w:rsid w:val="00020E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138">
      <w:bodyDiv w:val="1"/>
      <w:marLeft w:val="0"/>
      <w:marRight w:val="0"/>
      <w:marTop w:val="0"/>
      <w:marBottom w:val="0"/>
      <w:divBdr>
        <w:top w:val="none" w:sz="0" w:space="0" w:color="auto"/>
        <w:left w:val="none" w:sz="0" w:space="0" w:color="auto"/>
        <w:bottom w:val="none" w:sz="0" w:space="0" w:color="auto"/>
        <w:right w:val="none" w:sz="0" w:space="0" w:color="auto"/>
      </w:divBdr>
      <w:divsChild>
        <w:div w:id="309868341">
          <w:marLeft w:val="0"/>
          <w:marRight w:val="0"/>
          <w:marTop w:val="0"/>
          <w:marBottom w:val="0"/>
          <w:divBdr>
            <w:top w:val="none" w:sz="0" w:space="0" w:color="auto"/>
            <w:left w:val="none" w:sz="0" w:space="0" w:color="auto"/>
            <w:bottom w:val="none" w:sz="0" w:space="0" w:color="auto"/>
            <w:right w:val="none" w:sz="0" w:space="0" w:color="auto"/>
          </w:divBdr>
          <w:divsChild>
            <w:div w:id="1515875589">
              <w:marLeft w:val="0"/>
              <w:marRight w:val="0"/>
              <w:marTop w:val="0"/>
              <w:marBottom w:val="0"/>
              <w:divBdr>
                <w:top w:val="none" w:sz="0" w:space="0" w:color="auto"/>
                <w:left w:val="none" w:sz="0" w:space="0" w:color="auto"/>
                <w:bottom w:val="none" w:sz="0" w:space="0" w:color="auto"/>
                <w:right w:val="none" w:sz="0" w:space="0" w:color="auto"/>
              </w:divBdr>
              <w:divsChild>
                <w:div w:id="2063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3859">
          <w:marLeft w:val="0"/>
          <w:marRight w:val="0"/>
          <w:marTop w:val="0"/>
          <w:marBottom w:val="0"/>
          <w:divBdr>
            <w:top w:val="none" w:sz="0" w:space="0" w:color="auto"/>
            <w:left w:val="none" w:sz="0" w:space="0" w:color="auto"/>
            <w:bottom w:val="none" w:sz="0" w:space="0" w:color="auto"/>
            <w:right w:val="none" w:sz="0" w:space="0" w:color="auto"/>
          </w:divBdr>
          <w:divsChild>
            <w:div w:id="1206914188">
              <w:marLeft w:val="0"/>
              <w:marRight w:val="0"/>
              <w:marTop w:val="0"/>
              <w:marBottom w:val="0"/>
              <w:divBdr>
                <w:top w:val="none" w:sz="0" w:space="0" w:color="auto"/>
                <w:left w:val="none" w:sz="0" w:space="0" w:color="auto"/>
                <w:bottom w:val="none" w:sz="0" w:space="0" w:color="auto"/>
                <w:right w:val="none" w:sz="0" w:space="0" w:color="auto"/>
              </w:divBdr>
              <w:divsChild>
                <w:div w:id="38044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0478">
          <w:marLeft w:val="0"/>
          <w:marRight w:val="0"/>
          <w:marTop w:val="0"/>
          <w:marBottom w:val="0"/>
          <w:divBdr>
            <w:top w:val="none" w:sz="0" w:space="0" w:color="auto"/>
            <w:left w:val="none" w:sz="0" w:space="0" w:color="auto"/>
            <w:bottom w:val="none" w:sz="0" w:space="0" w:color="auto"/>
            <w:right w:val="none" w:sz="0" w:space="0" w:color="auto"/>
          </w:divBdr>
          <w:divsChild>
            <w:div w:id="1645045748">
              <w:marLeft w:val="0"/>
              <w:marRight w:val="0"/>
              <w:marTop w:val="0"/>
              <w:marBottom w:val="0"/>
              <w:divBdr>
                <w:top w:val="none" w:sz="0" w:space="0" w:color="auto"/>
                <w:left w:val="none" w:sz="0" w:space="0" w:color="auto"/>
                <w:bottom w:val="none" w:sz="0" w:space="0" w:color="auto"/>
                <w:right w:val="none" w:sz="0" w:space="0" w:color="auto"/>
              </w:divBdr>
              <w:divsChild>
                <w:div w:id="58229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9824">
          <w:marLeft w:val="0"/>
          <w:marRight w:val="0"/>
          <w:marTop w:val="0"/>
          <w:marBottom w:val="0"/>
          <w:divBdr>
            <w:top w:val="none" w:sz="0" w:space="0" w:color="auto"/>
            <w:left w:val="none" w:sz="0" w:space="0" w:color="auto"/>
            <w:bottom w:val="none" w:sz="0" w:space="0" w:color="auto"/>
            <w:right w:val="none" w:sz="0" w:space="0" w:color="auto"/>
          </w:divBdr>
          <w:divsChild>
            <w:div w:id="2030181745">
              <w:marLeft w:val="0"/>
              <w:marRight w:val="0"/>
              <w:marTop w:val="0"/>
              <w:marBottom w:val="0"/>
              <w:divBdr>
                <w:top w:val="none" w:sz="0" w:space="0" w:color="auto"/>
                <w:left w:val="none" w:sz="0" w:space="0" w:color="auto"/>
                <w:bottom w:val="none" w:sz="0" w:space="0" w:color="auto"/>
                <w:right w:val="none" w:sz="0" w:space="0" w:color="auto"/>
              </w:divBdr>
              <w:divsChild>
                <w:div w:id="7184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581">
      <w:bodyDiv w:val="1"/>
      <w:marLeft w:val="0"/>
      <w:marRight w:val="0"/>
      <w:marTop w:val="0"/>
      <w:marBottom w:val="0"/>
      <w:divBdr>
        <w:top w:val="none" w:sz="0" w:space="0" w:color="auto"/>
        <w:left w:val="none" w:sz="0" w:space="0" w:color="auto"/>
        <w:bottom w:val="none" w:sz="0" w:space="0" w:color="auto"/>
        <w:right w:val="none" w:sz="0" w:space="0" w:color="auto"/>
      </w:divBdr>
      <w:divsChild>
        <w:div w:id="1115633793">
          <w:marLeft w:val="0"/>
          <w:marRight w:val="0"/>
          <w:marTop w:val="0"/>
          <w:marBottom w:val="0"/>
          <w:divBdr>
            <w:top w:val="none" w:sz="0" w:space="0" w:color="auto"/>
            <w:left w:val="none" w:sz="0" w:space="0" w:color="auto"/>
            <w:bottom w:val="none" w:sz="0" w:space="0" w:color="auto"/>
            <w:right w:val="none" w:sz="0" w:space="0" w:color="auto"/>
          </w:divBdr>
          <w:divsChild>
            <w:div w:id="1556742623">
              <w:marLeft w:val="0"/>
              <w:marRight w:val="0"/>
              <w:marTop w:val="0"/>
              <w:marBottom w:val="0"/>
              <w:divBdr>
                <w:top w:val="none" w:sz="0" w:space="0" w:color="auto"/>
                <w:left w:val="none" w:sz="0" w:space="0" w:color="auto"/>
                <w:bottom w:val="none" w:sz="0" w:space="0" w:color="auto"/>
                <w:right w:val="none" w:sz="0" w:space="0" w:color="auto"/>
              </w:divBdr>
              <w:divsChild>
                <w:div w:id="19457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1440">
          <w:marLeft w:val="0"/>
          <w:marRight w:val="0"/>
          <w:marTop w:val="0"/>
          <w:marBottom w:val="0"/>
          <w:divBdr>
            <w:top w:val="none" w:sz="0" w:space="0" w:color="auto"/>
            <w:left w:val="none" w:sz="0" w:space="0" w:color="auto"/>
            <w:bottom w:val="none" w:sz="0" w:space="0" w:color="auto"/>
            <w:right w:val="none" w:sz="0" w:space="0" w:color="auto"/>
          </w:divBdr>
          <w:divsChild>
            <w:div w:id="373433801">
              <w:marLeft w:val="0"/>
              <w:marRight w:val="0"/>
              <w:marTop w:val="0"/>
              <w:marBottom w:val="0"/>
              <w:divBdr>
                <w:top w:val="none" w:sz="0" w:space="0" w:color="auto"/>
                <w:left w:val="none" w:sz="0" w:space="0" w:color="auto"/>
                <w:bottom w:val="none" w:sz="0" w:space="0" w:color="auto"/>
                <w:right w:val="none" w:sz="0" w:space="0" w:color="auto"/>
              </w:divBdr>
              <w:divsChild>
                <w:div w:id="11304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19338">
          <w:marLeft w:val="0"/>
          <w:marRight w:val="0"/>
          <w:marTop w:val="0"/>
          <w:marBottom w:val="0"/>
          <w:divBdr>
            <w:top w:val="none" w:sz="0" w:space="0" w:color="auto"/>
            <w:left w:val="none" w:sz="0" w:space="0" w:color="auto"/>
            <w:bottom w:val="none" w:sz="0" w:space="0" w:color="auto"/>
            <w:right w:val="none" w:sz="0" w:space="0" w:color="auto"/>
          </w:divBdr>
          <w:divsChild>
            <w:div w:id="1876235755">
              <w:marLeft w:val="0"/>
              <w:marRight w:val="0"/>
              <w:marTop w:val="0"/>
              <w:marBottom w:val="0"/>
              <w:divBdr>
                <w:top w:val="none" w:sz="0" w:space="0" w:color="auto"/>
                <w:left w:val="none" w:sz="0" w:space="0" w:color="auto"/>
                <w:bottom w:val="none" w:sz="0" w:space="0" w:color="auto"/>
                <w:right w:val="none" w:sz="0" w:space="0" w:color="auto"/>
              </w:divBdr>
              <w:divsChild>
                <w:div w:id="20587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36303">
          <w:marLeft w:val="0"/>
          <w:marRight w:val="0"/>
          <w:marTop w:val="0"/>
          <w:marBottom w:val="0"/>
          <w:divBdr>
            <w:top w:val="none" w:sz="0" w:space="0" w:color="auto"/>
            <w:left w:val="none" w:sz="0" w:space="0" w:color="auto"/>
            <w:bottom w:val="none" w:sz="0" w:space="0" w:color="auto"/>
            <w:right w:val="none" w:sz="0" w:space="0" w:color="auto"/>
          </w:divBdr>
          <w:divsChild>
            <w:div w:id="95518618">
              <w:marLeft w:val="0"/>
              <w:marRight w:val="0"/>
              <w:marTop w:val="0"/>
              <w:marBottom w:val="0"/>
              <w:divBdr>
                <w:top w:val="none" w:sz="0" w:space="0" w:color="auto"/>
                <w:left w:val="none" w:sz="0" w:space="0" w:color="auto"/>
                <w:bottom w:val="none" w:sz="0" w:space="0" w:color="auto"/>
                <w:right w:val="none" w:sz="0" w:space="0" w:color="auto"/>
              </w:divBdr>
              <w:divsChild>
                <w:div w:id="2813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5657">
          <w:marLeft w:val="0"/>
          <w:marRight w:val="0"/>
          <w:marTop w:val="0"/>
          <w:marBottom w:val="0"/>
          <w:divBdr>
            <w:top w:val="none" w:sz="0" w:space="0" w:color="auto"/>
            <w:left w:val="none" w:sz="0" w:space="0" w:color="auto"/>
            <w:bottom w:val="none" w:sz="0" w:space="0" w:color="auto"/>
            <w:right w:val="none" w:sz="0" w:space="0" w:color="auto"/>
          </w:divBdr>
          <w:divsChild>
            <w:div w:id="2113278057">
              <w:marLeft w:val="0"/>
              <w:marRight w:val="0"/>
              <w:marTop w:val="0"/>
              <w:marBottom w:val="0"/>
              <w:divBdr>
                <w:top w:val="none" w:sz="0" w:space="0" w:color="auto"/>
                <w:left w:val="none" w:sz="0" w:space="0" w:color="auto"/>
                <w:bottom w:val="none" w:sz="0" w:space="0" w:color="auto"/>
                <w:right w:val="none" w:sz="0" w:space="0" w:color="auto"/>
              </w:divBdr>
              <w:divsChild>
                <w:div w:id="20119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0802">
          <w:marLeft w:val="0"/>
          <w:marRight w:val="0"/>
          <w:marTop w:val="0"/>
          <w:marBottom w:val="0"/>
          <w:divBdr>
            <w:top w:val="none" w:sz="0" w:space="0" w:color="auto"/>
            <w:left w:val="none" w:sz="0" w:space="0" w:color="auto"/>
            <w:bottom w:val="none" w:sz="0" w:space="0" w:color="auto"/>
            <w:right w:val="none" w:sz="0" w:space="0" w:color="auto"/>
          </w:divBdr>
          <w:divsChild>
            <w:div w:id="1607420707">
              <w:marLeft w:val="0"/>
              <w:marRight w:val="0"/>
              <w:marTop w:val="0"/>
              <w:marBottom w:val="0"/>
              <w:divBdr>
                <w:top w:val="none" w:sz="0" w:space="0" w:color="auto"/>
                <w:left w:val="none" w:sz="0" w:space="0" w:color="auto"/>
                <w:bottom w:val="none" w:sz="0" w:space="0" w:color="auto"/>
                <w:right w:val="none" w:sz="0" w:space="0" w:color="auto"/>
              </w:divBdr>
              <w:divsChild>
                <w:div w:id="857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15230">
          <w:marLeft w:val="0"/>
          <w:marRight w:val="0"/>
          <w:marTop w:val="0"/>
          <w:marBottom w:val="0"/>
          <w:divBdr>
            <w:top w:val="none" w:sz="0" w:space="0" w:color="auto"/>
            <w:left w:val="none" w:sz="0" w:space="0" w:color="auto"/>
            <w:bottom w:val="none" w:sz="0" w:space="0" w:color="auto"/>
            <w:right w:val="none" w:sz="0" w:space="0" w:color="auto"/>
          </w:divBdr>
          <w:divsChild>
            <w:div w:id="1426418699">
              <w:marLeft w:val="0"/>
              <w:marRight w:val="0"/>
              <w:marTop w:val="0"/>
              <w:marBottom w:val="0"/>
              <w:divBdr>
                <w:top w:val="none" w:sz="0" w:space="0" w:color="auto"/>
                <w:left w:val="none" w:sz="0" w:space="0" w:color="auto"/>
                <w:bottom w:val="none" w:sz="0" w:space="0" w:color="auto"/>
                <w:right w:val="none" w:sz="0" w:space="0" w:color="auto"/>
              </w:divBdr>
              <w:divsChild>
                <w:div w:id="356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44453">
          <w:marLeft w:val="0"/>
          <w:marRight w:val="0"/>
          <w:marTop w:val="0"/>
          <w:marBottom w:val="0"/>
          <w:divBdr>
            <w:top w:val="none" w:sz="0" w:space="0" w:color="auto"/>
            <w:left w:val="none" w:sz="0" w:space="0" w:color="auto"/>
            <w:bottom w:val="none" w:sz="0" w:space="0" w:color="auto"/>
            <w:right w:val="none" w:sz="0" w:space="0" w:color="auto"/>
          </w:divBdr>
          <w:divsChild>
            <w:div w:id="169609718">
              <w:marLeft w:val="0"/>
              <w:marRight w:val="0"/>
              <w:marTop w:val="0"/>
              <w:marBottom w:val="0"/>
              <w:divBdr>
                <w:top w:val="none" w:sz="0" w:space="0" w:color="auto"/>
                <w:left w:val="none" w:sz="0" w:space="0" w:color="auto"/>
                <w:bottom w:val="none" w:sz="0" w:space="0" w:color="auto"/>
                <w:right w:val="none" w:sz="0" w:space="0" w:color="auto"/>
              </w:divBdr>
              <w:divsChild>
                <w:div w:id="20399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00814">
          <w:marLeft w:val="0"/>
          <w:marRight w:val="0"/>
          <w:marTop w:val="0"/>
          <w:marBottom w:val="0"/>
          <w:divBdr>
            <w:top w:val="none" w:sz="0" w:space="0" w:color="auto"/>
            <w:left w:val="none" w:sz="0" w:space="0" w:color="auto"/>
            <w:bottom w:val="none" w:sz="0" w:space="0" w:color="auto"/>
            <w:right w:val="none" w:sz="0" w:space="0" w:color="auto"/>
          </w:divBdr>
          <w:divsChild>
            <w:div w:id="107550964">
              <w:marLeft w:val="0"/>
              <w:marRight w:val="0"/>
              <w:marTop w:val="0"/>
              <w:marBottom w:val="0"/>
              <w:divBdr>
                <w:top w:val="none" w:sz="0" w:space="0" w:color="auto"/>
                <w:left w:val="none" w:sz="0" w:space="0" w:color="auto"/>
                <w:bottom w:val="none" w:sz="0" w:space="0" w:color="auto"/>
                <w:right w:val="none" w:sz="0" w:space="0" w:color="auto"/>
              </w:divBdr>
              <w:divsChild>
                <w:div w:id="11360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4253">
          <w:marLeft w:val="0"/>
          <w:marRight w:val="0"/>
          <w:marTop w:val="0"/>
          <w:marBottom w:val="0"/>
          <w:divBdr>
            <w:top w:val="none" w:sz="0" w:space="0" w:color="auto"/>
            <w:left w:val="none" w:sz="0" w:space="0" w:color="auto"/>
            <w:bottom w:val="none" w:sz="0" w:space="0" w:color="auto"/>
            <w:right w:val="none" w:sz="0" w:space="0" w:color="auto"/>
          </w:divBdr>
          <w:divsChild>
            <w:div w:id="178399189">
              <w:marLeft w:val="0"/>
              <w:marRight w:val="0"/>
              <w:marTop w:val="0"/>
              <w:marBottom w:val="0"/>
              <w:divBdr>
                <w:top w:val="none" w:sz="0" w:space="0" w:color="auto"/>
                <w:left w:val="none" w:sz="0" w:space="0" w:color="auto"/>
                <w:bottom w:val="none" w:sz="0" w:space="0" w:color="auto"/>
                <w:right w:val="none" w:sz="0" w:space="0" w:color="auto"/>
              </w:divBdr>
              <w:divsChild>
                <w:div w:id="7352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2768">
          <w:marLeft w:val="0"/>
          <w:marRight w:val="0"/>
          <w:marTop w:val="0"/>
          <w:marBottom w:val="0"/>
          <w:divBdr>
            <w:top w:val="none" w:sz="0" w:space="0" w:color="auto"/>
            <w:left w:val="none" w:sz="0" w:space="0" w:color="auto"/>
            <w:bottom w:val="none" w:sz="0" w:space="0" w:color="auto"/>
            <w:right w:val="none" w:sz="0" w:space="0" w:color="auto"/>
          </w:divBdr>
          <w:divsChild>
            <w:div w:id="747000669">
              <w:marLeft w:val="0"/>
              <w:marRight w:val="0"/>
              <w:marTop w:val="0"/>
              <w:marBottom w:val="0"/>
              <w:divBdr>
                <w:top w:val="none" w:sz="0" w:space="0" w:color="auto"/>
                <w:left w:val="none" w:sz="0" w:space="0" w:color="auto"/>
                <w:bottom w:val="none" w:sz="0" w:space="0" w:color="auto"/>
                <w:right w:val="none" w:sz="0" w:space="0" w:color="auto"/>
              </w:divBdr>
              <w:divsChild>
                <w:div w:id="7827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25650">
          <w:marLeft w:val="0"/>
          <w:marRight w:val="0"/>
          <w:marTop w:val="0"/>
          <w:marBottom w:val="0"/>
          <w:divBdr>
            <w:top w:val="none" w:sz="0" w:space="0" w:color="auto"/>
            <w:left w:val="none" w:sz="0" w:space="0" w:color="auto"/>
            <w:bottom w:val="none" w:sz="0" w:space="0" w:color="auto"/>
            <w:right w:val="none" w:sz="0" w:space="0" w:color="auto"/>
          </w:divBdr>
          <w:divsChild>
            <w:div w:id="378290175">
              <w:marLeft w:val="0"/>
              <w:marRight w:val="0"/>
              <w:marTop w:val="0"/>
              <w:marBottom w:val="0"/>
              <w:divBdr>
                <w:top w:val="none" w:sz="0" w:space="0" w:color="auto"/>
                <w:left w:val="none" w:sz="0" w:space="0" w:color="auto"/>
                <w:bottom w:val="none" w:sz="0" w:space="0" w:color="auto"/>
                <w:right w:val="none" w:sz="0" w:space="0" w:color="auto"/>
              </w:divBdr>
              <w:divsChild>
                <w:div w:id="167387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3578">
          <w:marLeft w:val="0"/>
          <w:marRight w:val="0"/>
          <w:marTop w:val="0"/>
          <w:marBottom w:val="0"/>
          <w:divBdr>
            <w:top w:val="none" w:sz="0" w:space="0" w:color="auto"/>
            <w:left w:val="none" w:sz="0" w:space="0" w:color="auto"/>
            <w:bottom w:val="none" w:sz="0" w:space="0" w:color="auto"/>
            <w:right w:val="none" w:sz="0" w:space="0" w:color="auto"/>
          </w:divBdr>
          <w:divsChild>
            <w:div w:id="1783765629">
              <w:marLeft w:val="0"/>
              <w:marRight w:val="0"/>
              <w:marTop w:val="0"/>
              <w:marBottom w:val="0"/>
              <w:divBdr>
                <w:top w:val="none" w:sz="0" w:space="0" w:color="auto"/>
                <w:left w:val="none" w:sz="0" w:space="0" w:color="auto"/>
                <w:bottom w:val="none" w:sz="0" w:space="0" w:color="auto"/>
                <w:right w:val="none" w:sz="0" w:space="0" w:color="auto"/>
              </w:divBdr>
              <w:divsChild>
                <w:div w:id="14996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90174">
          <w:marLeft w:val="0"/>
          <w:marRight w:val="0"/>
          <w:marTop w:val="0"/>
          <w:marBottom w:val="0"/>
          <w:divBdr>
            <w:top w:val="none" w:sz="0" w:space="0" w:color="auto"/>
            <w:left w:val="none" w:sz="0" w:space="0" w:color="auto"/>
            <w:bottom w:val="none" w:sz="0" w:space="0" w:color="auto"/>
            <w:right w:val="none" w:sz="0" w:space="0" w:color="auto"/>
          </w:divBdr>
          <w:divsChild>
            <w:div w:id="971712445">
              <w:marLeft w:val="0"/>
              <w:marRight w:val="0"/>
              <w:marTop w:val="0"/>
              <w:marBottom w:val="0"/>
              <w:divBdr>
                <w:top w:val="none" w:sz="0" w:space="0" w:color="auto"/>
                <w:left w:val="none" w:sz="0" w:space="0" w:color="auto"/>
                <w:bottom w:val="none" w:sz="0" w:space="0" w:color="auto"/>
                <w:right w:val="none" w:sz="0" w:space="0" w:color="auto"/>
              </w:divBdr>
              <w:divsChild>
                <w:div w:id="14628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13657">
          <w:marLeft w:val="0"/>
          <w:marRight w:val="0"/>
          <w:marTop w:val="0"/>
          <w:marBottom w:val="0"/>
          <w:divBdr>
            <w:top w:val="none" w:sz="0" w:space="0" w:color="auto"/>
            <w:left w:val="none" w:sz="0" w:space="0" w:color="auto"/>
            <w:bottom w:val="none" w:sz="0" w:space="0" w:color="auto"/>
            <w:right w:val="none" w:sz="0" w:space="0" w:color="auto"/>
          </w:divBdr>
          <w:divsChild>
            <w:div w:id="1889684631">
              <w:marLeft w:val="0"/>
              <w:marRight w:val="0"/>
              <w:marTop w:val="0"/>
              <w:marBottom w:val="0"/>
              <w:divBdr>
                <w:top w:val="none" w:sz="0" w:space="0" w:color="auto"/>
                <w:left w:val="none" w:sz="0" w:space="0" w:color="auto"/>
                <w:bottom w:val="none" w:sz="0" w:space="0" w:color="auto"/>
                <w:right w:val="none" w:sz="0" w:space="0" w:color="auto"/>
              </w:divBdr>
              <w:divsChild>
                <w:div w:id="18323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6091">
          <w:marLeft w:val="0"/>
          <w:marRight w:val="0"/>
          <w:marTop w:val="0"/>
          <w:marBottom w:val="0"/>
          <w:divBdr>
            <w:top w:val="none" w:sz="0" w:space="0" w:color="auto"/>
            <w:left w:val="none" w:sz="0" w:space="0" w:color="auto"/>
            <w:bottom w:val="none" w:sz="0" w:space="0" w:color="auto"/>
            <w:right w:val="none" w:sz="0" w:space="0" w:color="auto"/>
          </w:divBdr>
          <w:divsChild>
            <w:div w:id="68037741">
              <w:marLeft w:val="0"/>
              <w:marRight w:val="0"/>
              <w:marTop w:val="0"/>
              <w:marBottom w:val="0"/>
              <w:divBdr>
                <w:top w:val="none" w:sz="0" w:space="0" w:color="auto"/>
                <w:left w:val="none" w:sz="0" w:space="0" w:color="auto"/>
                <w:bottom w:val="none" w:sz="0" w:space="0" w:color="auto"/>
                <w:right w:val="none" w:sz="0" w:space="0" w:color="auto"/>
              </w:divBdr>
              <w:divsChild>
                <w:div w:id="622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5698">
          <w:marLeft w:val="0"/>
          <w:marRight w:val="0"/>
          <w:marTop w:val="0"/>
          <w:marBottom w:val="0"/>
          <w:divBdr>
            <w:top w:val="none" w:sz="0" w:space="0" w:color="auto"/>
            <w:left w:val="none" w:sz="0" w:space="0" w:color="auto"/>
            <w:bottom w:val="none" w:sz="0" w:space="0" w:color="auto"/>
            <w:right w:val="none" w:sz="0" w:space="0" w:color="auto"/>
          </w:divBdr>
          <w:divsChild>
            <w:div w:id="1892812540">
              <w:marLeft w:val="0"/>
              <w:marRight w:val="0"/>
              <w:marTop w:val="0"/>
              <w:marBottom w:val="0"/>
              <w:divBdr>
                <w:top w:val="none" w:sz="0" w:space="0" w:color="auto"/>
                <w:left w:val="none" w:sz="0" w:space="0" w:color="auto"/>
                <w:bottom w:val="none" w:sz="0" w:space="0" w:color="auto"/>
                <w:right w:val="none" w:sz="0" w:space="0" w:color="auto"/>
              </w:divBdr>
              <w:divsChild>
                <w:div w:id="2826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1994317">
      <w:bodyDiv w:val="1"/>
      <w:marLeft w:val="0"/>
      <w:marRight w:val="0"/>
      <w:marTop w:val="0"/>
      <w:marBottom w:val="0"/>
      <w:divBdr>
        <w:top w:val="none" w:sz="0" w:space="0" w:color="auto"/>
        <w:left w:val="none" w:sz="0" w:space="0" w:color="auto"/>
        <w:bottom w:val="none" w:sz="0" w:space="0" w:color="auto"/>
        <w:right w:val="none" w:sz="0" w:space="0" w:color="auto"/>
      </w:divBdr>
      <w:divsChild>
        <w:div w:id="524950750">
          <w:marLeft w:val="0"/>
          <w:marRight w:val="0"/>
          <w:marTop w:val="0"/>
          <w:marBottom w:val="0"/>
          <w:divBdr>
            <w:top w:val="none" w:sz="0" w:space="0" w:color="auto"/>
            <w:left w:val="none" w:sz="0" w:space="0" w:color="auto"/>
            <w:bottom w:val="none" w:sz="0" w:space="0" w:color="auto"/>
            <w:right w:val="none" w:sz="0" w:space="0" w:color="auto"/>
          </w:divBdr>
          <w:divsChild>
            <w:div w:id="818808092">
              <w:marLeft w:val="0"/>
              <w:marRight w:val="0"/>
              <w:marTop w:val="0"/>
              <w:marBottom w:val="0"/>
              <w:divBdr>
                <w:top w:val="none" w:sz="0" w:space="0" w:color="auto"/>
                <w:left w:val="none" w:sz="0" w:space="0" w:color="auto"/>
                <w:bottom w:val="none" w:sz="0" w:space="0" w:color="auto"/>
                <w:right w:val="none" w:sz="0" w:space="0" w:color="auto"/>
              </w:divBdr>
              <w:divsChild>
                <w:div w:id="4895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4729">
          <w:marLeft w:val="0"/>
          <w:marRight w:val="0"/>
          <w:marTop w:val="0"/>
          <w:marBottom w:val="0"/>
          <w:divBdr>
            <w:top w:val="none" w:sz="0" w:space="0" w:color="auto"/>
            <w:left w:val="none" w:sz="0" w:space="0" w:color="auto"/>
            <w:bottom w:val="none" w:sz="0" w:space="0" w:color="auto"/>
            <w:right w:val="none" w:sz="0" w:space="0" w:color="auto"/>
          </w:divBdr>
          <w:divsChild>
            <w:div w:id="1287933631">
              <w:marLeft w:val="0"/>
              <w:marRight w:val="0"/>
              <w:marTop w:val="0"/>
              <w:marBottom w:val="0"/>
              <w:divBdr>
                <w:top w:val="none" w:sz="0" w:space="0" w:color="auto"/>
                <w:left w:val="none" w:sz="0" w:space="0" w:color="auto"/>
                <w:bottom w:val="none" w:sz="0" w:space="0" w:color="auto"/>
                <w:right w:val="none" w:sz="0" w:space="0" w:color="auto"/>
              </w:divBdr>
              <w:divsChild>
                <w:div w:id="19782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38599">
          <w:marLeft w:val="0"/>
          <w:marRight w:val="0"/>
          <w:marTop w:val="0"/>
          <w:marBottom w:val="0"/>
          <w:divBdr>
            <w:top w:val="none" w:sz="0" w:space="0" w:color="auto"/>
            <w:left w:val="none" w:sz="0" w:space="0" w:color="auto"/>
            <w:bottom w:val="none" w:sz="0" w:space="0" w:color="auto"/>
            <w:right w:val="none" w:sz="0" w:space="0" w:color="auto"/>
          </w:divBdr>
          <w:divsChild>
            <w:div w:id="962074166">
              <w:marLeft w:val="0"/>
              <w:marRight w:val="0"/>
              <w:marTop w:val="0"/>
              <w:marBottom w:val="0"/>
              <w:divBdr>
                <w:top w:val="none" w:sz="0" w:space="0" w:color="auto"/>
                <w:left w:val="none" w:sz="0" w:space="0" w:color="auto"/>
                <w:bottom w:val="none" w:sz="0" w:space="0" w:color="auto"/>
                <w:right w:val="none" w:sz="0" w:space="0" w:color="auto"/>
              </w:divBdr>
              <w:divsChild>
                <w:div w:id="15783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6710">
          <w:marLeft w:val="0"/>
          <w:marRight w:val="0"/>
          <w:marTop w:val="0"/>
          <w:marBottom w:val="0"/>
          <w:divBdr>
            <w:top w:val="none" w:sz="0" w:space="0" w:color="auto"/>
            <w:left w:val="none" w:sz="0" w:space="0" w:color="auto"/>
            <w:bottom w:val="none" w:sz="0" w:space="0" w:color="auto"/>
            <w:right w:val="none" w:sz="0" w:space="0" w:color="auto"/>
          </w:divBdr>
          <w:divsChild>
            <w:div w:id="1153716477">
              <w:marLeft w:val="0"/>
              <w:marRight w:val="0"/>
              <w:marTop w:val="0"/>
              <w:marBottom w:val="0"/>
              <w:divBdr>
                <w:top w:val="none" w:sz="0" w:space="0" w:color="auto"/>
                <w:left w:val="none" w:sz="0" w:space="0" w:color="auto"/>
                <w:bottom w:val="none" w:sz="0" w:space="0" w:color="auto"/>
                <w:right w:val="none" w:sz="0" w:space="0" w:color="auto"/>
              </w:divBdr>
              <w:divsChild>
                <w:div w:id="90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3935">
          <w:marLeft w:val="0"/>
          <w:marRight w:val="0"/>
          <w:marTop w:val="0"/>
          <w:marBottom w:val="0"/>
          <w:divBdr>
            <w:top w:val="none" w:sz="0" w:space="0" w:color="auto"/>
            <w:left w:val="none" w:sz="0" w:space="0" w:color="auto"/>
            <w:bottom w:val="none" w:sz="0" w:space="0" w:color="auto"/>
            <w:right w:val="none" w:sz="0" w:space="0" w:color="auto"/>
          </w:divBdr>
          <w:divsChild>
            <w:div w:id="1077287932">
              <w:marLeft w:val="0"/>
              <w:marRight w:val="0"/>
              <w:marTop w:val="0"/>
              <w:marBottom w:val="0"/>
              <w:divBdr>
                <w:top w:val="none" w:sz="0" w:space="0" w:color="auto"/>
                <w:left w:val="none" w:sz="0" w:space="0" w:color="auto"/>
                <w:bottom w:val="none" w:sz="0" w:space="0" w:color="auto"/>
                <w:right w:val="none" w:sz="0" w:space="0" w:color="auto"/>
              </w:divBdr>
              <w:divsChild>
                <w:div w:id="12432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50217">
          <w:marLeft w:val="0"/>
          <w:marRight w:val="0"/>
          <w:marTop w:val="0"/>
          <w:marBottom w:val="0"/>
          <w:divBdr>
            <w:top w:val="none" w:sz="0" w:space="0" w:color="auto"/>
            <w:left w:val="none" w:sz="0" w:space="0" w:color="auto"/>
            <w:bottom w:val="none" w:sz="0" w:space="0" w:color="auto"/>
            <w:right w:val="none" w:sz="0" w:space="0" w:color="auto"/>
          </w:divBdr>
          <w:divsChild>
            <w:div w:id="30306417">
              <w:marLeft w:val="0"/>
              <w:marRight w:val="0"/>
              <w:marTop w:val="0"/>
              <w:marBottom w:val="0"/>
              <w:divBdr>
                <w:top w:val="none" w:sz="0" w:space="0" w:color="auto"/>
                <w:left w:val="none" w:sz="0" w:space="0" w:color="auto"/>
                <w:bottom w:val="none" w:sz="0" w:space="0" w:color="auto"/>
                <w:right w:val="none" w:sz="0" w:space="0" w:color="auto"/>
              </w:divBdr>
              <w:divsChild>
                <w:div w:id="653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3701">
          <w:marLeft w:val="0"/>
          <w:marRight w:val="0"/>
          <w:marTop w:val="0"/>
          <w:marBottom w:val="0"/>
          <w:divBdr>
            <w:top w:val="none" w:sz="0" w:space="0" w:color="auto"/>
            <w:left w:val="none" w:sz="0" w:space="0" w:color="auto"/>
            <w:bottom w:val="none" w:sz="0" w:space="0" w:color="auto"/>
            <w:right w:val="none" w:sz="0" w:space="0" w:color="auto"/>
          </w:divBdr>
          <w:divsChild>
            <w:div w:id="1309440049">
              <w:marLeft w:val="0"/>
              <w:marRight w:val="0"/>
              <w:marTop w:val="0"/>
              <w:marBottom w:val="0"/>
              <w:divBdr>
                <w:top w:val="none" w:sz="0" w:space="0" w:color="auto"/>
                <w:left w:val="none" w:sz="0" w:space="0" w:color="auto"/>
                <w:bottom w:val="none" w:sz="0" w:space="0" w:color="auto"/>
                <w:right w:val="none" w:sz="0" w:space="0" w:color="auto"/>
              </w:divBdr>
              <w:divsChild>
                <w:div w:id="6322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8458">
          <w:marLeft w:val="0"/>
          <w:marRight w:val="0"/>
          <w:marTop w:val="0"/>
          <w:marBottom w:val="0"/>
          <w:divBdr>
            <w:top w:val="none" w:sz="0" w:space="0" w:color="auto"/>
            <w:left w:val="none" w:sz="0" w:space="0" w:color="auto"/>
            <w:bottom w:val="none" w:sz="0" w:space="0" w:color="auto"/>
            <w:right w:val="none" w:sz="0" w:space="0" w:color="auto"/>
          </w:divBdr>
          <w:divsChild>
            <w:div w:id="711266408">
              <w:marLeft w:val="0"/>
              <w:marRight w:val="0"/>
              <w:marTop w:val="0"/>
              <w:marBottom w:val="0"/>
              <w:divBdr>
                <w:top w:val="none" w:sz="0" w:space="0" w:color="auto"/>
                <w:left w:val="none" w:sz="0" w:space="0" w:color="auto"/>
                <w:bottom w:val="none" w:sz="0" w:space="0" w:color="auto"/>
                <w:right w:val="none" w:sz="0" w:space="0" w:color="auto"/>
              </w:divBdr>
              <w:divsChild>
                <w:div w:id="651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629">
          <w:marLeft w:val="0"/>
          <w:marRight w:val="0"/>
          <w:marTop w:val="0"/>
          <w:marBottom w:val="0"/>
          <w:divBdr>
            <w:top w:val="none" w:sz="0" w:space="0" w:color="auto"/>
            <w:left w:val="none" w:sz="0" w:space="0" w:color="auto"/>
            <w:bottom w:val="none" w:sz="0" w:space="0" w:color="auto"/>
            <w:right w:val="none" w:sz="0" w:space="0" w:color="auto"/>
          </w:divBdr>
          <w:divsChild>
            <w:div w:id="953294385">
              <w:marLeft w:val="0"/>
              <w:marRight w:val="0"/>
              <w:marTop w:val="0"/>
              <w:marBottom w:val="0"/>
              <w:divBdr>
                <w:top w:val="none" w:sz="0" w:space="0" w:color="auto"/>
                <w:left w:val="none" w:sz="0" w:space="0" w:color="auto"/>
                <w:bottom w:val="none" w:sz="0" w:space="0" w:color="auto"/>
                <w:right w:val="none" w:sz="0" w:space="0" w:color="auto"/>
              </w:divBdr>
              <w:divsChild>
                <w:div w:id="7293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2250">
          <w:marLeft w:val="0"/>
          <w:marRight w:val="0"/>
          <w:marTop w:val="0"/>
          <w:marBottom w:val="0"/>
          <w:divBdr>
            <w:top w:val="none" w:sz="0" w:space="0" w:color="auto"/>
            <w:left w:val="none" w:sz="0" w:space="0" w:color="auto"/>
            <w:bottom w:val="none" w:sz="0" w:space="0" w:color="auto"/>
            <w:right w:val="none" w:sz="0" w:space="0" w:color="auto"/>
          </w:divBdr>
          <w:divsChild>
            <w:div w:id="2143426550">
              <w:marLeft w:val="0"/>
              <w:marRight w:val="0"/>
              <w:marTop w:val="0"/>
              <w:marBottom w:val="0"/>
              <w:divBdr>
                <w:top w:val="none" w:sz="0" w:space="0" w:color="auto"/>
                <w:left w:val="none" w:sz="0" w:space="0" w:color="auto"/>
                <w:bottom w:val="none" w:sz="0" w:space="0" w:color="auto"/>
                <w:right w:val="none" w:sz="0" w:space="0" w:color="auto"/>
              </w:divBdr>
              <w:divsChild>
                <w:div w:id="10876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8488">
      <w:bodyDiv w:val="1"/>
      <w:marLeft w:val="0"/>
      <w:marRight w:val="0"/>
      <w:marTop w:val="0"/>
      <w:marBottom w:val="0"/>
      <w:divBdr>
        <w:top w:val="none" w:sz="0" w:space="0" w:color="auto"/>
        <w:left w:val="none" w:sz="0" w:space="0" w:color="auto"/>
        <w:bottom w:val="none" w:sz="0" w:space="0" w:color="auto"/>
        <w:right w:val="none" w:sz="0" w:space="0" w:color="auto"/>
      </w:divBdr>
      <w:divsChild>
        <w:div w:id="956258761">
          <w:marLeft w:val="0"/>
          <w:marRight w:val="0"/>
          <w:marTop w:val="0"/>
          <w:marBottom w:val="0"/>
          <w:divBdr>
            <w:top w:val="none" w:sz="0" w:space="0" w:color="auto"/>
            <w:left w:val="none" w:sz="0" w:space="0" w:color="auto"/>
            <w:bottom w:val="none" w:sz="0" w:space="0" w:color="auto"/>
            <w:right w:val="none" w:sz="0" w:space="0" w:color="auto"/>
          </w:divBdr>
          <w:divsChild>
            <w:div w:id="1637761854">
              <w:marLeft w:val="0"/>
              <w:marRight w:val="0"/>
              <w:marTop w:val="0"/>
              <w:marBottom w:val="0"/>
              <w:divBdr>
                <w:top w:val="none" w:sz="0" w:space="0" w:color="auto"/>
                <w:left w:val="none" w:sz="0" w:space="0" w:color="auto"/>
                <w:bottom w:val="none" w:sz="0" w:space="0" w:color="auto"/>
                <w:right w:val="none" w:sz="0" w:space="0" w:color="auto"/>
              </w:divBdr>
              <w:divsChild>
                <w:div w:id="17620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99">
          <w:marLeft w:val="0"/>
          <w:marRight w:val="0"/>
          <w:marTop w:val="0"/>
          <w:marBottom w:val="0"/>
          <w:divBdr>
            <w:top w:val="none" w:sz="0" w:space="0" w:color="auto"/>
            <w:left w:val="none" w:sz="0" w:space="0" w:color="auto"/>
            <w:bottom w:val="none" w:sz="0" w:space="0" w:color="auto"/>
            <w:right w:val="none" w:sz="0" w:space="0" w:color="auto"/>
          </w:divBdr>
          <w:divsChild>
            <w:div w:id="488791957">
              <w:marLeft w:val="0"/>
              <w:marRight w:val="0"/>
              <w:marTop w:val="0"/>
              <w:marBottom w:val="0"/>
              <w:divBdr>
                <w:top w:val="none" w:sz="0" w:space="0" w:color="auto"/>
                <w:left w:val="none" w:sz="0" w:space="0" w:color="auto"/>
                <w:bottom w:val="none" w:sz="0" w:space="0" w:color="auto"/>
                <w:right w:val="none" w:sz="0" w:space="0" w:color="auto"/>
              </w:divBdr>
              <w:divsChild>
                <w:div w:id="3079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8585">
          <w:marLeft w:val="0"/>
          <w:marRight w:val="0"/>
          <w:marTop w:val="0"/>
          <w:marBottom w:val="0"/>
          <w:divBdr>
            <w:top w:val="none" w:sz="0" w:space="0" w:color="auto"/>
            <w:left w:val="none" w:sz="0" w:space="0" w:color="auto"/>
            <w:bottom w:val="none" w:sz="0" w:space="0" w:color="auto"/>
            <w:right w:val="none" w:sz="0" w:space="0" w:color="auto"/>
          </w:divBdr>
          <w:divsChild>
            <w:div w:id="466288947">
              <w:marLeft w:val="0"/>
              <w:marRight w:val="0"/>
              <w:marTop w:val="0"/>
              <w:marBottom w:val="0"/>
              <w:divBdr>
                <w:top w:val="none" w:sz="0" w:space="0" w:color="auto"/>
                <w:left w:val="none" w:sz="0" w:space="0" w:color="auto"/>
                <w:bottom w:val="none" w:sz="0" w:space="0" w:color="auto"/>
                <w:right w:val="none" w:sz="0" w:space="0" w:color="auto"/>
              </w:divBdr>
              <w:divsChild>
                <w:div w:id="1730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4990">
          <w:marLeft w:val="0"/>
          <w:marRight w:val="0"/>
          <w:marTop w:val="0"/>
          <w:marBottom w:val="0"/>
          <w:divBdr>
            <w:top w:val="none" w:sz="0" w:space="0" w:color="auto"/>
            <w:left w:val="none" w:sz="0" w:space="0" w:color="auto"/>
            <w:bottom w:val="none" w:sz="0" w:space="0" w:color="auto"/>
            <w:right w:val="none" w:sz="0" w:space="0" w:color="auto"/>
          </w:divBdr>
          <w:divsChild>
            <w:div w:id="1851523704">
              <w:marLeft w:val="0"/>
              <w:marRight w:val="0"/>
              <w:marTop w:val="0"/>
              <w:marBottom w:val="0"/>
              <w:divBdr>
                <w:top w:val="none" w:sz="0" w:space="0" w:color="auto"/>
                <w:left w:val="none" w:sz="0" w:space="0" w:color="auto"/>
                <w:bottom w:val="none" w:sz="0" w:space="0" w:color="auto"/>
                <w:right w:val="none" w:sz="0" w:space="0" w:color="auto"/>
              </w:divBdr>
              <w:divsChild>
                <w:div w:id="8135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6319">
          <w:marLeft w:val="0"/>
          <w:marRight w:val="0"/>
          <w:marTop w:val="0"/>
          <w:marBottom w:val="0"/>
          <w:divBdr>
            <w:top w:val="none" w:sz="0" w:space="0" w:color="auto"/>
            <w:left w:val="none" w:sz="0" w:space="0" w:color="auto"/>
            <w:bottom w:val="none" w:sz="0" w:space="0" w:color="auto"/>
            <w:right w:val="none" w:sz="0" w:space="0" w:color="auto"/>
          </w:divBdr>
          <w:divsChild>
            <w:div w:id="716051819">
              <w:marLeft w:val="0"/>
              <w:marRight w:val="0"/>
              <w:marTop w:val="0"/>
              <w:marBottom w:val="0"/>
              <w:divBdr>
                <w:top w:val="none" w:sz="0" w:space="0" w:color="auto"/>
                <w:left w:val="none" w:sz="0" w:space="0" w:color="auto"/>
                <w:bottom w:val="none" w:sz="0" w:space="0" w:color="auto"/>
                <w:right w:val="none" w:sz="0" w:space="0" w:color="auto"/>
              </w:divBdr>
              <w:divsChild>
                <w:div w:id="477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2074">
          <w:marLeft w:val="0"/>
          <w:marRight w:val="0"/>
          <w:marTop w:val="0"/>
          <w:marBottom w:val="0"/>
          <w:divBdr>
            <w:top w:val="none" w:sz="0" w:space="0" w:color="auto"/>
            <w:left w:val="none" w:sz="0" w:space="0" w:color="auto"/>
            <w:bottom w:val="none" w:sz="0" w:space="0" w:color="auto"/>
            <w:right w:val="none" w:sz="0" w:space="0" w:color="auto"/>
          </w:divBdr>
          <w:divsChild>
            <w:div w:id="1172649224">
              <w:marLeft w:val="0"/>
              <w:marRight w:val="0"/>
              <w:marTop w:val="0"/>
              <w:marBottom w:val="0"/>
              <w:divBdr>
                <w:top w:val="none" w:sz="0" w:space="0" w:color="auto"/>
                <w:left w:val="none" w:sz="0" w:space="0" w:color="auto"/>
                <w:bottom w:val="none" w:sz="0" w:space="0" w:color="auto"/>
                <w:right w:val="none" w:sz="0" w:space="0" w:color="auto"/>
              </w:divBdr>
              <w:divsChild>
                <w:div w:id="14095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79556">
          <w:marLeft w:val="0"/>
          <w:marRight w:val="0"/>
          <w:marTop w:val="0"/>
          <w:marBottom w:val="0"/>
          <w:divBdr>
            <w:top w:val="none" w:sz="0" w:space="0" w:color="auto"/>
            <w:left w:val="none" w:sz="0" w:space="0" w:color="auto"/>
            <w:bottom w:val="none" w:sz="0" w:space="0" w:color="auto"/>
            <w:right w:val="none" w:sz="0" w:space="0" w:color="auto"/>
          </w:divBdr>
          <w:divsChild>
            <w:div w:id="1756903691">
              <w:marLeft w:val="0"/>
              <w:marRight w:val="0"/>
              <w:marTop w:val="0"/>
              <w:marBottom w:val="0"/>
              <w:divBdr>
                <w:top w:val="none" w:sz="0" w:space="0" w:color="auto"/>
                <w:left w:val="none" w:sz="0" w:space="0" w:color="auto"/>
                <w:bottom w:val="none" w:sz="0" w:space="0" w:color="auto"/>
                <w:right w:val="none" w:sz="0" w:space="0" w:color="auto"/>
              </w:divBdr>
              <w:divsChild>
                <w:div w:id="19485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8577">
          <w:marLeft w:val="0"/>
          <w:marRight w:val="0"/>
          <w:marTop w:val="0"/>
          <w:marBottom w:val="0"/>
          <w:divBdr>
            <w:top w:val="none" w:sz="0" w:space="0" w:color="auto"/>
            <w:left w:val="none" w:sz="0" w:space="0" w:color="auto"/>
            <w:bottom w:val="none" w:sz="0" w:space="0" w:color="auto"/>
            <w:right w:val="none" w:sz="0" w:space="0" w:color="auto"/>
          </w:divBdr>
          <w:divsChild>
            <w:div w:id="1409501550">
              <w:marLeft w:val="0"/>
              <w:marRight w:val="0"/>
              <w:marTop w:val="0"/>
              <w:marBottom w:val="0"/>
              <w:divBdr>
                <w:top w:val="none" w:sz="0" w:space="0" w:color="auto"/>
                <w:left w:val="none" w:sz="0" w:space="0" w:color="auto"/>
                <w:bottom w:val="none" w:sz="0" w:space="0" w:color="auto"/>
                <w:right w:val="none" w:sz="0" w:space="0" w:color="auto"/>
              </w:divBdr>
              <w:divsChild>
                <w:div w:id="13647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7164">
      <w:bodyDiv w:val="1"/>
      <w:marLeft w:val="0"/>
      <w:marRight w:val="0"/>
      <w:marTop w:val="0"/>
      <w:marBottom w:val="0"/>
      <w:divBdr>
        <w:top w:val="none" w:sz="0" w:space="0" w:color="auto"/>
        <w:left w:val="none" w:sz="0" w:space="0" w:color="auto"/>
        <w:bottom w:val="none" w:sz="0" w:space="0" w:color="auto"/>
        <w:right w:val="none" w:sz="0" w:space="0" w:color="auto"/>
      </w:divBdr>
      <w:divsChild>
        <w:div w:id="434525510">
          <w:marLeft w:val="0"/>
          <w:marRight w:val="0"/>
          <w:marTop w:val="0"/>
          <w:marBottom w:val="0"/>
          <w:divBdr>
            <w:top w:val="none" w:sz="0" w:space="0" w:color="auto"/>
            <w:left w:val="none" w:sz="0" w:space="0" w:color="auto"/>
            <w:bottom w:val="none" w:sz="0" w:space="0" w:color="auto"/>
            <w:right w:val="none" w:sz="0" w:space="0" w:color="auto"/>
          </w:divBdr>
          <w:divsChild>
            <w:div w:id="1546605414">
              <w:marLeft w:val="0"/>
              <w:marRight w:val="0"/>
              <w:marTop w:val="0"/>
              <w:marBottom w:val="0"/>
              <w:divBdr>
                <w:top w:val="none" w:sz="0" w:space="0" w:color="auto"/>
                <w:left w:val="none" w:sz="0" w:space="0" w:color="auto"/>
                <w:bottom w:val="none" w:sz="0" w:space="0" w:color="auto"/>
                <w:right w:val="none" w:sz="0" w:space="0" w:color="auto"/>
              </w:divBdr>
              <w:divsChild>
                <w:div w:id="2768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4767">
          <w:marLeft w:val="0"/>
          <w:marRight w:val="0"/>
          <w:marTop w:val="0"/>
          <w:marBottom w:val="0"/>
          <w:divBdr>
            <w:top w:val="none" w:sz="0" w:space="0" w:color="auto"/>
            <w:left w:val="none" w:sz="0" w:space="0" w:color="auto"/>
            <w:bottom w:val="none" w:sz="0" w:space="0" w:color="auto"/>
            <w:right w:val="none" w:sz="0" w:space="0" w:color="auto"/>
          </w:divBdr>
          <w:divsChild>
            <w:div w:id="1719812924">
              <w:marLeft w:val="0"/>
              <w:marRight w:val="0"/>
              <w:marTop w:val="0"/>
              <w:marBottom w:val="0"/>
              <w:divBdr>
                <w:top w:val="none" w:sz="0" w:space="0" w:color="auto"/>
                <w:left w:val="none" w:sz="0" w:space="0" w:color="auto"/>
                <w:bottom w:val="none" w:sz="0" w:space="0" w:color="auto"/>
                <w:right w:val="none" w:sz="0" w:space="0" w:color="auto"/>
              </w:divBdr>
              <w:divsChild>
                <w:div w:id="201483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7792">
          <w:marLeft w:val="0"/>
          <w:marRight w:val="0"/>
          <w:marTop w:val="0"/>
          <w:marBottom w:val="0"/>
          <w:divBdr>
            <w:top w:val="none" w:sz="0" w:space="0" w:color="auto"/>
            <w:left w:val="none" w:sz="0" w:space="0" w:color="auto"/>
            <w:bottom w:val="none" w:sz="0" w:space="0" w:color="auto"/>
            <w:right w:val="none" w:sz="0" w:space="0" w:color="auto"/>
          </w:divBdr>
          <w:divsChild>
            <w:div w:id="1618101886">
              <w:marLeft w:val="0"/>
              <w:marRight w:val="0"/>
              <w:marTop w:val="0"/>
              <w:marBottom w:val="0"/>
              <w:divBdr>
                <w:top w:val="none" w:sz="0" w:space="0" w:color="auto"/>
                <w:left w:val="none" w:sz="0" w:space="0" w:color="auto"/>
                <w:bottom w:val="none" w:sz="0" w:space="0" w:color="auto"/>
                <w:right w:val="none" w:sz="0" w:space="0" w:color="auto"/>
              </w:divBdr>
              <w:divsChild>
                <w:div w:id="8124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7837">
          <w:marLeft w:val="0"/>
          <w:marRight w:val="0"/>
          <w:marTop w:val="0"/>
          <w:marBottom w:val="0"/>
          <w:divBdr>
            <w:top w:val="none" w:sz="0" w:space="0" w:color="auto"/>
            <w:left w:val="none" w:sz="0" w:space="0" w:color="auto"/>
            <w:bottom w:val="none" w:sz="0" w:space="0" w:color="auto"/>
            <w:right w:val="none" w:sz="0" w:space="0" w:color="auto"/>
          </w:divBdr>
          <w:divsChild>
            <w:div w:id="1431857823">
              <w:marLeft w:val="0"/>
              <w:marRight w:val="0"/>
              <w:marTop w:val="0"/>
              <w:marBottom w:val="0"/>
              <w:divBdr>
                <w:top w:val="none" w:sz="0" w:space="0" w:color="auto"/>
                <w:left w:val="none" w:sz="0" w:space="0" w:color="auto"/>
                <w:bottom w:val="none" w:sz="0" w:space="0" w:color="auto"/>
                <w:right w:val="none" w:sz="0" w:space="0" w:color="auto"/>
              </w:divBdr>
              <w:divsChild>
                <w:div w:id="896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07420477">
      <w:bodyDiv w:val="1"/>
      <w:marLeft w:val="0"/>
      <w:marRight w:val="0"/>
      <w:marTop w:val="0"/>
      <w:marBottom w:val="0"/>
      <w:divBdr>
        <w:top w:val="none" w:sz="0" w:space="0" w:color="auto"/>
        <w:left w:val="none" w:sz="0" w:space="0" w:color="auto"/>
        <w:bottom w:val="none" w:sz="0" w:space="0" w:color="auto"/>
        <w:right w:val="none" w:sz="0" w:space="0" w:color="auto"/>
      </w:divBdr>
      <w:divsChild>
        <w:div w:id="145824556">
          <w:marLeft w:val="0"/>
          <w:marRight w:val="0"/>
          <w:marTop w:val="0"/>
          <w:marBottom w:val="0"/>
          <w:divBdr>
            <w:top w:val="none" w:sz="0" w:space="0" w:color="auto"/>
            <w:left w:val="none" w:sz="0" w:space="0" w:color="auto"/>
            <w:bottom w:val="none" w:sz="0" w:space="0" w:color="auto"/>
            <w:right w:val="none" w:sz="0" w:space="0" w:color="auto"/>
          </w:divBdr>
          <w:divsChild>
            <w:div w:id="1989505726">
              <w:marLeft w:val="0"/>
              <w:marRight w:val="0"/>
              <w:marTop w:val="0"/>
              <w:marBottom w:val="0"/>
              <w:divBdr>
                <w:top w:val="none" w:sz="0" w:space="0" w:color="auto"/>
                <w:left w:val="none" w:sz="0" w:space="0" w:color="auto"/>
                <w:bottom w:val="none" w:sz="0" w:space="0" w:color="auto"/>
                <w:right w:val="none" w:sz="0" w:space="0" w:color="auto"/>
              </w:divBdr>
              <w:divsChild>
                <w:div w:id="1692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4058">
          <w:marLeft w:val="0"/>
          <w:marRight w:val="0"/>
          <w:marTop w:val="0"/>
          <w:marBottom w:val="0"/>
          <w:divBdr>
            <w:top w:val="none" w:sz="0" w:space="0" w:color="auto"/>
            <w:left w:val="none" w:sz="0" w:space="0" w:color="auto"/>
            <w:bottom w:val="none" w:sz="0" w:space="0" w:color="auto"/>
            <w:right w:val="none" w:sz="0" w:space="0" w:color="auto"/>
          </w:divBdr>
          <w:divsChild>
            <w:div w:id="1028070006">
              <w:marLeft w:val="0"/>
              <w:marRight w:val="0"/>
              <w:marTop w:val="0"/>
              <w:marBottom w:val="0"/>
              <w:divBdr>
                <w:top w:val="none" w:sz="0" w:space="0" w:color="auto"/>
                <w:left w:val="none" w:sz="0" w:space="0" w:color="auto"/>
                <w:bottom w:val="none" w:sz="0" w:space="0" w:color="auto"/>
                <w:right w:val="none" w:sz="0" w:space="0" w:color="auto"/>
              </w:divBdr>
              <w:divsChild>
                <w:div w:id="18959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01180">
          <w:marLeft w:val="0"/>
          <w:marRight w:val="0"/>
          <w:marTop w:val="0"/>
          <w:marBottom w:val="0"/>
          <w:divBdr>
            <w:top w:val="none" w:sz="0" w:space="0" w:color="auto"/>
            <w:left w:val="none" w:sz="0" w:space="0" w:color="auto"/>
            <w:bottom w:val="none" w:sz="0" w:space="0" w:color="auto"/>
            <w:right w:val="none" w:sz="0" w:space="0" w:color="auto"/>
          </w:divBdr>
          <w:divsChild>
            <w:div w:id="1077169075">
              <w:marLeft w:val="0"/>
              <w:marRight w:val="0"/>
              <w:marTop w:val="0"/>
              <w:marBottom w:val="0"/>
              <w:divBdr>
                <w:top w:val="none" w:sz="0" w:space="0" w:color="auto"/>
                <w:left w:val="none" w:sz="0" w:space="0" w:color="auto"/>
                <w:bottom w:val="none" w:sz="0" w:space="0" w:color="auto"/>
                <w:right w:val="none" w:sz="0" w:space="0" w:color="auto"/>
              </w:divBdr>
              <w:divsChild>
                <w:div w:id="4005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87332">
          <w:marLeft w:val="0"/>
          <w:marRight w:val="0"/>
          <w:marTop w:val="0"/>
          <w:marBottom w:val="0"/>
          <w:divBdr>
            <w:top w:val="none" w:sz="0" w:space="0" w:color="auto"/>
            <w:left w:val="none" w:sz="0" w:space="0" w:color="auto"/>
            <w:bottom w:val="none" w:sz="0" w:space="0" w:color="auto"/>
            <w:right w:val="none" w:sz="0" w:space="0" w:color="auto"/>
          </w:divBdr>
          <w:divsChild>
            <w:div w:id="470292963">
              <w:marLeft w:val="0"/>
              <w:marRight w:val="0"/>
              <w:marTop w:val="0"/>
              <w:marBottom w:val="0"/>
              <w:divBdr>
                <w:top w:val="none" w:sz="0" w:space="0" w:color="auto"/>
                <w:left w:val="none" w:sz="0" w:space="0" w:color="auto"/>
                <w:bottom w:val="none" w:sz="0" w:space="0" w:color="auto"/>
                <w:right w:val="none" w:sz="0" w:space="0" w:color="auto"/>
              </w:divBdr>
              <w:divsChild>
                <w:div w:id="10898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94588">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4009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6358">
          <w:marLeft w:val="0"/>
          <w:marRight w:val="0"/>
          <w:marTop w:val="0"/>
          <w:marBottom w:val="0"/>
          <w:divBdr>
            <w:top w:val="none" w:sz="0" w:space="0" w:color="auto"/>
            <w:left w:val="none" w:sz="0" w:space="0" w:color="auto"/>
            <w:bottom w:val="none" w:sz="0" w:space="0" w:color="auto"/>
            <w:right w:val="none" w:sz="0" w:space="0" w:color="auto"/>
          </w:divBdr>
          <w:divsChild>
            <w:div w:id="351999725">
              <w:marLeft w:val="0"/>
              <w:marRight w:val="0"/>
              <w:marTop w:val="0"/>
              <w:marBottom w:val="0"/>
              <w:divBdr>
                <w:top w:val="none" w:sz="0" w:space="0" w:color="auto"/>
                <w:left w:val="none" w:sz="0" w:space="0" w:color="auto"/>
                <w:bottom w:val="none" w:sz="0" w:space="0" w:color="auto"/>
                <w:right w:val="none" w:sz="0" w:space="0" w:color="auto"/>
              </w:divBdr>
              <w:divsChild>
                <w:div w:id="180619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0619">
          <w:marLeft w:val="0"/>
          <w:marRight w:val="0"/>
          <w:marTop w:val="0"/>
          <w:marBottom w:val="0"/>
          <w:divBdr>
            <w:top w:val="none" w:sz="0" w:space="0" w:color="auto"/>
            <w:left w:val="none" w:sz="0" w:space="0" w:color="auto"/>
            <w:bottom w:val="none" w:sz="0" w:space="0" w:color="auto"/>
            <w:right w:val="none" w:sz="0" w:space="0" w:color="auto"/>
          </w:divBdr>
          <w:divsChild>
            <w:div w:id="2016953979">
              <w:marLeft w:val="0"/>
              <w:marRight w:val="0"/>
              <w:marTop w:val="0"/>
              <w:marBottom w:val="0"/>
              <w:divBdr>
                <w:top w:val="none" w:sz="0" w:space="0" w:color="auto"/>
                <w:left w:val="none" w:sz="0" w:space="0" w:color="auto"/>
                <w:bottom w:val="none" w:sz="0" w:space="0" w:color="auto"/>
                <w:right w:val="none" w:sz="0" w:space="0" w:color="auto"/>
              </w:divBdr>
              <w:divsChild>
                <w:div w:id="1723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803">
          <w:marLeft w:val="0"/>
          <w:marRight w:val="0"/>
          <w:marTop w:val="0"/>
          <w:marBottom w:val="0"/>
          <w:divBdr>
            <w:top w:val="none" w:sz="0" w:space="0" w:color="auto"/>
            <w:left w:val="none" w:sz="0" w:space="0" w:color="auto"/>
            <w:bottom w:val="none" w:sz="0" w:space="0" w:color="auto"/>
            <w:right w:val="none" w:sz="0" w:space="0" w:color="auto"/>
          </w:divBdr>
          <w:divsChild>
            <w:div w:id="750466259">
              <w:marLeft w:val="0"/>
              <w:marRight w:val="0"/>
              <w:marTop w:val="0"/>
              <w:marBottom w:val="0"/>
              <w:divBdr>
                <w:top w:val="none" w:sz="0" w:space="0" w:color="auto"/>
                <w:left w:val="none" w:sz="0" w:space="0" w:color="auto"/>
                <w:bottom w:val="none" w:sz="0" w:space="0" w:color="auto"/>
                <w:right w:val="none" w:sz="0" w:space="0" w:color="auto"/>
              </w:divBdr>
              <w:divsChild>
                <w:div w:id="14979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4758">
          <w:marLeft w:val="0"/>
          <w:marRight w:val="0"/>
          <w:marTop w:val="0"/>
          <w:marBottom w:val="0"/>
          <w:divBdr>
            <w:top w:val="none" w:sz="0" w:space="0" w:color="auto"/>
            <w:left w:val="none" w:sz="0" w:space="0" w:color="auto"/>
            <w:bottom w:val="none" w:sz="0" w:space="0" w:color="auto"/>
            <w:right w:val="none" w:sz="0" w:space="0" w:color="auto"/>
          </w:divBdr>
          <w:divsChild>
            <w:div w:id="85469469">
              <w:marLeft w:val="0"/>
              <w:marRight w:val="0"/>
              <w:marTop w:val="0"/>
              <w:marBottom w:val="0"/>
              <w:divBdr>
                <w:top w:val="none" w:sz="0" w:space="0" w:color="auto"/>
                <w:left w:val="none" w:sz="0" w:space="0" w:color="auto"/>
                <w:bottom w:val="none" w:sz="0" w:space="0" w:color="auto"/>
                <w:right w:val="none" w:sz="0" w:space="0" w:color="auto"/>
              </w:divBdr>
              <w:divsChild>
                <w:div w:id="14940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9969">
          <w:marLeft w:val="0"/>
          <w:marRight w:val="0"/>
          <w:marTop w:val="0"/>
          <w:marBottom w:val="0"/>
          <w:divBdr>
            <w:top w:val="none" w:sz="0" w:space="0" w:color="auto"/>
            <w:left w:val="none" w:sz="0" w:space="0" w:color="auto"/>
            <w:bottom w:val="none" w:sz="0" w:space="0" w:color="auto"/>
            <w:right w:val="none" w:sz="0" w:space="0" w:color="auto"/>
          </w:divBdr>
          <w:divsChild>
            <w:div w:id="590889459">
              <w:marLeft w:val="0"/>
              <w:marRight w:val="0"/>
              <w:marTop w:val="0"/>
              <w:marBottom w:val="0"/>
              <w:divBdr>
                <w:top w:val="none" w:sz="0" w:space="0" w:color="auto"/>
                <w:left w:val="none" w:sz="0" w:space="0" w:color="auto"/>
                <w:bottom w:val="none" w:sz="0" w:space="0" w:color="auto"/>
                <w:right w:val="none" w:sz="0" w:space="0" w:color="auto"/>
              </w:divBdr>
              <w:divsChild>
                <w:div w:id="12689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3722">
          <w:marLeft w:val="0"/>
          <w:marRight w:val="0"/>
          <w:marTop w:val="0"/>
          <w:marBottom w:val="0"/>
          <w:divBdr>
            <w:top w:val="none" w:sz="0" w:space="0" w:color="auto"/>
            <w:left w:val="none" w:sz="0" w:space="0" w:color="auto"/>
            <w:bottom w:val="none" w:sz="0" w:space="0" w:color="auto"/>
            <w:right w:val="none" w:sz="0" w:space="0" w:color="auto"/>
          </w:divBdr>
          <w:divsChild>
            <w:div w:id="678190752">
              <w:marLeft w:val="0"/>
              <w:marRight w:val="0"/>
              <w:marTop w:val="0"/>
              <w:marBottom w:val="0"/>
              <w:divBdr>
                <w:top w:val="none" w:sz="0" w:space="0" w:color="auto"/>
                <w:left w:val="none" w:sz="0" w:space="0" w:color="auto"/>
                <w:bottom w:val="none" w:sz="0" w:space="0" w:color="auto"/>
                <w:right w:val="none" w:sz="0" w:space="0" w:color="auto"/>
              </w:divBdr>
              <w:divsChild>
                <w:div w:id="14090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80946">
          <w:marLeft w:val="0"/>
          <w:marRight w:val="0"/>
          <w:marTop w:val="0"/>
          <w:marBottom w:val="0"/>
          <w:divBdr>
            <w:top w:val="none" w:sz="0" w:space="0" w:color="auto"/>
            <w:left w:val="none" w:sz="0" w:space="0" w:color="auto"/>
            <w:bottom w:val="none" w:sz="0" w:space="0" w:color="auto"/>
            <w:right w:val="none" w:sz="0" w:space="0" w:color="auto"/>
          </w:divBdr>
          <w:divsChild>
            <w:div w:id="1045717688">
              <w:marLeft w:val="0"/>
              <w:marRight w:val="0"/>
              <w:marTop w:val="0"/>
              <w:marBottom w:val="0"/>
              <w:divBdr>
                <w:top w:val="none" w:sz="0" w:space="0" w:color="auto"/>
                <w:left w:val="none" w:sz="0" w:space="0" w:color="auto"/>
                <w:bottom w:val="none" w:sz="0" w:space="0" w:color="auto"/>
                <w:right w:val="none" w:sz="0" w:space="0" w:color="auto"/>
              </w:divBdr>
              <w:divsChild>
                <w:div w:id="19083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4852">
          <w:marLeft w:val="0"/>
          <w:marRight w:val="0"/>
          <w:marTop w:val="0"/>
          <w:marBottom w:val="0"/>
          <w:divBdr>
            <w:top w:val="none" w:sz="0" w:space="0" w:color="auto"/>
            <w:left w:val="none" w:sz="0" w:space="0" w:color="auto"/>
            <w:bottom w:val="none" w:sz="0" w:space="0" w:color="auto"/>
            <w:right w:val="none" w:sz="0" w:space="0" w:color="auto"/>
          </w:divBdr>
          <w:divsChild>
            <w:div w:id="1525240857">
              <w:marLeft w:val="0"/>
              <w:marRight w:val="0"/>
              <w:marTop w:val="0"/>
              <w:marBottom w:val="0"/>
              <w:divBdr>
                <w:top w:val="none" w:sz="0" w:space="0" w:color="auto"/>
                <w:left w:val="none" w:sz="0" w:space="0" w:color="auto"/>
                <w:bottom w:val="none" w:sz="0" w:space="0" w:color="auto"/>
                <w:right w:val="none" w:sz="0" w:space="0" w:color="auto"/>
              </w:divBdr>
              <w:divsChild>
                <w:div w:id="11448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1080">
          <w:marLeft w:val="0"/>
          <w:marRight w:val="0"/>
          <w:marTop w:val="0"/>
          <w:marBottom w:val="0"/>
          <w:divBdr>
            <w:top w:val="none" w:sz="0" w:space="0" w:color="auto"/>
            <w:left w:val="none" w:sz="0" w:space="0" w:color="auto"/>
            <w:bottom w:val="none" w:sz="0" w:space="0" w:color="auto"/>
            <w:right w:val="none" w:sz="0" w:space="0" w:color="auto"/>
          </w:divBdr>
          <w:divsChild>
            <w:div w:id="1326666392">
              <w:marLeft w:val="0"/>
              <w:marRight w:val="0"/>
              <w:marTop w:val="0"/>
              <w:marBottom w:val="0"/>
              <w:divBdr>
                <w:top w:val="none" w:sz="0" w:space="0" w:color="auto"/>
                <w:left w:val="none" w:sz="0" w:space="0" w:color="auto"/>
                <w:bottom w:val="none" w:sz="0" w:space="0" w:color="auto"/>
                <w:right w:val="none" w:sz="0" w:space="0" w:color="auto"/>
              </w:divBdr>
              <w:divsChild>
                <w:div w:id="10535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6565">
          <w:marLeft w:val="0"/>
          <w:marRight w:val="0"/>
          <w:marTop w:val="0"/>
          <w:marBottom w:val="0"/>
          <w:divBdr>
            <w:top w:val="none" w:sz="0" w:space="0" w:color="auto"/>
            <w:left w:val="none" w:sz="0" w:space="0" w:color="auto"/>
            <w:bottom w:val="none" w:sz="0" w:space="0" w:color="auto"/>
            <w:right w:val="none" w:sz="0" w:space="0" w:color="auto"/>
          </w:divBdr>
          <w:divsChild>
            <w:div w:id="522016939">
              <w:marLeft w:val="0"/>
              <w:marRight w:val="0"/>
              <w:marTop w:val="0"/>
              <w:marBottom w:val="0"/>
              <w:divBdr>
                <w:top w:val="none" w:sz="0" w:space="0" w:color="auto"/>
                <w:left w:val="none" w:sz="0" w:space="0" w:color="auto"/>
                <w:bottom w:val="none" w:sz="0" w:space="0" w:color="auto"/>
                <w:right w:val="none" w:sz="0" w:space="0" w:color="auto"/>
              </w:divBdr>
              <w:divsChild>
                <w:div w:id="7715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9811">
          <w:marLeft w:val="0"/>
          <w:marRight w:val="0"/>
          <w:marTop w:val="0"/>
          <w:marBottom w:val="0"/>
          <w:divBdr>
            <w:top w:val="none" w:sz="0" w:space="0" w:color="auto"/>
            <w:left w:val="none" w:sz="0" w:space="0" w:color="auto"/>
            <w:bottom w:val="none" w:sz="0" w:space="0" w:color="auto"/>
            <w:right w:val="none" w:sz="0" w:space="0" w:color="auto"/>
          </w:divBdr>
          <w:divsChild>
            <w:div w:id="898635613">
              <w:marLeft w:val="0"/>
              <w:marRight w:val="0"/>
              <w:marTop w:val="0"/>
              <w:marBottom w:val="0"/>
              <w:divBdr>
                <w:top w:val="none" w:sz="0" w:space="0" w:color="auto"/>
                <w:left w:val="none" w:sz="0" w:space="0" w:color="auto"/>
                <w:bottom w:val="none" w:sz="0" w:space="0" w:color="auto"/>
                <w:right w:val="none" w:sz="0" w:space="0" w:color="auto"/>
              </w:divBdr>
              <w:divsChild>
                <w:div w:id="17681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5347">
      <w:bodyDiv w:val="1"/>
      <w:marLeft w:val="0"/>
      <w:marRight w:val="0"/>
      <w:marTop w:val="0"/>
      <w:marBottom w:val="0"/>
      <w:divBdr>
        <w:top w:val="none" w:sz="0" w:space="0" w:color="auto"/>
        <w:left w:val="none" w:sz="0" w:space="0" w:color="auto"/>
        <w:bottom w:val="none" w:sz="0" w:space="0" w:color="auto"/>
        <w:right w:val="none" w:sz="0" w:space="0" w:color="auto"/>
      </w:divBdr>
      <w:divsChild>
        <w:div w:id="938221493">
          <w:marLeft w:val="0"/>
          <w:marRight w:val="0"/>
          <w:marTop w:val="0"/>
          <w:marBottom w:val="0"/>
          <w:divBdr>
            <w:top w:val="none" w:sz="0" w:space="0" w:color="auto"/>
            <w:left w:val="none" w:sz="0" w:space="0" w:color="auto"/>
            <w:bottom w:val="none" w:sz="0" w:space="0" w:color="auto"/>
            <w:right w:val="none" w:sz="0" w:space="0" w:color="auto"/>
          </w:divBdr>
          <w:divsChild>
            <w:div w:id="1893690537">
              <w:marLeft w:val="0"/>
              <w:marRight w:val="0"/>
              <w:marTop w:val="0"/>
              <w:marBottom w:val="0"/>
              <w:divBdr>
                <w:top w:val="none" w:sz="0" w:space="0" w:color="auto"/>
                <w:left w:val="none" w:sz="0" w:space="0" w:color="auto"/>
                <w:bottom w:val="none" w:sz="0" w:space="0" w:color="auto"/>
                <w:right w:val="none" w:sz="0" w:space="0" w:color="auto"/>
              </w:divBdr>
              <w:divsChild>
                <w:div w:id="43104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0960">
          <w:marLeft w:val="0"/>
          <w:marRight w:val="0"/>
          <w:marTop w:val="0"/>
          <w:marBottom w:val="0"/>
          <w:divBdr>
            <w:top w:val="none" w:sz="0" w:space="0" w:color="auto"/>
            <w:left w:val="none" w:sz="0" w:space="0" w:color="auto"/>
            <w:bottom w:val="none" w:sz="0" w:space="0" w:color="auto"/>
            <w:right w:val="none" w:sz="0" w:space="0" w:color="auto"/>
          </w:divBdr>
          <w:divsChild>
            <w:div w:id="1573348621">
              <w:marLeft w:val="0"/>
              <w:marRight w:val="0"/>
              <w:marTop w:val="0"/>
              <w:marBottom w:val="0"/>
              <w:divBdr>
                <w:top w:val="none" w:sz="0" w:space="0" w:color="auto"/>
                <w:left w:val="none" w:sz="0" w:space="0" w:color="auto"/>
                <w:bottom w:val="none" w:sz="0" w:space="0" w:color="auto"/>
                <w:right w:val="none" w:sz="0" w:space="0" w:color="auto"/>
              </w:divBdr>
              <w:divsChild>
                <w:div w:id="17587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705">
          <w:marLeft w:val="0"/>
          <w:marRight w:val="0"/>
          <w:marTop w:val="0"/>
          <w:marBottom w:val="0"/>
          <w:divBdr>
            <w:top w:val="none" w:sz="0" w:space="0" w:color="auto"/>
            <w:left w:val="none" w:sz="0" w:space="0" w:color="auto"/>
            <w:bottom w:val="none" w:sz="0" w:space="0" w:color="auto"/>
            <w:right w:val="none" w:sz="0" w:space="0" w:color="auto"/>
          </w:divBdr>
          <w:divsChild>
            <w:div w:id="1818103995">
              <w:marLeft w:val="0"/>
              <w:marRight w:val="0"/>
              <w:marTop w:val="0"/>
              <w:marBottom w:val="0"/>
              <w:divBdr>
                <w:top w:val="none" w:sz="0" w:space="0" w:color="auto"/>
                <w:left w:val="none" w:sz="0" w:space="0" w:color="auto"/>
                <w:bottom w:val="none" w:sz="0" w:space="0" w:color="auto"/>
                <w:right w:val="none" w:sz="0" w:space="0" w:color="auto"/>
              </w:divBdr>
              <w:divsChild>
                <w:div w:id="6943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950">
          <w:marLeft w:val="0"/>
          <w:marRight w:val="0"/>
          <w:marTop w:val="0"/>
          <w:marBottom w:val="0"/>
          <w:divBdr>
            <w:top w:val="none" w:sz="0" w:space="0" w:color="auto"/>
            <w:left w:val="none" w:sz="0" w:space="0" w:color="auto"/>
            <w:bottom w:val="none" w:sz="0" w:space="0" w:color="auto"/>
            <w:right w:val="none" w:sz="0" w:space="0" w:color="auto"/>
          </w:divBdr>
          <w:divsChild>
            <w:div w:id="993994649">
              <w:marLeft w:val="0"/>
              <w:marRight w:val="0"/>
              <w:marTop w:val="0"/>
              <w:marBottom w:val="0"/>
              <w:divBdr>
                <w:top w:val="none" w:sz="0" w:space="0" w:color="auto"/>
                <w:left w:val="none" w:sz="0" w:space="0" w:color="auto"/>
                <w:bottom w:val="none" w:sz="0" w:space="0" w:color="auto"/>
                <w:right w:val="none" w:sz="0" w:space="0" w:color="auto"/>
              </w:divBdr>
              <w:divsChild>
                <w:div w:id="2917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93547185">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95271969">
      <w:bodyDiv w:val="1"/>
      <w:marLeft w:val="0"/>
      <w:marRight w:val="0"/>
      <w:marTop w:val="0"/>
      <w:marBottom w:val="0"/>
      <w:divBdr>
        <w:top w:val="none" w:sz="0" w:space="0" w:color="auto"/>
        <w:left w:val="none" w:sz="0" w:space="0" w:color="auto"/>
        <w:bottom w:val="none" w:sz="0" w:space="0" w:color="auto"/>
        <w:right w:val="none" w:sz="0" w:space="0" w:color="auto"/>
      </w:divBdr>
      <w:divsChild>
        <w:div w:id="546186491">
          <w:marLeft w:val="0"/>
          <w:marRight w:val="0"/>
          <w:marTop w:val="0"/>
          <w:marBottom w:val="0"/>
          <w:divBdr>
            <w:top w:val="none" w:sz="0" w:space="0" w:color="auto"/>
            <w:left w:val="none" w:sz="0" w:space="0" w:color="auto"/>
            <w:bottom w:val="none" w:sz="0" w:space="0" w:color="auto"/>
            <w:right w:val="none" w:sz="0" w:space="0" w:color="auto"/>
          </w:divBdr>
        </w:div>
      </w:divsChild>
    </w:div>
    <w:div w:id="1438985452">
      <w:bodyDiv w:val="1"/>
      <w:marLeft w:val="0"/>
      <w:marRight w:val="0"/>
      <w:marTop w:val="0"/>
      <w:marBottom w:val="0"/>
      <w:divBdr>
        <w:top w:val="none" w:sz="0" w:space="0" w:color="auto"/>
        <w:left w:val="none" w:sz="0" w:space="0" w:color="auto"/>
        <w:bottom w:val="none" w:sz="0" w:space="0" w:color="auto"/>
        <w:right w:val="none" w:sz="0" w:space="0" w:color="auto"/>
      </w:divBdr>
      <w:divsChild>
        <w:div w:id="387995534">
          <w:marLeft w:val="0"/>
          <w:marRight w:val="0"/>
          <w:marTop w:val="0"/>
          <w:marBottom w:val="0"/>
          <w:divBdr>
            <w:top w:val="none" w:sz="0" w:space="0" w:color="auto"/>
            <w:left w:val="none" w:sz="0" w:space="0" w:color="auto"/>
            <w:bottom w:val="none" w:sz="0" w:space="0" w:color="auto"/>
            <w:right w:val="none" w:sz="0" w:space="0" w:color="auto"/>
          </w:divBdr>
          <w:divsChild>
            <w:div w:id="918246984">
              <w:marLeft w:val="0"/>
              <w:marRight w:val="0"/>
              <w:marTop w:val="0"/>
              <w:marBottom w:val="0"/>
              <w:divBdr>
                <w:top w:val="none" w:sz="0" w:space="0" w:color="auto"/>
                <w:left w:val="none" w:sz="0" w:space="0" w:color="auto"/>
                <w:bottom w:val="none" w:sz="0" w:space="0" w:color="auto"/>
                <w:right w:val="none" w:sz="0" w:space="0" w:color="auto"/>
              </w:divBdr>
              <w:divsChild>
                <w:div w:id="172714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4105">
          <w:marLeft w:val="0"/>
          <w:marRight w:val="0"/>
          <w:marTop w:val="0"/>
          <w:marBottom w:val="0"/>
          <w:divBdr>
            <w:top w:val="none" w:sz="0" w:space="0" w:color="auto"/>
            <w:left w:val="none" w:sz="0" w:space="0" w:color="auto"/>
            <w:bottom w:val="none" w:sz="0" w:space="0" w:color="auto"/>
            <w:right w:val="none" w:sz="0" w:space="0" w:color="auto"/>
          </w:divBdr>
          <w:divsChild>
            <w:div w:id="1801722762">
              <w:marLeft w:val="0"/>
              <w:marRight w:val="0"/>
              <w:marTop w:val="0"/>
              <w:marBottom w:val="0"/>
              <w:divBdr>
                <w:top w:val="none" w:sz="0" w:space="0" w:color="auto"/>
                <w:left w:val="none" w:sz="0" w:space="0" w:color="auto"/>
                <w:bottom w:val="none" w:sz="0" w:space="0" w:color="auto"/>
                <w:right w:val="none" w:sz="0" w:space="0" w:color="auto"/>
              </w:divBdr>
              <w:divsChild>
                <w:div w:id="21123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89448">
          <w:marLeft w:val="0"/>
          <w:marRight w:val="0"/>
          <w:marTop w:val="0"/>
          <w:marBottom w:val="0"/>
          <w:divBdr>
            <w:top w:val="none" w:sz="0" w:space="0" w:color="auto"/>
            <w:left w:val="none" w:sz="0" w:space="0" w:color="auto"/>
            <w:bottom w:val="none" w:sz="0" w:space="0" w:color="auto"/>
            <w:right w:val="none" w:sz="0" w:space="0" w:color="auto"/>
          </w:divBdr>
          <w:divsChild>
            <w:div w:id="984578317">
              <w:marLeft w:val="0"/>
              <w:marRight w:val="0"/>
              <w:marTop w:val="0"/>
              <w:marBottom w:val="0"/>
              <w:divBdr>
                <w:top w:val="none" w:sz="0" w:space="0" w:color="auto"/>
                <w:left w:val="none" w:sz="0" w:space="0" w:color="auto"/>
                <w:bottom w:val="none" w:sz="0" w:space="0" w:color="auto"/>
                <w:right w:val="none" w:sz="0" w:space="0" w:color="auto"/>
              </w:divBdr>
              <w:divsChild>
                <w:div w:id="20720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2483">
          <w:marLeft w:val="0"/>
          <w:marRight w:val="0"/>
          <w:marTop w:val="0"/>
          <w:marBottom w:val="0"/>
          <w:divBdr>
            <w:top w:val="none" w:sz="0" w:space="0" w:color="auto"/>
            <w:left w:val="none" w:sz="0" w:space="0" w:color="auto"/>
            <w:bottom w:val="none" w:sz="0" w:space="0" w:color="auto"/>
            <w:right w:val="none" w:sz="0" w:space="0" w:color="auto"/>
          </w:divBdr>
          <w:divsChild>
            <w:div w:id="250311208">
              <w:marLeft w:val="0"/>
              <w:marRight w:val="0"/>
              <w:marTop w:val="0"/>
              <w:marBottom w:val="0"/>
              <w:divBdr>
                <w:top w:val="none" w:sz="0" w:space="0" w:color="auto"/>
                <w:left w:val="none" w:sz="0" w:space="0" w:color="auto"/>
                <w:bottom w:val="none" w:sz="0" w:space="0" w:color="auto"/>
                <w:right w:val="none" w:sz="0" w:space="0" w:color="auto"/>
              </w:divBdr>
              <w:divsChild>
                <w:div w:id="2036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5127">
          <w:marLeft w:val="0"/>
          <w:marRight w:val="0"/>
          <w:marTop w:val="0"/>
          <w:marBottom w:val="0"/>
          <w:divBdr>
            <w:top w:val="none" w:sz="0" w:space="0" w:color="auto"/>
            <w:left w:val="none" w:sz="0" w:space="0" w:color="auto"/>
            <w:bottom w:val="none" w:sz="0" w:space="0" w:color="auto"/>
            <w:right w:val="none" w:sz="0" w:space="0" w:color="auto"/>
          </w:divBdr>
          <w:divsChild>
            <w:div w:id="48774453">
              <w:marLeft w:val="0"/>
              <w:marRight w:val="0"/>
              <w:marTop w:val="0"/>
              <w:marBottom w:val="0"/>
              <w:divBdr>
                <w:top w:val="none" w:sz="0" w:space="0" w:color="auto"/>
                <w:left w:val="none" w:sz="0" w:space="0" w:color="auto"/>
                <w:bottom w:val="none" w:sz="0" w:space="0" w:color="auto"/>
                <w:right w:val="none" w:sz="0" w:space="0" w:color="auto"/>
              </w:divBdr>
              <w:divsChild>
                <w:div w:id="16963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0059">
          <w:marLeft w:val="0"/>
          <w:marRight w:val="0"/>
          <w:marTop w:val="0"/>
          <w:marBottom w:val="0"/>
          <w:divBdr>
            <w:top w:val="none" w:sz="0" w:space="0" w:color="auto"/>
            <w:left w:val="none" w:sz="0" w:space="0" w:color="auto"/>
            <w:bottom w:val="none" w:sz="0" w:space="0" w:color="auto"/>
            <w:right w:val="none" w:sz="0" w:space="0" w:color="auto"/>
          </w:divBdr>
          <w:divsChild>
            <w:div w:id="1266500214">
              <w:marLeft w:val="0"/>
              <w:marRight w:val="0"/>
              <w:marTop w:val="0"/>
              <w:marBottom w:val="0"/>
              <w:divBdr>
                <w:top w:val="none" w:sz="0" w:space="0" w:color="auto"/>
                <w:left w:val="none" w:sz="0" w:space="0" w:color="auto"/>
                <w:bottom w:val="none" w:sz="0" w:space="0" w:color="auto"/>
                <w:right w:val="none" w:sz="0" w:space="0" w:color="auto"/>
              </w:divBdr>
              <w:divsChild>
                <w:div w:id="12341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98099">
          <w:marLeft w:val="0"/>
          <w:marRight w:val="0"/>
          <w:marTop w:val="0"/>
          <w:marBottom w:val="0"/>
          <w:divBdr>
            <w:top w:val="none" w:sz="0" w:space="0" w:color="auto"/>
            <w:left w:val="none" w:sz="0" w:space="0" w:color="auto"/>
            <w:bottom w:val="none" w:sz="0" w:space="0" w:color="auto"/>
            <w:right w:val="none" w:sz="0" w:space="0" w:color="auto"/>
          </w:divBdr>
          <w:divsChild>
            <w:div w:id="1033654856">
              <w:marLeft w:val="0"/>
              <w:marRight w:val="0"/>
              <w:marTop w:val="0"/>
              <w:marBottom w:val="0"/>
              <w:divBdr>
                <w:top w:val="none" w:sz="0" w:space="0" w:color="auto"/>
                <w:left w:val="none" w:sz="0" w:space="0" w:color="auto"/>
                <w:bottom w:val="none" w:sz="0" w:space="0" w:color="auto"/>
                <w:right w:val="none" w:sz="0" w:space="0" w:color="auto"/>
              </w:divBdr>
              <w:divsChild>
                <w:div w:id="103242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71638">
          <w:marLeft w:val="0"/>
          <w:marRight w:val="0"/>
          <w:marTop w:val="0"/>
          <w:marBottom w:val="0"/>
          <w:divBdr>
            <w:top w:val="none" w:sz="0" w:space="0" w:color="auto"/>
            <w:left w:val="none" w:sz="0" w:space="0" w:color="auto"/>
            <w:bottom w:val="none" w:sz="0" w:space="0" w:color="auto"/>
            <w:right w:val="none" w:sz="0" w:space="0" w:color="auto"/>
          </w:divBdr>
          <w:divsChild>
            <w:div w:id="610746234">
              <w:marLeft w:val="0"/>
              <w:marRight w:val="0"/>
              <w:marTop w:val="0"/>
              <w:marBottom w:val="0"/>
              <w:divBdr>
                <w:top w:val="none" w:sz="0" w:space="0" w:color="auto"/>
                <w:left w:val="none" w:sz="0" w:space="0" w:color="auto"/>
                <w:bottom w:val="none" w:sz="0" w:space="0" w:color="auto"/>
                <w:right w:val="none" w:sz="0" w:space="0" w:color="auto"/>
              </w:divBdr>
              <w:divsChild>
                <w:div w:id="21233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5312">
          <w:marLeft w:val="0"/>
          <w:marRight w:val="0"/>
          <w:marTop w:val="0"/>
          <w:marBottom w:val="0"/>
          <w:divBdr>
            <w:top w:val="none" w:sz="0" w:space="0" w:color="auto"/>
            <w:left w:val="none" w:sz="0" w:space="0" w:color="auto"/>
            <w:bottom w:val="none" w:sz="0" w:space="0" w:color="auto"/>
            <w:right w:val="none" w:sz="0" w:space="0" w:color="auto"/>
          </w:divBdr>
          <w:divsChild>
            <w:div w:id="1537237637">
              <w:marLeft w:val="0"/>
              <w:marRight w:val="0"/>
              <w:marTop w:val="0"/>
              <w:marBottom w:val="0"/>
              <w:divBdr>
                <w:top w:val="none" w:sz="0" w:space="0" w:color="auto"/>
                <w:left w:val="none" w:sz="0" w:space="0" w:color="auto"/>
                <w:bottom w:val="none" w:sz="0" w:space="0" w:color="auto"/>
                <w:right w:val="none" w:sz="0" w:space="0" w:color="auto"/>
              </w:divBdr>
              <w:divsChild>
                <w:div w:id="7201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59566">
          <w:marLeft w:val="0"/>
          <w:marRight w:val="0"/>
          <w:marTop w:val="0"/>
          <w:marBottom w:val="0"/>
          <w:divBdr>
            <w:top w:val="none" w:sz="0" w:space="0" w:color="auto"/>
            <w:left w:val="none" w:sz="0" w:space="0" w:color="auto"/>
            <w:bottom w:val="none" w:sz="0" w:space="0" w:color="auto"/>
            <w:right w:val="none" w:sz="0" w:space="0" w:color="auto"/>
          </w:divBdr>
          <w:divsChild>
            <w:div w:id="2006781769">
              <w:marLeft w:val="0"/>
              <w:marRight w:val="0"/>
              <w:marTop w:val="0"/>
              <w:marBottom w:val="0"/>
              <w:divBdr>
                <w:top w:val="none" w:sz="0" w:space="0" w:color="auto"/>
                <w:left w:val="none" w:sz="0" w:space="0" w:color="auto"/>
                <w:bottom w:val="none" w:sz="0" w:space="0" w:color="auto"/>
                <w:right w:val="none" w:sz="0" w:space="0" w:color="auto"/>
              </w:divBdr>
              <w:divsChild>
                <w:div w:id="2158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1635">
          <w:marLeft w:val="0"/>
          <w:marRight w:val="0"/>
          <w:marTop w:val="0"/>
          <w:marBottom w:val="0"/>
          <w:divBdr>
            <w:top w:val="none" w:sz="0" w:space="0" w:color="auto"/>
            <w:left w:val="none" w:sz="0" w:space="0" w:color="auto"/>
            <w:bottom w:val="none" w:sz="0" w:space="0" w:color="auto"/>
            <w:right w:val="none" w:sz="0" w:space="0" w:color="auto"/>
          </w:divBdr>
          <w:divsChild>
            <w:div w:id="570778746">
              <w:marLeft w:val="0"/>
              <w:marRight w:val="0"/>
              <w:marTop w:val="0"/>
              <w:marBottom w:val="0"/>
              <w:divBdr>
                <w:top w:val="none" w:sz="0" w:space="0" w:color="auto"/>
                <w:left w:val="none" w:sz="0" w:space="0" w:color="auto"/>
                <w:bottom w:val="none" w:sz="0" w:space="0" w:color="auto"/>
                <w:right w:val="none" w:sz="0" w:space="0" w:color="auto"/>
              </w:divBdr>
              <w:divsChild>
                <w:div w:id="4589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09219">
          <w:marLeft w:val="0"/>
          <w:marRight w:val="0"/>
          <w:marTop w:val="0"/>
          <w:marBottom w:val="0"/>
          <w:divBdr>
            <w:top w:val="none" w:sz="0" w:space="0" w:color="auto"/>
            <w:left w:val="none" w:sz="0" w:space="0" w:color="auto"/>
            <w:bottom w:val="none" w:sz="0" w:space="0" w:color="auto"/>
            <w:right w:val="none" w:sz="0" w:space="0" w:color="auto"/>
          </w:divBdr>
          <w:divsChild>
            <w:div w:id="640965565">
              <w:marLeft w:val="0"/>
              <w:marRight w:val="0"/>
              <w:marTop w:val="0"/>
              <w:marBottom w:val="0"/>
              <w:divBdr>
                <w:top w:val="none" w:sz="0" w:space="0" w:color="auto"/>
                <w:left w:val="none" w:sz="0" w:space="0" w:color="auto"/>
                <w:bottom w:val="none" w:sz="0" w:space="0" w:color="auto"/>
                <w:right w:val="none" w:sz="0" w:space="0" w:color="auto"/>
              </w:divBdr>
              <w:divsChild>
                <w:div w:id="7680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4476">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5415179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19547101">
      <w:bodyDiv w:val="1"/>
      <w:marLeft w:val="0"/>
      <w:marRight w:val="0"/>
      <w:marTop w:val="0"/>
      <w:marBottom w:val="0"/>
      <w:divBdr>
        <w:top w:val="none" w:sz="0" w:space="0" w:color="auto"/>
        <w:left w:val="none" w:sz="0" w:space="0" w:color="auto"/>
        <w:bottom w:val="none" w:sz="0" w:space="0" w:color="auto"/>
        <w:right w:val="none" w:sz="0" w:space="0" w:color="auto"/>
      </w:divBdr>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86148491">
      <w:bodyDiv w:val="1"/>
      <w:marLeft w:val="0"/>
      <w:marRight w:val="0"/>
      <w:marTop w:val="0"/>
      <w:marBottom w:val="0"/>
      <w:divBdr>
        <w:top w:val="none" w:sz="0" w:space="0" w:color="auto"/>
        <w:left w:val="none" w:sz="0" w:space="0" w:color="auto"/>
        <w:bottom w:val="none" w:sz="0" w:space="0" w:color="auto"/>
        <w:right w:val="none" w:sz="0" w:space="0" w:color="auto"/>
      </w:divBdr>
      <w:divsChild>
        <w:div w:id="842429284">
          <w:marLeft w:val="0"/>
          <w:marRight w:val="0"/>
          <w:marTop w:val="0"/>
          <w:marBottom w:val="0"/>
          <w:divBdr>
            <w:top w:val="none" w:sz="0" w:space="0" w:color="auto"/>
            <w:left w:val="none" w:sz="0" w:space="0" w:color="auto"/>
            <w:bottom w:val="none" w:sz="0" w:space="0" w:color="auto"/>
            <w:right w:val="none" w:sz="0" w:space="0" w:color="auto"/>
          </w:divBdr>
          <w:divsChild>
            <w:div w:id="1640114403">
              <w:marLeft w:val="0"/>
              <w:marRight w:val="0"/>
              <w:marTop w:val="0"/>
              <w:marBottom w:val="0"/>
              <w:divBdr>
                <w:top w:val="none" w:sz="0" w:space="0" w:color="auto"/>
                <w:left w:val="none" w:sz="0" w:space="0" w:color="auto"/>
                <w:bottom w:val="none" w:sz="0" w:space="0" w:color="auto"/>
                <w:right w:val="none" w:sz="0" w:space="0" w:color="auto"/>
              </w:divBdr>
              <w:divsChild>
                <w:div w:id="4772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2639">
          <w:marLeft w:val="0"/>
          <w:marRight w:val="0"/>
          <w:marTop w:val="0"/>
          <w:marBottom w:val="0"/>
          <w:divBdr>
            <w:top w:val="none" w:sz="0" w:space="0" w:color="auto"/>
            <w:left w:val="none" w:sz="0" w:space="0" w:color="auto"/>
            <w:bottom w:val="none" w:sz="0" w:space="0" w:color="auto"/>
            <w:right w:val="none" w:sz="0" w:space="0" w:color="auto"/>
          </w:divBdr>
          <w:divsChild>
            <w:div w:id="316694617">
              <w:marLeft w:val="0"/>
              <w:marRight w:val="0"/>
              <w:marTop w:val="0"/>
              <w:marBottom w:val="0"/>
              <w:divBdr>
                <w:top w:val="none" w:sz="0" w:space="0" w:color="auto"/>
                <w:left w:val="none" w:sz="0" w:space="0" w:color="auto"/>
                <w:bottom w:val="none" w:sz="0" w:space="0" w:color="auto"/>
                <w:right w:val="none" w:sz="0" w:space="0" w:color="auto"/>
              </w:divBdr>
              <w:divsChild>
                <w:div w:id="20276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8861">
          <w:marLeft w:val="0"/>
          <w:marRight w:val="0"/>
          <w:marTop w:val="0"/>
          <w:marBottom w:val="0"/>
          <w:divBdr>
            <w:top w:val="none" w:sz="0" w:space="0" w:color="auto"/>
            <w:left w:val="none" w:sz="0" w:space="0" w:color="auto"/>
            <w:bottom w:val="none" w:sz="0" w:space="0" w:color="auto"/>
            <w:right w:val="none" w:sz="0" w:space="0" w:color="auto"/>
          </w:divBdr>
          <w:divsChild>
            <w:div w:id="1565065480">
              <w:marLeft w:val="0"/>
              <w:marRight w:val="0"/>
              <w:marTop w:val="0"/>
              <w:marBottom w:val="0"/>
              <w:divBdr>
                <w:top w:val="none" w:sz="0" w:space="0" w:color="auto"/>
                <w:left w:val="none" w:sz="0" w:space="0" w:color="auto"/>
                <w:bottom w:val="none" w:sz="0" w:space="0" w:color="auto"/>
                <w:right w:val="none" w:sz="0" w:space="0" w:color="auto"/>
              </w:divBdr>
              <w:divsChild>
                <w:div w:id="14876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2304">
          <w:marLeft w:val="0"/>
          <w:marRight w:val="0"/>
          <w:marTop w:val="0"/>
          <w:marBottom w:val="0"/>
          <w:divBdr>
            <w:top w:val="none" w:sz="0" w:space="0" w:color="auto"/>
            <w:left w:val="none" w:sz="0" w:space="0" w:color="auto"/>
            <w:bottom w:val="none" w:sz="0" w:space="0" w:color="auto"/>
            <w:right w:val="none" w:sz="0" w:space="0" w:color="auto"/>
          </w:divBdr>
          <w:divsChild>
            <w:div w:id="2141872109">
              <w:marLeft w:val="0"/>
              <w:marRight w:val="0"/>
              <w:marTop w:val="0"/>
              <w:marBottom w:val="0"/>
              <w:divBdr>
                <w:top w:val="none" w:sz="0" w:space="0" w:color="auto"/>
                <w:left w:val="none" w:sz="0" w:space="0" w:color="auto"/>
                <w:bottom w:val="none" w:sz="0" w:space="0" w:color="auto"/>
                <w:right w:val="none" w:sz="0" w:space="0" w:color="auto"/>
              </w:divBdr>
              <w:divsChild>
                <w:div w:id="13208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8873">
          <w:marLeft w:val="0"/>
          <w:marRight w:val="0"/>
          <w:marTop w:val="0"/>
          <w:marBottom w:val="0"/>
          <w:divBdr>
            <w:top w:val="none" w:sz="0" w:space="0" w:color="auto"/>
            <w:left w:val="none" w:sz="0" w:space="0" w:color="auto"/>
            <w:bottom w:val="none" w:sz="0" w:space="0" w:color="auto"/>
            <w:right w:val="none" w:sz="0" w:space="0" w:color="auto"/>
          </w:divBdr>
          <w:divsChild>
            <w:div w:id="333151971">
              <w:marLeft w:val="0"/>
              <w:marRight w:val="0"/>
              <w:marTop w:val="0"/>
              <w:marBottom w:val="0"/>
              <w:divBdr>
                <w:top w:val="none" w:sz="0" w:space="0" w:color="auto"/>
                <w:left w:val="none" w:sz="0" w:space="0" w:color="auto"/>
                <w:bottom w:val="none" w:sz="0" w:space="0" w:color="auto"/>
                <w:right w:val="none" w:sz="0" w:space="0" w:color="auto"/>
              </w:divBdr>
              <w:divsChild>
                <w:div w:id="18995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4343">
          <w:marLeft w:val="0"/>
          <w:marRight w:val="0"/>
          <w:marTop w:val="0"/>
          <w:marBottom w:val="0"/>
          <w:divBdr>
            <w:top w:val="none" w:sz="0" w:space="0" w:color="auto"/>
            <w:left w:val="none" w:sz="0" w:space="0" w:color="auto"/>
            <w:bottom w:val="none" w:sz="0" w:space="0" w:color="auto"/>
            <w:right w:val="none" w:sz="0" w:space="0" w:color="auto"/>
          </w:divBdr>
          <w:divsChild>
            <w:div w:id="1072894318">
              <w:marLeft w:val="0"/>
              <w:marRight w:val="0"/>
              <w:marTop w:val="0"/>
              <w:marBottom w:val="0"/>
              <w:divBdr>
                <w:top w:val="none" w:sz="0" w:space="0" w:color="auto"/>
                <w:left w:val="none" w:sz="0" w:space="0" w:color="auto"/>
                <w:bottom w:val="none" w:sz="0" w:space="0" w:color="auto"/>
                <w:right w:val="none" w:sz="0" w:space="0" w:color="auto"/>
              </w:divBdr>
              <w:divsChild>
                <w:div w:id="12446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2238">
          <w:marLeft w:val="0"/>
          <w:marRight w:val="0"/>
          <w:marTop w:val="0"/>
          <w:marBottom w:val="0"/>
          <w:divBdr>
            <w:top w:val="none" w:sz="0" w:space="0" w:color="auto"/>
            <w:left w:val="none" w:sz="0" w:space="0" w:color="auto"/>
            <w:bottom w:val="none" w:sz="0" w:space="0" w:color="auto"/>
            <w:right w:val="none" w:sz="0" w:space="0" w:color="auto"/>
          </w:divBdr>
          <w:divsChild>
            <w:div w:id="1610307667">
              <w:marLeft w:val="0"/>
              <w:marRight w:val="0"/>
              <w:marTop w:val="0"/>
              <w:marBottom w:val="0"/>
              <w:divBdr>
                <w:top w:val="none" w:sz="0" w:space="0" w:color="auto"/>
                <w:left w:val="none" w:sz="0" w:space="0" w:color="auto"/>
                <w:bottom w:val="none" w:sz="0" w:space="0" w:color="auto"/>
                <w:right w:val="none" w:sz="0" w:space="0" w:color="auto"/>
              </w:divBdr>
              <w:divsChild>
                <w:div w:id="17142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3020">
          <w:marLeft w:val="0"/>
          <w:marRight w:val="0"/>
          <w:marTop w:val="0"/>
          <w:marBottom w:val="0"/>
          <w:divBdr>
            <w:top w:val="none" w:sz="0" w:space="0" w:color="auto"/>
            <w:left w:val="none" w:sz="0" w:space="0" w:color="auto"/>
            <w:bottom w:val="none" w:sz="0" w:space="0" w:color="auto"/>
            <w:right w:val="none" w:sz="0" w:space="0" w:color="auto"/>
          </w:divBdr>
          <w:divsChild>
            <w:div w:id="212234164">
              <w:marLeft w:val="0"/>
              <w:marRight w:val="0"/>
              <w:marTop w:val="0"/>
              <w:marBottom w:val="0"/>
              <w:divBdr>
                <w:top w:val="none" w:sz="0" w:space="0" w:color="auto"/>
                <w:left w:val="none" w:sz="0" w:space="0" w:color="auto"/>
                <w:bottom w:val="none" w:sz="0" w:space="0" w:color="auto"/>
                <w:right w:val="none" w:sz="0" w:space="0" w:color="auto"/>
              </w:divBdr>
              <w:divsChild>
                <w:div w:id="15051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3044">
          <w:marLeft w:val="0"/>
          <w:marRight w:val="0"/>
          <w:marTop w:val="0"/>
          <w:marBottom w:val="0"/>
          <w:divBdr>
            <w:top w:val="none" w:sz="0" w:space="0" w:color="auto"/>
            <w:left w:val="none" w:sz="0" w:space="0" w:color="auto"/>
            <w:bottom w:val="none" w:sz="0" w:space="0" w:color="auto"/>
            <w:right w:val="none" w:sz="0" w:space="0" w:color="auto"/>
          </w:divBdr>
          <w:divsChild>
            <w:div w:id="1271162019">
              <w:marLeft w:val="0"/>
              <w:marRight w:val="0"/>
              <w:marTop w:val="0"/>
              <w:marBottom w:val="0"/>
              <w:divBdr>
                <w:top w:val="none" w:sz="0" w:space="0" w:color="auto"/>
                <w:left w:val="none" w:sz="0" w:space="0" w:color="auto"/>
                <w:bottom w:val="none" w:sz="0" w:space="0" w:color="auto"/>
                <w:right w:val="none" w:sz="0" w:space="0" w:color="auto"/>
              </w:divBdr>
              <w:divsChild>
                <w:div w:id="2184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99198">
          <w:marLeft w:val="0"/>
          <w:marRight w:val="0"/>
          <w:marTop w:val="0"/>
          <w:marBottom w:val="0"/>
          <w:divBdr>
            <w:top w:val="none" w:sz="0" w:space="0" w:color="auto"/>
            <w:left w:val="none" w:sz="0" w:space="0" w:color="auto"/>
            <w:bottom w:val="none" w:sz="0" w:space="0" w:color="auto"/>
            <w:right w:val="none" w:sz="0" w:space="0" w:color="auto"/>
          </w:divBdr>
          <w:divsChild>
            <w:div w:id="683552465">
              <w:marLeft w:val="0"/>
              <w:marRight w:val="0"/>
              <w:marTop w:val="0"/>
              <w:marBottom w:val="0"/>
              <w:divBdr>
                <w:top w:val="none" w:sz="0" w:space="0" w:color="auto"/>
                <w:left w:val="none" w:sz="0" w:space="0" w:color="auto"/>
                <w:bottom w:val="none" w:sz="0" w:space="0" w:color="auto"/>
                <w:right w:val="none" w:sz="0" w:space="0" w:color="auto"/>
              </w:divBdr>
              <w:divsChild>
                <w:div w:id="19035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2688397">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144037530">
      <w:bodyDiv w:val="1"/>
      <w:marLeft w:val="0"/>
      <w:marRight w:val="0"/>
      <w:marTop w:val="0"/>
      <w:marBottom w:val="0"/>
      <w:divBdr>
        <w:top w:val="none" w:sz="0" w:space="0" w:color="auto"/>
        <w:left w:val="none" w:sz="0" w:space="0" w:color="auto"/>
        <w:bottom w:val="none" w:sz="0" w:space="0" w:color="auto"/>
        <w:right w:val="none" w:sz="0" w:space="0" w:color="auto"/>
      </w:divBdr>
      <w:divsChild>
        <w:div w:id="966426096">
          <w:marLeft w:val="0"/>
          <w:marRight w:val="0"/>
          <w:marTop w:val="0"/>
          <w:marBottom w:val="0"/>
          <w:divBdr>
            <w:top w:val="none" w:sz="0" w:space="0" w:color="auto"/>
            <w:left w:val="none" w:sz="0" w:space="0" w:color="auto"/>
            <w:bottom w:val="none" w:sz="0" w:space="0" w:color="auto"/>
            <w:right w:val="none" w:sz="0" w:space="0" w:color="auto"/>
          </w:divBdr>
          <w:divsChild>
            <w:div w:id="161823399">
              <w:marLeft w:val="0"/>
              <w:marRight w:val="0"/>
              <w:marTop w:val="0"/>
              <w:marBottom w:val="0"/>
              <w:divBdr>
                <w:top w:val="none" w:sz="0" w:space="0" w:color="auto"/>
                <w:left w:val="none" w:sz="0" w:space="0" w:color="auto"/>
                <w:bottom w:val="none" w:sz="0" w:space="0" w:color="auto"/>
                <w:right w:val="none" w:sz="0" w:space="0" w:color="auto"/>
              </w:divBdr>
              <w:divsChild>
                <w:div w:id="13368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4552">
          <w:marLeft w:val="0"/>
          <w:marRight w:val="0"/>
          <w:marTop w:val="0"/>
          <w:marBottom w:val="0"/>
          <w:divBdr>
            <w:top w:val="none" w:sz="0" w:space="0" w:color="auto"/>
            <w:left w:val="none" w:sz="0" w:space="0" w:color="auto"/>
            <w:bottom w:val="none" w:sz="0" w:space="0" w:color="auto"/>
            <w:right w:val="none" w:sz="0" w:space="0" w:color="auto"/>
          </w:divBdr>
          <w:divsChild>
            <w:div w:id="73821115">
              <w:marLeft w:val="0"/>
              <w:marRight w:val="0"/>
              <w:marTop w:val="0"/>
              <w:marBottom w:val="0"/>
              <w:divBdr>
                <w:top w:val="none" w:sz="0" w:space="0" w:color="auto"/>
                <w:left w:val="none" w:sz="0" w:space="0" w:color="auto"/>
                <w:bottom w:val="none" w:sz="0" w:space="0" w:color="auto"/>
                <w:right w:val="none" w:sz="0" w:space="0" w:color="auto"/>
              </w:divBdr>
              <w:divsChild>
                <w:div w:id="3041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791">
          <w:marLeft w:val="0"/>
          <w:marRight w:val="0"/>
          <w:marTop w:val="0"/>
          <w:marBottom w:val="0"/>
          <w:divBdr>
            <w:top w:val="none" w:sz="0" w:space="0" w:color="auto"/>
            <w:left w:val="none" w:sz="0" w:space="0" w:color="auto"/>
            <w:bottom w:val="none" w:sz="0" w:space="0" w:color="auto"/>
            <w:right w:val="none" w:sz="0" w:space="0" w:color="auto"/>
          </w:divBdr>
          <w:divsChild>
            <w:div w:id="990140672">
              <w:marLeft w:val="0"/>
              <w:marRight w:val="0"/>
              <w:marTop w:val="0"/>
              <w:marBottom w:val="0"/>
              <w:divBdr>
                <w:top w:val="none" w:sz="0" w:space="0" w:color="auto"/>
                <w:left w:val="none" w:sz="0" w:space="0" w:color="auto"/>
                <w:bottom w:val="none" w:sz="0" w:space="0" w:color="auto"/>
                <w:right w:val="none" w:sz="0" w:space="0" w:color="auto"/>
              </w:divBdr>
              <w:divsChild>
                <w:div w:id="1662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5958">
          <w:marLeft w:val="0"/>
          <w:marRight w:val="0"/>
          <w:marTop w:val="0"/>
          <w:marBottom w:val="0"/>
          <w:divBdr>
            <w:top w:val="none" w:sz="0" w:space="0" w:color="auto"/>
            <w:left w:val="none" w:sz="0" w:space="0" w:color="auto"/>
            <w:bottom w:val="none" w:sz="0" w:space="0" w:color="auto"/>
            <w:right w:val="none" w:sz="0" w:space="0" w:color="auto"/>
          </w:divBdr>
          <w:divsChild>
            <w:div w:id="822818814">
              <w:marLeft w:val="0"/>
              <w:marRight w:val="0"/>
              <w:marTop w:val="0"/>
              <w:marBottom w:val="0"/>
              <w:divBdr>
                <w:top w:val="none" w:sz="0" w:space="0" w:color="auto"/>
                <w:left w:val="none" w:sz="0" w:space="0" w:color="auto"/>
                <w:bottom w:val="none" w:sz="0" w:space="0" w:color="auto"/>
                <w:right w:val="none" w:sz="0" w:space="0" w:color="auto"/>
              </w:divBdr>
              <w:divsChild>
                <w:div w:id="21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6539">
          <w:marLeft w:val="0"/>
          <w:marRight w:val="0"/>
          <w:marTop w:val="0"/>
          <w:marBottom w:val="0"/>
          <w:divBdr>
            <w:top w:val="none" w:sz="0" w:space="0" w:color="auto"/>
            <w:left w:val="none" w:sz="0" w:space="0" w:color="auto"/>
            <w:bottom w:val="none" w:sz="0" w:space="0" w:color="auto"/>
            <w:right w:val="none" w:sz="0" w:space="0" w:color="auto"/>
          </w:divBdr>
          <w:divsChild>
            <w:div w:id="776486225">
              <w:marLeft w:val="0"/>
              <w:marRight w:val="0"/>
              <w:marTop w:val="0"/>
              <w:marBottom w:val="0"/>
              <w:divBdr>
                <w:top w:val="none" w:sz="0" w:space="0" w:color="auto"/>
                <w:left w:val="none" w:sz="0" w:space="0" w:color="auto"/>
                <w:bottom w:val="none" w:sz="0" w:space="0" w:color="auto"/>
                <w:right w:val="none" w:sz="0" w:space="0" w:color="auto"/>
              </w:divBdr>
              <w:divsChild>
                <w:div w:id="12121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2166">
          <w:marLeft w:val="0"/>
          <w:marRight w:val="0"/>
          <w:marTop w:val="0"/>
          <w:marBottom w:val="0"/>
          <w:divBdr>
            <w:top w:val="none" w:sz="0" w:space="0" w:color="auto"/>
            <w:left w:val="none" w:sz="0" w:space="0" w:color="auto"/>
            <w:bottom w:val="none" w:sz="0" w:space="0" w:color="auto"/>
            <w:right w:val="none" w:sz="0" w:space="0" w:color="auto"/>
          </w:divBdr>
          <w:divsChild>
            <w:div w:id="1243373338">
              <w:marLeft w:val="0"/>
              <w:marRight w:val="0"/>
              <w:marTop w:val="0"/>
              <w:marBottom w:val="0"/>
              <w:divBdr>
                <w:top w:val="none" w:sz="0" w:space="0" w:color="auto"/>
                <w:left w:val="none" w:sz="0" w:space="0" w:color="auto"/>
                <w:bottom w:val="none" w:sz="0" w:space="0" w:color="auto"/>
                <w:right w:val="none" w:sz="0" w:space="0" w:color="auto"/>
              </w:divBdr>
              <w:divsChild>
                <w:div w:id="3251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729">
          <w:marLeft w:val="0"/>
          <w:marRight w:val="0"/>
          <w:marTop w:val="0"/>
          <w:marBottom w:val="0"/>
          <w:divBdr>
            <w:top w:val="none" w:sz="0" w:space="0" w:color="auto"/>
            <w:left w:val="none" w:sz="0" w:space="0" w:color="auto"/>
            <w:bottom w:val="none" w:sz="0" w:space="0" w:color="auto"/>
            <w:right w:val="none" w:sz="0" w:space="0" w:color="auto"/>
          </w:divBdr>
          <w:divsChild>
            <w:div w:id="1712220697">
              <w:marLeft w:val="0"/>
              <w:marRight w:val="0"/>
              <w:marTop w:val="0"/>
              <w:marBottom w:val="0"/>
              <w:divBdr>
                <w:top w:val="none" w:sz="0" w:space="0" w:color="auto"/>
                <w:left w:val="none" w:sz="0" w:space="0" w:color="auto"/>
                <w:bottom w:val="none" w:sz="0" w:space="0" w:color="auto"/>
                <w:right w:val="none" w:sz="0" w:space="0" w:color="auto"/>
              </w:divBdr>
              <w:divsChild>
                <w:div w:id="15190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1128">
          <w:marLeft w:val="0"/>
          <w:marRight w:val="0"/>
          <w:marTop w:val="0"/>
          <w:marBottom w:val="0"/>
          <w:divBdr>
            <w:top w:val="none" w:sz="0" w:space="0" w:color="auto"/>
            <w:left w:val="none" w:sz="0" w:space="0" w:color="auto"/>
            <w:bottom w:val="none" w:sz="0" w:space="0" w:color="auto"/>
            <w:right w:val="none" w:sz="0" w:space="0" w:color="auto"/>
          </w:divBdr>
          <w:divsChild>
            <w:div w:id="44331198">
              <w:marLeft w:val="0"/>
              <w:marRight w:val="0"/>
              <w:marTop w:val="0"/>
              <w:marBottom w:val="0"/>
              <w:divBdr>
                <w:top w:val="none" w:sz="0" w:space="0" w:color="auto"/>
                <w:left w:val="none" w:sz="0" w:space="0" w:color="auto"/>
                <w:bottom w:val="none" w:sz="0" w:space="0" w:color="auto"/>
                <w:right w:val="none" w:sz="0" w:space="0" w:color="auto"/>
              </w:divBdr>
              <w:divsChild>
                <w:div w:id="3235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4043">
          <w:marLeft w:val="0"/>
          <w:marRight w:val="0"/>
          <w:marTop w:val="0"/>
          <w:marBottom w:val="0"/>
          <w:divBdr>
            <w:top w:val="none" w:sz="0" w:space="0" w:color="auto"/>
            <w:left w:val="none" w:sz="0" w:space="0" w:color="auto"/>
            <w:bottom w:val="none" w:sz="0" w:space="0" w:color="auto"/>
            <w:right w:val="none" w:sz="0" w:space="0" w:color="auto"/>
          </w:divBdr>
          <w:divsChild>
            <w:div w:id="836922918">
              <w:marLeft w:val="0"/>
              <w:marRight w:val="0"/>
              <w:marTop w:val="0"/>
              <w:marBottom w:val="0"/>
              <w:divBdr>
                <w:top w:val="none" w:sz="0" w:space="0" w:color="auto"/>
                <w:left w:val="none" w:sz="0" w:space="0" w:color="auto"/>
                <w:bottom w:val="none" w:sz="0" w:space="0" w:color="auto"/>
                <w:right w:val="none" w:sz="0" w:space="0" w:color="auto"/>
              </w:divBdr>
              <w:divsChild>
                <w:div w:id="2371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9051">
          <w:marLeft w:val="0"/>
          <w:marRight w:val="0"/>
          <w:marTop w:val="0"/>
          <w:marBottom w:val="0"/>
          <w:divBdr>
            <w:top w:val="none" w:sz="0" w:space="0" w:color="auto"/>
            <w:left w:val="none" w:sz="0" w:space="0" w:color="auto"/>
            <w:bottom w:val="none" w:sz="0" w:space="0" w:color="auto"/>
            <w:right w:val="none" w:sz="0" w:space="0" w:color="auto"/>
          </w:divBdr>
          <w:divsChild>
            <w:div w:id="71319612">
              <w:marLeft w:val="0"/>
              <w:marRight w:val="0"/>
              <w:marTop w:val="0"/>
              <w:marBottom w:val="0"/>
              <w:divBdr>
                <w:top w:val="none" w:sz="0" w:space="0" w:color="auto"/>
                <w:left w:val="none" w:sz="0" w:space="0" w:color="auto"/>
                <w:bottom w:val="none" w:sz="0" w:space="0" w:color="auto"/>
                <w:right w:val="none" w:sz="0" w:space="0" w:color="auto"/>
              </w:divBdr>
              <w:divsChild>
                <w:div w:id="6515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58428">
          <w:marLeft w:val="0"/>
          <w:marRight w:val="0"/>
          <w:marTop w:val="0"/>
          <w:marBottom w:val="0"/>
          <w:divBdr>
            <w:top w:val="none" w:sz="0" w:space="0" w:color="auto"/>
            <w:left w:val="none" w:sz="0" w:space="0" w:color="auto"/>
            <w:bottom w:val="none" w:sz="0" w:space="0" w:color="auto"/>
            <w:right w:val="none" w:sz="0" w:space="0" w:color="auto"/>
          </w:divBdr>
          <w:divsChild>
            <w:div w:id="2076390618">
              <w:marLeft w:val="0"/>
              <w:marRight w:val="0"/>
              <w:marTop w:val="0"/>
              <w:marBottom w:val="0"/>
              <w:divBdr>
                <w:top w:val="none" w:sz="0" w:space="0" w:color="auto"/>
                <w:left w:val="none" w:sz="0" w:space="0" w:color="auto"/>
                <w:bottom w:val="none" w:sz="0" w:space="0" w:color="auto"/>
                <w:right w:val="none" w:sz="0" w:space="0" w:color="auto"/>
              </w:divBdr>
              <w:divsChild>
                <w:div w:id="15438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707">
          <w:marLeft w:val="0"/>
          <w:marRight w:val="0"/>
          <w:marTop w:val="0"/>
          <w:marBottom w:val="0"/>
          <w:divBdr>
            <w:top w:val="none" w:sz="0" w:space="0" w:color="auto"/>
            <w:left w:val="none" w:sz="0" w:space="0" w:color="auto"/>
            <w:bottom w:val="none" w:sz="0" w:space="0" w:color="auto"/>
            <w:right w:val="none" w:sz="0" w:space="0" w:color="auto"/>
          </w:divBdr>
          <w:divsChild>
            <w:div w:id="1951669304">
              <w:marLeft w:val="0"/>
              <w:marRight w:val="0"/>
              <w:marTop w:val="0"/>
              <w:marBottom w:val="0"/>
              <w:divBdr>
                <w:top w:val="none" w:sz="0" w:space="0" w:color="auto"/>
                <w:left w:val="none" w:sz="0" w:space="0" w:color="auto"/>
                <w:bottom w:val="none" w:sz="0" w:space="0" w:color="auto"/>
                <w:right w:val="none" w:sz="0" w:space="0" w:color="auto"/>
              </w:divBdr>
              <w:divsChild>
                <w:div w:id="8887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3697">
          <w:marLeft w:val="0"/>
          <w:marRight w:val="0"/>
          <w:marTop w:val="0"/>
          <w:marBottom w:val="0"/>
          <w:divBdr>
            <w:top w:val="none" w:sz="0" w:space="0" w:color="auto"/>
            <w:left w:val="none" w:sz="0" w:space="0" w:color="auto"/>
            <w:bottom w:val="none" w:sz="0" w:space="0" w:color="auto"/>
            <w:right w:val="none" w:sz="0" w:space="0" w:color="auto"/>
          </w:divBdr>
          <w:divsChild>
            <w:div w:id="1710063451">
              <w:marLeft w:val="0"/>
              <w:marRight w:val="0"/>
              <w:marTop w:val="0"/>
              <w:marBottom w:val="0"/>
              <w:divBdr>
                <w:top w:val="none" w:sz="0" w:space="0" w:color="auto"/>
                <w:left w:val="none" w:sz="0" w:space="0" w:color="auto"/>
                <w:bottom w:val="none" w:sz="0" w:space="0" w:color="auto"/>
                <w:right w:val="none" w:sz="0" w:space="0" w:color="auto"/>
              </w:divBdr>
              <w:divsChild>
                <w:div w:id="1850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5234">
          <w:marLeft w:val="0"/>
          <w:marRight w:val="0"/>
          <w:marTop w:val="0"/>
          <w:marBottom w:val="0"/>
          <w:divBdr>
            <w:top w:val="none" w:sz="0" w:space="0" w:color="auto"/>
            <w:left w:val="none" w:sz="0" w:space="0" w:color="auto"/>
            <w:bottom w:val="none" w:sz="0" w:space="0" w:color="auto"/>
            <w:right w:val="none" w:sz="0" w:space="0" w:color="auto"/>
          </w:divBdr>
          <w:divsChild>
            <w:div w:id="2021200470">
              <w:marLeft w:val="0"/>
              <w:marRight w:val="0"/>
              <w:marTop w:val="0"/>
              <w:marBottom w:val="0"/>
              <w:divBdr>
                <w:top w:val="none" w:sz="0" w:space="0" w:color="auto"/>
                <w:left w:val="none" w:sz="0" w:space="0" w:color="auto"/>
                <w:bottom w:val="none" w:sz="0" w:space="0" w:color="auto"/>
                <w:right w:val="none" w:sz="0" w:space="0" w:color="auto"/>
              </w:divBdr>
              <w:divsChild>
                <w:div w:id="15081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35197">
          <w:marLeft w:val="0"/>
          <w:marRight w:val="0"/>
          <w:marTop w:val="0"/>
          <w:marBottom w:val="0"/>
          <w:divBdr>
            <w:top w:val="none" w:sz="0" w:space="0" w:color="auto"/>
            <w:left w:val="none" w:sz="0" w:space="0" w:color="auto"/>
            <w:bottom w:val="none" w:sz="0" w:space="0" w:color="auto"/>
            <w:right w:val="none" w:sz="0" w:space="0" w:color="auto"/>
          </w:divBdr>
          <w:divsChild>
            <w:div w:id="773597253">
              <w:marLeft w:val="0"/>
              <w:marRight w:val="0"/>
              <w:marTop w:val="0"/>
              <w:marBottom w:val="0"/>
              <w:divBdr>
                <w:top w:val="none" w:sz="0" w:space="0" w:color="auto"/>
                <w:left w:val="none" w:sz="0" w:space="0" w:color="auto"/>
                <w:bottom w:val="none" w:sz="0" w:space="0" w:color="auto"/>
                <w:right w:val="none" w:sz="0" w:space="0" w:color="auto"/>
              </w:divBdr>
              <w:divsChild>
                <w:div w:id="119441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7183">
          <w:marLeft w:val="0"/>
          <w:marRight w:val="0"/>
          <w:marTop w:val="0"/>
          <w:marBottom w:val="0"/>
          <w:divBdr>
            <w:top w:val="none" w:sz="0" w:space="0" w:color="auto"/>
            <w:left w:val="none" w:sz="0" w:space="0" w:color="auto"/>
            <w:bottom w:val="none" w:sz="0" w:space="0" w:color="auto"/>
            <w:right w:val="none" w:sz="0" w:space="0" w:color="auto"/>
          </w:divBdr>
          <w:divsChild>
            <w:div w:id="2059014504">
              <w:marLeft w:val="0"/>
              <w:marRight w:val="0"/>
              <w:marTop w:val="0"/>
              <w:marBottom w:val="0"/>
              <w:divBdr>
                <w:top w:val="none" w:sz="0" w:space="0" w:color="auto"/>
                <w:left w:val="none" w:sz="0" w:space="0" w:color="auto"/>
                <w:bottom w:val="none" w:sz="0" w:space="0" w:color="auto"/>
                <w:right w:val="none" w:sz="0" w:space="0" w:color="auto"/>
              </w:divBdr>
              <w:divsChild>
                <w:div w:id="5408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99596">
          <w:marLeft w:val="0"/>
          <w:marRight w:val="0"/>
          <w:marTop w:val="0"/>
          <w:marBottom w:val="0"/>
          <w:divBdr>
            <w:top w:val="none" w:sz="0" w:space="0" w:color="auto"/>
            <w:left w:val="none" w:sz="0" w:space="0" w:color="auto"/>
            <w:bottom w:val="none" w:sz="0" w:space="0" w:color="auto"/>
            <w:right w:val="none" w:sz="0" w:space="0" w:color="auto"/>
          </w:divBdr>
          <w:divsChild>
            <w:div w:id="1433208845">
              <w:marLeft w:val="0"/>
              <w:marRight w:val="0"/>
              <w:marTop w:val="0"/>
              <w:marBottom w:val="0"/>
              <w:divBdr>
                <w:top w:val="none" w:sz="0" w:space="0" w:color="auto"/>
                <w:left w:val="none" w:sz="0" w:space="0" w:color="auto"/>
                <w:bottom w:val="none" w:sz="0" w:space="0" w:color="auto"/>
                <w:right w:val="none" w:sz="0" w:space="0" w:color="auto"/>
              </w:divBdr>
              <w:divsChild>
                <w:div w:id="21353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13298</Words>
  <Characters>76856</Characters>
  <Application>Microsoft Office Word</Application>
  <DocSecurity>0</DocSecurity>
  <Lines>640</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2023-10-25T01:16:00Z</dcterms:created>
  <dcterms:modified xsi:type="dcterms:W3CDTF">2023-10-25T01:16:00Z</dcterms:modified>
</cp:coreProperties>
</file>